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39E50">
      <w:pPr>
        <w:pStyle w:val="4"/>
        <w:rPr>
          <w:rFonts w:hint="default" w:ascii="Times New Roman" w:hAnsi="Times New Roman" w:eastAsia="宋体" w:cs="Times New Roman"/>
          <w:color w:val="auto"/>
          <w:highlight w:val="none"/>
          <w:shd w:val="clear" w:color="auto" w:fill="auto"/>
        </w:rPr>
        <w:sectPr>
          <w:footerReference r:id="rId3" w:type="default"/>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12" w:charSpace="0"/>
        </w:sectPr>
      </w:pPr>
      <w:r>
        <w:drawing>
          <wp:inline distT="0" distB="0" distL="114300" distR="114300">
            <wp:extent cx="5756275" cy="8124825"/>
            <wp:effectExtent l="0" t="0" r="4445" b="1333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8"/>
                    <a:stretch>
                      <a:fillRect/>
                    </a:stretch>
                  </pic:blipFill>
                  <pic:spPr>
                    <a:xfrm>
                      <a:off x="0" y="0"/>
                      <a:ext cx="5756275" cy="8124825"/>
                    </a:xfrm>
                    <a:prstGeom prst="rect">
                      <a:avLst/>
                    </a:prstGeom>
                    <a:noFill/>
                    <a:ln>
                      <a:noFill/>
                    </a:ln>
                  </pic:spPr>
                </pic:pic>
              </a:graphicData>
            </a:graphic>
          </wp:inline>
        </w:drawing>
      </w:r>
    </w:p>
    <w:p w14:paraId="3A55857E">
      <w:pPr>
        <w:rPr>
          <w:rFonts w:hint="default"/>
        </w:rPr>
        <w:sectPr>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12" w:charSpace="0"/>
        </w:sectPr>
      </w:pPr>
      <w:r>
        <w:drawing>
          <wp:inline distT="0" distB="0" distL="114300" distR="114300">
            <wp:extent cx="5756275" cy="8208645"/>
            <wp:effectExtent l="0" t="0" r="4445" b="571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9"/>
                    <a:stretch>
                      <a:fillRect/>
                    </a:stretch>
                  </pic:blipFill>
                  <pic:spPr>
                    <a:xfrm>
                      <a:off x="0" y="0"/>
                      <a:ext cx="5756275" cy="8208645"/>
                    </a:xfrm>
                    <a:prstGeom prst="rect">
                      <a:avLst/>
                    </a:prstGeom>
                    <a:noFill/>
                    <a:ln>
                      <a:noFill/>
                    </a:ln>
                  </pic:spPr>
                </pic:pic>
              </a:graphicData>
            </a:graphic>
          </wp:inline>
        </w:drawing>
      </w:r>
    </w:p>
    <w:p w14:paraId="23C3F303">
      <w:pPr>
        <w:rPr>
          <w:rFonts w:hint="default"/>
        </w:rPr>
        <w:sectPr>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34929F1">
      <w:pPr>
        <w:pStyle w:val="4"/>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一、建设项目基础情况</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2446"/>
        <w:gridCol w:w="1917"/>
        <w:gridCol w:w="3195"/>
      </w:tblGrid>
      <w:tr w14:paraId="22AC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17FF5EBF">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建设项目名称</w:t>
            </w:r>
          </w:p>
        </w:tc>
        <w:tc>
          <w:tcPr>
            <w:tcW w:w="4069" w:type="pct"/>
            <w:gridSpan w:val="3"/>
            <w:vAlign w:val="center"/>
          </w:tcPr>
          <w:p w14:paraId="5C60C374">
            <w:pPr>
              <w:jc w:val="center"/>
              <w:rPr>
                <w:rFonts w:hint="default" w:ascii="Times New Roman" w:hAnsi="Times New Roman" w:eastAsia="宋体" w:cs="Times New Roman"/>
                <w:color w:val="auto"/>
                <w:sz w:val="24"/>
                <w:highlight w:val="none"/>
                <w:shd w:val="clear" w:color="auto" w:fill="auto"/>
                <w:lang w:eastAsia="zh-CN"/>
              </w:rPr>
            </w:pPr>
            <w:r>
              <w:rPr>
                <w:rFonts w:hint="eastAsia" w:ascii="Times New Roman" w:hAnsi="Times New Roman" w:eastAsia="宋体" w:cs="Times New Roman"/>
                <w:color w:val="auto"/>
                <w:sz w:val="24"/>
                <w:highlight w:val="none"/>
                <w:shd w:val="clear" w:color="auto" w:fill="auto"/>
                <w:lang w:eastAsia="zh-CN"/>
              </w:rPr>
              <w:t>新建年产2000吨环保塑料袋项目</w:t>
            </w:r>
          </w:p>
        </w:tc>
      </w:tr>
      <w:tr w14:paraId="10A8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7D9A514E">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项目代码</w:t>
            </w:r>
          </w:p>
        </w:tc>
        <w:tc>
          <w:tcPr>
            <w:tcW w:w="4069" w:type="pct"/>
            <w:gridSpan w:val="3"/>
            <w:vAlign w:val="center"/>
          </w:tcPr>
          <w:p w14:paraId="6BB66376">
            <w:pPr>
              <w:jc w:val="center"/>
              <w:rPr>
                <w:rFonts w:hint="default" w:ascii="Times New Roman" w:hAnsi="Times New Roman" w:eastAsia="宋体" w:cs="Times New Roman"/>
                <w:color w:val="auto"/>
                <w:sz w:val="24"/>
                <w:highlight w:val="none"/>
                <w:shd w:val="clear" w:color="auto" w:fill="auto"/>
                <w:lang w:eastAsia="zh-CN"/>
              </w:rPr>
            </w:pPr>
            <w:r>
              <w:rPr>
                <w:rFonts w:hint="eastAsia" w:ascii="Times New Roman" w:hAnsi="Times New Roman" w:eastAsia="宋体" w:cs="Times New Roman"/>
                <w:color w:val="auto"/>
                <w:sz w:val="24"/>
                <w:highlight w:val="none"/>
                <w:shd w:val="clear" w:color="auto" w:fill="auto"/>
                <w:lang w:eastAsia="zh-CN"/>
              </w:rPr>
              <w:t>2507-320458-89-01-302443</w:t>
            </w:r>
          </w:p>
        </w:tc>
      </w:tr>
      <w:tr w14:paraId="7891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38B1DD06">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建设单位联系人</w:t>
            </w:r>
          </w:p>
        </w:tc>
        <w:tc>
          <w:tcPr>
            <w:tcW w:w="1317" w:type="pct"/>
            <w:vAlign w:val="center"/>
          </w:tcPr>
          <w:p w14:paraId="7F61B164">
            <w:pPr>
              <w:jc w:val="center"/>
              <w:rPr>
                <w:rFonts w:hint="default" w:ascii="Times New Roman" w:hAnsi="Times New Roman" w:eastAsia="宋体" w:cs="Times New Roman"/>
                <w:color w:val="auto"/>
                <w:sz w:val="24"/>
                <w:highlight w:val="none"/>
                <w:shd w:val="clear" w:color="auto" w:fill="auto"/>
                <w:lang w:val="en-US" w:eastAsia="zh-CN"/>
              </w:rPr>
            </w:pPr>
            <w:r>
              <w:rPr>
                <w:rFonts w:hint="eastAsia" w:ascii="Times New Roman" w:hAnsi="Times New Roman" w:eastAsia="宋体" w:cs="Times New Roman"/>
                <w:color w:val="auto"/>
                <w:sz w:val="24"/>
                <w:highlight w:val="none"/>
                <w:shd w:val="clear" w:color="auto" w:fill="auto"/>
                <w:lang w:val="en-US" w:eastAsia="zh-CN"/>
              </w:rPr>
              <w:t>宋文涛</w:t>
            </w:r>
            <w:bookmarkStart w:id="13" w:name="_GoBack"/>
            <w:bookmarkEnd w:id="13"/>
          </w:p>
        </w:tc>
        <w:tc>
          <w:tcPr>
            <w:tcW w:w="1032" w:type="pct"/>
            <w:vAlign w:val="center"/>
          </w:tcPr>
          <w:p w14:paraId="32D79F94">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联系方式</w:t>
            </w:r>
          </w:p>
        </w:tc>
        <w:tc>
          <w:tcPr>
            <w:tcW w:w="1720" w:type="pct"/>
            <w:vAlign w:val="center"/>
          </w:tcPr>
          <w:p w14:paraId="49B706BD">
            <w:pPr>
              <w:jc w:val="center"/>
              <w:rPr>
                <w:rFonts w:hint="default" w:ascii="Times New Roman" w:hAnsi="Times New Roman" w:eastAsia="宋体" w:cs="Times New Roman"/>
                <w:color w:val="auto"/>
                <w:sz w:val="24"/>
                <w:highlight w:val="none"/>
                <w:shd w:val="clear" w:color="auto" w:fill="auto"/>
                <w:lang w:eastAsia="zh-CN"/>
              </w:rPr>
            </w:pPr>
            <w:r>
              <w:rPr>
                <w:rFonts w:hint="eastAsia" w:ascii="Times New Roman" w:hAnsi="Times New Roman" w:eastAsia="宋体" w:cs="Times New Roman"/>
                <w:color w:val="auto"/>
                <w:sz w:val="24"/>
                <w:highlight w:val="none"/>
                <w:shd w:val="clear" w:color="auto" w:fill="auto"/>
                <w:lang w:eastAsia="zh-CN"/>
              </w:rPr>
              <w:t>152</w:t>
            </w:r>
            <w:r>
              <w:rPr>
                <w:rFonts w:hint="eastAsia"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eastAsia="zh-CN"/>
              </w:rPr>
              <w:t>212</w:t>
            </w:r>
          </w:p>
        </w:tc>
      </w:tr>
      <w:tr w14:paraId="63C1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30" w:type="pct"/>
            <w:vAlign w:val="center"/>
          </w:tcPr>
          <w:p w14:paraId="5EE34F4E">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lang w:eastAsia="zh-CN"/>
              </w:rPr>
              <w:t xml:space="preserve"> </w:t>
            </w:r>
            <w:r>
              <w:rPr>
                <w:rFonts w:hint="default" w:ascii="Times New Roman" w:hAnsi="Times New Roman" w:eastAsia="宋体" w:cs="Times New Roman"/>
                <w:color w:val="auto"/>
                <w:sz w:val="24"/>
                <w:highlight w:val="none"/>
                <w:shd w:val="clear" w:color="auto" w:fill="auto"/>
              </w:rPr>
              <w:t>建设地点</w:t>
            </w:r>
          </w:p>
        </w:tc>
        <w:tc>
          <w:tcPr>
            <w:tcW w:w="4069" w:type="pct"/>
            <w:gridSpan w:val="3"/>
            <w:vAlign w:val="center"/>
          </w:tcPr>
          <w:p w14:paraId="46D41C26">
            <w:pPr>
              <w:jc w:val="center"/>
              <w:rPr>
                <w:rFonts w:hint="default" w:ascii="Times New Roman" w:hAnsi="Times New Roman" w:eastAsia="宋体" w:cs="Times New Roman"/>
                <w:color w:val="auto"/>
                <w:sz w:val="24"/>
                <w:highlight w:val="none"/>
                <w:shd w:val="clear" w:color="auto" w:fill="auto"/>
                <w:lang w:eastAsia="zh-CN"/>
              </w:rPr>
            </w:pPr>
            <w:r>
              <w:rPr>
                <w:rFonts w:hint="default" w:ascii="Times New Roman" w:hAnsi="Times New Roman" w:eastAsia="宋体" w:cs="Times New Roman"/>
                <w:color w:val="auto"/>
                <w:sz w:val="24"/>
                <w:highlight w:val="none"/>
                <w:shd w:val="clear" w:color="auto" w:fill="auto"/>
                <w:lang w:eastAsia="zh-CN"/>
              </w:rPr>
              <w:t>江苏省常州市金坛区</w:t>
            </w:r>
            <w:r>
              <w:rPr>
                <w:rFonts w:hint="eastAsia" w:ascii="Times New Roman" w:hAnsi="Times New Roman" w:eastAsia="宋体" w:cs="Times New Roman"/>
                <w:color w:val="auto"/>
                <w:sz w:val="24"/>
                <w:highlight w:val="none"/>
                <w:shd w:val="clear" w:color="auto" w:fill="auto"/>
                <w:lang w:eastAsia="zh-CN"/>
              </w:rPr>
              <w:t>晨风路188号</w:t>
            </w:r>
          </w:p>
        </w:tc>
      </w:tr>
      <w:tr w14:paraId="7B7A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006C2DBB">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地理坐标</w:t>
            </w:r>
          </w:p>
        </w:tc>
        <w:tc>
          <w:tcPr>
            <w:tcW w:w="4069" w:type="pct"/>
            <w:gridSpan w:val="3"/>
            <w:vAlign w:val="center"/>
          </w:tcPr>
          <w:p w14:paraId="23B14459">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w:t>
            </w:r>
            <w:r>
              <w:rPr>
                <w:rFonts w:hint="default" w:ascii="Times New Roman" w:hAnsi="Times New Roman" w:eastAsia="宋体" w:cs="Times New Roman"/>
                <w:color w:val="auto"/>
                <w:sz w:val="24"/>
                <w:highlight w:val="none"/>
                <w:u w:val="single"/>
                <w:shd w:val="clear" w:color="auto" w:fill="auto"/>
              </w:rPr>
              <w:t xml:space="preserve"> </w:t>
            </w:r>
            <w:r>
              <w:rPr>
                <w:rFonts w:hint="default" w:ascii="Times New Roman" w:hAnsi="Times New Roman" w:eastAsia="宋体" w:cs="Times New Roman"/>
                <w:color w:val="auto"/>
                <w:sz w:val="24"/>
                <w:highlight w:val="none"/>
                <w:u w:val="single"/>
                <w:shd w:val="clear" w:color="auto" w:fill="auto"/>
                <w:lang w:val="en-US" w:eastAsia="zh-CN"/>
              </w:rPr>
              <w:t>119</w:t>
            </w:r>
            <w:r>
              <w:rPr>
                <w:rFonts w:hint="default" w:ascii="Times New Roman" w:hAnsi="Times New Roman" w:eastAsia="宋体" w:cs="Times New Roman"/>
                <w:color w:val="auto"/>
                <w:sz w:val="24"/>
                <w:highlight w:val="none"/>
                <w:u w:val="single"/>
                <w:shd w:val="clear" w:color="auto" w:fill="auto"/>
              </w:rPr>
              <w:t xml:space="preserve"> </w:t>
            </w:r>
            <w:r>
              <w:rPr>
                <w:rFonts w:hint="default" w:ascii="Times New Roman" w:hAnsi="Times New Roman" w:eastAsia="宋体" w:cs="Times New Roman"/>
                <w:color w:val="auto"/>
                <w:sz w:val="24"/>
                <w:highlight w:val="none"/>
                <w:shd w:val="clear" w:color="auto" w:fill="auto"/>
              </w:rPr>
              <w:t>度</w:t>
            </w:r>
            <w:r>
              <w:rPr>
                <w:rFonts w:hint="default" w:ascii="Times New Roman" w:hAnsi="Times New Roman" w:eastAsia="宋体" w:cs="Times New Roman"/>
                <w:color w:val="auto"/>
                <w:sz w:val="24"/>
                <w:highlight w:val="none"/>
                <w:u w:val="single"/>
                <w:shd w:val="clear" w:color="auto" w:fill="auto"/>
              </w:rPr>
              <w:t xml:space="preserve"> </w:t>
            </w:r>
            <w:r>
              <w:rPr>
                <w:rFonts w:hint="default" w:ascii="Times New Roman" w:hAnsi="Times New Roman" w:eastAsia="宋体" w:cs="Times New Roman"/>
                <w:color w:val="auto"/>
                <w:sz w:val="24"/>
                <w:highlight w:val="none"/>
                <w:u w:val="single"/>
                <w:shd w:val="clear" w:color="auto" w:fill="auto"/>
                <w:lang w:val="en-US" w:eastAsia="zh-CN"/>
              </w:rPr>
              <w:t>3</w:t>
            </w:r>
            <w:r>
              <w:rPr>
                <w:rFonts w:hint="eastAsia" w:ascii="Times New Roman" w:hAnsi="Times New Roman" w:eastAsia="宋体" w:cs="Times New Roman"/>
                <w:color w:val="auto"/>
                <w:sz w:val="24"/>
                <w:highlight w:val="none"/>
                <w:u w:val="single"/>
                <w:shd w:val="clear" w:color="auto" w:fill="auto"/>
                <w:lang w:val="en-US" w:eastAsia="zh-CN"/>
              </w:rPr>
              <w:t>6</w:t>
            </w:r>
            <w:r>
              <w:rPr>
                <w:rFonts w:hint="default" w:ascii="Times New Roman" w:hAnsi="Times New Roman" w:eastAsia="宋体" w:cs="Times New Roman"/>
                <w:color w:val="auto"/>
                <w:sz w:val="24"/>
                <w:highlight w:val="none"/>
                <w:u w:val="single"/>
                <w:shd w:val="clear" w:color="auto" w:fill="auto"/>
              </w:rPr>
              <w:t xml:space="preserve"> </w:t>
            </w:r>
            <w:r>
              <w:rPr>
                <w:rFonts w:hint="default" w:ascii="Times New Roman" w:hAnsi="Times New Roman" w:eastAsia="宋体" w:cs="Times New Roman"/>
                <w:color w:val="auto"/>
                <w:sz w:val="24"/>
                <w:highlight w:val="none"/>
                <w:shd w:val="clear" w:color="auto" w:fill="auto"/>
              </w:rPr>
              <w:t>分</w:t>
            </w:r>
            <w:r>
              <w:rPr>
                <w:rFonts w:hint="default" w:ascii="Times New Roman" w:hAnsi="Times New Roman" w:eastAsia="宋体" w:cs="Times New Roman"/>
                <w:color w:val="auto"/>
                <w:sz w:val="24"/>
                <w:highlight w:val="none"/>
                <w:u w:val="single"/>
                <w:shd w:val="clear" w:color="auto" w:fill="auto"/>
              </w:rPr>
              <w:t xml:space="preserve"> </w:t>
            </w:r>
            <w:r>
              <w:rPr>
                <w:rFonts w:hint="eastAsia" w:ascii="Times New Roman" w:hAnsi="Times New Roman" w:eastAsia="宋体" w:cs="Times New Roman"/>
                <w:color w:val="auto"/>
                <w:sz w:val="24"/>
                <w:highlight w:val="none"/>
                <w:u w:val="single"/>
                <w:shd w:val="clear" w:color="auto" w:fill="auto"/>
                <w:lang w:val="en-US" w:eastAsia="zh-CN"/>
              </w:rPr>
              <w:t>45.119</w:t>
            </w:r>
            <w:r>
              <w:rPr>
                <w:rFonts w:hint="default" w:ascii="Times New Roman" w:hAnsi="Times New Roman" w:eastAsia="宋体" w:cs="Times New Roman"/>
                <w:color w:val="auto"/>
                <w:sz w:val="24"/>
                <w:highlight w:val="none"/>
                <w:u w:val="single"/>
                <w:shd w:val="clear" w:color="auto" w:fill="auto"/>
                <w:lang w:val="en-US" w:eastAsia="zh-CN"/>
              </w:rPr>
              <w:t xml:space="preserve"> </w:t>
            </w:r>
            <w:r>
              <w:rPr>
                <w:rFonts w:hint="default" w:ascii="Times New Roman" w:hAnsi="Times New Roman" w:eastAsia="宋体" w:cs="Times New Roman"/>
                <w:color w:val="auto"/>
                <w:sz w:val="24"/>
                <w:highlight w:val="none"/>
                <w:shd w:val="clear" w:color="auto" w:fill="auto"/>
              </w:rPr>
              <w:t>秒，</w:t>
            </w:r>
            <w:r>
              <w:rPr>
                <w:rFonts w:hint="default" w:ascii="Times New Roman" w:hAnsi="Times New Roman" w:eastAsia="宋体" w:cs="Times New Roman"/>
                <w:color w:val="auto"/>
                <w:sz w:val="24"/>
                <w:highlight w:val="none"/>
                <w:u w:val="single"/>
                <w:shd w:val="clear" w:color="auto" w:fill="auto"/>
              </w:rPr>
              <w:t xml:space="preserve"> 31 </w:t>
            </w:r>
            <w:r>
              <w:rPr>
                <w:rFonts w:hint="default" w:ascii="Times New Roman" w:hAnsi="Times New Roman" w:eastAsia="宋体" w:cs="Times New Roman"/>
                <w:color w:val="auto"/>
                <w:sz w:val="24"/>
                <w:highlight w:val="none"/>
                <w:shd w:val="clear" w:color="auto" w:fill="auto"/>
              </w:rPr>
              <w:t>度</w:t>
            </w:r>
            <w:r>
              <w:rPr>
                <w:rFonts w:hint="default" w:ascii="Times New Roman" w:hAnsi="Times New Roman" w:eastAsia="宋体" w:cs="Times New Roman"/>
                <w:color w:val="auto"/>
                <w:sz w:val="24"/>
                <w:highlight w:val="none"/>
                <w:u w:val="single"/>
                <w:shd w:val="clear" w:color="auto" w:fill="auto"/>
              </w:rPr>
              <w:t xml:space="preserve"> </w:t>
            </w:r>
            <w:r>
              <w:rPr>
                <w:rFonts w:hint="default" w:ascii="Times New Roman" w:hAnsi="Times New Roman" w:eastAsia="宋体" w:cs="Times New Roman"/>
                <w:color w:val="auto"/>
                <w:sz w:val="24"/>
                <w:highlight w:val="none"/>
                <w:u w:val="single"/>
                <w:shd w:val="clear" w:color="auto" w:fill="auto"/>
                <w:lang w:val="en-US" w:eastAsia="zh-CN"/>
              </w:rPr>
              <w:t>4</w:t>
            </w:r>
            <w:r>
              <w:rPr>
                <w:rFonts w:hint="eastAsia" w:ascii="Times New Roman" w:hAnsi="Times New Roman" w:eastAsia="宋体" w:cs="Times New Roman"/>
                <w:color w:val="auto"/>
                <w:sz w:val="24"/>
                <w:highlight w:val="none"/>
                <w:u w:val="single"/>
                <w:shd w:val="clear" w:color="auto" w:fill="auto"/>
                <w:lang w:val="en-US" w:eastAsia="zh-CN"/>
              </w:rPr>
              <w:t>5</w:t>
            </w:r>
            <w:r>
              <w:rPr>
                <w:rFonts w:hint="default" w:ascii="Times New Roman" w:hAnsi="Times New Roman" w:eastAsia="宋体" w:cs="Times New Roman"/>
                <w:color w:val="auto"/>
                <w:sz w:val="24"/>
                <w:highlight w:val="none"/>
                <w:u w:val="single"/>
                <w:shd w:val="clear" w:color="auto" w:fill="auto"/>
              </w:rPr>
              <w:t xml:space="preserve"> </w:t>
            </w:r>
            <w:r>
              <w:rPr>
                <w:rFonts w:hint="default" w:ascii="Times New Roman" w:hAnsi="Times New Roman" w:eastAsia="宋体" w:cs="Times New Roman"/>
                <w:color w:val="auto"/>
                <w:sz w:val="24"/>
                <w:highlight w:val="none"/>
                <w:shd w:val="clear" w:color="auto" w:fill="auto"/>
              </w:rPr>
              <w:t>分</w:t>
            </w:r>
            <w:r>
              <w:rPr>
                <w:rFonts w:hint="default" w:ascii="Times New Roman" w:hAnsi="Times New Roman" w:eastAsia="宋体" w:cs="Times New Roman"/>
                <w:color w:val="auto"/>
                <w:sz w:val="24"/>
                <w:highlight w:val="none"/>
                <w:u w:val="single"/>
                <w:shd w:val="clear" w:color="auto" w:fill="auto"/>
              </w:rPr>
              <w:t xml:space="preserve"> </w:t>
            </w:r>
            <w:r>
              <w:rPr>
                <w:rFonts w:hint="eastAsia" w:ascii="Times New Roman" w:hAnsi="Times New Roman" w:eastAsia="宋体" w:cs="Times New Roman"/>
                <w:color w:val="auto"/>
                <w:sz w:val="24"/>
                <w:highlight w:val="none"/>
                <w:u w:val="single"/>
                <w:shd w:val="clear" w:color="auto" w:fill="auto"/>
                <w:lang w:val="en-US" w:eastAsia="zh-CN"/>
              </w:rPr>
              <w:t>13.662</w:t>
            </w:r>
            <w:r>
              <w:rPr>
                <w:rFonts w:hint="default" w:ascii="Times New Roman" w:hAnsi="Times New Roman" w:eastAsia="宋体" w:cs="Times New Roman"/>
                <w:color w:val="auto"/>
                <w:sz w:val="24"/>
                <w:highlight w:val="none"/>
                <w:u w:val="single"/>
                <w:shd w:val="clear" w:color="auto" w:fill="auto"/>
              </w:rPr>
              <w:t xml:space="preserve"> </w:t>
            </w:r>
            <w:r>
              <w:rPr>
                <w:rFonts w:hint="default" w:ascii="Times New Roman" w:hAnsi="Times New Roman" w:eastAsia="宋体" w:cs="Times New Roman"/>
                <w:color w:val="auto"/>
                <w:sz w:val="24"/>
                <w:highlight w:val="none"/>
                <w:shd w:val="clear" w:color="auto" w:fill="auto"/>
              </w:rPr>
              <w:t>秒）</w:t>
            </w:r>
          </w:p>
        </w:tc>
      </w:tr>
      <w:tr w14:paraId="3D50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4AFF3449">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国民经济行业类别</w:t>
            </w:r>
          </w:p>
        </w:tc>
        <w:tc>
          <w:tcPr>
            <w:tcW w:w="1317" w:type="pct"/>
            <w:vAlign w:val="center"/>
          </w:tcPr>
          <w:p w14:paraId="6885E368">
            <w:pPr>
              <w:jc w:val="center"/>
              <w:rPr>
                <w:rFonts w:hint="eastAsia" w:ascii="Times New Roman" w:hAnsi="Times New Roman" w:eastAsia="宋体" w:cs="Times New Roman"/>
                <w:color w:val="auto"/>
                <w:sz w:val="24"/>
                <w:highlight w:val="none"/>
                <w:shd w:val="clear" w:color="auto" w:fill="auto"/>
                <w:lang w:eastAsia="zh-CN"/>
              </w:rPr>
            </w:pPr>
            <w:r>
              <w:rPr>
                <w:rFonts w:hint="eastAsia" w:ascii="Times New Roman" w:hAnsi="Times New Roman" w:eastAsia="宋体" w:cs="Times New Roman"/>
                <w:color w:val="auto"/>
                <w:sz w:val="24"/>
                <w:highlight w:val="none"/>
                <w:shd w:val="clear" w:color="auto" w:fill="auto"/>
                <w:lang w:eastAsia="zh-CN"/>
              </w:rPr>
              <w:t>C2923 塑料丝、绳及编织品制造</w:t>
            </w:r>
          </w:p>
        </w:tc>
        <w:tc>
          <w:tcPr>
            <w:tcW w:w="1032" w:type="pct"/>
            <w:vAlign w:val="center"/>
          </w:tcPr>
          <w:p w14:paraId="7BFF9022">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建设项目</w:t>
            </w:r>
          </w:p>
          <w:p w14:paraId="2BEA479C">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行业类别</w:t>
            </w:r>
          </w:p>
        </w:tc>
        <w:tc>
          <w:tcPr>
            <w:tcW w:w="1720" w:type="pct"/>
            <w:vAlign w:val="center"/>
          </w:tcPr>
          <w:p w14:paraId="659CF1F8">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二十六、橡胶和塑料制品业29-53塑料制品业292</w:t>
            </w:r>
          </w:p>
        </w:tc>
      </w:tr>
      <w:tr w14:paraId="102C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2499C22E">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建设性质</w:t>
            </w:r>
          </w:p>
        </w:tc>
        <w:tc>
          <w:tcPr>
            <w:tcW w:w="1317" w:type="pct"/>
            <w:vAlign w:val="center"/>
          </w:tcPr>
          <w:p w14:paraId="33721FA5">
            <w:pPr>
              <w:jc w:val="left"/>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sym w:font="Wingdings 2" w:char="0052"/>
            </w:r>
            <w:r>
              <w:rPr>
                <w:rFonts w:hint="default" w:ascii="Times New Roman" w:hAnsi="Times New Roman" w:eastAsia="宋体" w:cs="Times New Roman"/>
                <w:color w:val="auto"/>
                <w:sz w:val="24"/>
                <w:highlight w:val="none"/>
                <w:shd w:val="clear" w:color="auto" w:fill="auto"/>
              </w:rPr>
              <w:t>新建（迁建）</w:t>
            </w:r>
          </w:p>
          <w:p w14:paraId="4252025B">
            <w:pPr>
              <w:jc w:val="left"/>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□改建</w:t>
            </w:r>
          </w:p>
          <w:p w14:paraId="3C62D9BD">
            <w:pPr>
              <w:jc w:val="left"/>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□扩建</w:t>
            </w:r>
          </w:p>
          <w:p w14:paraId="76760AA5">
            <w:pPr>
              <w:jc w:val="left"/>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□技术改造</w:t>
            </w:r>
          </w:p>
        </w:tc>
        <w:tc>
          <w:tcPr>
            <w:tcW w:w="1032" w:type="pct"/>
            <w:vAlign w:val="center"/>
          </w:tcPr>
          <w:p w14:paraId="7B147FB0">
            <w:pPr>
              <w:adjustRightInd w:val="0"/>
              <w:snapToGrid w:val="0"/>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建设项目</w:t>
            </w:r>
          </w:p>
          <w:p w14:paraId="23297567">
            <w:pPr>
              <w:adjustRightInd w:val="0"/>
              <w:snapToGrid w:val="0"/>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申报情形</w:t>
            </w:r>
          </w:p>
        </w:tc>
        <w:tc>
          <w:tcPr>
            <w:tcW w:w="1720" w:type="pct"/>
            <w:vAlign w:val="center"/>
          </w:tcPr>
          <w:p w14:paraId="36226F02">
            <w:pPr>
              <w:jc w:val="left"/>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☑首次申报项目</w:t>
            </w:r>
          </w:p>
          <w:p w14:paraId="3B4155C1">
            <w:pPr>
              <w:jc w:val="left"/>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□不予批准后再次申报项目</w:t>
            </w:r>
          </w:p>
          <w:p w14:paraId="07DDC52E">
            <w:pPr>
              <w:jc w:val="left"/>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□超五年重新审核项目</w:t>
            </w:r>
          </w:p>
          <w:p w14:paraId="25891F6C">
            <w:pPr>
              <w:jc w:val="left"/>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□重大变动重新报批项目</w:t>
            </w:r>
          </w:p>
        </w:tc>
      </w:tr>
      <w:tr w14:paraId="2ED2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09EEBE17">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项目审批</w:t>
            </w:r>
          </w:p>
          <w:p w14:paraId="48DEBE10">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（核准/备案）部门</w:t>
            </w:r>
          </w:p>
          <w:p w14:paraId="254FD2B6">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（选填）</w:t>
            </w:r>
          </w:p>
        </w:tc>
        <w:tc>
          <w:tcPr>
            <w:tcW w:w="1317" w:type="pct"/>
            <w:vAlign w:val="center"/>
          </w:tcPr>
          <w:p w14:paraId="4B4B7240">
            <w:pPr>
              <w:jc w:val="center"/>
              <w:rPr>
                <w:rFonts w:hint="default" w:ascii="Times New Roman" w:hAnsi="Times New Roman" w:eastAsia="宋体" w:cs="Times New Roman"/>
                <w:color w:val="auto"/>
                <w:sz w:val="24"/>
                <w:highlight w:val="none"/>
                <w:shd w:val="clear" w:color="auto" w:fill="auto"/>
                <w:lang w:val="en-US" w:eastAsia="zh-CN"/>
              </w:rPr>
            </w:pPr>
            <w:r>
              <w:rPr>
                <w:rFonts w:hint="eastAsia" w:ascii="Times New Roman" w:hAnsi="Times New Roman" w:eastAsia="宋体" w:cs="Times New Roman"/>
                <w:color w:val="auto"/>
                <w:sz w:val="24"/>
                <w:highlight w:val="none"/>
                <w:shd w:val="clear" w:color="auto" w:fill="auto"/>
                <w:lang w:val="en-US" w:eastAsia="zh-CN"/>
              </w:rPr>
              <w:t>江苏金坛经济开发区经济发展局</w:t>
            </w:r>
          </w:p>
        </w:tc>
        <w:tc>
          <w:tcPr>
            <w:tcW w:w="1032" w:type="pct"/>
            <w:vAlign w:val="center"/>
          </w:tcPr>
          <w:p w14:paraId="060F97ED">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项目审批（核准/备案）文号</w:t>
            </w:r>
          </w:p>
          <w:p w14:paraId="4C608D7B">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（选填）</w:t>
            </w:r>
          </w:p>
        </w:tc>
        <w:tc>
          <w:tcPr>
            <w:tcW w:w="1720" w:type="pct"/>
            <w:vAlign w:val="center"/>
          </w:tcPr>
          <w:p w14:paraId="4DEC9C0F">
            <w:pPr>
              <w:jc w:val="center"/>
              <w:rPr>
                <w:rFonts w:hint="default" w:ascii="Times New Roman" w:hAnsi="Times New Roman" w:eastAsia="宋体" w:cs="Times New Roman"/>
                <w:color w:val="auto"/>
                <w:sz w:val="24"/>
                <w:highlight w:val="none"/>
                <w:shd w:val="clear" w:color="auto" w:fill="auto"/>
                <w:lang w:eastAsia="zh-CN"/>
              </w:rPr>
            </w:pPr>
            <w:r>
              <w:rPr>
                <w:rFonts w:hint="eastAsia" w:ascii="Times New Roman" w:hAnsi="Times New Roman" w:eastAsia="宋体" w:cs="Times New Roman"/>
                <w:color w:val="auto"/>
                <w:sz w:val="24"/>
                <w:highlight w:val="none"/>
                <w:shd w:val="clear" w:color="auto" w:fill="auto"/>
                <w:lang w:eastAsia="zh-CN"/>
              </w:rPr>
              <w:t>坛开经发备字〔2025〕227号</w:t>
            </w:r>
          </w:p>
        </w:tc>
      </w:tr>
      <w:tr w14:paraId="4BF5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30" w:type="pct"/>
            <w:shd w:val="clear" w:color="auto" w:fill="auto"/>
            <w:vAlign w:val="center"/>
          </w:tcPr>
          <w:p w14:paraId="771A723E">
            <w:pPr>
              <w:adjustRightInd w:val="0"/>
              <w:snapToGrid w:val="0"/>
              <w:jc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sz w:val="24"/>
                <w:szCs w:val="24"/>
                <w:highlight w:val="none"/>
                <w:shd w:val="clear" w:color="auto" w:fill="auto"/>
              </w:rPr>
              <w:t>总投资（万元）</w:t>
            </w:r>
          </w:p>
        </w:tc>
        <w:tc>
          <w:tcPr>
            <w:tcW w:w="1317" w:type="pct"/>
            <w:shd w:val="clear" w:color="auto" w:fill="auto"/>
            <w:vAlign w:val="center"/>
          </w:tcPr>
          <w:p w14:paraId="6F5E06A1">
            <w:pPr>
              <w:adjustRightInd w:val="0"/>
              <w:snapToGrid w:val="0"/>
              <w:jc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2</w:t>
            </w:r>
            <w:r>
              <w:rPr>
                <w:rFonts w:hint="default" w:ascii="Times New Roman" w:hAnsi="Times New Roman" w:eastAsia="宋体" w:cs="Times New Roman"/>
                <w:color w:val="auto"/>
                <w:sz w:val="24"/>
                <w:szCs w:val="24"/>
                <w:highlight w:val="none"/>
                <w:shd w:val="clear" w:color="auto" w:fill="auto"/>
                <w:lang w:val="en-US" w:eastAsia="zh-CN"/>
              </w:rPr>
              <w:t>0</w:t>
            </w:r>
            <w:r>
              <w:rPr>
                <w:rFonts w:hint="default" w:ascii="Times New Roman" w:hAnsi="Times New Roman" w:eastAsia="宋体" w:cs="Times New Roman"/>
                <w:color w:val="auto"/>
                <w:sz w:val="24"/>
                <w:szCs w:val="24"/>
                <w:highlight w:val="none"/>
                <w:shd w:val="clear" w:color="auto" w:fill="auto"/>
              </w:rPr>
              <w:t>00</w:t>
            </w:r>
          </w:p>
        </w:tc>
        <w:tc>
          <w:tcPr>
            <w:tcW w:w="1032" w:type="pct"/>
            <w:shd w:val="clear" w:color="auto" w:fill="auto"/>
            <w:vAlign w:val="center"/>
          </w:tcPr>
          <w:p w14:paraId="71985371">
            <w:pPr>
              <w:adjustRightInd w:val="0"/>
              <w:snapToGrid w:val="0"/>
              <w:jc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default" w:ascii="Times New Roman" w:hAnsi="Times New Roman" w:eastAsia="宋体" w:cs="Times New Roman"/>
                <w:color w:val="auto"/>
                <w:sz w:val="24"/>
                <w:szCs w:val="24"/>
                <w:highlight w:val="none"/>
                <w:shd w:val="clear" w:color="auto" w:fill="auto"/>
              </w:rPr>
              <w:t>环保投资（万元）</w:t>
            </w:r>
          </w:p>
        </w:tc>
        <w:tc>
          <w:tcPr>
            <w:tcW w:w="1720" w:type="pct"/>
            <w:shd w:val="clear" w:color="auto" w:fill="auto"/>
            <w:vAlign w:val="center"/>
          </w:tcPr>
          <w:p w14:paraId="64CEAA47">
            <w:pPr>
              <w:adjustRightInd w:val="0"/>
              <w:snapToGrid w:val="0"/>
              <w:jc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25</w:t>
            </w:r>
          </w:p>
        </w:tc>
      </w:tr>
      <w:tr w14:paraId="113B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 w:type="pct"/>
            <w:vAlign w:val="center"/>
          </w:tcPr>
          <w:p w14:paraId="612D904E">
            <w:pPr>
              <w:jc w:val="center"/>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环保投资占比（%）</w:t>
            </w:r>
          </w:p>
        </w:tc>
        <w:tc>
          <w:tcPr>
            <w:tcW w:w="1317" w:type="pct"/>
            <w:vAlign w:val="center"/>
          </w:tcPr>
          <w:p w14:paraId="0F93CE25">
            <w:pPr>
              <w:jc w:val="center"/>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1.25</w:t>
            </w:r>
          </w:p>
        </w:tc>
        <w:tc>
          <w:tcPr>
            <w:tcW w:w="1032" w:type="pct"/>
            <w:vAlign w:val="center"/>
          </w:tcPr>
          <w:p w14:paraId="1E8EC510">
            <w:pPr>
              <w:jc w:val="center"/>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施工工期</w:t>
            </w:r>
          </w:p>
        </w:tc>
        <w:tc>
          <w:tcPr>
            <w:tcW w:w="1720" w:type="pct"/>
            <w:vAlign w:val="center"/>
          </w:tcPr>
          <w:p w14:paraId="66B6839E">
            <w:pPr>
              <w:jc w:val="center"/>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lang w:val="en-US" w:eastAsia="zh-CN"/>
              </w:rPr>
              <w:t>5</w:t>
            </w:r>
            <w:r>
              <w:rPr>
                <w:rFonts w:hint="default" w:ascii="Times New Roman" w:hAnsi="Times New Roman" w:eastAsia="宋体" w:cs="Times New Roman"/>
                <w:color w:val="auto"/>
                <w:sz w:val="24"/>
                <w:szCs w:val="24"/>
                <w:highlight w:val="none"/>
                <w:shd w:val="clear" w:color="auto" w:fill="auto"/>
              </w:rPr>
              <w:t>个月</w:t>
            </w:r>
          </w:p>
        </w:tc>
      </w:tr>
      <w:tr w14:paraId="3343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30" w:type="pct"/>
            <w:vAlign w:val="center"/>
          </w:tcPr>
          <w:p w14:paraId="0348119F">
            <w:pPr>
              <w:jc w:val="center"/>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是否开工建设</w:t>
            </w:r>
          </w:p>
        </w:tc>
        <w:tc>
          <w:tcPr>
            <w:tcW w:w="1317" w:type="pct"/>
            <w:vAlign w:val="center"/>
          </w:tcPr>
          <w:p w14:paraId="292C00D4">
            <w:pPr>
              <w:jc w:val="left"/>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smallCaps w:val="0"/>
                <w:color w:val="auto"/>
                <w:spacing w:val="0"/>
                <w:kern w:val="0"/>
                <w:position w:val="0"/>
                <w:szCs w:val="21"/>
                <w:shd w:val="clear" w:color="auto" w:fill="auto"/>
              </w:rPr>
              <w:sym w:font="Wingdings" w:char="F0FE"/>
            </w:r>
            <w:r>
              <w:rPr>
                <w:rFonts w:hint="default" w:ascii="Times New Roman" w:hAnsi="Times New Roman" w:eastAsia="宋体" w:cs="Times New Roman"/>
                <w:color w:val="auto"/>
                <w:sz w:val="24"/>
                <w:szCs w:val="24"/>
                <w:highlight w:val="none"/>
                <w:shd w:val="clear" w:color="auto" w:fill="auto"/>
              </w:rPr>
              <w:t>否</w:t>
            </w:r>
          </w:p>
          <w:p w14:paraId="242D1F5D">
            <w:pPr>
              <w:jc w:val="left"/>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smallCaps w:val="0"/>
                <w:color w:val="auto"/>
                <w:spacing w:val="0"/>
                <w:kern w:val="0"/>
                <w:position w:val="0"/>
                <w:szCs w:val="21"/>
                <w:shd w:val="clear" w:color="auto" w:fill="auto"/>
              </w:rPr>
              <w:sym w:font="Wingdings" w:char="00A8"/>
            </w:r>
            <w:r>
              <w:rPr>
                <w:rFonts w:hint="default" w:ascii="Times New Roman" w:hAnsi="Times New Roman" w:eastAsia="宋体" w:cs="Times New Roman"/>
                <w:color w:val="auto"/>
                <w:sz w:val="24"/>
                <w:szCs w:val="24"/>
                <w:highlight w:val="none"/>
                <w:shd w:val="clear" w:color="auto" w:fill="auto"/>
              </w:rPr>
              <w:t>是：</w:t>
            </w:r>
            <w:r>
              <w:rPr>
                <w:rFonts w:hint="default" w:ascii="Times New Roman" w:hAnsi="Times New Roman" w:eastAsia="宋体" w:cs="Times New Roman"/>
                <w:color w:val="auto"/>
                <w:sz w:val="24"/>
                <w:szCs w:val="24"/>
                <w:highlight w:val="none"/>
                <w:u w:val="single"/>
                <w:shd w:val="clear" w:color="auto" w:fill="auto"/>
              </w:rPr>
              <w:t xml:space="preserve">            </w:t>
            </w:r>
          </w:p>
        </w:tc>
        <w:tc>
          <w:tcPr>
            <w:tcW w:w="1032" w:type="pct"/>
            <w:vAlign w:val="center"/>
          </w:tcPr>
          <w:p w14:paraId="3A5F124E">
            <w:pPr>
              <w:jc w:val="center"/>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lang w:val="en-US" w:eastAsia="zh-CN"/>
              </w:rPr>
              <w:t>建筑</w:t>
            </w:r>
            <w:r>
              <w:rPr>
                <w:rFonts w:hint="default" w:ascii="Times New Roman" w:hAnsi="Times New Roman" w:eastAsia="宋体" w:cs="Times New Roman"/>
                <w:color w:val="auto"/>
                <w:sz w:val="24"/>
                <w:szCs w:val="24"/>
                <w:highlight w:val="none"/>
                <w:shd w:val="clear" w:color="auto" w:fill="auto"/>
              </w:rPr>
              <w:t>面积（m</w:t>
            </w:r>
            <w:r>
              <w:rPr>
                <w:rFonts w:hint="default" w:ascii="Times New Roman" w:hAnsi="Times New Roman" w:eastAsia="宋体" w:cs="Times New Roman"/>
                <w:color w:val="auto"/>
                <w:sz w:val="24"/>
                <w:szCs w:val="24"/>
                <w:highlight w:val="none"/>
                <w:shd w:val="clear" w:color="auto" w:fill="auto"/>
                <w:vertAlign w:val="superscript"/>
              </w:rPr>
              <w:t>2</w:t>
            </w:r>
            <w:r>
              <w:rPr>
                <w:rFonts w:hint="default" w:ascii="Times New Roman" w:hAnsi="Times New Roman" w:eastAsia="宋体" w:cs="Times New Roman"/>
                <w:color w:val="auto"/>
                <w:sz w:val="24"/>
                <w:szCs w:val="24"/>
                <w:highlight w:val="none"/>
                <w:shd w:val="clear" w:color="auto" w:fill="auto"/>
              </w:rPr>
              <w:t>）</w:t>
            </w:r>
          </w:p>
        </w:tc>
        <w:tc>
          <w:tcPr>
            <w:tcW w:w="1720" w:type="pct"/>
            <w:vAlign w:val="center"/>
          </w:tcPr>
          <w:p w14:paraId="5680DAE8">
            <w:pPr>
              <w:jc w:val="center"/>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4500</w:t>
            </w:r>
            <w:r>
              <w:rPr>
                <w:rFonts w:hint="default" w:ascii="Times New Roman" w:hAnsi="Times New Roman" w:eastAsia="宋体" w:cs="Times New Roman"/>
                <w:color w:val="auto"/>
                <w:sz w:val="24"/>
                <w:szCs w:val="24"/>
                <w:highlight w:val="none"/>
                <w:shd w:val="clear" w:color="auto" w:fill="auto"/>
                <w:lang w:val="en-US" w:eastAsia="zh-CN"/>
              </w:rPr>
              <w:t>.00</w:t>
            </w:r>
          </w:p>
        </w:tc>
      </w:tr>
      <w:tr w14:paraId="42A6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930" w:type="pct"/>
            <w:vAlign w:val="center"/>
          </w:tcPr>
          <w:p w14:paraId="55C0C957">
            <w:pPr>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专项评价设置情况</w:t>
            </w:r>
          </w:p>
        </w:tc>
        <w:tc>
          <w:tcPr>
            <w:tcW w:w="4069" w:type="pct"/>
            <w:gridSpan w:val="3"/>
            <w:vAlign w:val="center"/>
          </w:tcPr>
          <w:p w14:paraId="25BF3167">
            <w:pPr>
              <w:jc w:val="center"/>
              <w:rPr>
                <w:rFonts w:hint="default"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表</w:t>
            </w:r>
            <w:r>
              <w:rPr>
                <w:rFonts w:hint="default" w:ascii="Times New Roman" w:hAnsi="Times New Roman" w:eastAsia="宋体" w:cs="Times New Roman"/>
                <w:color w:val="auto"/>
                <w:sz w:val="24"/>
                <w:szCs w:val="24"/>
                <w:shd w:val="clear" w:color="auto" w:fill="auto"/>
                <w:lang w:val="en-US" w:eastAsia="zh-CN"/>
              </w:rPr>
              <w:t>1</w:t>
            </w:r>
            <w:r>
              <w:rPr>
                <w:rFonts w:hint="eastAsia" w:ascii="Times New Roman" w:hAnsi="Times New Roman" w:eastAsia="宋体" w:cs="Times New Roman"/>
                <w:color w:val="auto"/>
                <w:sz w:val="24"/>
                <w:szCs w:val="24"/>
                <w:shd w:val="clear" w:color="auto" w:fill="auto"/>
                <w:lang w:val="en-US" w:eastAsia="zh-CN"/>
              </w:rPr>
              <w:t>-1</w:t>
            </w:r>
            <w:r>
              <w:rPr>
                <w:rFonts w:hint="eastAsia" w:ascii="宋体" w:hAnsi="宋体" w:eastAsia="宋体" w:cs="宋体"/>
                <w:color w:val="auto"/>
                <w:sz w:val="24"/>
                <w:szCs w:val="24"/>
                <w:shd w:val="clear" w:color="auto" w:fill="auto"/>
                <w:lang w:val="en-US" w:eastAsia="zh-CN"/>
              </w:rPr>
              <w:t xml:space="preserve"> 专项评价设置原则对照表</w:t>
            </w:r>
          </w:p>
          <w:tbl>
            <w:tblPr>
              <w:tblStyle w:val="27"/>
              <w:tblpPr w:leftFromText="180" w:rightFromText="180" w:vertAnchor="text" w:horzAnchor="page" w:tblpX="80" w:tblpY="4"/>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3439"/>
              <w:gridCol w:w="2449"/>
            </w:tblGrid>
            <w:tr w14:paraId="73D09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0" w:type="pct"/>
                  <w:noWrap w:val="0"/>
                  <w:vAlign w:val="center"/>
                </w:tcPr>
                <w:p w14:paraId="706BD52A">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专项评价的类别</w:t>
                  </w:r>
                </w:p>
              </w:tc>
              <w:tc>
                <w:tcPr>
                  <w:tcW w:w="2341" w:type="pct"/>
                  <w:noWrap w:val="0"/>
                  <w:vAlign w:val="center"/>
                </w:tcPr>
                <w:p w14:paraId="7BD5815E">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设置原则</w:t>
                  </w:r>
                </w:p>
              </w:tc>
              <w:tc>
                <w:tcPr>
                  <w:tcW w:w="1667" w:type="pct"/>
                  <w:noWrap w:val="0"/>
                  <w:vAlign w:val="center"/>
                </w:tcPr>
                <w:p w14:paraId="5774FA78">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lang w:val="en-US" w:eastAsia="zh-CN"/>
                    </w:rPr>
                    <w:t>新建</w:t>
                  </w:r>
                  <w:r>
                    <w:rPr>
                      <w:rFonts w:hint="default" w:ascii="Times New Roman" w:hAnsi="Times New Roman" w:eastAsia="宋体" w:cs="Times New Roman"/>
                      <w:color w:val="auto"/>
                      <w:sz w:val="21"/>
                      <w:szCs w:val="21"/>
                      <w:shd w:val="clear" w:color="auto" w:fill="auto"/>
                    </w:rPr>
                    <w:t>项目</w:t>
                  </w:r>
                </w:p>
              </w:tc>
            </w:tr>
            <w:tr w14:paraId="18E72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0" w:type="pct"/>
                  <w:noWrap w:val="0"/>
                  <w:vAlign w:val="center"/>
                </w:tcPr>
                <w:p w14:paraId="56C99BDA">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大气</w:t>
                  </w:r>
                </w:p>
              </w:tc>
              <w:tc>
                <w:tcPr>
                  <w:tcW w:w="2341" w:type="pct"/>
                  <w:noWrap w:val="0"/>
                  <w:vAlign w:val="center"/>
                </w:tcPr>
                <w:p w14:paraId="01BE11E8">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排放废气含有毒有害污染物、二噁英、苯并[a]芘、氰化物、氯气且厂界外500米范围内有环境空气保护目标²的建设项目</w:t>
                  </w:r>
                </w:p>
              </w:tc>
              <w:tc>
                <w:tcPr>
                  <w:tcW w:w="1667" w:type="pct"/>
                  <w:noWrap w:val="0"/>
                  <w:vAlign w:val="center"/>
                </w:tcPr>
                <w:p w14:paraId="00D79500">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本项目</w:t>
                  </w:r>
                  <w:r>
                    <w:rPr>
                      <w:rFonts w:hint="default" w:ascii="Times New Roman" w:hAnsi="Times New Roman" w:eastAsia="宋体" w:cs="Times New Roman"/>
                      <w:color w:val="auto"/>
                      <w:sz w:val="21"/>
                      <w:szCs w:val="21"/>
                      <w:shd w:val="clear" w:color="auto" w:fill="auto"/>
                    </w:rPr>
                    <w:t>不涉及排放《有毒有害大气污染物名录（2018年）》中物质及二噁英、苯并[a]芘、氰化物</w:t>
                  </w:r>
                  <w:r>
                    <w:rPr>
                      <w:rFonts w:hint="eastAsia" w:ascii="Times New Roman" w:hAnsi="Times New Roman" w:eastAsia="宋体" w:cs="Times New Roman"/>
                      <w:color w:val="auto"/>
                      <w:sz w:val="21"/>
                      <w:szCs w:val="21"/>
                      <w:shd w:val="clear" w:color="auto" w:fill="auto"/>
                      <w:lang w:eastAsia="zh-CN"/>
                    </w:rPr>
                    <w:t>、</w:t>
                  </w:r>
                  <w:r>
                    <w:rPr>
                      <w:rFonts w:hint="eastAsia" w:ascii="Times New Roman" w:hAnsi="Times New Roman" w:eastAsia="宋体" w:cs="Times New Roman"/>
                      <w:color w:val="auto"/>
                      <w:sz w:val="21"/>
                      <w:szCs w:val="21"/>
                      <w:shd w:val="clear" w:color="auto" w:fill="auto"/>
                      <w:lang w:val="en-US" w:eastAsia="zh-CN"/>
                    </w:rPr>
                    <w:t>氯气</w:t>
                  </w:r>
                </w:p>
              </w:tc>
            </w:tr>
            <w:tr w14:paraId="5F1DC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90" w:type="pct"/>
                  <w:noWrap w:val="0"/>
                  <w:vAlign w:val="center"/>
                </w:tcPr>
                <w:p w14:paraId="21772C88">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地表水</w:t>
                  </w:r>
                </w:p>
              </w:tc>
              <w:tc>
                <w:tcPr>
                  <w:tcW w:w="2341" w:type="pct"/>
                  <w:noWrap w:val="0"/>
                  <w:vAlign w:val="center"/>
                </w:tcPr>
                <w:p w14:paraId="235DAD0D">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新增工业废水直排建设项目(槽罐车外送污水处理厂的除外)；新增废水直排的污水集中处理厂</w:t>
                  </w:r>
                </w:p>
              </w:tc>
              <w:tc>
                <w:tcPr>
                  <w:tcW w:w="1667" w:type="pct"/>
                  <w:noWrap w:val="0"/>
                  <w:vAlign w:val="center"/>
                </w:tcPr>
                <w:p w14:paraId="78B10FE8">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color w:val="auto"/>
                      <w:sz w:val="21"/>
                      <w:szCs w:val="21"/>
                      <w:shd w:val="clear" w:color="auto" w:fill="auto"/>
                      <w:lang w:val="en-US" w:eastAsia="zh-CN"/>
                    </w:rPr>
                    <w:t>本项目无工业废水排放</w:t>
                  </w:r>
                </w:p>
              </w:tc>
            </w:tr>
            <w:tr w14:paraId="52318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90" w:type="pct"/>
                  <w:noWrap w:val="0"/>
                  <w:vAlign w:val="center"/>
                </w:tcPr>
                <w:p w14:paraId="6B9A1A03">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环境风险</w:t>
                  </w:r>
                </w:p>
              </w:tc>
              <w:tc>
                <w:tcPr>
                  <w:tcW w:w="2341" w:type="pct"/>
                  <w:noWrap w:val="0"/>
                  <w:vAlign w:val="center"/>
                </w:tcPr>
                <w:p w14:paraId="1373B66B">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有毒有害和易燃易爆危险物质存储量超过临界量³的建设项目</w:t>
                  </w:r>
                </w:p>
              </w:tc>
              <w:tc>
                <w:tcPr>
                  <w:tcW w:w="1667" w:type="pct"/>
                  <w:noWrap w:val="0"/>
                  <w:vAlign w:val="center"/>
                </w:tcPr>
                <w:p w14:paraId="1280666C">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eastAsia" w:ascii="Times New Roman" w:hAnsi="Times New Roman" w:eastAsia="宋体" w:cs="Times New Roman"/>
                      <w:color w:val="auto"/>
                      <w:sz w:val="21"/>
                      <w:szCs w:val="21"/>
                      <w:shd w:val="clear" w:color="auto" w:fill="auto"/>
                      <w:lang w:val="en-US" w:eastAsia="zh-CN"/>
                    </w:rPr>
                    <w:t>本项目</w:t>
                  </w:r>
                  <w:r>
                    <w:rPr>
                      <w:rFonts w:hint="default" w:ascii="Times New Roman" w:hAnsi="Times New Roman" w:eastAsia="宋体" w:cs="Times New Roman"/>
                      <w:color w:val="auto"/>
                      <w:sz w:val="21"/>
                      <w:szCs w:val="21"/>
                      <w:shd w:val="clear" w:color="auto" w:fill="auto"/>
                    </w:rPr>
                    <w:t>Q值小于1</w:t>
                  </w:r>
                </w:p>
              </w:tc>
            </w:tr>
            <w:tr w14:paraId="0CAB2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0" w:type="pct"/>
                  <w:noWrap w:val="0"/>
                  <w:vAlign w:val="center"/>
                </w:tcPr>
                <w:p w14:paraId="6CF8E457">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生态</w:t>
                  </w:r>
                </w:p>
              </w:tc>
              <w:tc>
                <w:tcPr>
                  <w:tcW w:w="2341" w:type="pct"/>
                  <w:noWrap w:val="0"/>
                  <w:vAlign w:val="center"/>
                </w:tcPr>
                <w:p w14:paraId="2DDE3613">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取水口下游500米范围内有重要水生生物的自然产卵场、索饵场、越冬场和洄游通道的新增河道取水的污染类建设项目</w:t>
                  </w:r>
                </w:p>
              </w:tc>
              <w:tc>
                <w:tcPr>
                  <w:tcW w:w="1667" w:type="pct"/>
                  <w:noWrap w:val="0"/>
                  <w:vAlign w:val="center"/>
                </w:tcPr>
                <w:p w14:paraId="231247AA">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eastAsia" w:ascii="Times New Roman" w:hAnsi="Times New Roman" w:eastAsia="宋体" w:cs="Times New Roman"/>
                      <w:color w:val="auto"/>
                      <w:sz w:val="21"/>
                      <w:szCs w:val="21"/>
                      <w:shd w:val="clear" w:color="auto" w:fill="auto"/>
                      <w:lang w:val="en-US" w:eastAsia="zh-CN"/>
                    </w:rPr>
                    <w:t>本项目</w:t>
                  </w:r>
                  <w:r>
                    <w:rPr>
                      <w:rFonts w:hint="default" w:ascii="Times New Roman" w:hAnsi="Times New Roman" w:eastAsia="宋体" w:cs="Times New Roman"/>
                      <w:color w:val="auto"/>
                      <w:sz w:val="21"/>
                      <w:szCs w:val="21"/>
                      <w:shd w:val="clear" w:color="auto" w:fill="auto"/>
                    </w:rPr>
                    <w:t>不涉及取水口</w:t>
                  </w:r>
                </w:p>
              </w:tc>
            </w:tr>
            <w:tr w14:paraId="62254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0" w:type="pct"/>
                  <w:noWrap w:val="0"/>
                  <w:vAlign w:val="center"/>
                </w:tcPr>
                <w:p w14:paraId="28C0C1DF">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海洋</w:t>
                  </w:r>
                </w:p>
              </w:tc>
              <w:tc>
                <w:tcPr>
                  <w:tcW w:w="2341" w:type="pct"/>
                  <w:noWrap w:val="0"/>
                  <w:vAlign w:val="center"/>
                </w:tcPr>
                <w:p w14:paraId="59179D41">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直接向海排放污染物的海洋工程建设项目</w:t>
                  </w:r>
                </w:p>
              </w:tc>
              <w:tc>
                <w:tcPr>
                  <w:tcW w:w="1667" w:type="pct"/>
                  <w:noWrap w:val="0"/>
                  <w:vAlign w:val="center"/>
                </w:tcPr>
                <w:p w14:paraId="3AD69AEF">
                  <w:pPr>
                    <w:keepNext/>
                    <w:keepLines/>
                    <w:tabs>
                      <w:tab w:val="left" w:pos="4860"/>
                    </w:tabs>
                    <w:spacing w:line="300" w:lineRule="exact"/>
                    <w:jc w:val="center"/>
                    <w:rPr>
                      <w:rFonts w:hint="default" w:ascii="Times New Roman" w:hAnsi="Times New Roman" w:eastAsia="宋体" w:cs="Times New Roman"/>
                      <w:color w:val="auto"/>
                      <w:sz w:val="21"/>
                      <w:szCs w:val="21"/>
                      <w:shd w:val="clear" w:color="auto" w:fill="auto"/>
                    </w:rPr>
                  </w:pPr>
                  <w:r>
                    <w:rPr>
                      <w:rFonts w:hint="eastAsia" w:ascii="Times New Roman" w:hAnsi="Times New Roman" w:eastAsia="宋体" w:cs="Times New Roman"/>
                      <w:color w:val="auto"/>
                      <w:sz w:val="21"/>
                      <w:szCs w:val="21"/>
                      <w:shd w:val="clear" w:color="auto" w:fill="auto"/>
                      <w:lang w:val="en-US" w:eastAsia="zh-CN"/>
                    </w:rPr>
                    <w:t>本项目</w:t>
                  </w:r>
                  <w:r>
                    <w:rPr>
                      <w:rFonts w:hint="default" w:ascii="Times New Roman" w:hAnsi="Times New Roman" w:eastAsia="宋体" w:cs="Times New Roman"/>
                      <w:color w:val="auto"/>
                      <w:sz w:val="21"/>
                      <w:szCs w:val="21"/>
                      <w:shd w:val="clear" w:color="auto" w:fill="auto"/>
                    </w:rPr>
                    <w:t>不涉及</w:t>
                  </w:r>
                </w:p>
              </w:tc>
            </w:tr>
          </w:tbl>
          <w:p w14:paraId="405EC3EE">
            <w:pPr>
              <w:ind w:firstLine="480" w:firstLineChars="200"/>
              <w:jc w:val="both"/>
              <w:rPr>
                <w:rFonts w:hint="default" w:ascii="Times New Roman" w:hAnsi="Times New Roman" w:eastAsia="宋体" w:cs="Times New Roman"/>
                <w:color w:val="auto"/>
                <w:sz w:val="24"/>
                <w:highlight w:val="none"/>
                <w:shd w:val="clear" w:color="auto" w:fill="auto"/>
              </w:rPr>
            </w:pPr>
            <w:r>
              <w:rPr>
                <w:rFonts w:hint="eastAsia" w:ascii="宋体" w:hAnsi="宋体" w:eastAsia="宋体" w:cs="宋体"/>
                <w:color w:val="auto"/>
                <w:sz w:val="24"/>
                <w:szCs w:val="24"/>
                <w:shd w:val="clear" w:color="auto" w:fill="auto"/>
              </w:rPr>
              <w:t>综上，项目无需开展专项评价。</w:t>
            </w:r>
          </w:p>
        </w:tc>
      </w:tr>
      <w:tr w14:paraId="1A4B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30" w:type="pct"/>
            <w:shd w:val="clear" w:color="auto" w:fill="auto"/>
            <w:vAlign w:val="center"/>
          </w:tcPr>
          <w:p w14:paraId="276D9ED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
                <w:sz w:val="24"/>
                <w:szCs w:val="24"/>
                <w:shd w:val="clear" w:color="auto" w:fill="auto"/>
                <w:lang w:val="en-US" w:eastAsia="zh-CN" w:bidi="ar-SA"/>
              </w:rPr>
            </w:pPr>
            <w:r>
              <w:rPr>
                <w:rFonts w:hint="default" w:ascii="Times New Roman" w:hAnsi="Times New Roman" w:eastAsia="宋体" w:cs="Times New Roman"/>
                <w:color w:val="auto"/>
                <w:spacing w:val="-6"/>
                <w:sz w:val="24"/>
                <w:szCs w:val="24"/>
                <w:shd w:val="clear" w:color="auto" w:fill="auto"/>
              </w:rPr>
              <w:t>规划情况</w:t>
            </w:r>
          </w:p>
        </w:tc>
        <w:tc>
          <w:tcPr>
            <w:tcW w:w="4069" w:type="pct"/>
            <w:gridSpan w:val="3"/>
            <w:shd w:val="clear" w:color="auto" w:fill="auto"/>
            <w:vAlign w:val="center"/>
          </w:tcPr>
          <w:p w14:paraId="592879E8">
            <w:pPr>
              <w:keepNext w:val="0"/>
              <w:keepLines w:val="0"/>
              <w:pageBreakBefore w:val="0"/>
              <w:widowControl w:val="0"/>
              <w:kinsoku/>
              <w:wordWrap/>
              <w:overflowPunct/>
              <w:topLinePunct w:val="0"/>
              <w:autoSpaceDE w:val="0"/>
              <w:autoSpaceDN w:val="0"/>
              <w:bidi w:val="0"/>
              <w:adjustRightInd w:val="0"/>
              <w:snapToGrid w:val="0"/>
              <w:spacing w:line="500" w:lineRule="exact"/>
              <w:ind w:firstLine="0" w:firstLineChars="0"/>
              <w:jc w:val="left"/>
              <w:textAlignment w:val="auto"/>
              <w:rPr>
                <w:rFonts w:hint="eastAsia" w:ascii="Times New Roman" w:hAnsi="Times New Roman" w:eastAsia="宋体" w:cs="Times New Roman"/>
                <w:color w:val="auto"/>
                <w:spacing w:val="-6"/>
                <w:sz w:val="24"/>
                <w:szCs w:val="24"/>
                <w:shd w:val="clear" w:color="auto" w:fill="auto"/>
                <w:lang w:val="en-US" w:eastAsia="zh-CN"/>
              </w:rPr>
            </w:pPr>
            <w:r>
              <w:rPr>
                <w:rFonts w:hint="eastAsia" w:ascii="Times New Roman" w:hAnsi="Times New Roman" w:eastAsia="宋体" w:cs="Times New Roman"/>
                <w:color w:val="auto"/>
                <w:spacing w:val="-6"/>
                <w:sz w:val="24"/>
                <w:szCs w:val="24"/>
                <w:shd w:val="clear" w:color="auto" w:fill="auto"/>
                <w:lang w:val="en-US" w:eastAsia="zh-CN"/>
              </w:rPr>
              <w:t>规划名称：《金坛市城市总体规划（2013-2030）》</w:t>
            </w:r>
          </w:p>
          <w:p w14:paraId="062FA2F3">
            <w:pPr>
              <w:keepNext w:val="0"/>
              <w:keepLines w:val="0"/>
              <w:pageBreakBefore w:val="0"/>
              <w:widowControl w:val="0"/>
              <w:kinsoku/>
              <w:wordWrap/>
              <w:overflowPunct/>
              <w:topLinePunct w:val="0"/>
              <w:autoSpaceDE w:val="0"/>
              <w:autoSpaceDN w:val="0"/>
              <w:bidi w:val="0"/>
              <w:adjustRightInd w:val="0"/>
              <w:snapToGrid w:val="0"/>
              <w:spacing w:line="500" w:lineRule="exact"/>
              <w:ind w:firstLine="0" w:firstLineChars="0"/>
              <w:jc w:val="left"/>
              <w:textAlignment w:val="auto"/>
              <w:rPr>
                <w:rFonts w:hint="default" w:ascii="Times New Roman" w:hAnsi="Times New Roman" w:eastAsia="宋体" w:cs="Times New Roman"/>
                <w:color w:val="auto"/>
                <w:spacing w:val="-6"/>
                <w:sz w:val="24"/>
                <w:szCs w:val="24"/>
                <w:shd w:val="clear" w:color="auto" w:fill="auto"/>
                <w:lang w:val="en-US" w:eastAsia="zh-CN"/>
              </w:rPr>
            </w:pPr>
            <w:r>
              <w:rPr>
                <w:rFonts w:hint="eastAsia" w:ascii="Times New Roman" w:hAnsi="Times New Roman" w:eastAsia="宋体" w:cs="Times New Roman"/>
                <w:color w:val="auto"/>
                <w:spacing w:val="-6"/>
                <w:sz w:val="24"/>
                <w:szCs w:val="24"/>
                <w:shd w:val="clear" w:color="auto" w:fill="auto"/>
                <w:lang w:val="en-US" w:eastAsia="zh-CN"/>
              </w:rPr>
              <w:t>审查机关：原金坛市规划局</w:t>
            </w:r>
          </w:p>
          <w:p w14:paraId="6E84D703">
            <w:pPr>
              <w:keepNext w:val="0"/>
              <w:keepLines w:val="0"/>
              <w:pageBreakBefore w:val="0"/>
              <w:widowControl w:val="0"/>
              <w:kinsoku/>
              <w:wordWrap/>
              <w:overflowPunct/>
              <w:topLinePunct w:val="0"/>
              <w:autoSpaceDE w:val="0"/>
              <w:autoSpaceDN w:val="0"/>
              <w:bidi w:val="0"/>
              <w:adjustRightInd w:val="0"/>
              <w:snapToGrid w:val="0"/>
              <w:spacing w:line="500" w:lineRule="exact"/>
              <w:ind w:firstLine="0" w:firstLineChars="0"/>
              <w:jc w:val="left"/>
              <w:textAlignment w:val="auto"/>
              <w:rPr>
                <w:rFonts w:hint="eastAsia" w:ascii="Times New Roman" w:hAnsi="Times New Roman" w:eastAsia="宋体" w:cs="Times New Roman"/>
                <w:color w:val="auto"/>
                <w:spacing w:val="-6"/>
                <w:kern w:val="2"/>
                <w:sz w:val="24"/>
                <w:szCs w:val="24"/>
                <w:shd w:val="clear" w:color="auto" w:fill="auto"/>
                <w:lang w:val="en-US" w:eastAsia="zh-CN" w:bidi="ar-SA"/>
              </w:rPr>
            </w:pPr>
            <w:r>
              <w:rPr>
                <w:rFonts w:hint="eastAsia" w:ascii="Times New Roman" w:hAnsi="Times New Roman" w:eastAsia="宋体" w:cs="Times New Roman"/>
                <w:color w:val="auto"/>
                <w:spacing w:val="-6"/>
                <w:sz w:val="24"/>
                <w:szCs w:val="24"/>
                <w:shd w:val="clear" w:color="auto" w:fill="auto"/>
                <w:lang w:val="en-US" w:eastAsia="zh-CN"/>
              </w:rPr>
              <w:t>审查文件名称及文号：/</w:t>
            </w:r>
          </w:p>
        </w:tc>
      </w:tr>
      <w:tr w14:paraId="2245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930" w:type="pct"/>
            <w:shd w:val="clear" w:color="auto" w:fill="auto"/>
            <w:vAlign w:val="center"/>
          </w:tcPr>
          <w:p w14:paraId="3C7B7E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
                <w:sz w:val="24"/>
                <w:szCs w:val="24"/>
                <w:shd w:val="clear" w:color="auto" w:fill="auto"/>
                <w:lang w:val="en-US" w:eastAsia="zh-CN" w:bidi="ar-SA"/>
              </w:rPr>
            </w:pPr>
            <w:r>
              <w:rPr>
                <w:rFonts w:hint="default" w:ascii="Times New Roman" w:hAnsi="Times New Roman" w:eastAsia="宋体" w:cs="Times New Roman"/>
                <w:color w:val="auto"/>
                <w:spacing w:val="-6"/>
                <w:sz w:val="24"/>
                <w:szCs w:val="24"/>
                <w:shd w:val="clear" w:color="auto" w:fill="auto"/>
              </w:rPr>
              <w:t>规划环境影响评价情况</w:t>
            </w:r>
          </w:p>
        </w:tc>
        <w:tc>
          <w:tcPr>
            <w:tcW w:w="4069" w:type="pct"/>
            <w:gridSpan w:val="3"/>
            <w:shd w:val="clear" w:color="auto" w:fill="auto"/>
            <w:vAlign w:val="center"/>
          </w:tcPr>
          <w:p w14:paraId="24744ED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
                <w:sz w:val="24"/>
                <w:szCs w:val="24"/>
                <w:shd w:val="clear" w:color="auto" w:fill="auto"/>
                <w:lang w:val="en-US" w:eastAsia="zh-CN" w:bidi="ar-SA"/>
              </w:rPr>
            </w:pPr>
            <w:r>
              <w:rPr>
                <w:rFonts w:hint="eastAsia" w:ascii="Times New Roman" w:hAnsi="Times New Roman" w:eastAsia="宋体" w:cs="Times New Roman"/>
                <w:color w:val="auto"/>
                <w:spacing w:val="-6"/>
                <w:kern w:val="2"/>
                <w:sz w:val="24"/>
                <w:szCs w:val="24"/>
                <w:shd w:val="clear" w:color="auto" w:fill="auto"/>
                <w:lang w:val="en-US" w:eastAsia="zh-CN" w:bidi="ar-SA"/>
              </w:rPr>
              <w:t>无</w:t>
            </w:r>
          </w:p>
        </w:tc>
      </w:tr>
    </w:tbl>
    <w:p w14:paraId="090CC6AE">
      <w:pPr>
        <w:rPr>
          <w:rFonts w:hint="default" w:ascii="Times New Roman" w:hAnsi="Times New Roman" w:eastAsia="宋体" w:cs="Times New Roman"/>
          <w:color w:val="auto"/>
          <w:highlight w:val="none"/>
          <w:shd w:val="clear" w:color="auto" w:fill="auto"/>
        </w:rPr>
        <w:sectPr>
          <w:footerReference r:id="rId4" w:type="default"/>
          <w:pgSz w:w="11906" w:h="16838"/>
          <w:pgMar w:top="1440" w:right="1418" w:bottom="1440" w:left="1418"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8617"/>
      </w:tblGrid>
      <w:tr w14:paraId="63E9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vAlign w:val="center"/>
          </w:tcPr>
          <w:p w14:paraId="216ABE59">
            <w:pPr>
              <w:autoSpaceDE w:val="0"/>
              <w:autoSpaceDN w:val="0"/>
              <w:adjustRightInd w:val="0"/>
              <w:snapToGrid w:val="0"/>
              <w:jc w:val="center"/>
              <w:rPr>
                <w:rFonts w:hint="default" w:ascii="Times New Roman" w:hAnsi="Times New Roman" w:eastAsia="宋体" w:cs="Times New Roman"/>
                <w:b/>
                <w:color w:val="auto"/>
                <w:sz w:val="24"/>
                <w:szCs w:val="24"/>
                <w:highlight w:val="none"/>
                <w:shd w:val="clear" w:color="auto" w:fill="auto"/>
              </w:rPr>
            </w:pPr>
            <w:r>
              <w:rPr>
                <w:rFonts w:hint="default" w:ascii="Times New Roman" w:hAnsi="Times New Roman" w:eastAsia="宋体" w:cs="Times New Roman"/>
                <w:color w:val="auto"/>
                <w:kern w:val="0"/>
                <w:sz w:val="24"/>
                <w:szCs w:val="24"/>
                <w:shd w:val="clear" w:color="auto" w:fill="auto"/>
              </w:rPr>
              <w:t>规划及规划环境影响评价符合性分析</w:t>
            </w:r>
          </w:p>
        </w:tc>
        <w:tc>
          <w:tcPr>
            <w:tcW w:w="8617" w:type="dxa"/>
            <w:vAlign w:val="center"/>
          </w:tcPr>
          <w:p w14:paraId="62BD21D6">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w:t>
            </w:r>
            <w:r>
              <w:rPr>
                <w:rFonts w:hint="eastAsia" w:ascii="Times New Roman" w:hAnsi="Times New Roman" w:eastAsia="宋体" w:cs="Times New Roman"/>
                <w:b/>
                <w:bCs/>
                <w:color w:val="auto"/>
                <w:spacing w:val="-6"/>
                <w:sz w:val="24"/>
                <w:szCs w:val="24"/>
                <w:shd w:val="clear" w:color="auto" w:fill="auto"/>
                <w:lang w:val="en-US" w:eastAsia="zh-CN"/>
              </w:rPr>
              <w:t>金坛市城市总体规划（2013-2030）</w:t>
            </w:r>
            <w:r>
              <w:rPr>
                <w:rFonts w:hint="default" w:ascii="Times New Roman" w:hAnsi="Times New Roman" w:eastAsia="宋体" w:cs="Times New Roman"/>
                <w:b/>
                <w:bCs/>
                <w:color w:val="auto"/>
                <w:sz w:val="24"/>
                <w:szCs w:val="24"/>
              </w:rPr>
              <w:t>》相符性分析</w:t>
            </w:r>
          </w:p>
          <w:p w14:paraId="4D07D822">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金坛市域土地总面积为976.7平方公里，其中农用地691.88平方公里，占土地总面积的70.84%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水域面积约137.90平方公里，占土地总面积的14.12%。现状工业用地总面积1697.41公顷，占中心城区建设用地约42.71%，人均工业用地约69.14平方米。金坛市中心城区工业用地分布于中心城区东部、西部及北部，其中城西的金城工业园区用地布局较为分散，东部原经济开发区和北部工业较为集中。金城工业园区现状工业用地布局较为分散，以中小型企业为主，主要包括纺织、服装、建材、机械等产业门类。金坛原经济开发区包括良常路以北至拓荡河、金宜公路以东至河头的大片区域，整体尚在建设过程当中，规划工业用地布局较为集中，开发利用较为集约，初步形成包括纺织服装、盐化工、新能源、新材料等在内的优势产业</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在老城范围内尚有部分二类工业用地，有待调整</w:t>
            </w:r>
            <w:r>
              <w:rPr>
                <w:rFonts w:hint="eastAsia" w:ascii="Times New Roman" w:hAnsi="Times New Roman" w:eastAsia="宋体" w:cs="Times New Roman"/>
                <w:color w:val="auto"/>
                <w:sz w:val="24"/>
                <w:szCs w:val="24"/>
                <w:lang w:val="en-US" w:eastAsia="zh-CN"/>
              </w:rPr>
              <w:t>。</w:t>
            </w:r>
          </w:p>
          <w:p w14:paraId="71B570A1">
            <w:pPr>
              <w:pStyle w:val="101"/>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企业位于</w:t>
            </w:r>
            <w:r>
              <w:rPr>
                <w:rFonts w:hint="default" w:ascii="Times New Roman" w:hAnsi="Times New Roman" w:eastAsia="宋体" w:cs="Times New Roman"/>
                <w:color w:val="auto"/>
                <w:sz w:val="24"/>
                <w:szCs w:val="24"/>
              </w:rPr>
              <w:t>江苏省常州市金坛区晨风路188号，属于</w:t>
            </w:r>
            <w:r>
              <w:rPr>
                <w:rFonts w:hint="eastAsia" w:ascii="Times New Roman" w:hAnsi="Times New Roman" w:eastAsia="宋体" w:cs="Times New Roman"/>
                <w:color w:val="auto"/>
                <w:sz w:val="24"/>
                <w:szCs w:val="24"/>
                <w:lang w:val="en-US" w:eastAsia="zh-CN"/>
              </w:rPr>
              <w:t>原金坛市（现常州市金坛区）城市</w:t>
            </w:r>
            <w:r>
              <w:rPr>
                <w:rFonts w:hint="default" w:ascii="Times New Roman" w:hAnsi="Times New Roman" w:eastAsia="宋体" w:cs="Times New Roman"/>
                <w:color w:val="auto"/>
                <w:sz w:val="24"/>
                <w:szCs w:val="24"/>
              </w:rPr>
              <w:t>规划范围内。</w:t>
            </w:r>
          </w:p>
          <w:p w14:paraId="3B68A6D2">
            <w:pPr>
              <w:pStyle w:val="101"/>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both"/>
              <w:textAlignment w:val="auto"/>
              <w:rPr>
                <w:rFonts w:hint="eastAsia" w:ascii="Times New Roman" w:hAnsi="Times New Roman" w:eastAsia="宋体" w:cs="Times New Roman"/>
                <w:b/>
                <w:bCs/>
                <w:color w:val="auto"/>
                <w:kern w:val="0"/>
                <w:sz w:val="24"/>
                <w:szCs w:val="24"/>
                <w:highlight w:val="none"/>
                <w:shd w:val="clear" w:color="auto" w:fill="auto"/>
                <w:lang w:val="en-US" w:eastAsia="zh-CN" w:bidi="ar-SA"/>
              </w:rPr>
            </w:pPr>
            <w:r>
              <w:rPr>
                <w:rFonts w:hint="eastAsia" w:ascii="Times New Roman" w:hAnsi="Times New Roman" w:eastAsia="宋体" w:cs="Times New Roman"/>
                <w:b/>
                <w:bCs/>
                <w:color w:val="auto"/>
                <w:kern w:val="0"/>
                <w:sz w:val="24"/>
                <w:szCs w:val="24"/>
                <w:highlight w:val="none"/>
                <w:shd w:val="clear" w:color="auto" w:fill="auto"/>
                <w:lang w:val="en-US" w:eastAsia="zh-CN" w:bidi="ar-SA"/>
              </w:rPr>
              <w:t>与国土空间规划及“三区三线”相符性分析</w:t>
            </w:r>
          </w:p>
          <w:p w14:paraId="2AD35BFF">
            <w:pPr>
              <w:adjustRightInd w:val="0"/>
              <w:snapToGrid w:val="0"/>
              <w:spacing w:line="500" w:lineRule="exact"/>
              <w:ind w:firstLine="480"/>
              <w:rPr>
                <w:rFonts w:hint="eastAsia"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bidi="ar-SA"/>
              </w:rPr>
              <w:t>根据《自然资源部关于在全国开展“三区三线”划定工作的函》（自然资函[2022]47号）、《江苏省国土空间规划（</w:t>
            </w:r>
            <w:r>
              <w:rPr>
                <w:rFonts w:hint="eastAsia" w:ascii="Times New Roman" w:hAnsi="Times New Roman" w:eastAsia="宋体" w:cs="Times New Roman"/>
                <w:color w:val="auto"/>
                <w:kern w:val="0"/>
                <w:sz w:val="24"/>
                <w:szCs w:val="24"/>
                <w:highlight w:val="none"/>
                <w:shd w:val="clear" w:color="auto" w:fill="auto"/>
                <w:lang w:val="en-US" w:eastAsia="zh-CN"/>
              </w:rPr>
              <w:t>2021-2035年）》的批复国函〔2025〕9号，文件提出创建全国生态文明试验区，以底线约束和安全韧性为前提，优先保障生态、农业、安全等保护性空间。按照耕地和永久基本农田、生态保护红线、城镇开发边界的优先序，统筹划定“三区三线”：到2035年，江苏省耕地保有量不低于5977万亩，其中永久基本农田保护面积不低于5344万亩；生态保护红线不低于1.82万平方千米，其中海洋生态保护红线不低于0.95万平方千米；城镇开发边界扩展倍数控制在基于2020年城镇建设用地规模的1.3倍以内。加强自然资源整体保护与高效利用，统筹安排防灾减灾救灾和重大突发公共事件的应急空间，为保障粮食安全、生态安全、能源安全提供了基础保障。</w:t>
            </w:r>
          </w:p>
          <w:p w14:paraId="4EFAA792">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根据</w:t>
            </w:r>
            <w:r>
              <w:rPr>
                <w:rFonts w:hint="default" w:ascii="Times New Roman" w:hAnsi="Times New Roman" w:eastAsia="宋体" w:cs="Times New Roman"/>
                <w:color w:val="auto"/>
                <w:kern w:val="0"/>
                <w:sz w:val="24"/>
                <w:szCs w:val="24"/>
                <w:highlight w:val="none"/>
                <w:shd w:val="clear" w:color="auto" w:fill="auto"/>
                <w:lang w:val="en-US" w:eastAsia="zh-CN"/>
              </w:rPr>
              <w:t>《常州市国土空间总体规划（2021—2035年）》</w:t>
            </w:r>
            <w:r>
              <w:rPr>
                <w:rFonts w:hint="eastAsia" w:ascii="Times New Roman" w:hAnsi="Times New Roman" w:eastAsia="宋体" w:cs="Times New Roman"/>
                <w:color w:val="auto"/>
                <w:kern w:val="0"/>
                <w:sz w:val="24"/>
                <w:szCs w:val="24"/>
                <w:highlight w:val="none"/>
                <w:shd w:val="clear" w:color="auto" w:fill="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《常州市</w:t>
            </w:r>
            <w:r>
              <w:rPr>
                <w:rFonts w:hint="eastAsia" w:ascii="Times New Roman" w:hAnsi="Times New Roman" w:eastAsia="宋体" w:cs="Times New Roman"/>
                <w:color w:val="auto"/>
                <w:kern w:val="0"/>
                <w:sz w:val="24"/>
                <w:szCs w:val="24"/>
                <w:highlight w:val="none"/>
                <w:shd w:val="clear" w:color="auto" w:fill="auto"/>
                <w:lang w:val="en-US" w:eastAsia="zh-CN"/>
              </w:rPr>
              <w:t>金坛区</w:t>
            </w:r>
            <w:r>
              <w:rPr>
                <w:rFonts w:hint="default" w:ascii="Times New Roman" w:hAnsi="Times New Roman" w:eastAsia="宋体" w:cs="Times New Roman"/>
                <w:color w:val="auto"/>
                <w:kern w:val="0"/>
                <w:sz w:val="24"/>
                <w:szCs w:val="24"/>
                <w:highlight w:val="none"/>
                <w:shd w:val="clear" w:color="auto" w:fill="auto"/>
                <w:lang w:val="en-US" w:eastAsia="zh-CN"/>
              </w:rPr>
              <w:t>国土空间总体规划（2021—2035年）》。金坛区“三区三线”划定成果已正式启用，共划定耕地保护目标图斑31.3788万亩，永久基本农田28.264万亩，生态保护红线98.67平方公里，城镇开发边界115.67平方公里。</w:t>
            </w:r>
          </w:p>
          <w:p w14:paraId="4AE83DEC">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 xml:space="preserve">本项目不占用耕地和永久基本农田，位于城镇开发边界内，不涉及生态保护红线，因此本项目满足国土空间规划及“三区三线”要求。 </w:t>
            </w:r>
          </w:p>
          <w:p w14:paraId="0E8E4D03">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szCs w:val="24"/>
                <w:highlight w:val="none"/>
                <w:shd w:val="clear" w:color="auto" w:fill="auto"/>
              </w:rPr>
            </w:pPr>
          </w:p>
        </w:tc>
      </w:tr>
    </w:tbl>
    <w:p w14:paraId="4C17696E">
      <w:pPr>
        <w:rPr>
          <w:rFonts w:hint="default" w:ascii="Times New Roman" w:hAnsi="Times New Roman" w:eastAsia="宋体" w:cs="Times New Roman"/>
          <w:color w:val="auto"/>
          <w:highlight w:val="none"/>
          <w:shd w:val="clear" w:color="auto" w:fill="auto"/>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8623"/>
      </w:tblGrid>
      <w:tr w14:paraId="714A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9" w:hRule="atLeast"/>
        </w:trPr>
        <w:tc>
          <w:tcPr>
            <w:tcW w:w="357" w:type="pct"/>
            <w:vAlign w:val="center"/>
          </w:tcPr>
          <w:p w14:paraId="7C9E5F61">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其他相符性分析</w:t>
            </w:r>
          </w:p>
        </w:tc>
        <w:tc>
          <w:tcPr>
            <w:tcW w:w="4642" w:type="pct"/>
            <w:vAlign w:val="center"/>
          </w:tcPr>
          <w:p w14:paraId="669209B6">
            <w:pPr>
              <w:adjustRightInd w:val="0"/>
              <w:snapToGrid w:val="0"/>
              <w:spacing w:line="500" w:lineRule="exact"/>
              <w:ind w:firstLine="482"/>
              <w:rPr>
                <w:rFonts w:hint="default" w:ascii="Times New Roman" w:hAnsi="Times New Roman" w:eastAsia="宋体" w:cs="Times New Roman"/>
                <w:b/>
                <w:bCs/>
                <w:color w:val="auto"/>
                <w:kern w:val="0"/>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rPr>
              <w:t>1、产业政策相符性分析</w:t>
            </w:r>
          </w:p>
          <w:p w14:paraId="038C3B26">
            <w:pPr>
              <w:adjustRightInd w:val="0"/>
              <w:snapToGrid w:val="0"/>
              <w:spacing w:line="500" w:lineRule="exact"/>
              <w:ind w:firstLine="480"/>
              <w:rPr>
                <w:rFonts w:hint="eastAsia"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rPr>
              <w:t>本项目属于</w:t>
            </w:r>
            <w:r>
              <w:rPr>
                <w:rFonts w:hint="eastAsia" w:ascii="Times New Roman" w:hAnsi="Times New Roman" w:eastAsia="宋体" w:cs="Times New Roman"/>
                <w:color w:val="auto"/>
                <w:sz w:val="24"/>
                <w:highlight w:val="none"/>
                <w:shd w:val="clear" w:color="auto" w:fill="auto"/>
                <w:lang w:eastAsia="zh-CN"/>
              </w:rPr>
              <w:t>C2923 塑料丝、绳及编织品制造</w:t>
            </w:r>
            <w:r>
              <w:rPr>
                <w:rFonts w:hint="default" w:ascii="Times New Roman" w:hAnsi="Times New Roman" w:eastAsia="宋体" w:cs="Times New Roman"/>
                <w:color w:val="auto"/>
                <w:kern w:val="0"/>
                <w:sz w:val="24"/>
                <w:szCs w:val="24"/>
                <w:highlight w:val="none"/>
                <w:shd w:val="clear" w:color="auto" w:fill="auto"/>
              </w:rPr>
              <w:t>，主要生产</w:t>
            </w:r>
            <w:r>
              <w:rPr>
                <w:rFonts w:hint="eastAsia" w:ascii="Times New Roman" w:hAnsi="Times New Roman" w:eastAsia="宋体" w:cs="Times New Roman"/>
                <w:color w:val="auto"/>
                <w:kern w:val="0"/>
                <w:sz w:val="24"/>
                <w:szCs w:val="24"/>
                <w:highlight w:val="none"/>
                <w:shd w:val="clear" w:color="auto" w:fill="auto"/>
                <w:lang w:val="en-US" w:eastAsia="zh-CN"/>
              </w:rPr>
              <w:t>环保塑料袋（厚度大于0.025毫米）</w:t>
            </w:r>
            <w:r>
              <w:rPr>
                <w:rFonts w:hint="default" w:ascii="Times New Roman" w:hAnsi="Times New Roman" w:eastAsia="宋体" w:cs="Times New Roman"/>
                <w:color w:val="auto"/>
                <w:kern w:val="0"/>
                <w:sz w:val="24"/>
                <w:szCs w:val="24"/>
                <w:highlight w:val="none"/>
                <w:shd w:val="clear" w:color="auto" w:fill="auto"/>
              </w:rPr>
              <w:t>，对照《产业结构调整指导目录（2024年本）》</w:t>
            </w:r>
            <w:r>
              <w:rPr>
                <w:rFonts w:hint="eastAsia" w:ascii="Times New Roman" w:hAnsi="Times New Roman" w:eastAsia="宋体" w:cs="Times New Roman"/>
                <w:color w:val="auto"/>
                <w:kern w:val="0"/>
                <w:sz w:val="24"/>
                <w:szCs w:val="24"/>
                <w:highlight w:val="none"/>
                <w:shd w:val="clear" w:color="auto" w:fill="auto"/>
                <w:lang w:val="en-US" w:eastAsia="zh-CN"/>
              </w:rPr>
              <w:t>相关要求</w:t>
            </w:r>
            <w:r>
              <w:rPr>
                <w:rFonts w:hint="default" w:ascii="Times New Roman" w:hAnsi="Times New Roman" w:eastAsia="宋体" w:cs="Times New Roman"/>
                <w:color w:val="auto"/>
                <w:kern w:val="0"/>
                <w:sz w:val="24"/>
                <w:szCs w:val="24"/>
                <w:highlight w:val="none"/>
                <w:shd w:val="clear" w:color="auto" w:fill="auto"/>
              </w:rPr>
              <w:t>，本项目不属于鼓励类、限制类、淘汰类项目</w:t>
            </w:r>
            <w:r>
              <w:rPr>
                <w:rFonts w:hint="eastAsia"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对照</w:t>
            </w:r>
            <w:r>
              <w:rPr>
                <w:rFonts w:hint="eastAsia" w:ascii="Times New Roman" w:hAnsi="Times New Roman" w:eastAsia="宋体" w:cs="Times New Roman"/>
                <w:color w:val="auto"/>
                <w:kern w:val="0"/>
                <w:sz w:val="24"/>
                <w:szCs w:val="24"/>
                <w:highlight w:val="none"/>
                <w:shd w:val="clear" w:color="auto" w:fill="auto"/>
              </w:rPr>
              <w:t>《江苏省太湖流域禁止和限制的产业产品目录》（苏发改规发[2024]3号）相关要求</w:t>
            </w:r>
            <w:r>
              <w:rPr>
                <w:rFonts w:hint="default" w:ascii="Times New Roman" w:hAnsi="Times New Roman" w:eastAsia="宋体" w:cs="Times New Roman"/>
                <w:color w:val="auto"/>
                <w:kern w:val="0"/>
                <w:sz w:val="24"/>
                <w:szCs w:val="24"/>
                <w:highlight w:val="none"/>
                <w:shd w:val="clear" w:color="auto" w:fill="auto"/>
              </w:rPr>
              <w:t>，本项目不属于限制类、淘汰类</w:t>
            </w:r>
            <w:r>
              <w:rPr>
                <w:rFonts w:hint="eastAsia"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禁止类</w:t>
            </w:r>
            <w:r>
              <w:rPr>
                <w:rFonts w:hint="default" w:ascii="Times New Roman" w:hAnsi="Times New Roman" w:eastAsia="宋体" w:cs="Times New Roman"/>
                <w:color w:val="auto"/>
                <w:kern w:val="0"/>
                <w:sz w:val="24"/>
                <w:szCs w:val="24"/>
                <w:highlight w:val="none"/>
                <w:shd w:val="clear" w:color="auto" w:fill="auto"/>
              </w:rPr>
              <w:t>项目</w:t>
            </w:r>
            <w:r>
              <w:rPr>
                <w:rFonts w:hint="eastAsia"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对照</w:t>
            </w:r>
            <w:r>
              <w:rPr>
                <w:rFonts w:hint="default" w:ascii="Times New Roman" w:hAnsi="Times New Roman" w:eastAsia="宋体" w:cs="Times New Roman"/>
                <w:color w:val="auto"/>
                <w:kern w:val="0"/>
                <w:sz w:val="24"/>
                <w:szCs w:val="24"/>
                <w:highlight w:val="none"/>
                <w:shd w:val="clear" w:color="auto" w:fill="auto"/>
              </w:rPr>
              <w:t>《江苏省产业结构调整限制、淘汰和禁止目录（2018年本）》</w:t>
            </w:r>
            <w:r>
              <w:rPr>
                <w:rFonts w:hint="eastAsia" w:ascii="Times New Roman" w:hAnsi="Times New Roman" w:eastAsia="宋体" w:cs="Times New Roman"/>
                <w:color w:val="auto"/>
                <w:kern w:val="0"/>
                <w:sz w:val="24"/>
                <w:szCs w:val="24"/>
                <w:highlight w:val="none"/>
                <w:shd w:val="clear" w:color="auto" w:fill="auto"/>
                <w:lang w:val="en-US" w:eastAsia="zh-CN"/>
              </w:rPr>
              <w:t>相关要求，</w:t>
            </w:r>
            <w:r>
              <w:rPr>
                <w:rFonts w:hint="default" w:ascii="Times New Roman" w:hAnsi="Times New Roman" w:eastAsia="宋体" w:cs="Times New Roman"/>
                <w:color w:val="auto"/>
                <w:kern w:val="0"/>
                <w:sz w:val="24"/>
                <w:szCs w:val="24"/>
                <w:highlight w:val="none"/>
                <w:shd w:val="clear" w:color="auto" w:fill="auto"/>
              </w:rPr>
              <w:t>本项目不属于限制类、淘汰类</w:t>
            </w:r>
            <w:r>
              <w:rPr>
                <w:rFonts w:hint="eastAsia"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禁止类</w:t>
            </w:r>
            <w:r>
              <w:rPr>
                <w:rFonts w:hint="default" w:ascii="Times New Roman" w:hAnsi="Times New Roman" w:eastAsia="宋体" w:cs="Times New Roman"/>
                <w:color w:val="auto"/>
                <w:kern w:val="0"/>
                <w:sz w:val="24"/>
                <w:szCs w:val="24"/>
                <w:highlight w:val="none"/>
                <w:shd w:val="clear" w:color="auto" w:fill="auto"/>
              </w:rPr>
              <w:t>项目</w:t>
            </w:r>
            <w:r>
              <w:rPr>
                <w:rFonts w:hint="eastAsia"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对照</w:t>
            </w:r>
            <w:r>
              <w:rPr>
                <w:rFonts w:hint="default" w:ascii="Times New Roman" w:hAnsi="Times New Roman" w:eastAsia="宋体" w:cs="Times New Roman"/>
                <w:color w:val="auto"/>
                <w:kern w:val="0"/>
                <w:sz w:val="24"/>
                <w:szCs w:val="24"/>
                <w:highlight w:val="none"/>
                <w:shd w:val="clear" w:color="auto" w:fill="auto"/>
              </w:rPr>
              <w:t>《长江经济带发展负面清单指南（试行，2022年版）》</w:t>
            </w:r>
            <w:r>
              <w:rPr>
                <w:rFonts w:hint="eastAsia" w:ascii="Times New Roman" w:hAnsi="Times New Roman" w:eastAsia="宋体" w:cs="Times New Roman"/>
                <w:color w:val="auto"/>
                <w:kern w:val="0"/>
                <w:sz w:val="24"/>
                <w:szCs w:val="24"/>
                <w:highlight w:val="none"/>
                <w:shd w:val="clear" w:color="auto" w:fill="auto"/>
                <w:lang w:val="en-US" w:eastAsia="zh-CN"/>
              </w:rPr>
              <w:t>相关要求，本</w:t>
            </w:r>
            <w:r>
              <w:rPr>
                <w:rFonts w:hint="default" w:ascii="Times New Roman" w:hAnsi="Times New Roman" w:eastAsia="宋体" w:cs="Times New Roman"/>
                <w:color w:val="auto"/>
                <w:kern w:val="0"/>
                <w:sz w:val="24"/>
                <w:szCs w:val="24"/>
                <w:highlight w:val="none"/>
                <w:shd w:val="clear" w:color="auto" w:fill="auto"/>
              </w:rPr>
              <w:t>项目生产内容不属于负面清单中的项目</w:t>
            </w:r>
            <w:r>
              <w:rPr>
                <w:rFonts w:hint="eastAsia"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rPr>
              <w:t>对照《市场准入负面清单（202</w:t>
            </w: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rPr>
              <w:t>年版）》，</w:t>
            </w:r>
            <w:r>
              <w:rPr>
                <w:rFonts w:hint="eastAsia" w:ascii="Times New Roman" w:hAnsi="Times New Roman" w:eastAsia="宋体" w:cs="Times New Roman"/>
                <w:color w:val="auto"/>
                <w:kern w:val="0"/>
                <w:sz w:val="24"/>
                <w:szCs w:val="24"/>
                <w:highlight w:val="none"/>
                <w:shd w:val="clear" w:color="auto" w:fill="auto"/>
                <w:lang w:val="en-US" w:eastAsia="zh-CN"/>
              </w:rPr>
              <w:t>本</w:t>
            </w:r>
            <w:r>
              <w:rPr>
                <w:rFonts w:hint="default" w:ascii="Times New Roman" w:hAnsi="Times New Roman" w:eastAsia="宋体" w:cs="Times New Roman"/>
                <w:color w:val="auto"/>
                <w:kern w:val="0"/>
                <w:sz w:val="24"/>
                <w:szCs w:val="24"/>
                <w:highlight w:val="none"/>
                <w:shd w:val="clear" w:color="auto" w:fill="auto"/>
              </w:rPr>
              <w:t>项目生产内容不属于负面清单中的项目</w:t>
            </w:r>
            <w:r>
              <w:rPr>
                <w:rFonts w:hint="eastAsia" w:ascii="Times New Roman" w:hAnsi="Times New Roman" w:eastAsia="宋体" w:cs="Times New Roman"/>
                <w:color w:val="auto"/>
                <w:kern w:val="0"/>
                <w:sz w:val="24"/>
                <w:szCs w:val="24"/>
                <w:highlight w:val="none"/>
                <w:shd w:val="clear" w:color="auto" w:fill="auto"/>
                <w:lang w:eastAsia="zh-CN"/>
              </w:rPr>
              <w:t>。</w:t>
            </w:r>
          </w:p>
          <w:p w14:paraId="4FCBD8B1">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本项目已经取得</w:t>
            </w:r>
            <w:r>
              <w:rPr>
                <w:rFonts w:hint="eastAsia" w:ascii="Times New Roman" w:hAnsi="Times New Roman" w:eastAsia="宋体" w:cs="Times New Roman"/>
                <w:color w:val="auto"/>
                <w:kern w:val="0"/>
                <w:sz w:val="24"/>
                <w:szCs w:val="24"/>
                <w:highlight w:val="none"/>
                <w:shd w:val="clear" w:color="auto" w:fill="auto"/>
                <w:lang w:val="en-US" w:eastAsia="zh-CN"/>
              </w:rPr>
              <w:t>江苏金坛经济开发区经济发展局</w:t>
            </w:r>
            <w:r>
              <w:rPr>
                <w:rFonts w:hint="default" w:ascii="Times New Roman" w:hAnsi="Times New Roman" w:eastAsia="宋体" w:cs="Times New Roman"/>
                <w:color w:val="auto"/>
                <w:kern w:val="0"/>
                <w:sz w:val="24"/>
                <w:szCs w:val="24"/>
                <w:highlight w:val="none"/>
                <w:shd w:val="clear" w:color="auto" w:fill="auto"/>
              </w:rPr>
              <w:t>审批，备案证号</w:t>
            </w:r>
            <w:r>
              <w:rPr>
                <w:rFonts w:hint="default"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eastAsia="zh-CN"/>
              </w:rPr>
              <w:t>坛开经发备字〔2025〕227号</w:t>
            </w:r>
            <w:r>
              <w:rPr>
                <w:rFonts w:hint="default" w:ascii="Times New Roman" w:hAnsi="Times New Roman" w:eastAsia="宋体" w:cs="Times New Roman"/>
                <w:color w:val="auto"/>
                <w:kern w:val="0"/>
                <w:sz w:val="24"/>
                <w:szCs w:val="24"/>
                <w:highlight w:val="none"/>
                <w:shd w:val="clear" w:color="auto" w:fill="auto"/>
              </w:rPr>
              <w:t>，项目代码：</w:t>
            </w:r>
            <w:r>
              <w:rPr>
                <w:rFonts w:hint="eastAsia" w:ascii="Times New Roman" w:hAnsi="Times New Roman" w:eastAsia="宋体" w:cs="Times New Roman"/>
                <w:color w:val="auto"/>
                <w:sz w:val="24"/>
                <w:highlight w:val="none"/>
                <w:shd w:val="clear" w:color="auto" w:fill="auto"/>
                <w:lang w:eastAsia="zh-CN"/>
              </w:rPr>
              <w:t>2507-320458-89-01-302443</w:t>
            </w:r>
            <w:r>
              <w:rPr>
                <w:rFonts w:hint="default" w:ascii="Times New Roman" w:hAnsi="Times New Roman" w:eastAsia="宋体" w:cs="Times New Roman"/>
                <w:color w:val="auto"/>
                <w:kern w:val="0"/>
                <w:sz w:val="24"/>
                <w:szCs w:val="24"/>
                <w:highlight w:val="none"/>
                <w:shd w:val="clear" w:color="auto" w:fill="auto"/>
              </w:rPr>
              <w:t>。因此项目的建设符合国家及地方的产业政策。</w:t>
            </w:r>
          </w:p>
          <w:p w14:paraId="65DCA5B2">
            <w:pPr>
              <w:adjustRightInd w:val="0"/>
              <w:snapToGrid w:val="0"/>
              <w:spacing w:line="500" w:lineRule="exact"/>
              <w:ind w:firstLine="482"/>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rPr>
              <w:t>2、用地性质相符性分析</w:t>
            </w:r>
          </w:p>
          <w:p w14:paraId="32013B47">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（1）本项目距《江苏省生态空间管控区域规划》（苏政发〔2020〕1号）</w:t>
            </w:r>
            <w:r>
              <w:rPr>
                <w:rFonts w:hint="eastAsia" w:ascii="Times New Roman" w:hAnsi="Times New Roman" w:eastAsia="宋体" w:cs="Times New Roman"/>
                <w:color w:val="auto"/>
                <w:kern w:val="0"/>
                <w:sz w:val="24"/>
                <w:szCs w:val="24"/>
                <w:highlight w:val="none"/>
                <w:shd w:val="clear" w:color="auto" w:fill="auto"/>
                <w:lang w:val="en-US" w:eastAsia="zh-CN"/>
              </w:rPr>
              <w:t>及</w:t>
            </w:r>
            <w:r>
              <w:rPr>
                <w:rFonts w:hint="default" w:ascii="Times New Roman" w:hAnsi="Times New Roman" w:eastAsia="宋体" w:cs="Times New Roman"/>
                <w:color w:val="auto"/>
                <w:kern w:val="0"/>
                <w:sz w:val="24"/>
                <w:szCs w:val="24"/>
                <w:highlight w:val="none"/>
                <w:shd w:val="clear" w:color="auto" w:fill="auto"/>
              </w:rPr>
              <w:t>《江苏省国家级生态保护红线规划》（苏政发〔2018〕74号）中生态空间管控区域范围—钱资荡重要湿地约</w:t>
            </w: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lang w:val="en-US" w:eastAsia="zh-CN"/>
              </w:rPr>
              <w:t>.2</w:t>
            </w:r>
            <w:r>
              <w:rPr>
                <w:rFonts w:hint="default" w:ascii="Times New Roman" w:hAnsi="Times New Roman" w:eastAsia="宋体" w:cs="Times New Roman"/>
                <w:color w:val="auto"/>
                <w:kern w:val="0"/>
                <w:sz w:val="24"/>
                <w:szCs w:val="24"/>
                <w:highlight w:val="none"/>
                <w:shd w:val="clear" w:color="auto" w:fill="auto"/>
              </w:rPr>
              <w:t>km，江苏金坛长荡湖国家湿地公</w:t>
            </w:r>
            <w:r>
              <w:rPr>
                <w:rFonts w:hint="eastAsia" w:ascii="Times New Roman" w:hAnsi="Times New Roman" w:eastAsia="宋体" w:cs="Times New Roman"/>
                <w:color w:val="auto"/>
                <w:kern w:val="0"/>
                <w:sz w:val="24"/>
                <w:szCs w:val="24"/>
                <w:highlight w:val="none"/>
                <w:shd w:val="clear" w:color="auto" w:fill="auto"/>
                <w:lang w:val="en-US" w:eastAsia="zh-CN"/>
              </w:rPr>
              <w:t>园约9.5km，</w:t>
            </w:r>
            <w:r>
              <w:rPr>
                <w:rFonts w:hint="default" w:ascii="Times New Roman" w:hAnsi="Times New Roman" w:eastAsia="宋体" w:cs="Times New Roman"/>
                <w:color w:val="auto"/>
                <w:kern w:val="0"/>
                <w:sz w:val="24"/>
                <w:szCs w:val="24"/>
                <w:highlight w:val="none"/>
                <w:shd w:val="clear" w:color="auto" w:fill="auto"/>
              </w:rPr>
              <w:t>丹金溧漕河(金坛区)洪水调蓄区约</w:t>
            </w:r>
            <w:r>
              <w:rPr>
                <w:rFonts w:hint="eastAsia" w:ascii="Times New Roman" w:hAnsi="Times New Roman" w:eastAsia="宋体" w:cs="Times New Roman"/>
                <w:color w:val="auto"/>
                <w:kern w:val="0"/>
                <w:sz w:val="24"/>
                <w:szCs w:val="24"/>
                <w:highlight w:val="none"/>
                <w:shd w:val="clear" w:color="auto" w:fill="auto"/>
                <w:lang w:val="en-US" w:eastAsia="zh-CN"/>
              </w:rPr>
              <w:t>4.</w:t>
            </w:r>
            <w:r>
              <w:rPr>
                <w:rFonts w:hint="default" w:ascii="Times New Roman" w:hAnsi="Times New Roman" w:eastAsia="宋体" w:cs="Times New Roman"/>
                <w:color w:val="auto"/>
                <w:kern w:val="0"/>
                <w:sz w:val="24"/>
                <w:szCs w:val="24"/>
                <w:highlight w:val="none"/>
                <w:shd w:val="clear" w:color="auto" w:fill="auto"/>
                <w:lang w:val="en-US" w:eastAsia="zh-CN"/>
              </w:rPr>
              <w:t>2</w:t>
            </w:r>
            <w:r>
              <w:rPr>
                <w:rFonts w:hint="default" w:ascii="Times New Roman" w:hAnsi="Times New Roman" w:eastAsia="宋体" w:cs="Times New Roman"/>
                <w:color w:val="auto"/>
                <w:kern w:val="0"/>
                <w:sz w:val="24"/>
                <w:szCs w:val="24"/>
                <w:highlight w:val="none"/>
                <w:shd w:val="clear" w:color="auto" w:fill="auto"/>
              </w:rPr>
              <w:t>km，天荒湖重要渔业水域约</w:t>
            </w:r>
            <w:r>
              <w:rPr>
                <w:rFonts w:hint="eastAsia" w:ascii="Times New Roman" w:hAnsi="Times New Roman" w:eastAsia="宋体" w:cs="Times New Roman"/>
                <w:color w:val="auto"/>
                <w:kern w:val="0"/>
                <w:sz w:val="24"/>
                <w:szCs w:val="24"/>
                <w:highlight w:val="none"/>
                <w:shd w:val="clear" w:color="auto" w:fill="auto"/>
                <w:lang w:val="en-US" w:eastAsia="zh-CN"/>
              </w:rPr>
              <w:t>7.1</w:t>
            </w:r>
            <w:r>
              <w:rPr>
                <w:rFonts w:hint="default" w:ascii="Times New Roman" w:hAnsi="Times New Roman" w:eastAsia="宋体" w:cs="Times New Roman"/>
                <w:color w:val="auto"/>
                <w:kern w:val="0"/>
                <w:sz w:val="24"/>
                <w:szCs w:val="24"/>
                <w:highlight w:val="none"/>
                <w:shd w:val="clear" w:color="auto" w:fill="auto"/>
              </w:rPr>
              <w:t>km，项目不在生态空间管控区域范围内，且不属于湿地生态系统保护禁止活动内容。因此，该用地性质符合要求。由此可见，本项目选址与江苏省生态红线区域保护规划相符。</w:t>
            </w:r>
          </w:p>
          <w:p w14:paraId="7AEDBDF3">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w:t>
            </w:r>
            <w:r>
              <w:rPr>
                <w:rFonts w:hint="default" w:ascii="Times New Roman" w:hAnsi="Times New Roman" w:eastAsia="宋体" w:cs="Times New Roman"/>
                <w:color w:val="auto"/>
                <w:kern w:val="0"/>
                <w:sz w:val="24"/>
                <w:szCs w:val="24"/>
                <w:highlight w:val="none"/>
                <w:shd w:val="clear" w:color="auto" w:fill="auto"/>
                <w:lang w:val="en-US" w:eastAsia="zh-CN"/>
              </w:rPr>
              <w:t>2</w:t>
            </w:r>
            <w:r>
              <w:rPr>
                <w:rFonts w:hint="default" w:ascii="Times New Roman" w:hAnsi="Times New Roman" w:eastAsia="宋体" w:cs="Times New Roman"/>
                <w:color w:val="auto"/>
                <w:kern w:val="0"/>
                <w:sz w:val="24"/>
                <w:szCs w:val="24"/>
                <w:highlight w:val="none"/>
                <w:shd w:val="clear" w:color="auto" w:fill="auto"/>
              </w:rPr>
              <w:t>）本项目</w:t>
            </w:r>
            <w:r>
              <w:rPr>
                <w:rFonts w:hint="eastAsia" w:ascii="Times New Roman" w:hAnsi="Times New Roman" w:eastAsia="宋体" w:cs="Times New Roman"/>
                <w:color w:val="auto"/>
                <w:kern w:val="0"/>
                <w:sz w:val="24"/>
                <w:szCs w:val="24"/>
                <w:highlight w:val="none"/>
                <w:shd w:val="clear" w:color="auto" w:fill="auto"/>
                <w:lang w:val="en-US" w:eastAsia="zh-CN"/>
              </w:rPr>
              <w:t>所在地</w:t>
            </w:r>
            <w:r>
              <w:rPr>
                <w:rFonts w:hint="default" w:ascii="Times New Roman" w:hAnsi="Times New Roman" w:eastAsia="宋体" w:cs="Times New Roman"/>
                <w:color w:val="auto"/>
                <w:kern w:val="0"/>
                <w:sz w:val="24"/>
                <w:szCs w:val="24"/>
                <w:highlight w:val="none"/>
                <w:shd w:val="clear" w:color="auto" w:fill="auto"/>
              </w:rPr>
              <w:t>已取得不动产权证（苏（202</w:t>
            </w: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rPr>
              <w:t>）金坛区不动产权第</w:t>
            </w:r>
            <w:r>
              <w:rPr>
                <w:rFonts w:hint="default" w:ascii="Times New Roman" w:hAnsi="Times New Roman" w:eastAsia="宋体" w:cs="Times New Roman"/>
                <w:color w:val="auto"/>
                <w:kern w:val="0"/>
                <w:sz w:val="24"/>
                <w:szCs w:val="24"/>
                <w:highlight w:val="none"/>
                <w:shd w:val="clear" w:color="auto" w:fill="auto"/>
                <w:lang w:eastAsia="zh-CN"/>
              </w:rPr>
              <w:t>00</w:t>
            </w:r>
            <w:r>
              <w:rPr>
                <w:rFonts w:hint="eastAsia" w:ascii="Times New Roman" w:hAnsi="Times New Roman" w:eastAsia="宋体" w:cs="Times New Roman"/>
                <w:color w:val="auto"/>
                <w:kern w:val="0"/>
                <w:sz w:val="24"/>
                <w:szCs w:val="24"/>
                <w:highlight w:val="none"/>
                <w:shd w:val="clear" w:color="auto" w:fill="auto"/>
                <w:lang w:val="en-US" w:eastAsia="zh-CN"/>
              </w:rPr>
              <w:t>27855</w:t>
            </w:r>
            <w:r>
              <w:rPr>
                <w:rFonts w:hint="default" w:ascii="Times New Roman" w:hAnsi="Times New Roman" w:eastAsia="宋体" w:cs="Times New Roman"/>
                <w:color w:val="auto"/>
                <w:kern w:val="0"/>
                <w:sz w:val="24"/>
                <w:szCs w:val="24"/>
                <w:highlight w:val="none"/>
                <w:shd w:val="clear" w:color="auto" w:fill="auto"/>
              </w:rPr>
              <w:t>号），项目所在地为</w:t>
            </w:r>
            <w:r>
              <w:rPr>
                <w:rFonts w:hint="eastAsia"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rPr>
              <w:t>工业用地</w:t>
            </w:r>
            <w:r>
              <w:rPr>
                <w:rFonts w:hint="eastAsia"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rPr>
              <w:t>，本项目从事工业生产，因此，用地性质符合要求。</w:t>
            </w:r>
          </w:p>
          <w:p w14:paraId="5B68C4BA">
            <w:pPr>
              <w:adjustRightInd w:val="0"/>
              <w:snapToGrid w:val="0"/>
              <w:spacing w:line="500" w:lineRule="exact"/>
              <w:ind w:firstLine="480"/>
              <w:rPr>
                <w:rFonts w:hint="eastAsia"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rPr>
              <w:t>（</w:t>
            </w:r>
            <w:r>
              <w:rPr>
                <w:rFonts w:hint="default" w:ascii="Times New Roman" w:hAnsi="Times New Roman" w:eastAsia="宋体" w:cs="Times New Roman"/>
                <w:color w:val="auto"/>
                <w:kern w:val="0"/>
                <w:sz w:val="24"/>
                <w:szCs w:val="24"/>
                <w:highlight w:val="none"/>
                <w:shd w:val="clear" w:color="auto" w:fill="auto"/>
                <w:lang w:val="en-US" w:eastAsia="zh-CN"/>
              </w:rPr>
              <w:t>3</w:t>
            </w:r>
            <w:r>
              <w:rPr>
                <w:rFonts w:hint="default" w:ascii="Times New Roman" w:hAnsi="Times New Roman" w:eastAsia="宋体" w:cs="Times New Roman"/>
                <w:color w:val="auto"/>
                <w:kern w:val="0"/>
                <w:sz w:val="24"/>
                <w:szCs w:val="24"/>
                <w:highlight w:val="none"/>
                <w:shd w:val="clear" w:color="auto" w:fill="auto"/>
              </w:rPr>
              <w:t>）</w:t>
            </w:r>
            <w:r>
              <w:rPr>
                <w:rFonts w:hint="eastAsia" w:ascii="Times New Roman" w:hAnsi="Times New Roman" w:eastAsia="宋体" w:cs="Times New Roman"/>
                <w:color w:val="auto"/>
                <w:kern w:val="0"/>
                <w:sz w:val="24"/>
                <w:szCs w:val="24"/>
                <w:highlight w:val="none"/>
                <w:shd w:val="clear" w:color="auto" w:fill="auto"/>
                <w:lang w:val="en-US" w:eastAsia="zh-CN"/>
              </w:rPr>
              <w:t>根据《江苏省生态环境保护条例（2024）》，新建排放重点污染物的工业项目原则上应当进入符合规划的园区。本项目为迁建项目，公司原址位于常州市金坛经济开发区东康路89号，租用常州安臣美合成材料有限公司厂房。由于厂房租约到期，现迁建至江苏省常州市金坛区晨风路188号，租赁江苏高高制衣有限公司现有空置的厂房车间四。拟投资2000万，利用现有厂房4500m</w:t>
            </w:r>
            <w:r>
              <w:rPr>
                <w:rFonts w:hint="eastAsia" w:ascii="Times New Roman" w:hAnsi="Times New Roman" w:eastAsia="宋体" w:cs="Times New Roman"/>
                <w:color w:val="auto"/>
                <w:kern w:val="0"/>
                <w:sz w:val="24"/>
                <w:szCs w:val="24"/>
                <w:highlight w:val="none"/>
                <w:shd w:val="clear" w:color="auto" w:fill="auto"/>
                <w:vertAlign w:val="superscript"/>
                <w:lang w:val="en-US" w:eastAsia="zh-CN"/>
              </w:rPr>
              <w:t>2</w:t>
            </w:r>
            <w:r>
              <w:rPr>
                <w:rFonts w:hint="eastAsia" w:ascii="Times New Roman" w:hAnsi="Times New Roman" w:eastAsia="宋体" w:cs="Times New Roman"/>
                <w:color w:val="auto"/>
                <w:kern w:val="0"/>
                <w:sz w:val="24"/>
                <w:szCs w:val="24"/>
                <w:highlight w:val="none"/>
                <w:shd w:val="clear" w:color="auto" w:fill="auto"/>
                <w:lang w:val="en-US" w:eastAsia="zh-CN"/>
              </w:rPr>
              <w:t>并进行适应性装修改造。</w:t>
            </w:r>
            <w:r>
              <w:rPr>
                <w:rFonts w:hint="eastAsia" w:ascii="Times New Roman" w:hAnsi="Times New Roman" w:eastAsia="宋体" w:cs="Times New Roman"/>
                <w:color w:val="auto"/>
                <w:sz w:val="24"/>
                <w:highlight w:val="none"/>
                <w:shd w:val="clear" w:color="auto" w:fill="auto"/>
                <w:lang w:val="en-US" w:eastAsia="zh-CN"/>
              </w:rPr>
              <w:t>搬迁后企业优化产品方案，淘汰原有部分落后的</w:t>
            </w:r>
            <w:r>
              <w:rPr>
                <w:rFonts w:hint="default" w:ascii="Times New Roman" w:hAnsi="Times New Roman" w:eastAsia="宋体" w:cs="Times New Roman"/>
                <w:color w:val="auto"/>
                <w:sz w:val="24"/>
                <w:highlight w:val="none"/>
                <w:shd w:val="clear" w:color="auto" w:fill="auto"/>
                <w:lang w:val="en-US" w:eastAsia="zh-CN"/>
              </w:rPr>
              <w:t>设备</w:t>
            </w:r>
            <w:r>
              <w:rPr>
                <w:rFonts w:hint="eastAsia" w:ascii="Times New Roman" w:hAnsi="Times New Roman" w:eastAsia="宋体" w:cs="Times New Roman"/>
                <w:color w:val="auto"/>
                <w:sz w:val="24"/>
                <w:highlight w:val="none"/>
                <w:shd w:val="clear" w:color="auto" w:fill="auto"/>
                <w:lang w:val="en-US" w:eastAsia="zh-CN"/>
              </w:rPr>
              <w:t>和生产工艺</w:t>
            </w:r>
            <w:r>
              <w:rPr>
                <w:rFonts w:hint="default"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val="en-US" w:eastAsia="zh-CN"/>
              </w:rPr>
              <w:t>引进更加先进的设备和技术，</w:t>
            </w:r>
            <w:r>
              <w:rPr>
                <w:rFonts w:hint="eastAsia" w:ascii="Times New Roman" w:hAnsi="Times New Roman" w:eastAsia="宋体" w:cs="Times New Roman"/>
                <w:color w:val="auto"/>
                <w:kern w:val="0"/>
                <w:sz w:val="24"/>
                <w:szCs w:val="24"/>
                <w:highlight w:val="none"/>
                <w:shd w:val="clear" w:color="auto" w:fill="auto"/>
                <w:lang w:val="en-US" w:eastAsia="zh-CN"/>
              </w:rPr>
              <w:t>建成后形成年产2000吨环保塑料袋（厚度大于0.025mm）的生产能力。因此，本项目符合要求。</w:t>
            </w:r>
          </w:p>
          <w:p w14:paraId="7FE1895F">
            <w:pPr>
              <w:adjustRightInd w:val="0"/>
              <w:snapToGrid w:val="0"/>
              <w:spacing w:line="500" w:lineRule="exact"/>
              <w:ind w:firstLine="480"/>
              <w:rPr>
                <w:rFonts w:hint="eastAsia"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同时，企业出具承诺书，作出如下承诺：</w:t>
            </w:r>
          </w:p>
          <w:p w14:paraId="7F1F4EE4">
            <w:pPr>
              <w:adjustRightInd w:val="0"/>
              <w:snapToGrid w:val="0"/>
              <w:spacing w:line="500" w:lineRule="exact"/>
              <w:ind w:firstLine="480"/>
              <w:rPr>
                <w:rFonts w:hint="eastAsia"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①不断尝试市场上最新环保型油墨原材料，测试其油墨与食品外包装产品的适应性，为油性油墨替代为环保型油墨做准备。若环保型油墨能够满足产品要求，我司将油性油墨普换成环保型油墨，降低环境管理风险。</w:t>
            </w:r>
          </w:p>
          <w:p w14:paraId="78B19E4B">
            <w:pPr>
              <w:adjustRightInd w:val="0"/>
              <w:snapToGrid w:val="0"/>
              <w:spacing w:line="500" w:lineRule="exact"/>
              <w:ind w:firstLine="480"/>
              <w:rPr>
                <w:rFonts w:hint="default"/>
                <w:color w:va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②若因我公司自身原因导致环境污染问题，我公司未能按照整改方案要求或整改后仍无法稳定达标排放,持续对周边居民生活环境造成严重影响我公司将无条件自行启动停产搬迁程序。</w:t>
            </w:r>
          </w:p>
          <w:p w14:paraId="12A99FCD">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lang w:eastAsia="zh-CN"/>
              </w:rPr>
            </w:pPr>
            <w:r>
              <w:rPr>
                <w:rFonts w:hint="eastAsia"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4</w:t>
            </w:r>
            <w:r>
              <w:rPr>
                <w:rFonts w:hint="eastAsia"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lang w:eastAsia="zh-CN"/>
              </w:rPr>
              <w:t>距离本项目最近的环境敏感保护目标为位于</w:t>
            </w:r>
            <w:r>
              <w:rPr>
                <w:rFonts w:hint="eastAsia" w:ascii="Times New Roman" w:hAnsi="Times New Roman" w:eastAsia="宋体" w:cs="Times New Roman"/>
                <w:color w:val="auto"/>
                <w:kern w:val="0"/>
                <w:sz w:val="24"/>
                <w:szCs w:val="24"/>
                <w:highlight w:val="none"/>
                <w:shd w:val="clear" w:color="auto" w:fill="auto"/>
                <w:lang w:val="en-US" w:eastAsia="zh-CN"/>
              </w:rPr>
              <w:t>东南</w:t>
            </w:r>
            <w:r>
              <w:rPr>
                <w:rFonts w:hint="default" w:ascii="Times New Roman" w:hAnsi="Times New Roman" w:eastAsia="宋体" w:cs="Times New Roman"/>
                <w:color w:val="auto"/>
                <w:kern w:val="0"/>
                <w:sz w:val="24"/>
                <w:szCs w:val="24"/>
                <w:highlight w:val="none"/>
                <w:shd w:val="clear" w:color="auto" w:fill="auto"/>
                <w:lang w:eastAsia="zh-CN"/>
              </w:rPr>
              <w:t>侧</w:t>
            </w:r>
            <w:r>
              <w:rPr>
                <w:rFonts w:hint="eastAsia" w:ascii="Times New Roman" w:hAnsi="Times New Roman" w:eastAsia="宋体" w:cs="Times New Roman"/>
                <w:color w:val="auto"/>
                <w:kern w:val="0"/>
                <w:sz w:val="24"/>
                <w:szCs w:val="24"/>
                <w:highlight w:val="none"/>
                <w:shd w:val="clear" w:color="auto" w:fill="auto"/>
                <w:lang w:val="en-US" w:eastAsia="zh-CN"/>
              </w:rPr>
              <w:t>距离厂界117m</w:t>
            </w:r>
            <w:r>
              <w:rPr>
                <w:rFonts w:hint="default" w:ascii="Times New Roman" w:hAnsi="Times New Roman" w:eastAsia="宋体" w:cs="Times New Roman"/>
                <w:color w:val="auto"/>
                <w:kern w:val="0"/>
                <w:sz w:val="24"/>
                <w:szCs w:val="24"/>
                <w:highlight w:val="none"/>
                <w:shd w:val="clear" w:color="auto" w:fill="auto"/>
                <w:lang w:eastAsia="zh-CN"/>
              </w:rPr>
              <w:t>的</w:t>
            </w:r>
            <w:r>
              <w:rPr>
                <w:rFonts w:hint="eastAsia" w:ascii="Times New Roman" w:hAnsi="Times New Roman" w:eastAsia="宋体" w:cs="Times New Roman"/>
                <w:color w:val="auto"/>
                <w:kern w:val="0"/>
                <w:sz w:val="24"/>
                <w:szCs w:val="24"/>
                <w:highlight w:val="none"/>
                <w:shd w:val="clear" w:color="auto" w:fill="auto"/>
                <w:lang w:val="en-US" w:eastAsia="zh-CN"/>
              </w:rPr>
              <w:t>散户</w:t>
            </w:r>
            <w:r>
              <w:rPr>
                <w:rFonts w:hint="default" w:ascii="Times New Roman" w:hAnsi="Times New Roman" w:eastAsia="宋体" w:cs="Times New Roman"/>
                <w:color w:val="auto"/>
                <w:kern w:val="0"/>
                <w:sz w:val="24"/>
                <w:szCs w:val="24"/>
                <w:highlight w:val="none"/>
                <w:shd w:val="clear" w:color="auto" w:fill="auto"/>
                <w:lang w:eastAsia="zh-CN"/>
              </w:rPr>
              <w:t>。本项目卫生防护距离为</w:t>
            </w:r>
            <w:r>
              <w:rPr>
                <w:rFonts w:hint="eastAsia" w:ascii="Times New Roman" w:hAnsi="Times New Roman" w:eastAsia="宋体" w:cs="Times New Roman"/>
                <w:color w:val="auto"/>
                <w:kern w:val="0"/>
                <w:sz w:val="24"/>
                <w:szCs w:val="24"/>
                <w:highlight w:val="none"/>
                <w:shd w:val="clear" w:color="auto" w:fill="auto"/>
                <w:lang w:val="en-US" w:eastAsia="zh-CN"/>
              </w:rPr>
              <w:t>洁净车间一</w:t>
            </w:r>
            <w:r>
              <w:rPr>
                <w:rFonts w:hint="default" w:ascii="Times New Roman" w:hAnsi="Times New Roman" w:eastAsia="宋体" w:cs="Times New Roman"/>
                <w:color w:val="auto"/>
                <w:kern w:val="0"/>
                <w:sz w:val="24"/>
                <w:szCs w:val="24"/>
                <w:highlight w:val="none"/>
                <w:shd w:val="clear" w:color="auto" w:fill="auto"/>
                <w:lang w:eastAsia="zh-CN"/>
              </w:rPr>
              <w:t>外扩</w:t>
            </w:r>
            <w:r>
              <w:rPr>
                <w:rFonts w:hint="eastAsia" w:ascii="Times New Roman" w:hAnsi="Times New Roman" w:eastAsia="宋体" w:cs="Times New Roman"/>
                <w:color w:val="auto"/>
                <w:kern w:val="0"/>
                <w:sz w:val="24"/>
                <w:szCs w:val="24"/>
                <w:highlight w:val="none"/>
                <w:shd w:val="clear" w:color="auto" w:fill="auto"/>
                <w:lang w:val="en-US" w:eastAsia="zh-CN"/>
              </w:rPr>
              <w:t>10</w:t>
            </w:r>
            <w:r>
              <w:rPr>
                <w:rFonts w:hint="default" w:ascii="Times New Roman" w:hAnsi="Times New Roman" w:eastAsia="宋体" w:cs="Times New Roman"/>
                <w:color w:val="auto"/>
                <w:kern w:val="0"/>
                <w:sz w:val="24"/>
                <w:szCs w:val="24"/>
                <w:highlight w:val="none"/>
                <w:shd w:val="clear" w:color="auto" w:fill="auto"/>
                <w:lang w:eastAsia="zh-CN"/>
              </w:rPr>
              <w:t>0m</w:t>
            </w:r>
            <w:r>
              <w:rPr>
                <w:rFonts w:hint="eastAsia"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洁净车间二</w:t>
            </w:r>
            <w:r>
              <w:rPr>
                <w:rFonts w:hint="default" w:ascii="Times New Roman" w:hAnsi="Times New Roman" w:eastAsia="宋体" w:cs="Times New Roman"/>
                <w:color w:val="auto"/>
                <w:kern w:val="0"/>
                <w:sz w:val="24"/>
                <w:szCs w:val="24"/>
                <w:highlight w:val="none"/>
                <w:shd w:val="clear" w:color="auto" w:fill="auto"/>
                <w:lang w:eastAsia="zh-CN"/>
              </w:rPr>
              <w:t>外扩</w:t>
            </w: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lang w:eastAsia="zh-CN"/>
              </w:rPr>
              <w:t>0m，范围内环境无敏感目标。</w:t>
            </w:r>
          </w:p>
          <w:p w14:paraId="0BDA23F5">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综上所述，本项目选址合理。</w:t>
            </w:r>
          </w:p>
          <w:p w14:paraId="17C7A12D">
            <w:pPr>
              <w:adjustRightInd w:val="0"/>
              <w:snapToGrid w:val="0"/>
              <w:spacing w:line="500" w:lineRule="exact"/>
              <w:ind w:firstLine="480"/>
              <w:rPr>
                <w:rFonts w:hint="default" w:ascii="Times New Roman" w:hAnsi="Times New Roman" w:eastAsia="宋体" w:cs="Times New Roman"/>
                <w:b/>
                <w:bCs/>
                <w:color w:val="auto"/>
                <w:kern w:val="0"/>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rPr>
              <w:t>3</w:t>
            </w:r>
            <w:r>
              <w:rPr>
                <w:rFonts w:hint="default" w:ascii="Times New Roman" w:hAnsi="Times New Roman" w:eastAsia="宋体" w:cs="Times New Roman"/>
                <w:b/>
                <w:bCs/>
                <w:color w:val="auto"/>
                <w:kern w:val="0"/>
                <w:sz w:val="24"/>
                <w:szCs w:val="24"/>
                <w:highlight w:val="none"/>
                <w:shd w:val="clear" w:color="auto" w:fill="auto"/>
                <w:lang w:eastAsia="zh-CN"/>
              </w:rPr>
              <w:t>、</w:t>
            </w:r>
            <w:r>
              <w:rPr>
                <w:rFonts w:hint="default" w:ascii="Times New Roman" w:hAnsi="Times New Roman" w:eastAsia="宋体" w:cs="Times New Roman"/>
                <w:b/>
                <w:bCs/>
                <w:color w:val="auto"/>
                <w:kern w:val="0"/>
                <w:sz w:val="24"/>
                <w:szCs w:val="24"/>
                <w:highlight w:val="none"/>
                <w:shd w:val="clear" w:color="auto" w:fill="auto"/>
              </w:rPr>
              <w:t>“三线一单”相符性分析</w:t>
            </w:r>
          </w:p>
          <w:p w14:paraId="5883F7D9">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（1）与生态红线相符性分析</w:t>
            </w:r>
          </w:p>
          <w:p w14:paraId="1ECF2766">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1）与江苏省国家级生态保护红线规划相符性分析</w:t>
            </w:r>
          </w:p>
          <w:p w14:paraId="7B4544D4">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根据《江苏省国家级生态保护红线规划》（苏政发〔2018〕74号）文件，本项目所在地周边3km内无国家级生态保护红线区域，符合《省政府关于印发江苏省国家级生态保护红线规划的通知》（苏政发[2018]74号）要求。</w:t>
            </w:r>
          </w:p>
          <w:p w14:paraId="2B294D80">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2）与江苏省生态空间管控区域规划的相符性</w:t>
            </w:r>
          </w:p>
          <w:p w14:paraId="79289CB5">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对照《省政府关于印发江苏省生态空间管控区域规划的通知》（苏政发〔2020〕1号），距离本项目较近的生态空间管控区域为项目西侧</w:t>
            </w:r>
            <w:r>
              <w:rPr>
                <w:rFonts w:hint="eastAsia" w:ascii="Times New Roman" w:hAnsi="Times New Roman" w:eastAsia="宋体" w:cs="Times New Roman"/>
                <w:color w:val="auto"/>
                <w:kern w:val="0"/>
                <w:sz w:val="24"/>
                <w:szCs w:val="24"/>
                <w:highlight w:val="none"/>
                <w:shd w:val="clear" w:color="auto" w:fill="auto"/>
                <w:lang w:val="en-US" w:eastAsia="zh-CN"/>
              </w:rPr>
              <w:t>4.2</w:t>
            </w:r>
            <w:r>
              <w:rPr>
                <w:rFonts w:hint="default" w:ascii="Times New Roman" w:hAnsi="Times New Roman" w:eastAsia="宋体" w:cs="Times New Roman"/>
                <w:color w:val="auto"/>
                <w:kern w:val="0"/>
                <w:sz w:val="24"/>
                <w:szCs w:val="24"/>
                <w:highlight w:val="none"/>
                <w:shd w:val="clear" w:color="auto" w:fill="auto"/>
              </w:rPr>
              <w:t>km的“丹金溧漕河（金坛区）洪水调蓄区”，本项目所在地不在江苏省生态空间管控区域范围内。符合江苏省生态空间管控区域要求。</w:t>
            </w:r>
          </w:p>
          <w:p w14:paraId="07619DDD">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综上所述，本项目符合《省政府关于印发江苏省生态空间管控区域规划的通知》（苏政发〔2020〕1号）、《江苏省国家级生态保护红线规划》（苏政发〔2018〕74号）等有关文件的要求。</w:t>
            </w:r>
          </w:p>
          <w:p w14:paraId="43C5E1F6">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（2）与环境质量底线相符性分析</w:t>
            </w:r>
          </w:p>
          <w:p w14:paraId="4D0617BF">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根据《202</w:t>
            </w:r>
            <w:r>
              <w:rPr>
                <w:rFonts w:hint="eastAsia" w:ascii="Times New Roman" w:hAnsi="Times New Roman" w:eastAsia="宋体" w:cs="Times New Roman"/>
                <w:color w:val="auto"/>
                <w:kern w:val="0"/>
                <w:sz w:val="24"/>
                <w:szCs w:val="24"/>
                <w:highlight w:val="none"/>
                <w:shd w:val="clear" w:color="auto" w:fill="auto"/>
                <w:lang w:val="en-US" w:eastAsia="zh-CN"/>
              </w:rPr>
              <w:t>4</w:t>
            </w:r>
            <w:r>
              <w:rPr>
                <w:rFonts w:hint="default" w:ascii="Times New Roman" w:hAnsi="Times New Roman" w:eastAsia="宋体" w:cs="Times New Roman"/>
                <w:color w:val="auto"/>
                <w:kern w:val="0"/>
                <w:sz w:val="24"/>
                <w:szCs w:val="24"/>
                <w:highlight w:val="none"/>
                <w:shd w:val="clear" w:color="auto" w:fill="auto"/>
              </w:rPr>
              <w:t>年常州市生态环境质量状况公报》，大气污染防治取得历史性成效。全年环境空气质量综合指数为3.82，同比下降6.8%。全年PM2.5浓度32.6微克/立方米，PM2.5浓度同比改善5.0%，连续三年达到国家二级标准，绝对值历史最低；优良天数比率79.8%，同比改善2.3个百分点，达到近三年最优水平，也是全省唯一一个连续三年持续提升的城市；PM10浓度53微克/立方米，同比下降10.2%；二氧化氮浓度27微克/立方米，同比下降12.9%；臭氧浓度168微克/立方米，同比下降4.5%；5项环境空气质量主要指标全部取得改善。</w:t>
            </w:r>
          </w:p>
          <w:p w14:paraId="386D6041">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水环境质量持续改善。20个国考断面中，17个水质达到Ⅲ类及以上，占比85%，51个省考断面中，48个水质达到Ⅲ类及以上，占比94.1%，均完成省定年度目标。全市河流断面水质持续全面达到Ⅲ类；太湖入湖河道通量最大的百渎港总磷同比下降17.6%。太湖水质自2007年蓝藻事件以来首次达Ⅲ、重回“良好”湖泊，其中太湖常州水域总磷同比改善24%，对全湖总磷改善幅度贡献率达182%，位列环湖城市第一；长荡湖水质稳定达到Ⅳ类，水生植物覆盖度达38.4%，由“藻型湖”逐步向“草型湖”转变；滆湖常州水域水质首次达到Ⅳ类，总磷同比改善27.9%，营养状态从“中度”改善至“轻度”。全市集中式饮用水源地水质总体状况良好，魏村、沙河水库、大溪水库等5个集中式饮用水源地水质均达到或优于Ⅲ类水标准。</w:t>
            </w:r>
          </w:p>
          <w:p w14:paraId="41404DC0">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土壤环境质量总体状况较稳定。2024年常州市对7个国家网土壤环境一般风险点位开展监测，总达标率为85.7%。</w:t>
            </w:r>
          </w:p>
          <w:p w14:paraId="43DD9988">
            <w:pPr>
              <w:adjustRightInd w:val="0"/>
              <w:snapToGrid w:val="0"/>
              <w:spacing w:line="500" w:lineRule="exact"/>
              <w:ind w:firstLine="480"/>
              <w:rPr>
                <w:rFonts w:hint="eastAsia" w:ascii="Times New Roman" w:hAnsi="Times New Roman" w:eastAsia="宋体" w:cs="Times New Roman"/>
                <w:color w:val="auto"/>
                <w:kern w:val="0"/>
                <w:sz w:val="24"/>
                <w:szCs w:val="24"/>
                <w:highlight w:val="none"/>
                <w:shd w:val="clear" w:color="auto" w:fill="auto"/>
                <w:lang w:eastAsia="zh-CN"/>
              </w:rPr>
            </w:pPr>
            <w:r>
              <w:rPr>
                <w:rFonts w:hint="default" w:ascii="Times New Roman" w:hAnsi="Times New Roman" w:eastAsia="宋体" w:cs="Times New Roman"/>
                <w:color w:val="auto"/>
                <w:kern w:val="0"/>
                <w:sz w:val="24"/>
                <w:szCs w:val="24"/>
                <w:highlight w:val="none"/>
                <w:shd w:val="clear" w:color="auto" w:fill="auto"/>
              </w:rPr>
              <w:t>2024年，常州市声环境质量总体处于较好水平；电离辐射水平未有异常变化，空气及土壤中的放射性水平保持在天然本底范围内；全市农村环境空气质量日均值达标率80.3%，64条农村黑臭水体完成整治，基本消除农村较大面积黑臭水体。全市的生态环境状况指数为55.98，属于“二类”生态质量地区</w:t>
            </w:r>
            <w:r>
              <w:rPr>
                <w:rFonts w:hint="eastAsia" w:ascii="Times New Roman" w:hAnsi="Times New Roman" w:eastAsia="宋体" w:cs="Times New Roman"/>
                <w:color w:val="auto"/>
                <w:kern w:val="0"/>
                <w:sz w:val="24"/>
                <w:szCs w:val="24"/>
                <w:highlight w:val="none"/>
                <w:shd w:val="clear" w:color="auto" w:fill="auto"/>
                <w:lang w:eastAsia="zh-CN"/>
              </w:rPr>
              <w:t>。</w:t>
            </w:r>
          </w:p>
          <w:p w14:paraId="06D93399">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经多年引导培育，全市已经形成资源化利用优先、无害化处置托底的危险废物处置体系。截至2024年底，全市危险废物经营许可单位75家，经营范围涉及《国家危险废物名录》46大类中的39种，利用处置能力超250万吨/年，满足处置需求。</w:t>
            </w:r>
          </w:p>
          <w:p w14:paraId="0FDB1A5D">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eastAsia" w:ascii="Times New Roman" w:hAnsi="Times New Roman" w:eastAsia="宋体" w:cs="Times New Roman"/>
                <w:color w:val="auto"/>
                <w:kern w:val="0"/>
                <w:sz w:val="24"/>
                <w:szCs w:val="24"/>
                <w:highlight w:val="none"/>
                <w:shd w:val="clear" w:color="auto" w:fill="auto"/>
                <w:lang w:val="en-US" w:eastAsia="zh-CN"/>
              </w:rPr>
              <w:t>本</w:t>
            </w:r>
            <w:r>
              <w:rPr>
                <w:rFonts w:hint="default" w:ascii="Times New Roman" w:hAnsi="Times New Roman" w:eastAsia="宋体" w:cs="Times New Roman"/>
                <w:color w:val="auto"/>
                <w:kern w:val="0"/>
                <w:sz w:val="24"/>
                <w:szCs w:val="24"/>
                <w:highlight w:val="none"/>
                <w:shd w:val="clear" w:color="auto" w:fill="auto"/>
              </w:rPr>
              <w:t>项目建成后采取严格的污染防治措施，废水、厂界噪声均可达标排放，固废合理处置，不会使区域环境质量恶化。因此，本项目的建设符合环境质量底线要求。</w:t>
            </w:r>
          </w:p>
          <w:p w14:paraId="1B9B9DDB">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（3）资源利用上线相符性</w:t>
            </w:r>
          </w:p>
          <w:p w14:paraId="51EBF002">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本项目用水来自市政供水管网，用电由市政供电管网提供，项目用地为</w:t>
            </w:r>
            <w:r>
              <w:rPr>
                <w:rFonts w:hint="eastAsia" w:ascii="Times New Roman" w:hAnsi="Times New Roman" w:eastAsia="宋体" w:cs="Times New Roman"/>
                <w:color w:val="auto"/>
                <w:kern w:val="0"/>
                <w:sz w:val="24"/>
                <w:szCs w:val="24"/>
                <w:highlight w:val="none"/>
                <w:shd w:val="clear" w:color="auto" w:fill="auto"/>
              </w:rPr>
              <w:t>工业</w:t>
            </w:r>
            <w:r>
              <w:rPr>
                <w:rFonts w:hint="default" w:ascii="Times New Roman" w:hAnsi="Times New Roman" w:eastAsia="宋体" w:cs="Times New Roman"/>
                <w:color w:val="auto"/>
                <w:kern w:val="0"/>
                <w:sz w:val="24"/>
                <w:szCs w:val="24"/>
                <w:highlight w:val="none"/>
                <w:shd w:val="clear" w:color="auto" w:fill="auto"/>
              </w:rPr>
              <w:t>用地，符合当地土地规划要求，项目资源消耗量相对区域资源利用总量较少，符合资源利用上线要求。</w:t>
            </w:r>
          </w:p>
          <w:p w14:paraId="1782F411">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（4）生态环境准入清单</w:t>
            </w:r>
          </w:p>
          <w:p w14:paraId="0A6930F2">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具体见表1-</w:t>
            </w:r>
            <w:r>
              <w:rPr>
                <w:rFonts w:hint="eastAsia" w:ascii="Times New Roman" w:hAnsi="Times New Roman" w:eastAsia="宋体" w:cs="Times New Roman"/>
                <w:color w:val="auto"/>
                <w:kern w:val="0"/>
                <w:sz w:val="24"/>
                <w:szCs w:val="24"/>
                <w:highlight w:val="none"/>
                <w:shd w:val="clear" w:color="auto" w:fill="auto"/>
                <w:lang w:val="en-US" w:eastAsia="zh-CN"/>
              </w:rPr>
              <w:t>2</w:t>
            </w:r>
            <w:r>
              <w:rPr>
                <w:rFonts w:hint="default" w:ascii="Times New Roman" w:hAnsi="Times New Roman" w:eastAsia="宋体" w:cs="Times New Roman"/>
                <w:color w:val="auto"/>
                <w:kern w:val="0"/>
                <w:sz w:val="24"/>
                <w:szCs w:val="24"/>
                <w:highlight w:val="none"/>
                <w:shd w:val="clear" w:color="auto" w:fill="auto"/>
              </w:rPr>
              <w:t>。</w:t>
            </w:r>
          </w:p>
          <w:p w14:paraId="527D618C">
            <w:pPr>
              <w:adjustRightInd w:val="0"/>
              <w:snapToGrid w:val="0"/>
              <w:spacing w:line="500" w:lineRule="exact"/>
              <w:jc w:val="center"/>
              <w:rPr>
                <w:rFonts w:hint="default" w:ascii="Times New Roman" w:hAnsi="Times New Roman" w:eastAsia="宋体" w:cs="Times New Roman"/>
                <w:b/>
                <w:bCs/>
                <w:color w:val="auto"/>
                <w:kern w:val="0"/>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rPr>
              <w:t>表1-</w:t>
            </w:r>
            <w:r>
              <w:rPr>
                <w:rFonts w:hint="eastAsia" w:ascii="Times New Roman" w:hAnsi="Times New Roman" w:eastAsia="宋体" w:cs="Times New Roman"/>
                <w:b/>
                <w:bCs/>
                <w:color w:val="auto"/>
                <w:kern w:val="0"/>
                <w:sz w:val="24"/>
                <w:szCs w:val="24"/>
                <w:highlight w:val="none"/>
                <w:shd w:val="clear" w:color="auto" w:fill="auto"/>
                <w:lang w:val="en-US" w:eastAsia="zh-CN"/>
              </w:rPr>
              <w:t>2</w:t>
            </w:r>
            <w:r>
              <w:rPr>
                <w:rFonts w:hint="eastAsia" w:ascii="Times New Roman" w:hAnsi="Times New Roman" w:eastAsia="宋体" w:cs="Times New Roman"/>
                <w:b/>
                <w:bCs/>
                <w:color w:val="auto"/>
                <w:kern w:val="0"/>
                <w:sz w:val="24"/>
                <w:szCs w:val="24"/>
                <w:highlight w:val="none"/>
                <w:shd w:val="clear" w:color="auto" w:fill="auto"/>
              </w:rPr>
              <w:t xml:space="preserve">  </w:t>
            </w:r>
            <w:r>
              <w:rPr>
                <w:rFonts w:hint="default" w:ascii="Times New Roman" w:hAnsi="Times New Roman" w:eastAsia="宋体" w:cs="Times New Roman"/>
                <w:b/>
                <w:bCs/>
                <w:color w:val="auto"/>
                <w:kern w:val="0"/>
                <w:sz w:val="24"/>
                <w:szCs w:val="24"/>
                <w:highlight w:val="none"/>
                <w:shd w:val="clear" w:color="auto" w:fill="auto"/>
              </w:rPr>
              <w:t>项目与国家及地方产业政策相符性分析</w:t>
            </w:r>
          </w:p>
          <w:tbl>
            <w:tblPr>
              <w:tblStyle w:val="27"/>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69"/>
              <w:gridCol w:w="2227"/>
              <w:gridCol w:w="4112"/>
              <w:gridCol w:w="1491"/>
            </w:tblGrid>
            <w:tr w14:paraId="2944C3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3D29BE4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eastAsia="zh-CN"/>
                    </w:rPr>
                    <w:t>序号</w:t>
                  </w:r>
                </w:p>
              </w:tc>
              <w:tc>
                <w:tcPr>
                  <w:tcW w:w="1325" w:type="pct"/>
                  <w:noWrap w:val="0"/>
                  <w:vAlign w:val="center"/>
                </w:tcPr>
                <w:p w14:paraId="5F661235">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eastAsia="zh-CN"/>
                    </w:rPr>
                    <w:t>内容</w:t>
                  </w:r>
                </w:p>
              </w:tc>
              <w:tc>
                <w:tcPr>
                  <w:tcW w:w="2447" w:type="pct"/>
                  <w:noWrap w:val="0"/>
                  <w:vAlign w:val="center"/>
                </w:tcPr>
                <w:p w14:paraId="16DF2889">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eastAsia="zh-CN"/>
                    </w:rPr>
                    <w:t>相关性分析</w:t>
                  </w:r>
                </w:p>
              </w:tc>
              <w:tc>
                <w:tcPr>
                  <w:tcW w:w="887" w:type="pct"/>
                  <w:noWrap w:val="0"/>
                  <w:vAlign w:val="center"/>
                </w:tcPr>
                <w:p w14:paraId="209163CF">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eastAsia="zh-CN"/>
                    </w:rPr>
                    <w:t>本项目是否符合要求</w:t>
                  </w:r>
                </w:p>
              </w:tc>
            </w:tr>
            <w:tr w14:paraId="1CD703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343255C3">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325" w:type="pct"/>
                  <w:noWrap w:val="0"/>
                  <w:vAlign w:val="center"/>
                </w:tcPr>
                <w:p w14:paraId="583DAE49">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《产业结构调整指导目录》（20</w:t>
                  </w:r>
                  <w:r>
                    <w:rPr>
                      <w:rFonts w:hint="eastAsia" w:ascii="Times New Roman" w:hAnsi="Times New Roman" w:eastAsia="宋体" w:cs="Times New Roman"/>
                      <w:color w:val="auto"/>
                      <w:sz w:val="21"/>
                      <w:szCs w:val="21"/>
                      <w:highlight w:val="none"/>
                      <w:shd w:val="clear" w:color="auto" w:fill="auto"/>
                      <w:lang w:val="en-US" w:eastAsia="zh-CN"/>
                    </w:rPr>
                    <w:t>24</w:t>
                  </w:r>
                  <w:r>
                    <w:rPr>
                      <w:rFonts w:hint="default" w:ascii="Times New Roman" w:hAnsi="Times New Roman" w:eastAsia="宋体" w:cs="Times New Roman"/>
                      <w:color w:val="auto"/>
                      <w:sz w:val="21"/>
                      <w:szCs w:val="21"/>
                      <w:highlight w:val="none"/>
                      <w:shd w:val="clear" w:color="auto" w:fill="auto"/>
                      <w:lang w:val="en-US" w:eastAsia="zh-CN"/>
                    </w:rPr>
                    <w:t>年本）</w:t>
                  </w:r>
                </w:p>
              </w:tc>
              <w:tc>
                <w:tcPr>
                  <w:tcW w:w="2447" w:type="pct"/>
                  <w:noWrap w:val="0"/>
                  <w:vAlign w:val="center"/>
                </w:tcPr>
                <w:p w14:paraId="5E703B55">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经查《产业结构调整指导目录（20</w:t>
                  </w:r>
                  <w:r>
                    <w:rPr>
                      <w:rFonts w:hint="eastAsia" w:ascii="Times New Roman" w:hAnsi="Times New Roman" w:eastAsia="宋体" w:cs="Times New Roman"/>
                      <w:color w:val="auto"/>
                      <w:sz w:val="21"/>
                      <w:szCs w:val="21"/>
                      <w:highlight w:val="none"/>
                      <w:shd w:val="clear" w:color="auto" w:fill="auto"/>
                      <w:lang w:val="en-US" w:eastAsia="zh-CN"/>
                    </w:rPr>
                    <w:t>24</w:t>
                  </w:r>
                  <w:r>
                    <w:rPr>
                      <w:rFonts w:hint="default" w:ascii="Times New Roman" w:hAnsi="Times New Roman" w:eastAsia="宋体" w:cs="Times New Roman"/>
                      <w:color w:val="auto"/>
                      <w:sz w:val="21"/>
                      <w:szCs w:val="21"/>
                      <w:highlight w:val="none"/>
                      <w:shd w:val="clear" w:color="auto" w:fill="auto"/>
                      <w:lang w:val="en-US" w:eastAsia="zh-CN"/>
                    </w:rPr>
                    <w:t>年本）》，项目产品、所用设备及工艺均不属于其中鼓励类、淘汰类、限制类，符合该文件要求</w:t>
                  </w:r>
                </w:p>
              </w:tc>
              <w:tc>
                <w:tcPr>
                  <w:tcW w:w="887" w:type="pct"/>
                  <w:noWrap w:val="0"/>
                  <w:vAlign w:val="center"/>
                </w:tcPr>
                <w:p w14:paraId="5AD4BFD8">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是</w:t>
                  </w:r>
                </w:p>
              </w:tc>
            </w:tr>
            <w:tr w14:paraId="7213E1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7BEB44B4">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w:t>
                  </w:r>
                </w:p>
              </w:tc>
              <w:tc>
                <w:tcPr>
                  <w:tcW w:w="1325" w:type="pct"/>
                  <w:noWrap w:val="0"/>
                  <w:vAlign w:val="center"/>
                </w:tcPr>
                <w:p w14:paraId="0227CFF9">
                  <w:pPr>
                    <w:pStyle w:val="102"/>
                    <w:spacing w:line="240" w:lineRule="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bidi="ar-SA"/>
                    </w:rPr>
                    <w:t>《江苏省产业结构调整限制、淘汰和禁止目录（2018年本）》</w:t>
                  </w:r>
                </w:p>
              </w:tc>
              <w:tc>
                <w:tcPr>
                  <w:tcW w:w="2447" w:type="pct"/>
                  <w:noWrap w:val="0"/>
                  <w:vAlign w:val="center"/>
                </w:tcPr>
                <w:p w14:paraId="694C6ADF">
                  <w:pPr>
                    <w:pStyle w:val="102"/>
                    <w:spacing w:line="240" w:lineRule="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bidi="ar-SA"/>
                    </w:rPr>
                    <w:t>本项目不属于《江苏省产业结构调整限制、淘汰和禁止目录（2018年本）》限制类、淘汰类和禁止类。</w:t>
                  </w:r>
                </w:p>
              </w:tc>
              <w:tc>
                <w:tcPr>
                  <w:tcW w:w="887" w:type="pct"/>
                  <w:noWrap w:val="0"/>
                  <w:vAlign w:val="center"/>
                </w:tcPr>
                <w:p w14:paraId="3A2120B4">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是</w:t>
                  </w:r>
                </w:p>
              </w:tc>
            </w:tr>
            <w:tr w14:paraId="6B7E74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6F70C7E8">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3</w:t>
                  </w:r>
                </w:p>
              </w:tc>
              <w:tc>
                <w:tcPr>
                  <w:tcW w:w="1325" w:type="pct"/>
                  <w:noWrap w:val="0"/>
                  <w:vAlign w:val="center"/>
                </w:tcPr>
                <w:p w14:paraId="0AF707D3">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《自然资源要素支撑产业高质量发展指导目录（2024年本）》</w:t>
                  </w:r>
                </w:p>
              </w:tc>
              <w:tc>
                <w:tcPr>
                  <w:tcW w:w="2447" w:type="pct"/>
                  <w:noWrap w:val="0"/>
                  <w:vAlign w:val="center"/>
                </w:tcPr>
                <w:p w14:paraId="5198E17D">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本项目不</w:t>
                  </w:r>
                  <w:r>
                    <w:rPr>
                      <w:rFonts w:hint="eastAsia" w:ascii="Times New Roman" w:hAnsi="Times New Roman" w:eastAsia="宋体" w:cs="Times New Roman"/>
                      <w:color w:val="auto"/>
                      <w:sz w:val="21"/>
                      <w:szCs w:val="21"/>
                      <w:highlight w:val="none"/>
                      <w:shd w:val="clear" w:color="auto" w:fill="auto"/>
                      <w:lang w:val="en-US" w:eastAsia="zh-CN"/>
                    </w:rPr>
                    <w:t>属于其中</w:t>
                  </w:r>
                  <w:r>
                    <w:rPr>
                      <w:rFonts w:hint="default" w:ascii="Times New Roman" w:hAnsi="Times New Roman" w:eastAsia="宋体" w:cs="Times New Roman"/>
                      <w:color w:val="auto"/>
                      <w:sz w:val="21"/>
                      <w:szCs w:val="21"/>
                      <w:highlight w:val="none"/>
                      <w:shd w:val="clear" w:color="auto" w:fill="auto"/>
                      <w:lang w:val="en-US" w:eastAsia="zh-CN"/>
                    </w:rPr>
                    <w:t>限制类和禁止类项目</w:t>
                  </w:r>
                </w:p>
              </w:tc>
              <w:tc>
                <w:tcPr>
                  <w:tcW w:w="887" w:type="pct"/>
                  <w:noWrap w:val="0"/>
                  <w:vAlign w:val="center"/>
                </w:tcPr>
                <w:p w14:paraId="69398F6E">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是</w:t>
                  </w:r>
                </w:p>
              </w:tc>
            </w:tr>
            <w:tr w14:paraId="5FAE2E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1ABBAEB5">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4</w:t>
                  </w:r>
                </w:p>
              </w:tc>
              <w:tc>
                <w:tcPr>
                  <w:tcW w:w="1325" w:type="pct"/>
                  <w:noWrap w:val="0"/>
                  <w:vAlign w:val="center"/>
                </w:tcPr>
                <w:p w14:paraId="4F97DD83">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《江苏省限制用地项目目录（2013年本）》、《江苏省禁止用地项目目录（2013年本）》</w:t>
                  </w:r>
                </w:p>
              </w:tc>
              <w:tc>
                <w:tcPr>
                  <w:tcW w:w="2447" w:type="pct"/>
                  <w:noWrap w:val="0"/>
                  <w:vAlign w:val="center"/>
                </w:tcPr>
                <w:p w14:paraId="3D0CADEF">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本项目不在《江苏省限制用地项目目录（2013年本）》、《江苏省禁止用地项目目录（2013年）》中</w:t>
                  </w:r>
                </w:p>
              </w:tc>
              <w:tc>
                <w:tcPr>
                  <w:tcW w:w="887" w:type="pct"/>
                  <w:noWrap w:val="0"/>
                  <w:vAlign w:val="center"/>
                </w:tcPr>
                <w:p w14:paraId="18BA9070">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是</w:t>
                  </w:r>
                </w:p>
              </w:tc>
            </w:tr>
            <w:tr w14:paraId="7C712B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39" w:type="pct"/>
                  <w:noWrap w:val="0"/>
                  <w:vAlign w:val="center"/>
                </w:tcPr>
                <w:p w14:paraId="449B1843">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5</w:t>
                  </w:r>
                </w:p>
              </w:tc>
              <w:tc>
                <w:tcPr>
                  <w:tcW w:w="1325" w:type="pct"/>
                  <w:noWrap w:val="0"/>
                  <w:vAlign w:val="center"/>
                </w:tcPr>
                <w:p w14:paraId="737B35C7">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《市场准入负面清单（202</w:t>
                  </w:r>
                  <w:r>
                    <w:rPr>
                      <w:rFonts w:hint="eastAsia" w:ascii="Times New Roman" w:hAnsi="Times New Roman" w:eastAsia="宋体" w:cs="Times New Roman"/>
                      <w:color w:val="auto"/>
                      <w:sz w:val="21"/>
                      <w:szCs w:val="21"/>
                      <w:highlight w:val="none"/>
                      <w:shd w:val="clear" w:color="auto" w:fill="auto"/>
                      <w:lang w:val="en-US" w:eastAsia="zh-CN"/>
                    </w:rPr>
                    <w:t>5</w:t>
                  </w:r>
                  <w:r>
                    <w:rPr>
                      <w:rFonts w:hint="default" w:ascii="Times New Roman" w:hAnsi="Times New Roman" w:eastAsia="宋体" w:cs="Times New Roman"/>
                      <w:color w:val="auto"/>
                      <w:sz w:val="21"/>
                      <w:szCs w:val="21"/>
                      <w:highlight w:val="none"/>
                      <w:shd w:val="clear" w:color="auto" w:fill="auto"/>
                      <w:lang w:val="en-US" w:eastAsia="zh-CN"/>
                    </w:rPr>
                    <w:t>年版）》</w:t>
                  </w:r>
                </w:p>
              </w:tc>
              <w:tc>
                <w:tcPr>
                  <w:tcW w:w="2447" w:type="pct"/>
                  <w:noWrap w:val="0"/>
                  <w:vAlign w:val="center"/>
                </w:tcPr>
                <w:p w14:paraId="71D3A327">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经查市场准入负面清单（202</w:t>
                  </w:r>
                  <w:r>
                    <w:rPr>
                      <w:rFonts w:hint="eastAsia" w:ascii="Times New Roman" w:hAnsi="Times New Roman" w:eastAsia="宋体" w:cs="Times New Roman"/>
                      <w:color w:val="auto"/>
                      <w:sz w:val="21"/>
                      <w:szCs w:val="21"/>
                      <w:highlight w:val="none"/>
                      <w:shd w:val="clear" w:color="auto" w:fill="auto"/>
                      <w:lang w:val="en-US" w:eastAsia="zh-CN"/>
                    </w:rPr>
                    <w:t>5</w:t>
                  </w:r>
                  <w:r>
                    <w:rPr>
                      <w:rFonts w:hint="default" w:ascii="Times New Roman" w:hAnsi="Times New Roman" w:eastAsia="宋体" w:cs="Times New Roman"/>
                      <w:color w:val="auto"/>
                      <w:sz w:val="21"/>
                      <w:szCs w:val="21"/>
                      <w:highlight w:val="none"/>
                      <w:shd w:val="clear" w:color="auto" w:fill="auto"/>
                      <w:lang w:val="en-US" w:eastAsia="zh-CN"/>
                    </w:rPr>
                    <w:t>年版），本项目不在其禁止准入类中</w:t>
                  </w:r>
                </w:p>
              </w:tc>
              <w:tc>
                <w:tcPr>
                  <w:tcW w:w="887" w:type="pct"/>
                  <w:noWrap w:val="0"/>
                  <w:vAlign w:val="center"/>
                </w:tcPr>
                <w:p w14:paraId="3D59FC27">
                  <w:pPr>
                    <w:pStyle w:val="78"/>
                    <w:ind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是</w:t>
                  </w:r>
                </w:p>
              </w:tc>
            </w:tr>
          </w:tbl>
          <w:p w14:paraId="172CE3F7">
            <w:pPr>
              <w:snapToGrid w:val="0"/>
              <w:spacing w:line="500" w:lineRule="exact"/>
              <w:ind w:firstLine="482"/>
              <w:rPr>
                <w:rFonts w:hint="default" w:ascii="Times New Roman" w:hAnsi="Times New Roman" w:eastAsia="宋体" w:cs="Times New Roman"/>
                <w:color w:val="auto"/>
                <w:kern w:val="0"/>
                <w:sz w:val="24"/>
                <w:szCs w:val="24"/>
                <w:highlight w:val="none"/>
                <w:shd w:val="clear" w:color="auto" w:fill="auto"/>
              </w:rPr>
            </w:pPr>
            <w:r>
              <w:rPr>
                <w:rFonts w:hint="eastAsia" w:ascii="Times New Roman" w:hAnsi="Times New Roman" w:eastAsia="宋体" w:cs="Times New Roman"/>
                <w:b/>
                <w:bCs/>
                <w:color w:val="auto"/>
                <w:kern w:val="0"/>
                <w:sz w:val="24"/>
                <w:szCs w:val="24"/>
                <w:highlight w:val="none"/>
                <w:shd w:val="clear" w:color="auto" w:fill="auto"/>
                <w:lang w:val="en-US" w:eastAsia="zh-CN"/>
              </w:rPr>
              <w:t>4</w:t>
            </w:r>
            <w:r>
              <w:rPr>
                <w:rFonts w:hint="default" w:ascii="Times New Roman" w:hAnsi="Times New Roman" w:eastAsia="宋体" w:cs="Times New Roman"/>
                <w:b/>
                <w:bCs/>
                <w:color w:val="auto"/>
                <w:kern w:val="0"/>
                <w:sz w:val="24"/>
                <w:szCs w:val="24"/>
                <w:highlight w:val="none"/>
                <w:shd w:val="clear" w:color="auto" w:fill="auto"/>
                <w:lang w:eastAsia="zh-CN"/>
              </w:rPr>
              <w:t>、“</w:t>
            </w:r>
            <w:r>
              <w:rPr>
                <w:rFonts w:hint="default" w:ascii="Times New Roman" w:hAnsi="Times New Roman" w:eastAsia="宋体" w:cs="Times New Roman"/>
                <w:b/>
                <w:bCs/>
                <w:color w:val="auto"/>
                <w:kern w:val="0"/>
                <w:sz w:val="24"/>
                <w:szCs w:val="24"/>
                <w:highlight w:val="none"/>
                <w:shd w:val="clear" w:color="auto" w:fill="auto"/>
                <w:lang w:val="en-US" w:eastAsia="zh-CN"/>
              </w:rPr>
              <w:t>江苏省</w:t>
            </w:r>
            <w:r>
              <w:rPr>
                <w:rFonts w:hint="default" w:ascii="Times New Roman" w:hAnsi="Times New Roman" w:eastAsia="宋体" w:cs="Times New Roman"/>
                <w:b/>
                <w:bCs/>
                <w:color w:val="auto"/>
                <w:kern w:val="0"/>
                <w:sz w:val="24"/>
                <w:szCs w:val="24"/>
                <w:highlight w:val="none"/>
                <w:shd w:val="clear" w:color="auto" w:fill="auto"/>
                <w:lang w:eastAsia="zh-CN"/>
              </w:rPr>
              <w:t>生态环境分区管控”</w:t>
            </w:r>
            <w:r>
              <w:rPr>
                <w:rFonts w:hint="default" w:ascii="Times New Roman" w:hAnsi="Times New Roman" w:eastAsia="宋体" w:cs="Times New Roman"/>
                <w:b/>
                <w:bCs/>
                <w:color w:val="auto"/>
                <w:kern w:val="0"/>
                <w:sz w:val="24"/>
                <w:szCs w:val="24"/>
                <w:highlight w:val="none"/>
                <w:shd w:val="clear" w:color="auto" w:fill="auto"/>
              </w:rPr>
              <w:t>符合性分析</w:t>
            </w:r>
          </w:p>
          <w:p w14:paraId="77D2800A">
            <w:pPr>
              <w:adjustRightInd w:val="0"/>
              <w:snapToGrid w:val="0"/>
              <w:spacing w:line="500" w:lineRule="exact"/>
              <w:ind w:firstLine="480"/>
              <w:rPr>
                <w:rFonts w:hint="default" w:ascii="Times New Roman" w:hAnsi="Times New Roman" w:eastAsia="宋体" w:cs="Times New Roman"/>
                <w:b/>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对照《江苏省2023年度生态环境分区管控动态更新成果公告》，本项目位于</w:t>
            </w:r>
            <w:r>
              <w:rPr>
                <w:rFonts w:hint="default" w:ascii="Times New Roman" w:hAnsi="Times New Roman" w:eastAsia="宋体" w:cs="Times New Roman"/>
                <w:color w:val="auto"/>
                <w:kern w:val="0"/>
                <w:sz w:val="24"/>
                <w:szCs w:val="24"/>
                <w:highlight w:val="none"/>
                <w:shd w:val="clear" w:color="auto" w:fill="auto"/>
                <w:lang w:val="en-US" w:eastAsia="zh-CN"/>
              </w:rPr>
              <w:t>江苏省常州市金坛区</w:t>
            </w:r>
            <w:r>
              <w:rPr>
                <w:rFonts w:hint="eastAsia" w:ascii="Times New Roman" w:hAnsi="Times New Roman" w:eastAsia="宋体" w:cs="Times New Roman"/>
                <w:color w:val="auto"/>
                <w:kern w:val="0"/>
                <w:sz w:val="24"/>
                <w:szCs w:val="24"/>
                <w:highlight w:val="none"/>
                <w:shd w:val="clear" w:color="auto" w:fill="auto"/>
                <w:lang w:val="en-US" w:eastAsia="zh-CN"/>
              </w:rPr>
              <w:t>晨风路188号</w:t>
            </w:r>
            <w:r>
              <w:rPr>
                <w:rFonts w:hint="default" w:ascii="Times New Roman" w:hAnsi="Times New Roman" w:eastAsia="宋体" w:cs="Times New Roman"/>
                <w:color w:val="auto"/>
                <w:kern w:val="0"/>
                <w:sz w:val="24"/>
                <w:szCs w:val="24"/>
                <w:highlight w:val="none"/>
                <w:shd w:val="clear" w:color="auto" w:fill="auto"/>
              </w:rPr>
              <w:t>，位于常州市中心城区(金坛区)</w:t>
            </w:r>
            <w:r>
              <w:rPr>
                <w:rFonts w:hint="eastAsia"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属于重点管控单元，</w:t>
            </w:r>
            <w:r>
              <w:rPr>
                <w:rFonts w:hint="default" w:ascii="Times New Roman" w:hAnsi="Times New Roman" w:eastAsia="宋体" w:cs="Times New Roman"/>
                <w:color w:val="auto"/>
                <w:kern w:val="0"/>
                <w:sz w:val="24"/>
                <w:szCs w:val="24"/>
                <w:highlight w:val="none"/>
                <w:shd w:val="clear" w:color="auto" w:fill="auto"/>
              </w:rPr>
              <w:t>具体环境管控单元准入清单见下表。</w:t>
            </w:r>
          </w:p>
          <w:p w14:paraId="062ECB9E">
            <w:pPr>
              <w:pStyle w:val="77"/>
              <w:spacing w:line="500" w:lineRule="exact"/>
              <w:ind w:firstLine="0" w:firstLineChars="0"/>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表1-</w:t>
            </w:r>
            <w:r>
              <w:rPr>
                <w:rFonts w:hint="eastAsia"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 xml:space="preserve">  与“</w:t>
            </w:r>
            <w:r>
              <w:rPr>
                <w:rFonts w:hint="default" w:ascii="Times New Roman" w:hAnsi="Times New Roman" w:eastAsia="宋体" w:cs="Times New Roman"/>
                <w:color w:val="auto"/>
                <w:sz w:val="24"/>
                <w:szCs w:val="24"/>
                <w:highlight w:val="none"/>
                <w:shd w:val="clear" w:color="auto" w:fill="auto"/>
                <w:lang w:val="en-US" w:eastAsia="zh-CN"/>
              </w:rPr>
              <w:t>江苏省</w:t>
            </w:r>
            <w:r>
              <w:rPr>
                <w:rFonts w:hint="default" w:ascii="Times New Roman" w:hAnsi="Times New Roman" w:eastAsia="宋体" w:cs="Times New Roman"/>
                <w:color w:val="auto"/>
                <w:sz w:val="24"/>
                <w:szCs w:val="24"/>
                <w:highlight w:val="none"/>
                <w:shd w:val="clear" w:color="auto" w:fill="auto"/>
              </w:rPr>
              <w:t>生态环境分区管控总体要求”相符性分析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4466"/>
              <w:gridCol w:w="2481"/>
              <w:gridCol w:w="712"/>
            </w:tblGrid>
            <w:tr w14:paraId="09E8A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3BA0D326">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管控类别</w:t>
                  </w:r>
                </w:p>
              </w:tc>
              <w:tc>
                <w:tcPr>
                  <w:tcW w:w="2655" w:type="pct"/>
                  <w:vAlign w:val="center"/>
                </w:tcPr>
                <w:p w14:paraId="535CE130">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重点管控要求</w:t>
                  </w:r>
                </w:p>
              </w:tc>
              <w:tc>
                <w:tcPr>
                  <w:tcW w:w="1475" w:type="pct"/>
                  <w:vAlign w:val="center"/>
                </w:tcPr>
                <w:p w14:paraId="110618F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对照分析</w:t>
                  </w:r>
                </w:p>
              </w:tc>
              <w:tc>
                <w:tcPr>
                  <w:tcW w:w="423" w:type="pct"/>
                  <w:vAlign w:val="center"/>
                </w:tcPr>
                <w:p w14:paraId="415A3A89">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相符性</w:t>
                  </w:r>
                </w:p>
              </w:tc>
            </w:tr>
            <w:tr w14:paraId="60EB4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4" w:hRule="atLeast"/>
                <w:jc w:val="center"/>
              </w:trPr>
              <w:tc>
                <w:tcPr>
                  <w:tcW w:w="445" w:type="pct"/>
                  <w:vAlign w:val="center"/>
                </w:tcPr>
                <w:p w14:paraId="713636C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空间布局约束</w:t>
                  </w:r>
                </w:p>
              </w:tc>
              <w:tc>
                <w:tcPr>
                  <w:tcW w:w="2655" w:type="pct"/>
                  <w:vAlign w:val="center"/>
                </w:tcPr>
                <w:p w14:paraId="642607B0">
                  <w:pPr>
                    <w:pStyle w:val="78"/>
                    <w:ind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1．按照《自然资源部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75904C19">
                  <w:pPr>
                    <w:pStyle w:val="78"/>
                    <w:ind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牢牢把握推动长江经济带发展“共抓大保护，不搞大开发”战略导向，对省域范围内需要重点保护的岸线、河段和区域实行严格管控，管住控好排放量大、耗能高、产能过剩的产业，推动长江经济带高质量发展。</w:t>
                  </w:r>
                </w:p>
                <w:p w14:paraId="415C80AF">
                  <w:pPr>
                    <w:pStyle w:val="78"/>
                    <w:ind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2A690009">
                  <w:pPr>
                    <w:pStyle w:val="78"/>
                    <w:ind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0A4420CD">
                  <w:pPr>
                    <w:pStyle w:val="78"/>
                    <w:ind w:firstLine="0" w:firstLineChars="0"/>
                    <w:jc w:val="left"/>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475" w:type="pct"/>
                  <w:shd w:val="clear" w:color="auto" w:fill="auto"/>
                  <w:vAlign w:val="center"/>
                </w:tcPr>
                <w:p w14:paraId="2A30862C">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1、本项目满足《自然资源部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w:t>
                  </w:r>
                  <w:r>
                    <w:rPr>
                      <w:rFonts w:hint="default" w:ascii="Times New Roman" w:hAnsi="Times New Roman" w:eastAsia="宋体" w:cs="Times New Roman"/>
                      <w:color w:val="auto"/>
                      <w:sz w:val="21"/>
                      <w:szCs w:val="21"/>
                      <w:highlight w:val="none"/>
                      <w:shd w:val="clear" w:color="auto" w:fill="auto"/>
                      <w:lang w:val="en-US" w:eastAsia="zh-CN"/>
                    </w:rPr>
                    <w:t>等文件</w:t>
                  </w:r>
                  <w:r>
                    <w:rPr>
                      <w:rFonts w:hint="default" w:ascii="Times New Roman" w:hAnsi="Times New Roman" w:eastAsia="宋体" w:cs="Times New Roman"/>
                      <w:color w:val="auto"/>
                      <w:sz w:val="21"/>
                      <w:szCs w:val="21"/>
                      <w:highlight w:val="none"/>
                      <w:shd w:val="clear" w:color="auto" w:fill="auto"/>
                    </w:rPr>
                    <w:t>要求；</w:t>
                  </w:r>
                </w:p>
                <w:p w14:paraId="5D0CBDB5">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2、本项目不属于排放量大、耗能高、产能过剩的产业；</w:t>
                  </w:r>
                </w:p>
                <w:p w14:paraId="20DE984A">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rPr>
                    <w:t>、本项目位于</w:t>
                  </w:r>
                  <w:r>
                    <w:rPr>
                      <w:rFonts w:hint="default" w:ascii="Times New Roman" w:hAnsi="Times New Roman" w:eastAsia="宋体" w:cs="Times New Roman"/>
                      <w:color w:val="auto"/>
                      <w:sz w:val="21"/>
                      <w:szCs w:val="21"/>
                      <w:highlight w:val="none"/>
                      <w:shd w:val="clear" w:color="auto" w:fill="auto"/>
                      <w:lang w:eastAsia="zh-CN"/>
                    </w:rPr>
                    <w:t>江苏省常州市金坛区</w:t>
                  </w:r>
                  <w:r>
                    <w:rPr>
                      <w:rFonts w:hint="eastAsia" w:ascii="Times New Roman" w:hAnsi="Times New Roman" w:eastAsia="宋体" w:cs="Times New Roman"/>
                      <w:color w:val="auto"/>
                      <w:sz w:val="21"/>
                      <w:szCs w:val="21"/>
                      <w:highlight w:val="none"/>
                      <w:shd w:val="clear" w:color="auto" w:fill="auto"/>
                      <w:lang w:eastAsia="zh-CN"/>
                    </w:rPr>
                    <w:t>晨风路188号</w:t>
                  </w:r>
                  <w:r>
                    <w:rPr>
                      <w:rFonts w:hint="default" w:ascii="Times New Roman" w:hAnsi="Times New Roman" w:eastAsia="宋体" w:cs="Times New Roman"/>
                      <w:color w:val="auto"/>
                      <w:sz w:val="21"/>
                      <w:szCs w:val="21"/>
                      <w:highlight w:val="none"/>
                      <w:shd w:val="clear" w:color="auto" w:fill="auto"/>
                    </w:rPr>
                    <w:t>，不在长江干支流1公里范围内</w:t>
                  </w:r>
                  <w:r>
                    <w:rPr>
                      <w:rFonts w:hint="default" w:ascii="Times New Roman" w:hAnsi="Times New Roman" w:eastAsia="宋体"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lang w:val="en-US" w:eastAsia="zh-CN"/>
                    </w:rPr>
                    <w:t>不在</w:t>
                  </w:r>
                  <w:r>
                    <w:rPr>
                      <w:rFonts w:hint="default" w:ascii="Times New Roman" w:hAnsi="Times New Roman" w:eastAsia="宋体" w:cs="Times New Roman"/>
                      <w:color w:val="auto"/>
                      <w:sz w:val="21"/>
                      <w:szCs w:val="21"/>
                      <w:highlight w:val="none"/>
                      <w:shd w:val="clear" w:color="auto" w:fill="auto"/>
                    </w:rPr>
                    <w:t>长江干流岸线三公里范围内</w:t>
                  </w:r>
                  <w:r>
                    <w:rPr>
                      <w:rFonts w:hint="default" w:ascii="Times New Roman" w:hAnsi="Times New Roman" w:eastAsia="宋体"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lang w:val="en-US" w:eastAsia="zh-CN"/>
                    </w:rPr>
                    <w:t>在</w:t>
                  </w:r>
                  <w:r>
                    <w:rPr>
                      <w:rFonts w:hint="default" w:ascii="Times New Roman" w:hAnsi="Times New Roman" w:eastAsia="宋体" w:cs="Times New Roman"/>
                      <w:color w:val="auto"/>
                      <w:sz w:val="21"/>
                      <w:szCs w:val="21"/>
                      <w:highlight w:val="none"/>
                      <w:shd w:val="clear" w:color="auto" w:fill="auto"/>
                    </w:rPr>
                    <w:t>太湖流域三级保护区内</w:t>
                  </w:r>
                  <w:r>
                    <w:rPr>
                      <w:rFonts w:hint="default" w:ascii="Times New Roman" w:hAnsi="Times New Roman" w:eastAsia="宋体" w:cs="Times New Roman"/>
                      <w:color w:val="auto"/>
                      <w:sz w:val="21"/>
                      <w:szCs w:val="21"/>
                      <w:highlight w:val="none"/>
                      <w:shd w:val="clear" w:color="auto" w:fill="auto"/>
                      <w:lang w:eastAsia="zh-CN"/>
                    </w:rPr>
                    <w:t>。</w:t>
                  </w:r>
                </w:p>
              </w:tc>
              <w:tc>
                <w:tcPr>
                  <w:tcW w:w="423" w:type="pct"/>
                  <w:vAlign w:val="center"/>
                </w:tcPr>
                <w:p w14:paraId="54AA14DE">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相符</w:t>
                  </w:r>
                </w:p>
              </w:tc>
            </w:tr>
            <w:tr w14:paraId="69161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88A29D9">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污染物排放管控</w:t>
                  </w:r>
                </w:p>
              </w:tc>
              <w:tc>
                <w:tcPr>
                  <w:tcW w:w="2655" w:type="pct"/>
                  <w:vAlign w:val="center"/>
                </w:tcPr>
                <w:p w14:paraId="0BAAEE91">
                  <w:pPr>
                    <w:pStyle w:val="78"/>
                    <w:ind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1．坚持生态环境质量只能更好、不能变坏，实施污染物总量控制，以环境容量定产业、定项目、定规模，确保开发建设行为不突破生态环境承载力。</w:t>
                  </w:r>
                </w:p>
                <w:p w14:paraId="25B55765">
                  <w:pPr>
                    <w:pStyle w:val="78"/>
                    <w:ind w:firstLine="0" w:firstLineChars="0"/>
                    <w:jc w:val="left"/>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475" w:type="pct"/>
                  <w:shd w:val="clear" w:color="auto" w:fill="auto"/>
                  <w:vAlign w:val="center"/>
                </w:tcPr>
                <w:p w14:paraId="4C1C1137">
                  <w:pPr>
                    <w:keepNext w:val="0"/>
                    <w:keepLines w:val="0"/>
                    <w:pageBreakBefore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rPr>
                    <w:t>本项目</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bCs/>
                      <w:color w:val="auto"/>
                      <w:sz w:val="21"/>
                      <w:szCs w:val="21"/>
                      <w:highlight w:val="none"/>
                      <w:shd w:val="clear" w:color="auto" w:fill="auto"/>
                    </w:rPr>
                    <w:t>生活污水</w:t>
                  </w:r>
                  <w:r>
                    <w:rPr>
                      <w:rFonts w:hint="default" w:ascii="Times New Roman" w:hAnsi="Times New Roman" w:eastAsia="宋体" w:cs="Times New Roman"/>
                      <w:bCs/>
                      <w:color w:val="auto"/>
                      <w:sz w:val="21"/>
                      <w:szCs w:val="21"/>
                      <w:highlight w:val="none"/>
                      <w:shd w:val="clear" w:color="auto" w:fill="auto"/>
                      <w:lang w:val="en-US" w:eastAsia="zh-CN"/>
                    </w:rPr>
                    <w:t>接管至</w:t>
                  </w:r>
                  <w:r>
                    <w:rPr>
                      <w:rFonts w:hint="default" w:ascii="Times New Roman" w:hAnsi="Times New Roman" w:eastAsia="宋体" w:cs="Times New Roman"/>
                      <w:bCs/>
                      <w:color w:val="auto"/>
                      <w:sz w:val="21"/>
                      <w:szCs w:val="21"/>
                      <w:highlight w:val="none"/>
                      <w:shd w:val="clear" w:color="auto" w:fill="auto"/>
                    </w:rPr>
                    <w:t>常州市金坛区第二污水处理厂集中处理，总量在污水处理厂内平衡</w:t>
                  </w:r>
                  <w:r>
                    <w:rPr>
                      <w:rFonts w:hint="default" w:ascii="Times New Roman" w:hAnsi="Times New Roman" w:eastAsia="宋体" w:cs="Times New Roman"/>
                      <w:bCs/>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shd w:val="clear" w:color="auto" w:fill="auto"/>
                      <w:lang w:eastAsia="zh-CN"/>
                    </w:rPr>
                    <w:t>本项目破碎粉尘经设备自带的布袋除尘器处理后车间无组织排放，调墨、印刷、复合、熟化、清洗废气各自收集后通过一套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二级活性炭处理，经1根18m高的排气筒1#排放，吹膜、制袋废气各自收集后通过一套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#排放。</w:t>
                  </w:r>
                  <w:r>
                    <w:rPr>
                      <w:rFonts w:hint="default" w:ascii="Times New Roman" w:hAnsi="Times New Roman" w:eastAsia="宋体" w:cs="Times New Roman"/>
                      <w:bCs/>
                      <w:color w:val="auto"/>
                      <w:sz w:val="21"/>
                      <w:szCs w:val="21"/>
                      <w:highlight w:val="none"/>
                      <w:shd w:val="clear" w:color="auto" w:fill="auto"/>
                      <w:lang w:eastAsia="zh-CN"/>
                    </w:rPr>
                    <w:t>对周围环境影响较小。</w:t>
                  </w:r>
                </w:p>
              </w:tc>
              <w:tc>
                <w:tcPr>
                  <w:tcW w:w="423" w:type="pct"/>
                  <w:vAlign w:val="center"/>
                </w:tcPr>
                <w:p w14:paraId="02907A8C">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相符</w:t>
                  </w:r>
                </w:p>
              </w:tc>
            </w:tr>
            <w:tr w14:paraId="19B7B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181FD61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环境风险防控</w:t>
                  </w:r>
                </w:p>
              </w:tc>
              <w:tc>
                <w:tcPr>
                  <w:tcW w:w="2655" w:type="pct"/>
                  <w:vAlign w:val="center"/>
                </w:tcPr>
                <w:p w14:paraId="480C4E2D">
                  <w:pPr>
                    <w:pStyle w:val="78"/>
                    <w:ind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1．强化饮用水水源环境风险管控。县级以上城市全部建成应急水源或双源供水。</w:t>
                  </w:r>
                </w:p>
                <w:p w14:paraId="3B226277">
                  <w:pPr>
                    <w:pStyle w:val="78"/>
                    <w:ind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77DA331F">
                  <w:pPr>
                    <w:pStyle w:val="78"/>
                    <w:ind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3．强化环境事故应急管理。深化跨部门、跨区域环境应急协调联动，分区域建立环境应急物资储备库。各级工业园区（集聚区）和企业的环境应急装备和储备物资应纳入储备体系。</w:t>
                  </w:r>
                </w:p>
                <w:p w14:paraId="6309624E">
                  <w:pPr>
                    <w:pStyle w:val="78"/>
                    <w:ind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强化环境风险防控能力建设。按照统一信息平台、统一监管力度、统一应急等级、协同应急救援的思路，在沿江发展带、沿海发展带、环太湖等地区构建区域性环境风险预警应急响应机制，实施区域突发环境风险预警联防联</w:t>
                  </w:r>
                </w:p>
                <w:p w14:paraId="51501417">
                  <w:pPr>
                    <w:pStyle w:val="78"/>
                    <w:ind w:firstLine="0" w:firstLineChars="0"/>
                    <w:jc w:val="left"/>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控。</w:t>
                  </w:r>
                </w:p>
              </w:tc>
              <w:tc>
                <w:tcPr>
                  <w:tcW w:w="1475" w:type="pct"/>
                  <w:shd w:val="clear" w:color="auto" w:fill="auto"/>
                  <w:vAlign w:val="center"/>
                </w:tcPr>
                <w:p w14:paraId="2B7E9B72">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rPr>
                    <w:t>本项目危险废物暂存于危废仓库中，危废仓库符合《危险废物贮存污染控制标准》（GB18597-2023），并委托有资质单位定期处理危废；危废的管理过程将在“江苏省危险废物全生命周期监控系统”中体现</w:t>
                  </w:r>
                  <w:r>
                    <w:rPr>
                      <w:rFonts w:hint="default" w:ascii="Times New Roman" w:hAnsi="Times New Roman" w:eastAsia="宋体" w:cs="Times New Roman"/>
                      <w:bCs/>
                      <w:color w:val="auto"/>
                      <w:sz w:val="21"/>
                      <w:szCs w:val="21"/>
                      <w:highlight w:val="none"/>
                      <w:shd w:val="clear" w:color="auto" w:fill="auto"/>
                      <w:lang w:eastAsia="zh-CN"/>
                    </w:rPr>
                    <w:t>。</w:t>
                  </w:r>
                  <w:r>
                    <w:rPr>
                      <w:rFonts w:hint="default" w:ascii="Times New Roman" w:hAnsi="Times New Roman" w:eastAsia="宋体" w:cs="Times New Roman"/>
                      <w:bCs/>
                      <w:color w:val="auto"/>
                      <w:sz w:val="21"/>
                      <w:szCs w:val="21"/>
                      <w:highlight w:val="none"/>
                      <w:shd w:val="clear" w:color="auto" w:fill="auto"/>
                      <w:lang w:val="en-US" w:eastAsia="zh-CN"/>
                    </w:rPr>
                    <w:t>企业建设</w:t>
                  </w:r>
                  <w:r>
                    <w:rPr>
                      <w:rFonts w:hint="eastAsia" w:ascii="Times New Roman" w:hAnsi="Times New Roman" w:eastAsia="宋体" w:cs="Times New Roman"/>
                      <w:bCs/>
                      <w:color w:val="auto"/>
                      <w:sz w:val="21"/>
                      <w:szCs w:val="21"/>
                      <w:highlight w:val="none"/>
                      <w:shd w:val="clear" w:color="auto" w:fill="auto"/>
                      <w:lang w:val="en-US" w:eastAsia="zh-CN"/>
                    </w:rPr>
                    <w:t>2</w:t>
                  </w:r>
                  <w:r>
                    <w:rPr>
                      <w:rFonts w:hint="default" w:ascii="Times New Roman" w:hAnsi="Times New Roman" w:eastAsia="宋体" w:cs="Times New Roman"/>
                      <w:bCs/>
                      <w:color w:val="auto"/>
                      <w:sz w:val="21"/>
                      <w:szCs w:val="21"/>
                      <w:highlight w:val="none"/>
                      <w:shd w:val="clear" w:color="auto" w:fill="auto"/>
                      <w:lang w:val="en-US" w:eastAsia="zh-CN"/>
                    </w:rPr>
                    <w:t>0m³事故应急池，并配套安装阀门。</w:t>
                  </w:r>
                </w:p>
              </w:tc>
              <w:tc>
                <w:tcPr>
                  <w:tcW w:w="423" w:type="pct"/>
                  <w:vAlign w:val="center"/>
                </w:tcPr>
                <w:p w14:paraId="0420E78B">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相符</w:t>
                  </w:r>
                </w:p>
              </w:tc>
            </w:tr>
            <w:tr w14:paraId="238FC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 w:type="pct"/>
                  <w:vAlign w:val="center"/>
                </w:tcPr>
                <w:p w14:paraId="5F64EEE7">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资源利用效率要求</w:t>
                  </w:r>
                </w:p>
              </w:tc>
              <w:tc>
                <w:tcPr>
                  <w:tcW w:w="2655" w:type="pct"/>
                  <w:vAlign w:val="center"/>
                </w:tcPr>
                <w:p w14:paraId="22BBCAC2">
                  <w:pPr>
                    <w:pStyle w:val="78"/>
                    <w:ind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1．水资源利用总量及效率要求：到2025年，全省用水总量控制在525.9亿立方米以内，万元地区生产总值用水量、万元工业增加值用水量下降完成国家下达目标，农田灌溉水有效利用系数提高到0.625。</w:t>
                  </w:r>
                </w:p>
                <w:p w14:paraId="2090E394">
                  <w:pPr>
                    <w:pStyle w:val="78"/>
                    <w:ind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2．土地资源总量要求：到2025年，江苏省耕地保有量不低于5977万亩，其中永久基本农田保护面积不低于5344万亩。</w:t>
                  </w:r>
                </w:p>
                <w:p w14:paraId="0A89EAF8">
                  <w:pPr>
                    <w:pStyle w:val="78"/>
                    <w:ind w:firstLine="0" w:firstLineChars="0"/>
                    <w:jc w:val="left"/>
                    <w:rPr>
                      <w:rFonts w:hint="default" w:ascii="Times New Roman" w:hAnsi="Times New Roman" w:eastAsia="宋体" w:cs="Times New Roman"/>
                      <w:bCs/>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3．禁燃区要求：在禁燃区内，禁止销售、燃用高污染燃料；禁止新建、扩建燃用高污染燃料的设施，已建成的，应当在城市人民政府规定的期限内改用天然气、页岩气、液化石油气、电或者其他清洁能源</w:t>
                  </w:r>
                  <w:r>
                    <w:rPr>
                      <w:rFonts w:hint="default" w:ascii="Times New Roman" w:hAnsi="Times New Roman" w:eastAsia="宋体" w:cs="Times New Roman"/>
                      <w:color w:val="auto"/>
                      <w:sz w:val="21"/>
                      <w:szCs w:val="21"/>
                      <w:highlight w:val="none"/>
                      <w:shd w:val="clear" w:color="auto" w:fill="auto"/>
                      <w:lang w:eastAsia="zh-CN"/>
                    </w:rPr>
                    <w:t>。</w:t>
                  </w:r>
                </w:p>
              </w:tc>
              <w:tc>
                <w:tcPr>
                  <w:tcW w:w="1475" w:type="pct"/>
                  <w:shd w:val="clear" w:color="auto" w:fill="auto"/>
                  <w:vAlign w:val="center"/>
                </w:tcPr>
                <w:p w14:paraId="6115B18D">
                  <w:pPr>
                    <w:pStyle w:val="2"/>
                    <w:keepNext w:val="0"/>
                    <w:keepLines w:val="0"/>
                    <w:pageBreakBefore w:val="0"/>
                    <w:kinsoku/>
                    <w:wordWrap/>
                    <w:overflowPunct/>
                    <w:topLinePunct w:val="0"/>
                    <w:autoSpaceDE/>
                    <w:autoSpaceDN/>
                    <w:bidi w:val="0"/>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rPr>
                    <w:t>本项目使用的主要能源为电能</w:t>
                  </w:r>
                </w:p>
              </w:tc>
              <w:tc>
                <w:tcPr>
                  <w:tcW w:w="423" w:type="pct"/>
                  <w:vAlign w:val="center"/>
                </w:tcPr>
                <w:p w14:paraId="13E6EC59">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相符</w:t>
                  </w:r>
                </w:p>
              </w:tc>
            </w:tr>
          </w:tbl>
          <w:p w14:paraId="6874F7DA">
            <w:pPr>
              <w:tabs>
                <w:tab w:val="left" w:pos="6510"/>
              </w:tabs>
              <w:adjustRightInd w:val="0"/>
              <w:snapToGrid w:val="0"/>
              <w:jc w:val="center"/>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t>表</w:t>
            </w:r>
            <w:r>
              <w:rPr>
                <w:rFonts w:hint="default" w:ascii="Times New Roman" w:hAnsi="Times New Roman" w:eastAsia="宋体" w:cs="Times New Roman"/>
                <w:b/>
                <w:bCs/>
                <w:color w:val="auto"/>
                <w:sz w:val="24"/>
                <w:szCs w:val="24"/>
                <w:highlight w:val="none"/>
                <w:shd w:val="clear" w:color="auto" w:fill="auto"/>
                <w:lang w:val="en-US" w:eastAsia="zh-CN"/>
              </w:rPr>
              <w:t>1-</w:t>
            </w:r>
            <w:r>
              <w:rPr>
                <w:rFonts w:hint="eastAsia" w:ascii="Times New Roman" w:hAnsi="Times New Roman" w:eastAsia="宋体" w:cs="Times New Roman"/>
                <w:b/>
                <w:bCs/>
                <w:color w:val="auto"/>
                <w:sz w:val="24"/>
                <w:szCs w:val="24"/>
                <w:highlight w:val="none"/>
                <w:shd w:val="clear" w:color="auto" w:fill="auto"/>
                <w:lang w:val="en-US" w:eastAsia="zh-CN"/>
              </w:rPr>
              <w:t>4</w:t>
            </w:r>
            <w:r>
              <w:rPr>
                <w:rFonts w:hint="default" w:ascii="Times New Roman" w:hAnsi="Times New Roman" w:eastAsia="宋体" w:cs="Times New Roman"/>
                <w:b/>
                <w:bCs/>
                <w:color w:val="auto"/>
                <w:sz w:val="24"/>
                <w:szCs w:val="24"/>
                <w:highlight w:val="none"/>
                <w:shd w:val="clear" w:color="auto" w:fill="auto"/>
              </w:rPr>
              <w:t xml:space="preserve">  与优先管控单元的位置关系一览表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063"/>
              <w:gridCol w:w="1975"/>
              <w:gridCol w:w="1523"/>
              <w:gridCol w:w="1846"/>
            </w:tblGrid>
            <w:tr w14:paraId="5FAEE5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821" w:type="pct"/>
                  <w:tcBorders>
                    <w:tl2br w:val="nil"/>
                    <w:tr2bl w:val="nil"/>
                  </w:tcBorders>
                  <w:tcMar>
                    <w:top w:w="0" w:type="dxa"/>
                    <w:left w:w="0" w:type="dxa"/>
                    <w:bottom w:w="0" w:type="dxa"/>
                    <w:right w:w="0" w:type="dxa"/>
                  </w:tcMar>
                  <w:vAlign w:val="center"/>
                </w:tcPr>
                <w:p w14:paraId="41639A58">
                  <w:pPr>
                    <w:adjustRightInd w:val="0"/>
                    <w:snapToGrid w:val="0"/>
                    <w:jc w:val="center"/>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管控单元名称</w:t>
                  </w:r>
                </w:p>
              </w:tc>
              <w:tc>
                <w:tcPr>
                  <w:tcW w:w="1174" w:type="pct"/>
                  <w:tcBorders>
                    <w:tl2br w:val="nil"/>
                    <w:tr2bl w:val="nil"/>
                  </w:tcBorders>
                  <w:tcMar>
                    <w:top w:w="0" w:type="dxa"/>
                    <w:left w:w="0" w:type="dxa"/>
                    <w:bottom w:w="0" w:type="dxa"/>
                    <w:right w:w="0" w:type="dxa"/>
                  </w:tcMar>
                  <w:vAlign w:val="center"/>
                </w:tcPr>
                <w:p w14:paraId="57BEB108">
                  <w:pPr>
                    <w:adjustRightInd w:val="0"/>
                    <w:snapToGrid w:val="0"/>
                    <w:jc w:val="center"/>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环境管控单元编码</w:t>
                  </w:r>
                </w:p>
              </w:tc>
              <w:tc>
                <w:tcPr>
                  <w:tcW w:w="905" w:type="pct"/>
                  <w:tcBorders>
                    <w:tl2br w:val="nil"/>
                    <w:tr2bl w:val="nil"/>
                  </w:tcBorders>
                  <w:tcMar>
                    <w:top w:w="0" w:type="dxa"/>
                    <w:left w:w="0" w:type="dxa"/>
                    <w:bottom w:w="0" w:type="dxa"/>
                    <w:right w:w="0" w:type="dxa"/>
                  </w:tcMar>
                  <w:vAlign w:val="center"/>
                </w:tcPr>
                <w:p w14:paraId="744BCD5D">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相对厂址方位</w:t>
                  </w:r>
                </w:p>
              </w:tc>
              <w:tc>
                <w:tcPr>
                  <w:tcW w:w="1097" w:type="pct"/>
                  <w:tcBorders>
                    <w:tl2br w:val="nil"/>
                    <w:tr2bl w:val="nil"/>
                  </w:tcBorders>
                  <w:tcMar>
                    <w:top w:w="0" w:type="dxa"/>
                    <w:left w:w="0" w:type="dxa"/>
                    <w:bottom w:w="0" w:type="dxa"/>
                    <w:right w:w="0" w:type="dxa"/>
                  </w:tcMar>
                  <w:vAlign w:val="center"/>
                </w:tcPr>
                <w:p w14:paraId="0E21F169">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相对厂界最近距离</w:t>
                  </w:r>
                </w:p>
              </w:tc>
            </w:tr>
            <w:tr w14:paraId="124F5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 w:hRule="atLeast"/>
                <w:jc w:val="center"/>
              </w:trPr>
              <w:tc>
                <w:tcPr>
                  <w:tcW w:w="1821" w:type="pct"/>
                  <w:tcBorders>
                    <w:tl2br w:val="nil"/>
                    <w:tr2bl w:val="nil"/>
                  </w:tcBorders>
                  <w:tcMar>
                    <w:top w:w="0" w:type="dxa"/>
                    <w:left w:w="0" w:type="dxa"/>
                    <w:bottom w:w="0" w:type="dxa"/>
                    <w:right w:w="0" w:type="dxa"/>
                  </w:tcMar>
                  <w:vAlign w:val="center"/>
                </w:tcPr>
                <w:p w14:paraId="19891076">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钱资荡重要湿地</w:t>
                  </w:r>
                </w:p>
              </w:tc>
              <w:tc>
                <w:tcPr>
                  <w:tcW w:w="1174" w:type="pct"/>
                  <w:tcBorders>
                    <w:tl2br w:val="nil"/>
                    <w:tr2bl w:val="nil"/>
                  </w:tcBorders>
                  <w:tcMar>
                    <w:top w:w="0" w:type="dxa"/>
                    <w:left w:w="0" w:type="dxa"/>
                    <w:bottom w:w="0" w:type="dxa"/>
                    <w:right w:w="0" w:type="dxa"/>
                  </w:tcMar>
                  <w:vAlign w:val="center"/>
                </w:tcPr>
                <w:p w14:paraId="58CFD98E">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ZH32041310020</w:t>
                  </w:r>
                </w:p>
              </w:tc>
              <w:tc>
                <w:tcPr>
                  <w:tcW w:w="905" w:type="pct"/>
                  <w:tcBorders>
                    <w:tl2br w:val="nil"/>
                    <w:tr2bl w:val="nil"/>
                  </w:tcBorders>
                  <w:tcMar>
                    <w:top w:w="0" w:type="dxa"/>
                    <w:left w:w="0" w:type="dxa"/>
                    <w:bottom w:w="0" w:type="dxa"/>
                    <w:right w:w="0" w:type="dxa"/>
                  </w:tcMar>
                  <w:vAlign w:val="center"/>
                </w:tcPr>
                <w:p w14:paraId="6477ADDA">
                  <w:pPr>
                    <w:spacing w:line="240" w:lineRule="exac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SW</w:t>
                  </w:r>
                </w:p>
              </w:tc>
              <w:tc>
                <w:tcPr>
                  <w:tcW w:w="1097" w:type="pct"/>
                  <w:tcBorders>
                    <w:tl2br w:val="nil"/>
                    <w:tr2bl w:val="nil"/>
                  </w:tcBorders>
                  <w:tcMar>
                    <w:top w:w="0" w:type="dxa"/>
                    <w:left w:w="0" w:type="dxa"/>
                    <w:bottom w:w="0" w:type="dxa"/>
                    <w:right w:w="0" w:type="dxa"/>
                  </w:tcMar>
                  <w:vAlign w:val="center"/>
                </w:tcPr>
                <w:p w14:paraId="6A1557EE">
                  <w:pPr>
                    <w:spacing w:line="240" w:lineRule="exac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w:t>
                  </w:r>
                  <w:r>
                    <w:rPr>
                      <w:rFonts w:hint="default" w:ascii="Times New Roman" w:hAnsi="Times New Roman" w:eastAsia="宋体" w:cs="Times New Roman"/>
                      <w:color w:val="auto"/>
                      <w:sz w:val="21"/>
                      <w:szCs w:val="21"/>
                      <w:highlight w:val="none"/>
                      <w:shd w:val="clear" w:color="auto" w:fill="auto"/>
                      <w:lang w:val="en-US" w:eastAsia="zh-CN"/>
                    </w:rPr>
                    <w:t>.2km</w:t>
                  </w:r>
                </w:p>
              </w:tc>
            </w:tr>
            <w:tr w14:paraId="113B8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21" w:type="pct"/>
                  <w:tcBorders>
                    <w:tl2br w:val="nil"/>
                    <w:tr2bl w:val="nil"/>
                  </w:tcBorders>
                  <w:tcMar>
                    <w:top w:w="0" w:type="dxa"/>
                    <w:left w:w="0" w:type="dxa"/>
                    <w:bottom w:w="0" w:type="dxa"/>
                    <w:right w:w="0" w:type="dxa"/>
                  </w:tcMar>
                  <w:vAlign w:val="center"/>
                </w:tcPr>
                <w:p w14:paraId="0E17DE05">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丹金溧漕河（金坛区）洪水调蓄区</w:t>
                  </w:r>
                </w:p>
              </w:tc>
              <w:tc>
                <w:tcPr>
                  <w:tcW w:w="1174" w:type="pct"/>
                  <w:tcBorders>
                    <w:tl2br w:val="nil"/>
                    <w:tr2bl w:val="nil"/>
                  </w:tcBorders>
                  <w:tcMar>
                    <w:top w:w="0" w:type="dxa"/>
                    <w:left w:w="0" w:type="dxa"/>
                    <w:bottom w:w="0" w:type="dxa"/>
                    <w:right w:w="0" w:type="dxa"/>
                  </w:tcMar>
                  <w:vAlign w:val="center"/>
                </w:tcPr>
                <w:p w14:paraId="786CB2BD">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ZH32041310016</w:t>
                  </w:r>
                </w:p>
              </w:tc>
              <w:tc>
                <w:tcPr>
                  <w:tcW w:w="905" w:type="pct"/>
                  <w:tcBorders>
                    <w:tl2br w:val="nil"/>
                    <w:tr2bl w:val="nil"/>
                  </w:tcBorders>
                  <w:shd w:val="clear" w:color="auto" w:fill="auto"/>
                  <w:tcMar>
                    <w:top w:w="0" w:type="dxa"/>
                    <w:left w:w="0" w:type="dxa"/>
                    <w:bottom w:w="0" w:type="dxa"/>
                    <w:right w:w="0" w:type="dxa"/>
                  </w:tcMar>
                  <w:vAlign w:val="center"/>
                </w:tcPr>
                <w:p w14:paraId="4D27D119">
                  <w:pPr>
                    <w:spacing w:line="24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w:t>
                  </w:r>
                </w:p>
              </w:tc>
              <w:tc>
                <w:tcPr>
                  <w:tcW w:w="1097" w:type="pct"/>
                  <w:tcBorders>
                    <w:tl2br w:val="nil"/>
                    <w:tr2bl w:val="nil"/>
                  </w:tcBorders>
                  <w:shd w:val="clear" w:color="auto" w:fill="auto"/>
                  <w:tcMar>
                    <w:top w:w="0" w:type="dxa"/>
                    <w:left w:w="0" w:type="dxa"/>
                    <w:bottom w:w="0" w:type="dxa"/>
                    <w:right w:w="0" w:type="dxa"/>
                  </w:tcMar>
                  <w:vAlign w:val="center"/>
                </w:tcPr>
                <w:p w14:paraId="2D841EDB">
                  <w:pPr>
                    <w:spacing w:line="24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lang w:val="en-US" w:eastAsia="zh-CN"/>
                    </w:rPr>
                    <w:t>2km</w:t>
                  </w:r>
                </w:p>
              </w:tc>
            </w:tr>
            <w:tr w14:paraId="5FF75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21" w:type="pct"/>
                  <w:tcBorders>
                    <w:tl2br w:val="nil"/>
                    <w:tr2bl w:val="nil"/>
                  </w:tcBorders>
                  <w:tcMar>
                    <w:top w:w="0" w:type="dxa"/>
                    <w:left w:w="0" w:type="dxa"/>
                    <w:bottom w:w="0" w:type="dxa"/>
                    <w:right w:w="0" w:type="dxa"/>
                  </w:tcMar>
                  <w:vAlign w:val="center"/>
                </w:tcPr>
                <w:p w14:paraId="709362E2">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天荒湖重要渔业水域</w:t>
                  </w:r>
                </w:p>
              </w:tc>
              <w:tc>
                <w:tcPr>
                  <w:tcW w:w="1174" w:type="pct"/>
                  <w:tcBorders>
                    <w:tl2br w:val="nil"/>
                    <w:tr2bl w:val="nil"/>
                  </w:tcBorders>
                  <w:tcMar>
                    <w:top w:w="0" w:type="dxa"/>
                    <w:left w:w="0" w:type="dxa"/>
                    <w:bottom w:w="0" w:type="dxa"/>
                    <w:right w:w="0" w:type="dxa"/>
                  </w:tcMar>
                  <w:vAlign w:val="center"/>
                </w:tcPr>
                <w:p w14:paraId="41D6D770">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ZH32041310018</w:t>
                  </w:r>
                </w:p>
              </w:tc>
              <w:tc>
                <w:tcPr>
                  <w:tcW w:w="905" w:type="pct"/>
                  <w:tcBorders>
                    <w:tl2br w:val="nil"/>
                    <w:tr2bl w:val="nil"/>
                  </w:tcBorders>
                  <w:tcMar>
                    <w:top w:w="0" w:type="dxa"/>
                    <w:left w:w="0" w:type="dxa"/>
                    <w:bottom w:w="0" w:type="dxa"/>
                    <w:right w:w="0" w:type="dxa"/>
                  </w:tcMar>
                  <w:vAlign w:val="center"/>
                </w:tcPr>
                <w:p w14:paraId="087FD834">
                  <w:pPr>
                    <w:adjustRightInd w:val="0"/>
                    <w:snapToGrid w:val="0"/>
                    <w:jc w:val="center"/>
                    <w:rPr>
                      <w:rFonts w:hint="default" w:ascii="Times New Roman" w:hAnsi="Times New Roman" w:eastAsia="宋体" w:cs="Times New Roman"/>
                      <w:color w:val="auto"/>
                      <w:sz w:val="21"/>
                      <w:szCs w:val="21"/>
                      <w:highlight w:val="none"/>
                      <w:shd w:val="clear" w:color="auto" w:fill="auto"/>
                      <w:lang w:val="en-US"/>
                    </w:rPr>
                  </w:pPr>
                  <w:r>
                    <w:rPr>
                      <w:rFonts w:hint="default" w:ascii="Times New Roman" w:hAnsi="Times New Roman" w:eastAsia="宋体" w:cs="Times New Roman"/>
                      <w:color w:val="auto"/>
                      <w:sz w:val="21"/>
                      <w:szCs w:val="21"/>
                      <w:highlight w:val="none"/>
                      <w:shd w:val="clear" w:color="auto" w:fill="auto"/>
                      <w:lang w:val="en-US" w:eastAsia="zh-CN"/>
                    </w:rPr>
                    <w:t>NW</w:t>
                  </w:r>
                </w:p>
              </w:tc>
              <w:tc>
                <w:tcPr>
                  <w:tcW w:w="1097" w:type="pct"/>
                  <w:tcBorders>
                    <w:tl2br w:val="nil"/>
                    <w:tr2bl w:val="nil"/>
                  </w:tcBorders>
                  <w:tcMar>
                    <w:top w:w="0" w:type="dxa"/>
                    <w:left w:w="0" w:type="dxa"/>
                    <w:bottom w:w="0" w:type="dxa"/>
                    <w:right w:w="0" w:type="dxa"/>
                  </w:tcMar>
                  <w:vAlign w:val="center"/>
                </w:tcPr>
                <w:p w14:paraId="13EE8CD2">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7.1</w:t>
                  </w:r>
                  <w:r>
                    <w:rPr>
                      <w:rFonts w:hint="default" w:ascii="Times New Roman" w:hAnsi="Times New Roman" w:eastAsia="宋体" w:cs="Times New Roman"/>
                      <w:color w:val="auto"/>
                      <w:sz w:val="21"/>
                      <w:szCs w:val="21"/>
                      <w:highlight w:val="none"/>
                      <w:shd w:val="clear" w:color="auto" w:fill="auto"/>
                      <w:lang w:val="en-US" w:eastAsia="zh-CN"/>
                    </w:rPr>
                    <w:t>km</w:t>
                  </w:r>
                </w:p>
              </w:tc>
            </w:tr>
            <w:tr w14:paraId="28FCE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21" w:type="pct"/>
                  <w:tcBorders>
                    <w:tl2br w:val="nil"/>
                    <w:tr2bl w:val="nil"/>
                  </w:tcBorders>
                  <w:tcMar>
                    <w:top w:w="0" w:type="dxa"/>
                    <w:left w:w="0" w:type="dxa"/>
                    <w:bottom w:w="0" w:type="dxa"/>
                    <w:right w:w="0" w:type="dxa"/>
                  </w:tcMar>
                  <w:vAlign w:val="center"/>
                </w:tcPr>
                <w:p w14:paraId="1ECE771E">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江苏金坛长荡湖国家湿地公园</w:t>
                  </w:r>
                </w:p>
              </w:tc>
              <w:tc>
                <w:tcPr>
                  <w:tcW w:w="1174" w:type="pct"/>
                  <w:tcBorders>
                    <w:tl2br w:val="nil"/>
                    <w:tr2bl w:val="nil"/>
                  </w:tcBorders>
                  <w:tcMar>
                    <w:top w:w="0" w:type="dxa"/>
                    <w:left w:w="0" w:type="dxa"/>
                    <w:bottom w:w="0" w:type="dxa"/>
                    <w:right w:w="0" w:type="dxa"/>
                  </w:tcMar>
                  <w:vAlign w:val="center"/>
                </w:tcPr>
                <w:p w14:paraId="39B850F8">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ZH32041310001</w:t>
                  </w:r>
                </w:p>
              </w:tc>
              <w:tc>
                <w:tcPr>
                  <w:tcW w:w="905" w:type="pct"/>
                  <w:tcBorders>
                    <w:tl2br w:val="nil"/>
                    <w:tr2bl w:val="nil"/>
                  </w:tcBorders>
                  <w:tcMar>
                    <w:top w:w="0" w:type="dxa"/>
                    <w:left w:w="0" w:type="dxa"/>
                    <w:bottom w:w="0" w:type="dxa"/>
                    <w:right w:w="0" w:type="dxa"/>
                  </w:tcMar>
                  <w:vAlign w:val="center"/>
                </w:tcPr>
                <w:p w14:paraId="7D31E272">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SW</w:t>
                  </w:r>
                </w:p>
              </w:tc>
              <w:tc>
                <w:tcPr>
                  <w:tcW w:w="1097" w:type="pct"/>
                  <w:tcBorders>
                    <w:tl2br w:val="nil"/>
                    <w:tr2bl w:val="nil"/>
                  </w:tcBorders>
                  <w:tcMar>
                    <w:top w:w="0" w:type="dxa"/>
                    <w:left w:w="0" w:type="dxa"/>
                    <w:bottom w:w="0" w:type="dxa"/>
                    <w:right w:w="0" w:type="dxa"/>
                  </w:tcMar>
                  <w:vAlign w:val="center"/>
                </w:tcPr>
                <w:p w14:paraId="00B13349">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9.5km</w:t>
                  </w:r>
                </w:p>
              </w:tc>
            </w:tr>
          </w:tbl>
          <w:p w14:paraId="48EF3E8C">
            <w:pPr>
              <w:adjustRightInd w:val="0"/>
              <w:snapToGrid w:val="0"/>
              <w:spacing w:line="500" w:lineRule="exact"/>
              <w:ind w:firstLine="480"/>
              <w:rPr>
                <w:rFonts w:hint="default" w:ascii="Times New Roman" w:hAnsi="Times New Roman" w:eastAsia="宋体" w:cs="Times New Roman"/>
                <w:color w:val="auto"/>
                <w:kern w:val="0"/>
                <w:sz w:val="24"/>
                <w:szCs w:val="24"/>
                <w:highlight w:val="none"/>
                <w:shd w:val="clear" w:color="auto" w:fill="auto"/>
                <w:lang w:val="en-US"/>
              </w:rPr>
            </w:pPr>
            <w:r>
              <w:rPr>
                <w:rFonts w:hint="eastAsia" w:ascii="Times New Roman" w:hAnsi="Times New Roman" w:eastAsia="宋体" w:cs="Times New Roman"/>
                <w:b/>
                <w:bCs/>
                <w:color w:val="auto"/>
                <w:kern w:val="0"/>
                <w:sz w:val="24"/>
                <w:szCs w:val="24"/>
                <w:highlight w:val="none"/>
                <w:shd w:val="clear" w:color="auto" w:fill="auto"/>
                <w:lang w:val="en-US" w:eastAsia="zh-CN"/>
              </w:rPr>
              <w:t>5</w:t>
            </w:r>
            <w:r>
              <w:rPr>
                <w:rFonts w:hint="default" w:ascii="Times New Roman" w:hAnsi="Times New Roman" w:eastAsia="宋体" w:cs="Times New Roman"/>
                <w:b/>
                <w:bCs/>
                <w:color w:val="auto"/>
                <w:kern w:val="0"/>
                <w:sz w:val="24"/>
                <w:szCs w:val="24"/>
                <w:highlight w:val="none"/>
                <w:shd w:val="clear" w:color="auto" w:fill="auto"/>
                <w:lang w:val="en-US" w:eastAsia="zh-CN"/>
              </w:rPr>
              <w:t>、“</w:t>
            </w:r>
            <w:r>
              <w:rPr>
                <w:rFonts w:hint="default" w:ascii="Times New Roman" w:hAnsi="Times New Roman" w:eastAsia="宋体" w:cs="Times New Roman"/>
                <w:b/>
                <w:bCs/>
                <w:color w:val="auto"/>
                <w:kern w:val="0"/>
                <w:sz w:val="24"/>
                <w:szCs w:val="24"/>
                <w:highlight w:val="none"/>
                <w:shd w:val="clear" w:color="auto" w:fill="auto"/>
                <w:lang w:eastAsia="zh-CN"/>
              </w:rPr>
              <w:t>常州市生态环境分区管控</w:t>
            </w:r>
            <w:r>
              <w:rPr>
                <w:rFonts w:hint="default" w:ascii="Times New Roman" w:hAnsi="Times New Roman" w:eastAsia="宋体" w:cs="Times New Roman"/>
                <w:b/>
                <w:bCs/>
                <w:color w:val="auto"/>
                <w:kern w:val="0"/>
                <w:sz w:val="24"/>
                <w:szCs w:val="24"/>
                <w:highlight w:val="none"/>
                <w:shd w:val="clear" w:color="auto" w:fill="auto"/>
                <w:lang w:val="en-US" w:eastAsia="zh-CN"/>
              </w:rPr>
              <w:t>”符合性分析</w:t>
            </w:r>
          </w:p>
          <w:p w14:paraId="3C0CD948">
            <w:pPr>
              <w:adjustRightInd w:val="0"/>
              <w:snapToGrid w:val="0"/>
              <w:spacing w:line="500" w:lineRule="exact"/>
              <w:ind w:firstLine="480"/>
              <w:rPr>
                <w:rFonts w:hint="default" w:ascii="Times New Roman" w:hAnsi="Times New Roman" w:eastAsia="宋体" w:cs="Times New Roman"/>
                <w:b/>
                <w:color w:val="auto"/>
                <w:kern w:val="0"/>
                <w:sz w:val="24"/>
                <w:szCs w:val="24"/>
                <w:highlight w:val="none"/>
                <w:shd w:val="clear" w:color="auto" w:fill="auto"/>
              </w:rPr>
            </w:pPr>
            <w:bookmarkStart w:id="0" w:name="OLE_LINK4"/>
            <w:r>
              <w:rPr>
                <w:rFonts w:hint="default" w:ascii="Times New Roman" w:hAnsi="Times New Roman" w:eastAsia="宋体" w:cs="Times New Roman"/>
                <w:color w:val="auto"/>
                <w:kern w:val="0"/>
                <w:sz w:val="24"/>
                <w:szCs w:val="24"/>
                <w:highlight w:val="none"/>
                <w:shd w:val="clear" w:color="auto" w:fill="auto"/>
              </w:rPr>
              <w:t>本项目位于</w:t>
            </w:r>
            <w:r>
              <w:rPr>
                <w:rFonts w:hint="default" w:ascii="Times New Roman" w:hAnsi="Times New Roman" w:eastAsia="宋体" w:cs="Times New Roman"/>
                <w:color w:val="auto"/>
                <w:kern w:val="0"/>
                <w:sz w:val="24"/>
                <w:szCs w:val="24"/>
                <w:highlight w:val="none"/>
                <w:shd w:val="clear" w:color="auto" w:fill="auto"/>
                <w:lang w:eastAsia="zh-CN"/>
              </w:rPr>
              <w:t>江苏省常州市金坛区</w:t>
            </w:r>
            <w:r>
              <w:rPr>
                <w:rFonts w:hint="eastAsia" w:ascii="Times New Roman" w:hAnsi="Times New Roman" w:eastAsia="宋体" w:cs="Times New Roman"/>
                <w:color w:val="auto"/>
                <w:kern w:val="0"/>
                <w:sz w:val="24"/>
                <w:szCs w:val="24"/>
                <w:highlight w:val="none"/>
                <w:shd w:val="clear" w:color="auto" w:fill="auto"/>
                <w:lang w:eastAsia="zh-CN"/>
              </w:rPr>
              <w:t>晨风路188号</w:t>
            </w:r>
            <w:r>
              <w:rPr>
                <w:rFonts w:hint="default" w:ascii="Times New Roman" w:hAnsi="Times New Roman" w:eastAsia="宋体" w:cs="Times New Roman"/>
                <w:color w:val="auto"/>
                <w:kern w:val="0"/>
                <w:sz w:val="24"/>
                <w:szCs w:val="24"/>
                <w:highlight w:val="none"/>
                <w:shd w:val="clear" w:color="auto" w:fill="auto"/>
              </w:rPr>
              <w:t>，根据《常州市生态环境分区管控动态更新成果（2023年版）公告》，位于常州市中心城区(金坛区)</w:t>
            </w:r>
            <w:r>
              <w:rPr>
                <w:rFonts w:hint="eastAsia"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属于重点管控单元，</w:t>
            </w:r>
            <w:r>
              <w:rPr>
                <w:rFonts w:hint="default" w:ascii="Times New Roman" w:hAnsi="Times New Roman" w:eastAsia="宋体" w:cs="Times New Roman"/>
                <w:color w:val="auto"/>
                <w:kern w:val="0"/>
                <w:sz w:val="24"/>
                <w:szCs w:val="24"/>
                <w:highlight w:val="none"/>
                <w:shd w:val="clear" w:color="auto" w:fill="auto"/>
              </w:rPr>
              <w:t>具体环境管控单元准入清单见下表。</w:t>
            </w:r>
          </w:p>
          <w:p w14:paraId="458A078E">
            <w:pPr>
              <w:pStyle w:val="77"/>
              <w:spacing w:line="500" w:lineRule="exact"/>
              <w:ind w:firstLine="0" w:firstLineChars="0"/>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表1-</w:t>
            </w:r>
            <w:r>
              <w:rPr>
                <w:rFonts w:hint="eastAsia" w:eastAsia="宋体" w:cs="Times New Roman"/>
                <w:color w:val="auto"/>
                <w:sz w:val="24"/>
                <w:szCs w:val="24"/>
                <w:highlight w:val="none"/>
                <w:shd w:val="clear" w:color="auto" w:fill="auto"/>
                <w:lang w:val="en-US" w:eastAsia="zh-CN"/>
              </w:rPr>
              <w:t>5</w:t>
            </w:r>
            <w:r>
              <w:rPr>
                <w:rFonts w:hint="default" w:ascii="Times New Roman" w:hAnsi="Times New Roman" w:eastAsia="宋体" w:cs="Times New Roman"/>
                <w:color w:val="auto"/>
                <w:sz w:val="24"/>
                <w:szCs w:val="24"/>
                <w:highlight w:val="none"/>
                <w:shd w:val="clear" w:color="auto" w:fill="auto"/>
              </w:rPr>
              <w:t xml:space="preserve">  与“常州市生态环境分区管控总体要求”相符性分析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4465"/>
              <w:gridCol w:w="2481"/>
              <w:gridCol w:w="711"/>
            </w:tblGrid>
            <w:tr w14:paraId="7E965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776F11CA">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管控类别</w:t>
                  </w:r>
                </w:p>
              </w:tc>
              <w:tc>
                <w:tcPr>
                  <w:tcW w:w="2655" w:type="pct"/>
                  <w:vAlign w:val="center"/>
                </w:tcPr>
                <w:p w14:paraId="3A229F3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重点管控要求</w:t>
                  </w:r>
                </w:p>
              </w:tc>
              <w:tc>
                <w:tcPr>
                  <w:tcW w:w="1475" w:type="pct"/>
                  <w:vAlign w:val="center"/>
                </w:tcPr>
                <w:p w14:paraId="1F350CE2">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对照分析</w:t>
                  </w:r>
                </w:p>
              </w:tc>
              <w:tc>
                <w:tcPr>
                  <w:tcW w:w="423" w:type="pct"/>
                  <w:vAlign w:val="center"/>
                </w:tcPr>
                <w:p w14:paraId="11D0ED77">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相符性</w:t>
                  </w:r>
                </w:p>
              </w:tc>
            </w:tr>
            <w:tr w14:paraId="3007D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6" w:type="pct"/>
                  <w:vAlign w:val="center"/>
                </w:tcPr>
                <w:p w14:paraId="4B23E53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空间布局约束</w:t>
                  </w:r>
                </w:p>
              </w:tc>
              <w:tc>
                <w:tcPr>
                  <w:tcW w:w="4281" w:type="dxa"/>
                  <w:vAlign w:val="center"/>
                </w:tcPr>
                <w:p w14:paraId="5A1A3456">
                  <w:pPr>
                    <w:pStyle w:val="78"/>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（1）严格执行《江苏省“三线一单”生态环境分区管控方案》（苏政发〔2020〕49号）附件3江苏省省域生态环境管控要求中“空间布局约束”的相关要求。</w:t>
                  </w:r>
                </w:p>
                <w:p w14:paraId="4C947459">
                  <w:pPr>
                    <w:pStyle w:val="78"/>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（2）严格执行《关于印发各设区市2023年深入打好污染防治攻坚战目标任务书的通知》（苏污防攻坚指办〔2023〕53号）《2023年常州市生态文明建设工作方案》（常政发〔2023〕23号）等文件要求。</w:t>
                  </w:r>
                </w:p>
                <w:p w14:paraId="0F5C08B4">
                  <w:pPr>
                    <w:pStyle w:val="78"/>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755A7588">
                  <w:pPr>
                    <w:pStyle w:val="78"/>
                    <w:ind w:firstLine="0" w:firstLineChars="0"/>
                    <w:jc w:val="left"/>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475" w:type="pct"/>
                  <w:vAlign w:val="center"/>
                </w:tcPr>
                <w:p w14:paraId="474C480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1、本项目满足《江苏省“三线一单”生态环境分区管控方案》（苏政发〔2020〕49号）附件3江苏省省域生态环境管控要求中“空间布局约束”的相关要求；</w:t>
                  </w:r>
                </w:p>
                <w:p w14:paraId="76BD0B9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2、本项目满足《关于印发各设区市2023年深入打好污染防治攻坚战目标任务书的通知》（苏污防攻坚指办〔2023〕53号）《2023年常州市生态文明建设工作方案》（常政发〔2023〕23号）等文件要求；</w:t>
                  </w:r>
                </w:p>
                <w:p w14:paraId="41086589">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3、本项目不属于管控要求中所列相关禁止类或淘汰类产业；</w:t>
                  </w:r>
                </w:p>
                <w:p w14:paraId="5FB78AA7">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4、本项目位于</w:t>
                  </w:r>
                  <w:r>
                    <w:rPr>
                      <w:rFonts w:hint="default" w:ascii="Times New Roman" w:hAnsi="Times New Roman" w:eastAsia="宋体" w:cs="Times New Roman"/>
                      <w:color w:val="auto"/>
                      <w:sz w:val="21"/>
                      <w:szCs w:val="21"/>
                      <w:highlight w:val="none"/>
                      <w:shd w:val="clear" w:color="auto" w:fill="auto"/>
                      <w:lang w:eastAsia="zh-CN"/>
                    </w:rPr>
                    <w:t>江苏省常州市金坛区</w:t>
                  </w:r>
                  <w:r>
                    <w:rPr>
                      <w:rFonts w:hint="eastAsia" w:ascii="Times New Roman" w:hAnsi="Times New Roman" w:eastAsia="宋体" w:cs="Times New Roman"/>
                      <w:color w:val="auto"/>
                      <w:sz w:val="21"/>
                      <w:szCs w:val="21"/>
                      <w:highlight w:val="none"/>
                      <w:shd w:val="clear" w:color="auto" w:fill="auto"/>
                      <w:lang w:eastAsia="zh-CN"/>
                    </w:rPr>
                    <w:t>晨风路188号</w:t>
                  </w:r>
                  <w:r>
                    <w:rPr>
                      <w:rFonts w:hint="default" w:ascii="Times New Roman" w:hAnsi="Times New Roman" w:eastAsia="宋体" w:cs="Times New Roman"/>
                      <w:color w:val="auto"/>
                      <w:sz w:val="21"/>
                      <w:szCs w:val="21"/>
                      <w:highlight w:val="none"/>
                      <w:shd w:val="clear" w:color="auto" w:fill="auto"/>
                    </w:rPr>
                    <w:t>，不在长江干支流1公里范围内</w:t>
                  </w:r>
                  <w:r>
                    <w:rPr>
                      <w:rFonts w:hint="default" w:ascii="Times New Roman" w:hAnsi="Times New Roman" w:eastAsia="宋体"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lang w:val="en-US" w:eastAsia="zh-CN"/>
                    </w:rPr>
                    <w:t>不在</w:t>
                  </w:r>
                  <w:r>
                    <w:rPr>
                      <w:rFonts w:hint="default" w:ascii="Times New Roman" w:hAnsi="Times New Roman" w:eastAsia="宋体" w:cs="Times New Roman"/>
                      <w:color w:val="auto"/>
                      <w:sz w:val="21"/>
                      <w:szCs w:val="21"/>
                      <w:highlight w:val="none"/>
                      <w:shd w:val="clear" w:color="auto" w:fill="auto"/>
                    </w:rPr>
                    <w:t>长江干流岸线三公里范围内</w:t>
                  </w:r>
                  <w:r>
                    <w:rPr>
                      <w:rFonts w:hint="default" w:ascii="Times New Roman" w:hAnsi="Times New Roman" w:eastAsia="宋体"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lang w:val="en-US" w:eastAsia="zh-CN"/>
                    </w:rPr>
                    <w:t>在</w:t>
                  </w:r>
                  <w:r>
                    <w:rPr>
                      <w:rFonts w:hint="default" w:ascii="Times New Roman" w:hAnsi="Times New Roman" w:eastAsia="宋体" w:cs="Times New Roman"/>
                      <w:color w:val="auto"/>
                      <w:sz w:val="21"/>
                      <w:szCs w:val="21"/>
                      <w:highlight w:val="none"/>
                      <w:shd w:val="clear" w:color="auto" w:fill="auto"/>
                    </w:rPr>
                    <w:t>太湖流域三级保护区内</w:t>
                  </w:r>
                  <w:r>
                    <w:rPr>
                      <w:rFonts w:hint="default" w:ascii="Times New Roman" w:hAnsi="Times New Roman" w:eastAsia="宋体" w:cs="Times New Roman"/>
                      <w:color w:val="auto"/>
                      <w:sz w:val="21"/>
                      <w:szCs w:val="21"/>
                      <w:highlight w:val="none"/>
                      <w:shd w:val="clear" w:color="auto" w:fill="auto"/>
                      <w:lang w:eastAsia="zh-CN"/>
                    </w:rPr>
                    <w:t>。</w:t>
                  </w:r>
                </w:p>
              </w:tc>
              <w:tc>
                <w:tcPr>
                  <w:tcW w:w="423" w:type="pct"/>
                  <w:vAlign w:val="center"/>
                </w:tcPr>
                <w:p w14:paraId="5618E9CE">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相符</w:t>
                  </w:r>
                </w:p>
              </w:tc>
            </w:tr>
            <w:tr w14:paraId="7026F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719BD011">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污染物排放管控</w:t>
                  </w:r>
                </w:p>
              </w:tc>
              <w:tc>
                <w:tcPr>
                  <w:tcW w:w="4281" w:type="dxa"/>
                  <w:vAlign w:val="center"/>
                </w:tcPr>
                <w:p w14:paraId="488B6F76">
                  <w:pPr>
                    <w:pStyle w:val="78"/>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（1）坚持生态环境质量只能更好、不能变坏，实施污染物总量控制，以环境容量定产业、定项目、定规模，确保开发建设行为不突破生态环境承载力。</w:t>
                  </w:r>
                </w:p>
                <w:p w14:paraId="4E6B34A2">
                  <w:pPr>
                    <w:pStyle w:val="78"/>
                    <w:ind w:firstLine="0" w:firstLineChars="0"/>
                    <w:jc w:val="left"/>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475" w:type="pct"/>
                  <w:vAlign w:val="center"/>
                </w:tcPr>
                <w:p w14:paraId="2452BF78">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rPr>
                    <w:t>本项目</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bCs/>
                      <w:color w:val="auto"/>
                      <w:sz w:val="21"/>
                      <w:szCs w:val="21"/>
                      <w:highlight w:val="none"/>
                      <w:shd w:val="clear" w:color="auto" w:fill="auto"/>
                    </w:rPr>
                    <w:t>生活污水接管至常州市金坛区第二污水处理厂集中处理，总量在污水处理厂内平衡。</w:t>
                  </w:r>
                  <w:r>
                    <w:rPr>
                      <w:rFonts w:hint="eastAsia" w:ascii="Times New Roman" w:hAnsi="Times New Roman" w:eastAsia="宋体" w:cs="Times New Roman"/>
                      <w:color w:val="auto"/>
                      <w:sz w:val="21"/>
                      <w:szCs w:val="21"/>
                      <w:highlight w:val="none"/>
                      <w:shd w:val="clear" w:color="auto" w:fill="auto"/>
                      <w:lang w:eastAsia="zh-CN"/>
                    </w:rPr>
                    <w:t>本项目破碎粉尘经设备自带的布袋除尘器处理后车间无组织排放，调墨、印刷、复合、熟化、清洗废气各自收集后通过一套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二级活性炭处理，经1根18m高的排气筒1#排放，吹膜、制袋废气各自收集后通过一套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二级活性炭处理，经1根18m高的排气筒2#排放。</w:t>
                  </w:r>
                  <w:r>
                    <w:rPr>
                      <w:rFonts w:hint="default" w:ascii="Times New Roman" w:hAnsi="Times New Roman" w:eastAsia="宋体" w:cs="Times New Roman"/>
                      <w:bCs/>
                      <w:color w:val="auto"/>
                      <w:sz w:val="21"/>
                      <w:szCs w:val="21"/>
                      <w:highlight w:val="none"/>
                      <w:shd w:val="clear" w:color="auto" w:fill="auto"/>
                    </w:rPr>
                    <w:t>对周围环境影响较小。</w:t>
                  </w:r>
                </w:p>
              </w:tc>
              <w:tc>
                <w:tcPr>
                  <w:tcW w:w="423" w:type="pct"/>
                  <w:vAlign w:val="center"/>
                </w:tcPr>
                <w:p w14:paraId="547E68A9">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相符</w:t>
                  </w:r>
                </w:p>
              </w:tc>
            </w:tr>
            <w:tr w14:paraId="30BA1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16B5C134">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环境风险防控</w:t>
                  </w:r>
                </w:p>
              </w:tc>
              <w:tc>
                <w:tcPr>
                  <w:tcW w:w="4281" w:type="dxa"/>
                  <w:vAlign w:val="center"/>
                </w:tcPr>
                <w:p w14:paraId="1D71BFF6">
                  <w:pPr>
                    <w:pStyle w:val="78"/>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（1）严格执行《江苏省“三线一单”生态环境分区管控方案》（苏政发〔2020〕49号）附件3江苏省省域生态环境管控要求中“环境风险防控”的相关要求。</w:t>
                  </w:r>
                </w:p>
                <w:p w14:paraId="5B158A27">
                  <w:pPr>
                    <w:pStyle w:val="78"/>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608E4296">
                  <w:pPr>
                    <w:pStyle w:val="78"/>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（3）强化饮用水水源环境风险管控，建成应急水源工程。</w:t>
                  </w:r>
                </w:p>
                <w:p w14:paraId="3ADDE0F0">
                  <w:pPr>
                    <w:pStyle w:val="78"/>
                    <w:ind w:firstLine="0" w:firstLineChars="0"/>
                    <w:jc w:val="left"/>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475" w:type="pct"/>
                  <w:vAlign w:val="center"/>
                </w:tcPr>
                <w:p w14:paraId="1408AD85">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1、本项目将严格执行《江苏省“三线一单”生态环境分区管控方案》（苏政发〔2020〕49号）附件3江苏省省域生态环境管控要求中“环境风险防控”的相关要求。</w:t>
                  </w:r>
                </w:p>
                <w:p w14:paraId="4FB4AE3A">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2、</w:t>
                  </w:r>
                  <w:r>
                    <w:rPr>
                      <w:rFonts w:hint="default" w:ascii="Times New Roman" w:hAnsi="Times New Roman" w:eastAsia="宋体" w:cs="Times New Roman"/>
                      <w:color w:val="auto"/>
                      <w:sz w:val="21"/>
                      <w:szCs w:val="21"/>
                      <w:highlight w:val="none"/>
                      <w:shd w:val="clear" w:color="auto" w:fill="auto"/>
                    </w:rPr>
                    <w:t>本项目位于</w:t>
                  </w:r>
                  <w:r>
                    <w:rPr>
                      <w:rFonts w:hint="default" w:ascii="Times New Roman" w:hAnsi="Times New Roman" w:eastAsia="宋体" w:cs="Times New Roman"/>
                      <w:color w:val="auto"/>
                      <w:sz w:val="21"/>
                      <w:szCs w:val="21"/>
                      <w:highlight w:val="none"/>
                      <w:shd w:val="clear" w:color="auto" w:fill="auto"/>
                      <w:lang w:eastAsia="zh-CN"/>
                    </w:rPr>
                    <w:t>江苏省常州市金坛区</w:t>
                  </w:r>
                  <w:r>
                    <w:rPr>
                      <w:rFonts w:hint="eastAsia" w:ascii="Times New Roman" w:hAnsi="Times New Roman" w:eastAsia="宋体" w:cs="Times New Roman"/>
                      <w:color w:val="auto"/>
                      <w:sz w:val="21"/>
                      <w:szCs w:val="21"/>
                      <w:highlight w:val="none"/>
                      <w:shd w:val="clear" w:color="auto" w:fill="auto"/>
                      <w:lang w:eastAsia="zh-CN"/>
                    </w:rPr>
                    <w:t>晨风路188号</w:t>
                  </w:r>
                  <w:r>
                    <w:rPr>
                      <w:rFonts w:hint="default" w:ascii="Times New Roman" w:hAnsi="Times New Roman" w:eastAsia="宋体" w:cs="Times New Roman"/>
                      <w:color w:val="auto"/>
                      <w:sz w:val="21"/>
                      <w:szCs w:val="21"/>
                      <w:highlight w:val="none"/>
                      <w:shd w:val="clear" w:color="auto" w:fill="auto"/>
                    </w:rPr>
                    <w:t>，不在长江沿江1公里范围内。</w:t>
                  </w:r>
                </w:p>
                <w:p w14:paraId="09D67962">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3、本项目危险废物暂存于危废仓库中，危废仓库符合《危险废物贮存污染控制标准》（GB18597-2023），并委托有资质单位定期处理危废；危废的管理过程将在“江苏省危险废物全生命周期监控系统”中体现</w:t>
                  </w:r>
                </w:p>
              </w:tc>
              <w:tc>
                <w:tcPr>
                  <w:tcW w:w="423" w:type="pct"/>
                  <w:vAlign w:val="center"/>
                </w:tcPr>
                <w:p w14:paraId="09C7D5BC">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相符</w:t>
                  </w:r>
                </w:p>
              </w:tc>
            </w:tr>
            <w:tr w14:paraId="757C9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vAlign w:val="center"/>
                </w:tcPr>
                <w:p w14:paraId="22FAB23D">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资源利用效率要求</w:t>
                  </w:r>
                </w:p>
              </w:tc>
              <w:tc>
                <w:tcPr>
                  <w:tcW w:w="4281" w:type="dxa"/>
                  <w:vAlign w:val="center"/>
                </w:tcPr>
                <w:p w14:paraId="244EE4D7">
                  <w:pPr>
                    <w:pStyle w:val="78"/>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29C9EE59">
                  <w:pPr>
                    <w:pStyle w:val="78"/>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（2）根据《常州市国土空间总体规划（2021-2035年）（上报稿）》，永久基本农田实际划定是7.53万公顷，2035年任务量为7.66万公顷。</w:t>
                  </w:r>
                </w:p>
                <w:p w14:paraId="67B7B929">
                  <w:pPr>
                    <w:pStyle w:val="78"/>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II类”（较严），具体包括：除单台出力大于等于20蒸吨/小时锅炉以外燃用的煤炭及其制品；石油焦、油页岩、原油、重油、渣油、煤焦油。②“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1B29C06C">
                  <w:pPr>
                    <w:pStyle w:val="78"/>
                    <w:ind w:firstLine="0" w:firstLineChars="0"/>
                    <w:jc w:val="left"/>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475" w:type="pct"/>
                  <w:vAlign w:val="center"/>
                </w:tcPr>
                <w:p w14:paraId="56C1DE68">
                  <w:pPr>
                    <w:pStyle w:val="2"/>
                    <w:keepNext w:val="0"/>
                    <w:keepLines w:val="0"/>
                    <w:pageBreakBefore w:val="0"/>
                    <w:kinsoku/>
                    <w:wordWrap/>
                    <w:overflowPunct/>
                    <w:topLinePunct w:val="0"/>
                    <w:autoSpaceDE/>
                    <w:autoSpaceDN/>
                    <w:bidi w:val="0"/>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rPr>
                    <w:t>本项目使用的主要能源为电能</w:t>
                  </w:r>
                </w:p>
              </w:tc>
              <w:tc>
                <w:tcPr>
                  <w:tcW w:w="423" w:type="pct"/>
                  <w:vAlign w:val="center"/>
                </w:tcPr>
                <w:p w14:paraId="200F2AA9">
                  <w:pPr>
                    <w:keepNext w:val="0"/>
                    <w:keepLines w:val="0"/>
                    <w:pageBreakBefore w:val="0"/>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相符</w:t>
                  </w:r>
                </w:p>
              </w:tc>
            </w:tr>
            <w:bookmarkEnd w:id="0"/>
          </w:tbl>
          <w:p w14:paraId="142B66A4">
            <w:pPr>
              <w:spacing w:line="360" w:lineRule="auto"/>
              <w:ind w:firstLine="482" w:firstLineChars="200"/>
              <w:rPr>
                <w:rFonts w:hint="default" w:ascii="Times New Roman" w:hAnsi="Times New Roman" w:eastAsia="宋体" w:cs="Times New Roman"/>
                <w:b/>
                <w:bCs/>
                <w:color w:val="auto"/>
                <w:sz w:val="24"/>
                <w:szCs w:val="24"/>
                <w:highlight w:val="none"/>
                <w:shd w:val="clear" w:color="auto" w:fill="auto"/>
              </w:rPr>
            </w:pPr>
            <w:r>
              <w:rPr>
                <w:rFonts w:hint="eastAsia" w:ascii="Times New Roman" w:hAnsi="Times New Roman" w:eastAsia="宋体" w:cs="Times New Roman"/>
                <w:b/>
                <w:bCs/>
                <w:color w:val="auto"/>
                <w:sz w:val="24"/>
                <w:szCs w:val="24"/>
                <w:highlight w:val="none"/>
                <w:shd w:val="clear" w:color="auto" w:fill="auto"/>
                <w:lang w:val="en-US" w:eastAsia="zh-CN"/>
              </w:rPr>
              <w:t>6</w:t>
            </w:r>
            <w:r>
              <w:rPr>
                <w:rFonts w:hint="default" w:ascii="Times New Roman" w:hAnsi="Times New Roman" w:eastAsia="宋体" w:cs="Times New Roman"/>
                <w:b/>
                <w:bCs/>
                <w:color w:val="auto"/>
                <w:sz w:val="24"/>
                <w:szCs w:val="24"/>
                <w:highlight w:val="none"/>
                <w:shd w:val="clear" w:color="auto" w:fill="auto"/>
              </w:rPr>
              <w:t>、与太湖流域环境政策相符性分析</w:t>
            </w:r>
          </w:p>
          <w:p w14:paraId="51066FB1">
            <w:pPr>
              <w:jc w:val="center"/>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t>表1-</w:t>
            </w:r>
            <w:r>
              <w:rPr>
                <w:rFonts w:hint="eastAsia" w:ascii="Times New Roman" w:hAnsi="Times New Roman" w:eastAsia="宋体" w:cs="Times New Roman"/>
                <w:b/>
                <w:bCs/>
                <w:color w:val="auto"/>
                <w:sz w:val="24"/>
                <w:szCs w:val="24"/>
                <w:highlight w:val="none"/>
                <w:shd w:val="clear" w:color="auto" w:fill="auto"/>
                <w:lang w:val="en-US" w:eastAsia="zh-CN"/>
              </w:rPr>
              <w:t>6</w:t>
            </w:r>
            <w:r>
              <w:rPr>
                <w:rFonts w:hint="default" w:ascii="Times New Roman" w:hAnsi="Times New Roman" w:eastAsia="宋体" w:cs="Times New Roman"/>
                <w:b/>
                <w:bCs/>
                <w:color w:val="auto"/>
                <w:sz w:val="24"/>
                <w:szCs w:val="24"/>
                <w:highlight w:val="none"/>
                <w:shd w:val="clear" w:color="auto" w:fill="auto"/>
              </w:rPr>
              <w:t xml:space="preserve">  与《江苏省太湖流域禁止和限制的产业产品目录》</w:t>
            </w:r>
            <w:r>
              <w:rPr>
                <w:rFonts w:hint="default" w:ascii="Times New Roman" w:hAnsi="Times New Roman" w:eastAsia="宋体" w:cs="Times New Roman"/>
                <w:b/>
                <w:bCs/>
                <w:color w:val="auto"/>
                <w:sz w:val="24"/>
                <w:szCs w:val="24"/>
                <w:highlight w:val="none"/>
                <w:shd w:val="clear" w:color="auto" w:fill="auto"/>
                <w:lang w:eastAsia="zh-CN"/>
              </w:rPr>
              <w:t>、</w:t>
            </w:r>
            <w:r>
              <w:rPr>
                <w:rFonts w:hint="default" w:ascii="Times New Roman" w:hAnsi="Times New Roman" w:eastAsia="宋体" w:cs="Times New Roman"/>
                <w:b/>
                <w:bCs/>
                <w:color w:val="auto"/>
                <w:sz w:val="24"/>
                <w:szCs w:val="24"/>
                <w:highlight w:val="none"/>
                <w:shd w:val="clear" w:color="auto" w:fill="auto"/>
              </w:rPr>
              <w:t>《太湖流域管理条例》、《江苏省太湖水污染防治条例》、《江苏省太湖流域水环境综合治理规划（2021-2035年）》相符性分析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520"/>
              <w:gridCol w:w="77"/>
              <w:gridCol w:w="5049"/>
              <w:gridCol w:w="2166"/>
              <w:gridCol w:w="595"/>
            </w:tblGrid>
            <w:tr w14:paraId="10AC04B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13" w:hRule="atLeast"/>
                <w:jc w:val="center"/>
              </w:trPr>
              <w:tc>
                <w:tcPr>
                  <w:tcW w:w="3357" w:type="pct"/>
                  <w:gridSpan w:val="3"/>
                  <w:shd w:val="clear" w:color="auto" w:fill="auto"/>
                  <w:vAlign w:val="center"/>
                </w:tcPr>
                <w:p w14:paraId="411DCC92">
                  <w:pPr>
                    <w:spacing w:line="0" w:lineRule="atLeast"/>
                    <w:jc w:val="center"/>
                    <w:rPr>
                      <w:rFonts w:hint="default"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eastAsia="宋体" w:cs="Times New Roman"/>
                      <w:b/>
                      <w:color w:val="auto"/>
                      <w:sz w:val="21"/>
                      <w:szCs w:val="21"/>
                      <w:highlight w:val="none"/>
                      <w:shd w:val="clear" w:color="auto" w:fill="auto"/>
                    </w:rPr>
                    <w:t>《江苏省太湖流域禁止和限制的产业产品目录》（苏发改规发[2024]3号）相关要求</w:t>
                  </w:r>
                </w:p>
              </w:tc>
              <w:tc>
                <w:tcPr>
                  <w:tcW w:w="1288" w:type="pct"/>
                  <w:shd w:val="clear" w:color="auto" w:fill="auto"/>
                  <w:vAlign w:val="center"/>
                </w:tcPr>
                <w:p w14:paraId="5E659628">
                  <w:pPr>
                    <w:spacing w:line="0" w:lineRule="atLeast"/>
                    <w:jc w:val="center"/>
                    <w:rPr>
                      <w:rFonts w:hint="default"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eastAsia="宋体" w:cs="Times New Roman"/>
                      <w:b/>
                      <w:color w:val="auto"/>
                      <w:sz w:val="21"/>
                      <w:szCs w:val="21"/>
                      <w:highlight w:val="none"/>
                      <w:shd w:val="clear" w:color="auto" w:fill="auto"/>
                    </w:rPr>
                    <w:t>相符性分析</w:t>
                  </w:r>
                </w:p>
              </w:tc>
              <w:tc>
                <w:tcPr>
                  <w:tcW w:w="353" w:type="pct"/>
                  <w:shd w:val="clear" w:color="auto" w:fill="auto"/>
                  <w:vAlign w:val="center"/>
                </w:tcPr>
                <w:p w14:paraId="7A16CE86">
                  <w:pPr>
                    <w:spacing w:line="0" w:lineRule="atLeast"/>
                    <w:jc w:val="center"/>
                    <w:rPr>
                      <w:rFonts w:hint="default"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eastAsia="宋体" w:cs="Times New Roman"/>
                      <w:b/>
                      <w:color w:val="auto"/>
                      <w:sz w:val="21"/>
                      <w:szCs w:val="21"/>
                      <w:highlight w:val="none"/>
                      <w:shd w:val="clear" w:color="auto" w:fill="auto"/>
                    </w:rPr>
                    <w:t>相符性</w:t>
                  </w:r>
                </w:p>
              </w:tc>
            </w:tr>
            <w:tr w14:paraId="6A5D799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13" w:hRule="atLeast"/>
                <w:jc w:val="center"/>
              </w:trPr>
              <w:tc>
                <w:tcPr>
                  <w:tcW w:w="3357" w:type="pct"/>
                  <w:gridSpan w:val="3"/>
                  <w:shd w:val="clear" w:color="auto" w:fill="auto"/>
                  <w:vAlign w:val="center"/>
                </w:tcPr>
                <w:p w14:paraId="79491B5F">
                  <w:pPr>
                    <w:spacing w:line="0" w:lineRule="atLeast"/>
                    <w:jc w:val="center"/>
                    <w:rPr>
                      <w:rFonts w:hint="default" w:ascii="Times New Roman" w:hAnsi="Times New Roman" w:eastAsia="宋体" w:cs="Times New Roman"/>
                      <w:b w:val="0"/>
                      <w:bCs/>
                      <w:color w:val="auto"/>
                      <w:sz w:val="21"/>
                      <w:szCs w:val="21"/>
                      <w:highlight w:val="none"/>
                      <w:shd w:val="clear" w:color="auto" w:fill="auto"/>
                    </w:rPr>
                  </w:pPr>
                  <w:r>
                    <w:rPr>
                      <w:rFonts w:hint="default" w:ascii="Times New Roman" w:hAnsi="Times New Roman" w:eastAsia="宋体" w:cs="Times New Roman"/>
                      <w:b w:val="0"/>
                      <w:bCs/>
                      <w:color w:val="auto"/>
                      <w:sz w:val="21"/>
                      <w:szCs w:val="21"/>
                      <w:highlight w:val="none"/>
                      <w:shd w:val="clear" w:color="auto" w:fill="auto"/>
                    </w:rPr>
                    <w:t>各相关部门要依法依规加强我省太湖流域固定资产投资项目管理。限制类，禁止新建，现有生产能力允许在一定期限内改造升级。淘汰类，禁止投资，并按照《工业和信息化部等部门关于利用综合标准依法依规推动落后产能退出的指导意见》（工信部联产业〔2017〕30号）、《省政府办公厅关于利用综合标准依法依规推动落后产能退出的实施意见》等文件要求，依法依规退出。禁止类，不得投资建设。战略性新兴产业项目按照《江苏省太湖水污染防治条例》第四十六条规定执行。</w:t>
                  </w:r>
                </w:p>
              </w:tc>
              <w:tc>
                <w:tcPr>
                  <w:tcW w:w="1288" w:type="pct"/>
                  <w:shd w:val="clear" w:color="auto" w:fill="auto"/>
                  <w:vAlign w:val="center"/>
                </w:tcPr>
                <w:p w14:paraId="2D2EC42A">
                  <w:pPr>
                    <w:spacing w:line="0" w:lineRule="atLeast"/>
                    <w:jc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b w:val="0"/>
                      <w:bCs/>
                      <w:color w:val="auto"/>
                      <w:sz w:val="21"/>
                      <w:szCs w:val="21"/>
                      <w:highlight w:val="none"/>
                      <w:shd w:val="clear" w:color="auto" w:fill="auto"/>
                      <w:lang w:val="en-US" w:eastAsia="zh-CN"/>
                    </w:rPr>
                    <w:t>本项目为</w:t>
                  </w:r>
                  <w:r>
                    <w:rPr>
                      <w:rFonts w:hint="eastAsia" w:ascii="Times New Roman" w:hAnsi="Times New Roman" w:eastAsia="宋体" w:cs="Times New Roman"/>
                      <w:b w:val="0"/>
                      <w:bCs/>
                      <w:color w:val="auto"/>
                      <w:sz w:val="21"/>
                      <w:szCs w:val="21"/>
                      <w:highlight w:val="none"/>
                      <w:shd w:val="clear" w:color="auto" w:fill="auto"/>
                      <w:lang w:val="en-US" w:eastAsia="zh-CN"/>
                    </w:rPr>
                    <w:t>环保塑料袋（厚度大于0.025毫米）</w:t>
                  </w:r>
                  <w:r>
                    <w:rPr>
                      <w:rFonts w:hint="default" w:ascii="Times New Roman" w:hAnsi="Times New Roman" w:eastAsia="宋体" w:cs="Times New Roman"/>
                      <w:b w:val="0"/>
                      <w:bCs/>
                      <w:color w:val="auto"/>
                      <w:sz w:val="21"/>
                      <w:szCs w:val="21"/>
                      <w:highlight w:val="none"/>
                      <w:shd w:val="clear" w:color="auto" w:fill="auto"/>
                      <w:lang w:val="en-US" w:eastAsia="zh-CN"/>
                    </w:rPr>
                    <w:t>生产项目，</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b w:val="0"/>
                      <w:bCs/>
                      <w:color w:val="auto"/>
                      <w:sz w:val="21"/>
                      <w:szCs w:val="21"/>
                      <w:highlight w:val="none"/>
                      <w:shd w:val="clear" w:color="auto" w:fill="auto"/>
                      <w:lang w:val="en-US" w:eastAsia="zh-CN"/>
                    </w:rPr>
                    <w:t>生活污水经市政污水管网接至常州市金坛区第二污水处理厂处理，不属于限制类、禁止类、淘汰类项目。</w:t>
                  </w:r>
                </w:p>
              </w:tc>
              <w:tc>
                <w:tcPr>
                  <w:tcW w:w="353" w:type="pct"/>
                  <w:shd w:val="clear" w:color="auto" w:fill="auto"/>
                  <w:vAlign w:val="center"/>
                </w:tcPr>
                <w:p w14:paraId="1CDEFFFF">
                  <w:pPr>
                    <w:spacing w:line="0" w:lineRule="atLeast"/>
                    <w:jc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default" w:ascii="Times New Roman" w:hAnsi="Times New Roman" w:eastAsia="宋体" w:cs="Times New Roman"/>
                      <w:b w:val="0"/>
                      <w:bCs/>
                      <w:color w:val="auto"/>
                      <w:sz w:val="21"/>
                      <w:szCs w:val="21"/>
                      <w:highlight w:val="none"/>
                      <w:shd w:val="clear" w:color="auto" w:fill="auto"/>
                      <w:lang w:val="en-US" w:eastAsia="zh-CN"/>
                    </w:rPr>
                    <w:t>相符</w:t>
                  </w:r>
                </w:p>
              </w:tc>
            </w:tr>
            <w:tr w14:paraId="269E6EE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513" w:hRule="atLeast"/>
                <w:jc w:val="center"/>
              </w:trPr>
              <w:tc>
                <w:tcPr>
                  <w:tcW w:w="3357" w:type="pct"/>
                  <w:gridSpan w:val="3"/>
                  <w:vAlign w:val="center"/>
                </w:tcPr>
                <w:p w14:paraId="30C99259">
                  <w:pPr>
                    <w:spacing w:line="0" w:lineRule="atLeas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《太湖流域管理条例》相关要求</w:t>
                  </w:r>
                </w:p>
              </w:tc>
              <w:tc>
                <w:tcPr>
                  <w:tcW w:w="1288" w:type="pct"/>
                  <w:vAlign w:val="center"/>
                </w:tcPr>
                <w:p w14:paraId="1AD44008">
                  <w:pPr>
                    <w:spacing w:line="0" w:lineRule="atLeas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相符性分析</w:t>
                  </w:r>
                </w:p>
              </w:tc>
              <w:tc>
                <w:tcPr>
                  <w:tcW w:w="353" w:type="pct"/>
                  <w:vAlign w:val="center"/>
                </w:tcPr>
                <w:p w14:paraId="720761CD">
                  <w:pPr>
                    <w:spacing w:line="0" w:lineRule="atLeas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相符性</w:t>
                  </w:r>
                </w:p>
              </w:tc>
            </w:tr>
            <w:tr w14:paraId="0B09DB5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1B861AC4">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第二十八条</w:t>
                  </w:r>
                </w:p>
              </w:tc>
              <w:tc>
                <w:tcPr>
                  <w:tcW w:w="3048" w:type="pct"/>
                  <w:gridSpan w:val="2"/>
                  <w:vAlign w:val="center"/>
                </w:tcPr>
                <w:p w14:paraId="0B2563B1">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排污单位排放水污染物，不得超过经核定的水污染物排放总量，并应当按照规定设置便于检查、采样的规范化排污口，悬挂标志牌；不得私设暗管或者采取其他规避监管的方式排放水污染物。</w:t>
                  </w:r>
                </w:p>
                <w:p w14:paraId="2A945475">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禁止在太湖流域设置不符合国家产业政策和水环境综合治理要求的造纸、制革、酒精、淀粉、冶金、酿造、印染、电镀等排放水污染物的生产项目，现有的生产项目不能实现达标排放的，应当依法关闭。</w:t>
                  </w:r>
                </w:p>
                <w:p w14:paraId="786EEA8B">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在太湖流域新设企业应当符合国家规定的清洁生产要求，现有的企业尚未达到清洁生产要求的，应当按照清洁生产规划要求进行技术改造，两省一市人民政府应当加强监督检查。</w:t>
                  </w:r>
                </w:p>
              </w:tc>
              <w:tc>
                <w:tcPr>
                  <w:tcW w:w="1288" w:type="pct"/>
                  <w:vAlign w:val="center"/>
                </w:tcPr>
                <w:p w14:paraId="225F4349">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本项目</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color w:val="auto"/>
                      <w:sz w:val="21"/>
                      <w:szCs w:val="21"/>
                      <w:highlight w:val="none"/>
                      <w:shd w:val="clear" w:color="auto" w:fill="auto"/>
                    </w:rPr>
                    <w:t>生活污水</w:t>
                  </w:r>
                  <w:r>
                    <w:rPr>
                      <w:rFonts w:hint="default" w:ascii="Times New Roman" w:hAnsi="Times New Roman" w:eastAsia="宋体" w:cs="Times New Roman"/>
                      <w:color w:val="auto"/>
                      <w:sz w:val="21"/>
                      <w:szCs w:val="21"/>
                      <w:highlight w:val="none"/>
                      <w:shd w:val="clear" w:color="auto" w:fill="auto"/>
                      <w:lang w:val="en-US" w:eastAsia="zh-CN"/>
                    </w:rPr>
                    <w:t>经市政污水管网接至</w:t>
                  </w:r>
                  <w:r>
                    <w:rPr>
                      <w:rFonts w:hint="default" w:ascii="Times New Roman" w:hAnsi="Times New Roman" w:eastAsia="宋体" w:cs="Times New Roman"/>
                      <w:color w:val="auto"/>
                      <w:sz w:val="21"/>
                      <w:szCs w:val="21"/>
                      <w:highlight w:val="none"/>
                      <w:shd w:val="clear" w:color="auto" w:fill="auto"/>
                    </w:rPr>
                    <w:t>常州市金坛区第二污水处理厂处理，环评中已根据本项目情况核算水污染物排放总量，实际运营过程中不会超过该核定量；本项目为</w:t>
                  </w:r>
                  <w:r>
                    <w:rPr>
                      <w:rFonts w:hint="eastAsia" w:ascii="Times New Roman" w:hAnsi="Times New Roman" w:eastAsia="宋体" w:cs="Times New Roman"/>
                      <w:color w:val="auto"/>
                      <w:sz w:val="21"/>
                      <w:szCs w:val="21"/>
                      <w:highlight w:val="none"/>
                      <w:shd w:val="clear" w:color="auto" w:fill="auto"/>
                      <w:lang w:val="en-US" w:eastAsia="zh-CN"/>
                    </w:rPr>
                    <w:t>环保塑料袋</w:t>
                  </w:r>
                  <w:r>
                    <w:rPr>
                      <w:rFonts w:hint="default" w:ascii="Times New Roman" w:hAnsi="Times New Roman" w:eastAsia="宋体" w:cs="Times New Roman"/>
                      <w:color w:val="auto"/>
                      <w:sz w:val="21"/>
                      <w:szCs w:val="21"/>
                      <w:highlight w:val="none"/>
                      <w:shd w:val="clear" w:color="auto" w:fill="auto"/>
                      <w:lang w:eastAsia="zh-CN"/>
                    </w:rPr>
                    <w:t>生产项目</w:t>
                  </w:r>
                  <w:r>
                    <w:rPr>
                      <w:rFonts w:hint="default" w:ascii="Times New Roman" w:hAnsi="Times New Roman" w:eastAsia="宋体" w:cs="Times New Roman"/>
                      <w:color w:val="auto"/>
                      <w:sz w:val="21"/>
                      <w:szCs w:val="21"/>
                      <w:highlight w:val="none"/>
                      <w:shd w:val="clear" w:color="auto" w:fill="auto"/>
                    </w:rPr>
                    <w:t>，不属于上述禁止项目；项目建成后，将设置便于检查、采样的规范化排污口，悬挂标志牌，定期进行自行监测，监控废水排放达标情况；项目符合清洁生产要求。</w:t>
                  </w:r>
                </w:p>
              </w:tc>
              <w:tc>
                <w:tcPr>
                  <w:tcW w:w="353" w:type="pct"/>
                  <w:vAlign w:val="center"/>
                </w:tcPr>
                <w:p w14:paraId="36A81238">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相符</w:t>
                  </w:r>
                </w:p>
              </w:tc>
            </w:tr>
            <w:tr w14:paraId="69EA762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5D57FBF5">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第二十九条</w:t>
                  </w:r>
                </w:p>
              </w:tc>
              <w:tc>
                <w:tcPr>
                  <w:tcW w:w="3048" w:type="pct"/>
                  <w:gridSpan w:val="2"/>
                  <w:vAlign w:val="center"/>
                </w:tcPr>
                <w:p w14:paraId="1E3758AF">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新孟河、望虞河以外的其他主要入太湖河道，自河口1万米上溯至5万米河道岸线内及其岸线两侧各1000米范围内，禁止下列行为：</w:t>
                  </w:r>
                </w:p>
                <w:p w14:paraId="528CFF40">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（一）新建、扩建化工、医药生产项目；</w:t>
                  </w:r>
                </w:p>
                <w:p w14:paraId="63FAFBD0">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（二）新建、扩建污水集中处理设施排污口以外的排污口；</w:t>
                  </w:r>
                </w:p>
                <w:p w14:paraId="358093FE">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（三）扩大水产养殖规模。</w:t>
                  </w:r>
                </w:p>
              </w:tc>
              <w:tc>
                <w:tcPr>
                  <w:tcW w:w="1288" w:type="pct"/>
                  <w:vAlign w:val="center"/>
                </w:tcPr>
                <w:p w14:paraId="2E56C00F">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本项目位于</w:t>
                  </w:r>
                  <w:r>
                    <w:rPr>
                      <w:rFonts w:hint="default" w:ascii="Times New Roman" w:hAnsi="Times New Roman" w:eastAsia="宋体" w:cs="Times New Roman"/>
                      <w:color w:val="auto"/>
                      <w:sz w:val="21"/>
                      <w:szCs w:val="21"/>
                      <w:highlight w:val="none"/>
                      <w:shd w:val="clear" w:color="auto" w:fill="auto"/>
                      <w:lang w:eastAsia="zh-CN"/>
                    </w:rPr>
                    <w:t>江苏省常州市金坛区</w:t>
                  </w:r>
                  <w:r>
                    <w:rPr>
                      <w:rFonts w:hint="eastAsia" w:ascii="Times New Roman" w:hAnsi="Times New Roman" w:eastAsia="宋体" w:cs="Times New Roman"/>
                      <w:color w:val="auto"/>
                      <w:sz w:val="21"/>
                      <w:szCs w:val="21"/>
                      <w:highlight w:val="none"/>
                      <w:shd w:val="clear" w:color="auto" w:fill="auto"/>
                      <w:lang w:eastAsia="zh-CN"/>
                    </w:rPr>
                    <w:t>晨风路188号</w:t>
                  </w:r>
                  <w:r>
                    <w:rPr>
                      <w:rFonts w:hint="default" w:ascii="Times New Roman" w:hAnsi="Times New Roman" w:eastAsia="宋体" w:cs="Times New Roman"/>
                      <w:color w:val="auto"/>
                      <w:sz w:val="21"/>
                      <w:szCs w:val="21"/>
                      <w:highlight w:val="none"/>
                      <w:shd w:val="clear" w:color="auto" w:fill="auto"/>
                    </w:rPr>
                    <w:t>，不在此范围内，不属于太湖流域禁止的行业项目，本项目</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color w:val="auto"/>
                      <w:sz w:val="21"/>
                      <w:szCs w:val="21"/>
                      <w:highlight w:val="none"/>
                      <w:shd w:val="clear" w:color="auto" w:fill="auto"/>
                    </w:rPr>
                    <w:t>生活污水</w:t>
                  </w:r>
                  <w:r>
                    <w:rPr>
                      <w:rFonts w:hint="default" w:ascii="Times New Roman" w:hAnsi="Times New Roman" w:eastAsia="宋体" w:cs="Times New Roman"/>
                      <w:color w:val="auto"/>
                      <w:sz w:val="21"/>
                      <w:szCs w:val="21"/>
                      <w:highlight w:val="none"/>
                      <w:shd w:val="clear" w:color="auto" w:fill="auto"/>
                      <w:lang w:val="en-US" w:eastAsia="zh-CN"/>
                    </w:rPr>
                    <w:t>经市政污水管网接至</w:t>
                  </w:r>
                  <w:r>
                    <w:rPr>
                      <w:rFonts w:hint="default" w:ascii="Times New Roman" w:hAnsi="Times New Roman" w:eastAsia="宋体" w:cs="Times New Roman"/>
                      <w:color w:val="auto"/>
                      <w:sz w:val="21"/>
                      <w:szCs w:val="21"/>
                      <w:highlight w:val="none"/>
                      <w:shd w:val="clear" w:color="auto" w:fill="auto"/>
                    </w:rPr>
                    <w:t>常州市金坛区第二污水处理厂集中处理</w:t>
                  </w:r>
                </w:p>
              </w:tc>
              <w:tc>
                <w:tcPr>
                  <w:tcW w:w="353" w:type="pct"/>
                  <w:vAlign w:val="center"/>
                </w:tcPr>
                <w:p w14:paraId="4BD55E3D">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相符</w:t>
                  </w:r>
                </w:p>
              </w:tc>
            </w:tr>
            <w:tr w14:paraId="2A3127D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76C4152F">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第三十条</w:t>
                  </w:r>
                </w:p>
              </w:tc>
              <w:tc>
                <w:tcPr>
                  <w:tcW w:w="3048" w:type="pct"/>
                  <w:gridSpan w:val="2"/>
                  <w:vAlign w:val="center"/>
                </w:tcPr>
                <w:p w14:paraId="6333CBCD">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48FB1AF3">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（一）设置剧毒物质、危险化学品的贮存、输送设施和废物回收场、垃圾场；</w:t>
                  </w:r>
                </w:p>
                <w:p w14:paraId="62C610B2">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（二）设置水上餐饮经营设施；</w:t>
                  </w:r>
                </w:p>
                <w:p w14:paraId="7384F599">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（三）新建、扩建高尔夫球场；</w:t>
                  </w:r>
                </w:p>
                <w:p w14:paraId="481132DB">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（四）新建、扩建畜禽养殖场；</w:t>
                  </w:r>
                </w:p>
                <w:p w14:paraId="67B9BC4E">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（五）新建、扩建向水体排放污染物的建设项目；</w:t>
                  </w:r>
                </w:p>
                <w:p w14:paraId="579C5D29">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（六）本条例第二十九条规定的行为。</w:t>
                  </w:r>
                </w:p>
                <w:p w14:paraId="046AD629">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已经设置前款第一项、第二项规定设施的，当地县级人民政府应当责令拆除或者关闭。</w:t>
                  </w:r>
                </w:p>
              </w:tc>
              <w:tc>
                <w:tcPr>
                  <w:tcW w:w="1288" w:type="pct"/>
                  <w:vAlign w:val="center"/>
                </w:tcPr>
                <w:p w14:paraId="6BDA9307">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本项目位于</w:t>
                  </w:r>
                  <w:r>
                    <w:rPr>
                      <w:rFonts w:hint="default" w:ascii="Times New Roman" w:hAnsi="Times New Roman" w:eastAsia="宋体" w:cs="Times New Roman"/>
                      <w:color w:val="auto"/>
                      <w:sz w:val="21"/>
                      <w:szCs w:val="21"/>
                      <w:highlight w:val="none"/>
                      <w:shd w:val="clear" w:color="auto" w:fill="auto"/>
                      <w:lang w:eastAsia="zh-CN"/>
                    </w:rPr>
                    <w:t>江苏省常州市金坛区</w:t>
                  </w:r>
                  <w:r>
                    <w:rPr>
                      <w:rFonts w:hint="eastAsia" w:ascii="Times New Roman" w:hAnsi="Times New Roman" w:eastAsia="宋体" w:cs="Times New Roman"/>
                      <w:color w:val="auto"/>
                      <w:sz w:val="21"/>
                      <w:szCs w:val="21"/>
                      <w:highlight w:val="none"/>
                      <w:shd w:val="clear" w:color="auto" w:fill="auto"/>
                      <w:lang w:eastAsia="zh-CN"/>
                    </w:rPr>
                    <w:t>晨风路188号</w:t>
                  </w:r>
                  <w:r>
                    <w:rPr>
                      <w:rFonts w:hint="default" w:ascii="Times New Roman" w:hAnsi="Times New Roman" w:eastAsia="宋体" w:cs="Times New Roman"/>
                      <w:color w:val="auto"/>
                      <w:sz w:val="21"/>
                      <w:szCs w:val="21"/>
                      <w:highlight w:val="none"/>
                      <w:shd w:val="clear" w:color="auto" w:fill="auto"/>
                    </w:rPr>
                    <w:t>，不在此范围内，不涉及所列禁止项目，本项目废水</w:t>
                  </w:r>
                  <w:r>
                    <w:rPr>
                      <w:rFonts w:hint="default" w:ascii="Times New Roman" w:hAnsi="Times New Roman" w:eastAsia="宋体" w:cs="Times New Roman"/>
                      <w:color w:val="auto"/>
                      <w:sz w:val="21"/>
                      <w:szCs w:val="21"/>
                      <w:highlight w:val="none"/>
                      <w:shd w:val="clear" w:color="auto" w:fill="auto"/>
                      <w:lang w:val="en-US" w:eastAsia="zh-CN"/>
                    </w:rPr>
                    <w:t>经市政污水管网接至</w:t>
                  </w:r>
                  <w:r>
                    <w:rPr>
                      <w:rFonts w:hint="default" w:ascii="Times New Roman" w:hAnsi="Times New Roman" w:eastAsia="宋体" w:cs="Times New Roman"/>
                      <w:color w:val="auto"/>
                      <w:sz w:val="21"/>
                      <w:szCs w:val="21"/>
                      <w:highlight w:val="none"/>
                      <w:shd w:val="clear" w:color="auto" w:fill="auto"/>
                    </w:rPr>
                    <w:t>常州市金坛区第二污水处理厂集中处理</w:t>
                  </w:r>
                </w:p>
              </w:tc>
              <w:tc>
                <w:tcPr>
                  <w:tcW w:w="353" w:type="pct"/>
                  <w:vAlign w:val="center"/>
                </w:tcPr>
                <w:p w14:paraId="26B530CD">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相符</w:t>
                  </w:r>
                </w:p>
              </w:tc>
            </w:tr>
            <w:tr w14:paraId="08929EA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64" w:hRule="atLeast"/>
                <w:jc w:val="center"/>
              </w:trPr>
              <w:tc>
                <w:tcPr>
                  <w:tcW w:w="3357" w:type="pct"/>
                  <w:gridSpan w:val="3"/>
                  <w:vAlign w:val="center"/>
                </w:tcPr>
                <w:p w14:paraId="4CBF0512">
                  <w:pPr>
                    <w:autoSpaceDE w:val="0"/>
                    <w:autoSpaceDN w:val="0"/>
                    <w:adjustRightInd w:val="0"/>
                    <w:spacing w:line="0" w:lineRule="atLeas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《江苏省太湖水污染防治条例》相关要求</w:t>
                  </w:r>
                </w:p>
              </w:tc>
              <w:tc>
                <w:tcPr>
                  <w:tcW w:w="1288" w:type="pct"/>
                  <w:vAlign w:val="center"/>
                </w:tcPr>
                <w:p w14:paraId="5B63A638">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相符性分析</w:t>
                  </w:r>
                </w:p>
              </w:tc>
              <w:tc>
                <w:tcPr>
                  <w:tcW w:w="353" w:type="pct"/>
                  <w:vAlign w:val="center"/>
                </w:tcPr>
                <w:p w14:paraId="730DC48D">
                  <w:pPr>
                    <w:spacing w:line="0" w:lineRule="atLeas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相符性</w:t>
                  </w:r>
                </w:p>
              </w:tc>
            </w:tr>
            <w:tr w14:paraId="2C27C43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052C033C">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第四十三条</w:t>
                  </w:r>
                </w:p>
              </w:tc>
              <w:tc>
                <w:tcPr>
                  <w:tcW w:w="3048" w:type="pct"/>
                  <w:gridSpan w:val="2"/>
                  <w:vAlign w:val="center"/>
                </w:tcPr>
                <w:p w14:paraId="17A01179">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太湖流域一、二、三级保护区禁止下列行为：</w:t>
                  </w:r>
                </w:p>
                <w:p w14:paraId="041C0D2C">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（一）新建、改建、扩建化学制浆造纸、制革、酿造、染料、印染、电镀以及其他排放含磷、氮等污染物的企业和项目；</w:t>
                  </w:r>
                </w:p>
                <w:p w14:paraId="34D0F772">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（二）销售、使用含磷洗涤用品；</w:t>
                  </w:r>
                </w:p>
                <w:p w14:paraId="3F8AF759">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（三）向水体排放或者倾倒油类、酸液、碱液、剧毒废渣废液、含放射性废渣废液、含病原体污水、工业废渣以及其他废弃物；</w:t>
                  </w:r>
                </w:p>
                <w:p w14:paraId="7546D187">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（四）在水体清洗装贮过油类或者有毒有害污染物的车辆、船舶和容器等；</w:t>
                  </w:r>
                </w:p>
                <w:p w14:paraId="55EEDD32">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（五）使用农药等有毒物毒杀水生生物；</w:t>
                  </w:r>
                </w:p>
                <w:p w14:paraId="583689B5">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（六）向水体直接排放人畜粪便、倾倒垃圾；</w:t>
                  </w:r>
                </w:p>
                <w:p w14:paraId="6A392D25">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（七）围湖造地；</w:t>
                  </w:r>
                </w:p>
                <w:p w14:paraId="52D6866F">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（八）违法开山采石，或者进行破坏林木、植被、水生生物的活动；</w:t>
                  </w:r>
                </w:p>
                <w:p w14:paraId="0309D8CD">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（九）法律、法规禁止的其他行为。</w:t>
                  </w:r>
                </w:p>
              </w:tc>
              <w:tc>
                <w:tcPr>
                  <w:tcW w:w="1288" w:type="pct"/>
                  <w:vAlign w:val="center"/>
                </w:tcPr>
                <w:p w14:paraId="1E51F491">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本项目位于太湖流域三级保护区范围内，本项目为</w:t>
                  </w:r>
                  <w:r>
                    <w:rPr>
                      <w:rFonts w:hint="eastAsia" w:ascii="Times New Roman" w:hAnsi="Times New Roman" w:eastAsia="宋体" w:cs="Times New Roman"/>
                      <w:color w:val="auto"/>
                      <w:sz w:val="21"/>
                      <w:szCs w:val="21"/>
                      <w:highlight w:val="none"/>
                      <w:shd w:val="clear" w:color="auto" w:fill="auto"/>
                      <w:lang w:val="en-US" w:eastAsia="zh-CN"/>
                    </w:rPr>
                    <w:t>环保塑料袋</w:t>
                  </w:r>
                  <w:r>
                    <w:rPr>
                      <w:rFonts w:hint="default" w:ascii="Times New Roman" w:hAnsi="Times New Roman" w:eastAsia="宋体" w:cs="Times New Roman"/>
                      <w:color w:val="auto"/>
                      <w:sz w:val="21"/>
                      <w:szCs w:val="21"/>
                      <w:highlight w:val="none"/>
                      <w:shd w:val="clear" w:color="auto" w:fill="auto"/>
                      <w:lang w:eastAsia="zh-CN"/>
                    </w:rPr>
                    <w:t>生产项目</w:t>
                  </w:r>
                  <w:r>
                    <w:rPr>
                      <w:rFonts w:hint="default" w:ascii="Times New Roman" w:hAnsi="Times New Roman" w:eastAsia="宋体" w:cs="Times New Roman"/>
                      <w:color w:val="auto"/>
                      <w:sz w:val="21"/>
                      <w:szCs w:val="21"/>
                      <w:highlight w:val="none"/>
                      <w:shd w:val="clear" w:color="auto" w:fill="auto"/>
                    </w:rPr>
                    <w:t>；本项目不使用含磷洗涤用品，</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color w:val="auto"/>
                      <w:sz w:val="21"/>
                      <w:szCs w:val="21"/>
                      <w:highlight w:val="none"/>
                      <w:shd w:val="clear" w:color="auto" w:fill="auto"/>
                    </w:rPr>
                    <w:t>生活污水</w:t>
                  </w:r>
                  <w:r>
                    <w:rPr>
                      <w:rFonts w:hint="default" w:ascii="Times New Roman" w:hAnsi="Times New Roman" w:eastAsia="宋体" w:cs="Times New Roman"/>
                      <w:color w:val="auto"/>
                      <w:sz w:val="21"/>
                      <w:szCs w:val="21"/>
                      <w:highlight w:val="none"/>
                      <w:shd w:val="clear" w:color="auto" w:fill="auto"/>
                      <w:lang w:val="en-US" w:eastAsia="zh-CN"/>
                    </w:rPr>
                    <w:t>经市政污水管网接至</w:t>
                  </w:r>
                  <w:r>
                    <w:rPr>
                      <w:rFonts w:hint="default" w:ascii="Times New Roman" w:hAnsi="Times New Roman" w:eastAsia="宋体" w:cs="Times New Roman"/>
                      <w:color w:val="auto"/>
                      <w:sz w:val="21"/>
                      <w:szCs w:val="21"/>
                      <w:highlight w:val="none"/>
                      <w:shd w:val="clear" w:color="auto" w:fill="auto"/>
                    </w:rPr>
                    <w:t>常州市金坛区第二污水处理厂集中处理，不直接向水体排放污染物；不属于所列禁止行为</w:t>
                  </w:r>
                </w:p>
              </w:tc>
              <w:tc>
                <w:tcPr>
                  <w:tcW w:w="353" w:type="pct"/>
                  <w:vAlign w:val="center"/>
                </w:tcPr>
                <w:p w14:paraId="50C6F408">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相符</w:t>
                  </w:r>
                </w:p>
              </w:tc>
            </w:tr>
            <w:tr w14:paraId="5A11A43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09" w:type="pct"/>
                  <w:vAlign w:val="center"/>
                </w:tcPr>
                <w:p w14:paraId="3D7D4CBD">
                  <w:pPr>
                    <w:autoSpaceDE w:val="0"/>
                    <w:autoSpaceDN w:val="0"/>
                    <w:adjustRightInd w:val="0"/>
                    <w:spacing w:line="0" w:lineRule="atLeast"/>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第四十六条</w:t>
                  </w:r>
                </w:p>
              </w:tc>
              <w:tc>
                <w:tcPr>
                  <w:tcW w:w="3048" w:type="pct"/>
                  <w:gridSpan w:val="2"/>
                  <w:vAlign w:val="center"/>
                </w:tcPr>
                <w:p w14:paraId="58E7090F">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1.1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14:paraId="68C13902">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前款规定中新建、改建、扩建以及技术改造项目的环境影响报告书，除由国务院环境保护主管部门负责审批的情形外，由省环境保护主管部门审批。其中，新建、扩建项目减量替代具体方案，应当在审批机关审查同意前实施完成，完成情况书面报送审批机关。</w:t>
                  </w:r>
                </w:p>
                <w:p w14:paraId="6D7787AB">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本条所指排放含磷、氮等污染物的战略性新兴产业具体类别，由省发展改革部门会同省经济和信息化、环境保护主管部门拟定并报省人民政府批准后公布。</w:t>
                  </w:r>
                </w:p>
                <w:p w14:paraId="05AC5DB9">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太湖流域设区的市减量完成情况应当纳入省人民政府水环境质量考核体系。太湖流域县级以上地方人民政府应当将减量完成情况作为向本级人民代表大会常务委员会报告水污染防治工作的内容。</w:t>
                  </w:r>
                </w:p>
              </w:tc>
              <w:tc>
                <w:tcPr>
                  <w:tcW w:w="1288" w:type="pct"/>
                  <w:vAlign w:val="center"/>
                </w:tcPr>
                <w:p w14:paraId="109BC909">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本项目位于太湖流域三级保护区范围内，本项目为</w:t>
                  </w:r>
                  <w:r>
                    <w:rPr>
                      <w:rFonts w:hint="eastAsia" w:ascii="Times New Roman" w:hAnsi="Times New Roman" w:eastAsia="宋体" w:cs="Times New Roman"/>
                      <w:color w:val="auto"/>
                      <w:sz w:val="21"/>
                      <w:szCs w:val="21"/>
                      <w:highlight w:val="none"/>
                      <w:shd w:val="clear" w:color="auto" w:fill="auto"/>
                      <w:lang w:eastAsia="zh-CN"/>
                    </w:rPr>
                    <w:t>环保塑料袋</w:t>
                  </w:r>
                  <w:r>
                    <w:rPr>
                      <w:rFonts w:hint="default" w:ascii="Times New Roman" w:hAnsi="Times New Roman" w:eastAsia="宋体" w:cs="Times New Roman"/>
                      <w:color w:val="auto"/>
                      <w:sz w:val="21"/>
                      <w:szCs w:val="21"/>
                      <w:highlight w:val="none"/>
                      <w:shd w:val="clear" w:color="auto" w:fill="auto"/>
                      <w:lang w:eastAsia="zh-CN"/>
                    </w:rPr>
                    <w:t>生产项目</w:t>
                  </w:r>
                  <w:r>
                    <w:rPr>
                      <w:rFonts w:hint="default" w:ascii="Times New Roman" w:hAnsi="Times New Roman" w:eastAsia="宋体" w:cs="Times New Roman"/>
                      <w:color w:val="auto"/>
                      <w:sz w:val="21"/>
                      <w:szCs w:val="21"/>
                      <w:highlight w:val="none"/>
                      <w:shd w:val="clear" w:color="auto" w:fill="auto"/>
                    </w:rPr>
                    <w:t>，本项目</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color w:val="auto"/>
                      <w:sz w:val="21"/>
                      <w:szCs w:val="21"/>
                      <w:highlight w:val="none"/>
                      <w:shd w:val="clear" w:color="auto" w:fill="auto"/>
                    </w:rPr>
                    <w:t>生活污水</w:t>
                  </w:r>
                  <w:r>
                    <w:rPr>
                      <w:rFonts w:hint="default" w:ascii="Times New Roman" w:hAnsi="Times New Roman" w:eastAsia="宋体" w:cs="Times New Roman"/>
                      <w:color w:val="auto"/>
                      <w:sz w:val="21"/>
                      <w:szCs w:val="21"/>
                      <w:highlight w:val="none"/>
                      <w:shd w:val="clear" w:color="auto" w:fill="auto"/>
                      <w:lang w:val="en-US" w:eastAsia="zh-CN"/>
                    </w:rPr>
                    <w:t>经市政污水管网接至</w:t>
                  </w:r>
                  <w:r>
                    <w:rPr>
                      <w:rFonts w:hint="default" w:ascii="Times New Roman" w:hAnsi="Times New Roman" w:eastAsia="宋体" w:cs="Times New Roman"/>
                      <w:color w:val="auto"/>
                      <w:sz w:val="21"/>
                      <w:szCs w:val="21"/>
                      <w:highlight w:val="none"/>
                      <w:shd w:val="clear" w:color="auto" w:fill="auto"/>
                    </w:rPr>
                    <w:t>常州市金坛区第二污水处理厂集中处理</w:t>
                  </w:r>
                </w:p>
              </w:tc>
              <w:tc>
                <w:tcPr>
                  <w:tcW w:w="353" w:type="pct"/>
                  <w:vAlign w:val="center"/>
                </w:tcPr>
                <w:p w14:paraId="4522B6E8">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相符</w:t>
                  </w:r>
                </w:p>
              </w:tc>
            </w:tr>
            <w:tr w14:paraId="728B7A98">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357" w:type="pct"/>
                  <w:gridSpan w:val="3"/>
                  <w:vAlign w:val="center"/>
                </w:tcPr>
                <w:p w14:paraId="1569D66F">
                  <w:pPr>
                    <w:autoSpaceDE w:val="0"/>
                    <w:autoSpaceDN w:val="0"/>
                    <w:adjustRightInd w:val="0"/>
                    <w:spacing w:line="0" w:lineRule="atLeas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《江苏省太湖流域水环境综合治理规划（2021-2035年）》</w:t>
                  </w:r>
                </w:p>
                <w:p w14:paraId="0CE67D7C">
                  <w:pPr>
                    <w:autoSpaceDE w:val="0"/>
                    <w:autoSpaceDN w:val="0"/>
                    <w:adjustRightInd w:val="0"/>
                    <w:spacing w:line="0" w:lineRule="atLeas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（苏政办发【2022】74号）相关要求</w:t>
                  </w:r>
                </w:p>
              </w:tc>
              <w:tc>
                <w:tcPr>
                  <w:tcW w:w="1288" w:type="pct"/>
                  <w:vAlign w:val="center"/>
                </w:tcPr>
                <w:p w14:paraId="55D0356E">
                  <w:pPr>
                    <w:spacing w:line="0" w:lineRule="atLeas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相符性分析</w:t>
                  </w:r>
                </w:p>
              </w:tc>
              <w:tc>
                <w:tcPr>
                  <w:tcW w:w="353" w:type="pct"/>
                  <w:vAlign w:val="center"/>
                </w:tcPr>
                <w:p w14:paraId="3B8FD501">
                  <w:pPr>
                    <w:spacing w:line="0" w:lineRule="atLeas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相符性</w:t>
                  </w:r>
                </w:p>
              </w:tc>
            </w:tr>
            <w:tr w14:paraId="6CE925F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jc w:val="center"/>
              </w:trPr>
              <w:tc>
                <w:tcPr>
                  <w:tcW w:w="355" w:type="pct"/>
                  <w:gridSpan w:val="2"/>
                  <w:vAlign w:val="center"/>
                </w:tcPr>
                <w:p w14:paraId="5B1087CB">
                  <w:pPr>
                    <w:autoSpaceDE w:val="0"/>
                    <w:autoSpaceDN w:val="0"/>
                    <w:adjustRightInd w:val="0"/>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强化工业污染综合治理</w:t>
                  </w:r>
                </w:p>
              </w:tc>
              <w:tc>
                <w:tcPr>
                  <w:tcW w:w="3002" w:type="pct"/>
                  <w:vAlign w:val="center"/>
                </w:tcPr>
                <w:p w14:paraId="039F42E4">
                  <w:pPr>
                    <w:autoSpaceDE w:val="0"/>
                    <w:autoSpaceDN w:val="0"/>
                    <w:adjustRightInd w:val="0"/>
                    <w:spacing w:line="0" w:lineRule="atLeas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推进工业和城镇污水分开收集分质处理。新（改、扩）建的化工、电镀、印染、钢铁、电子等工业企业，不得排入城镇污水集中收集处理设施。已接入城镇污水收集处理设施的重点行业工业企业组织全面排查评估，经评估认定不能接入的，限期退出；认定可以接入的，须预处理达标后方可接入。接管企业应依法取得排污许可和排水许可，出水应与城镇污水处理厂联网实时监控。500吨以上的工业废水集中处理设施按规定在进水口、出水口安装水量、水质自动监控设备及配套设施，并与省级行业主管部门联网。大力推进印染、化工、造纸、钢铁、电镀、食品（啤酒、味精）等重点行业企业废水深度处理，加快推进太湖三级保护区内重点行业污水处理设施参照《太湖地区城镇污水处理厂及重点工业行业主要水污染物排放限值》（DB32/1072-2018）一、二级保护区内主要水污染物排放限值开展提标改造。无锡市、常州市、苏州市加快推进工业废水与生活污水分类收集、分质处理到2024年实现应分尽分，全流域到2025年实现应分尽分。</w:t>
                  </w:r>
                </w:p>
              </w:tc>
              <w:tc>
                <w:tcPr>
                  <w:tcW w:w="1288" w:type="pct"/>
                  <w:vAlign w:val="center"/>
                </w:tcPr>
                <w:p w14:paraId="5B4A6BF3">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本项目为</w:t>
                  </w:r>
                  <w:r>
                    <w:rPr>
                      <w:rFonts w:hint="eastAsia" w:ascii="Times New Roman" w:hAnsi="Times New Roman" w:eastAsia="宋体" w:cs="Times New Roman"/>
                      <w:color w:val="auto"/>
                      <w:sz w:val="21"/>
                      <w:szCs w:val="21"/>
                      <w:highlight w:val="none"/>
                      <w:shd w:val="clear" w:color="auto" w:fill="auto"/>
                      <w:lang w:val="en-US" w:eastAsia="zh-CN"/>
                    </w:rPr>
                    <w:t>环保塑料袋</w:t>
                  </w:r>
                  <w:r>
                    <w:rPr>
                      <w:rFonts w:hint="default" w:ascii="Times New Roman" w:hAnsi="Times New Roman" w:eastAsia="宋体" w:cs="Times New Roman"/>
                      <w:color w:val="auto"/>
                      <w:sz w:val="21"/>
                      <w:szCs w:val="21"/>
                      <w:highlight w:val="none"/>
                      <w:shd w:val="clear" w:color="auto" w:fill="auto"/>
                      <w:lang w:eastAsia="zh-CN"/>
                    </w:rPr>
                    <w:t>生产项目</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color w:val="auto"/>
                      <w:sz w:val="21"/>
                      <w:szCs w:val="21"/>
                      <w:highlight w:val="none"/>
                      <w:shd w:val="clear" w:color="auto" w:fill="auto"/>
                    </w:rPr>
                    <w:t>生活污水</w:t>
                  </w:r>
                  <w:r>
                    <w:rPr>
                      <w:rFonts w:hint="default" w:ascii="Times New Roman" w:hAnsi="Times New Roman" w:eastAsia="宋体" w:cs="Times New Roman"/>
                      <w:color w:val="auto"/>
                      <w:sz w:val="21"/>
                      <w:szCs w:val="21"/>
                      <w:highlight w:val="none"/>
                      <w:shd w:val="clear" w:color="auto" w:fill="auto"/>
                      <w:lang w:val="en-US" w:eastAsia="zh-CN"/>
                    </w:rPr>
                    <w:t>经市政污水管网接至</w:t>
                  </w:r>
                  <w:r>
                    <w:rPr>
                      <w:rFonts w:hint="default" w:ascii="Times New Roman" w:hAnsi="Times New Roman" w:eastAsia="宋体" w:cs="Times New Roman"/>
                      <w:color w:val="auto"/>
                      <w:sz w:val="21"/>
                      <w:szCs w:val="21"/>
                      <w:highlight w:val="none"/>
                      <w:shd w:val="clear" w:color="auto" w:fill="auto"/>
                    </w:rPr>
                    <w:t>常州市金坛区第二污水处理厂集中处理；本项目实际生产前将依法进行排污许可证申请，做到持证排污、按证排污</w:t>
                  </w:r>
                </w:p>
              </w:tc>
              <w:tc>
                <w:tcPr>
                  <w:tcW w:w="353" w:type="pct"/>
                  <w:vAlign w:val="center"/>
                </w:tcPr>
                <w:p w14:paraId="2FC10EAA">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相符</w:t>
                  </w:r>
                </w:p>
              </w:tc>
            </w:tr>
          </w:tbl>
          <w:p w14:paraId="7747E066">
            <w:pPr>
              <w:keepNext w:val="0"/>
              <w:keepLines w:val="0"/>
              <w:pageBreakBefore w:val="0"/>
              <w:widowControl w:val="0"/>
              <w:kinsoku/>
              <w:wordWrap/>
              <w:overflowPunct/>
              <w:topLinePunct w:val="0"/>
              <w:autoSpaceDE w:val="0"/>
              <w:autoSpaceDN w:val="0"/>
              <w:bidi w:val="0"/>
              <w:adjustRightInd w:val="0"/>
              <w:snapToGrid w:val="0"/>
              <w:spacing w:before="120" w:line="360" w:lineRule="auto"/>
              <w:ind w:firstLine="482" w:firstLineChars="200"/>
              <w:textAlignment w:val="auto"/>
              <w:rPr>
                <w:rFonts w:hint="default" w:ascii="Times New Roman" w:hAnsi="Times New Roman" w:eastAsia="宋体" w:cs="Times New Roman"/>
                <w:b/>
                <w:bCs/>
                <w:color w:val="auto"/>
                <w:kern w:val="0"/>
                <w:sz w:val="24"/>
                <w:szCs w:val="24"/>
                <w:highlight w:val="none"/>
                <w:shd w:val="clear" w:color="auto" w:fill="auto"/>
              </w:rPr>
            </w:pPr>
            <w:r>
              <w:rPr>
                <w:rFonts w:hint="eastAsia" w:ascii="Times New Roman" w:hAnsi="Times New Roman" w:eastAsia="宋体" w:cs="Times New Roman"/>
                <w:b/>
                <w:bCs/>
                <w:color w:val="auto"/>
                <w:kern w:val="0"/>
                <w:sz w:val="24"/>
                <w:szCs w:val="24"/>
                <w:highlight w:val="none"/>
                <w:shd w:val="clear" w:color="auto" w:fill="auto"/>
                <w:lang w:val="en-US" w:eastAsia="zh-CN"/>
              </w:rPr>
              <w:t>7</w:t>
            </w:r>
            <w:r>
              <w:rPr>
                <w:rFonts w:hint="default" w:ascii="Times New Roman" w:hAnsi="Times New Roman" w:eastAsia="宋体" w:cs="Times New Roman"/>
                <w:b/>
                <w:bCs/>
                <w:color w:val="auto"/>
                <w:kern w:val="0"/>
                <w:sz w:val="24"/>
                <w:szCs w:val="24"/>
                <w:highlight w:val="none"/>
                <w:shd w:val="clear" w:color="auto" w:fill="auto"/>
              </w:rPr>
              <w:t>、与《长江经济带发展负面清单指南（试行，2022年版）》相符性分析</w:t>
            </w:r>
          </w:p>
          <w:p w14:paraId="149141C6">
            <w:pPr>
              <w:jc w:val="center"/>
              <w:rPr>
                <w:rFonts w:hint="default" w:ascii="Times New Roman" w:hAnsi="Times New Roman" w:eastAsia="宋体" w:cs="Times New Roman"/>
                <w:b/>
                <w:color w:val="auto"/>
                <w:kern w:val="0"/>
                <w:sz w:val="24"/>
                <w:szCs w:val="24"/>
                <w:highlight w:val="none"/>
                <w:shd w:val="clear" w:color="auto" w:fill="auto"/>
              </w:rPr>
            </w:pPr>
            <w:r>
              <w:rPr>
                <w:rFonts w:hint="default" w:ascii="Times New Roman" w:hAnsi="Times New Roman" w:eastAsia="宋体" w:cs="Times New Roman"/>
                <w:b/>
                <w:color w:val="auto"/>
                <w:kern w:val="0"/>
                <w:sz w:val="24"/>
                <w:szCs w:val="24"/>
                <w:highlight w:val="none"/>
                <w:shd w:val="clear" w:color="auto" w:fill="auto"/>
              </w:rPr>
              <w:t>表1-</w:t>
            </w:r>
            <w:r>
              <w:rPr>
                <w:rFonts w:hint="eastAsia" w:ascii="Times New Roman" w:hAnsi="Times New Roman" w:eastAsia="宋体" w:cs="Times New Roman"/>
                <w:b/>
                <w:color w:val="auto"/>
                <w:kern w:val="0"/>
                <w:sz w:val="24"/>
                <w:szCs w:val="24"/>
                <w:highlight w:val="none"/>
                <w:shd w:val="clear" w:color="auto" w:fill="auto"/>
                <w:lang w:val="en-US" w:eastAsia="zh-CN"/>
              </w:rPr>
              <w:t>7</w:t>
            </w:r>
            <w:r>
              <w:rPr>
                <w:rFonts w:hint="default" w:ascii="Times New Roman" w:hAnsi="Times New Roman" w:eastAsia="宋体" w:cs="Times New Roman"/>
                <w:b/>
                <w:color w:val="auto"/>
                <w:kern w:val="0"/>
                <w:sz w:val="24"/>
                <w:szCs w:val="24"/>
                <w:highlight w:val="none"/>
                <w:shd w:val="clear" w:color="auto" w:fill="auto"/>
              </w:rPr>
              <w:t xml:space="preserve">  与《长江经济带发展负面清单指南》相符性分析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5187"/>
              <w:gridCol w:w="2714"/>
            </w:tblGrid>
            <w:tr w14:paraId="12B4B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64430802">
                  <w:pPr>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序号</w:t>
                  </w:r>
                </w:p>
              </w:tc>
              <w:tc>
                <w:tcPr>
                  <w:tcW w:w="3084" w:type="pct"/>
                  <w:tcBorders>
                    <w:tl2br w:val="nil"/>
                    <w:tr2bl w:val="nil"/>
                  </w:tcBorders>
                  <w:vAlign w:val="center"/>
                </w:tcPr>
                <w:p w14:paraId="16F03497">
                  <w:pPr>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政策内容</w:t>
                  </w:r>
                </w:p>
              </w:tc>
              <w:tc>
                <w:tcPr>
                  <w:tcW w:w="1613" w:type="pct"/>
                  <w:tcBorders>
                    <w:tl2br w:val="nil"/>
                    <w:tr2bl w:val="nil"/>
                  </w:tcBorders>
                  <w:vAlign w:val="center"/>
                </w:tcPr>
                <w:p w14:paraId="3D0C64FF">
                  <w:pPr>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相符性分析</w:t>
                  </w:r>
                </w:p>
              </w:tc>
            </w:tr>
            <w:tr w14:paraId="36842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3030986B">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w:t>
                  </w:r>
                </w:p>
              </w:tc>
              <w:tc>
                <w:tcPr>
                  <w:tcW w:w="3084" w:type="pct"/>
                  <w:tcBorders>
                    <w:tl2br w:val="nil"/>
                    <w:tr2bl w:val="nil"/>
                  </w:tcBorders>
                  <w:vAlign w:val="center"/>
                </w:tcPr>
                <w:p w14:paraId="63BD043E">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禁止建设不符合全国和省级港口布局规划以及港口总体规划的码头项目，禁止建设不符合《长江千线过江通道布局规划》的过长江通道项目。</w:t>
                  </w:r>
                </w:p>
              </w:tc>
              <w:tc>
                <w:tcPr>
                  <w:tcW w:w="1613" w:type="pct"/>
                  <w:tcBorders>
                    <w:tl2br w:val="nil"/>
                    <w:tr2bl w:val="nil"/>
                  </w:tcBorders>
                  <w:vAlign w:val="center"/>
                </w:tcPr>
                <w:p w14:paraId="6AC4D7AD">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本项目为</w:t>
                  </w:r>
                  <w:r>
                    <w:rPr>
                      <w:rFonts w:hint="eastAsia" w:ascii="Times New Roman" w:hAnsi="Times New Roman" w:eastAsia="宋体" w:cs="Times New Roman"/>
                      <w:color w:val="auto"/>
                      <w:kern w:val="0"/>
                      <w:sz w:val="21"/>
                      <w:szCs w:val="21"/>
                      <w:highlight w:val="none"/>
                      <w:shd w:val="clear" w:color="auto" w:fill="auto"/>
                      <w:lang w:eastAsia="zh-CN"/>
                    </w:rPr>
                    <w:t>环保塑料袋</w:t>
                  </w:r>
                  <w:r>
                    <w:rPr>
                      <w:rFonts w:hint="default" w:ascii="Times New Roman" w:hAnsi="Times New Roman" w:eastAsia="宋体" w:cs="Times New Roman"/>
                      <w:color w:val="auto"/>
                      <w:kern w:val="0"/>
                      <w:sz w:val="21"/>
                      <w:szCs w:val="21"/>
                      <w:highlight w:val="none"/>
                      <w:shd w:val="clear" w:color="auto" w:fill="auto"/>
                      <w:lang w:eastAsia="zh-CN"/>
                    </w:rPr>
                    <w:t>生产项目</w:t>
                  </w:r>
                  <w:r>
                    <w:rPr>
                      <w:rFonts w:hint="default" w:ascii="Times New Roman" w:hAnsi="Times New Roman" w:eastAsia="宋体" w:cs="Times New Roman"/>
                      <w:color w:val="auto"/>
                      <w:kern w:val="0"/>
                      <w:sz w:val="21"/>
                      <w:szCs w:val="21"/>
                      <w:highlight w:val="none"/>
                      <w:shd w:val="clear" w:color="auto" w:fill="auto"/>
                    </w:rPr>
                    <w:t>，不属于码头项目、长江通道项目</w:t>
                  </w:r>
                </w:p>
              </w:tc>
            </w:tr>
            <w:tr w14:paraId="2F781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20296CFB">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2</w:t>
                  </w:r>
                </w:p>
              </w:tc>
              <w:tc>
                <w:tcPr>
                  <w:tcW w:w="3084" w:type="pct"/>
                  <w:tcBorders>
                    <w:tl2br w:val="nil"/>
                    <w:tr2bl w:val="nil"/>
                  </w:tcBorders>
                  <w:vAlign w:val="center"/>
                </w:tcPr>
                <w:p w14:paraId="58881980">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禁止在自然保护区核心区、缓冲区的岸线和河段范围内投资建设旅游和生产经营项目。禁止在风景名胜区核心景区的岸线和河段范围内投资建设与风景名胜资源保护无关的项目。</w:t>
                  </w:r>
                </w:p>
              </w:tc>
              <w:tc>
                <w:tcPr>
                  <w:tcW w:w="1613" w:type="pct"/>
                  <w:tcBorders>
                    <w:tl2br w:val="nil"/>
                    <w:tr2bl w:val="nil"/>
                  </w:tcBorders>
                  <w:vAlign w:val="center"/>
                </w:tcPr>
                <w:p w14:paraId="01A5910F">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本项目位于</w:t>
                  </w:r>
                  <w:r>
                    <w:rPr>
                      <w:rFonts w:hint="default" w:ascii="Times New Roman" w:hAnsi="Times New Roman" w:eastAsia="宋体" w:cs="Times New Roman"/>
                      <w:color w:val="auto"/>
                      <w:kern w:val="0"/>
                      <w:sz w:val="21"/>
                      <w:szCs w:val="21"/>
                      <w:highlight w:val="none"/>
                      <w:shd w:val="clear" w:color="auto" w:fill="auto"/>
                      <w:lang w:eastAsia="zh-CN"/>
                    </w:rPr>
                    <w:t>江苏省常州市金坛区</w:t>
                  </w:r>
                  <w:r>
                    <w:rPr>
                      <w:rFonts w:hint="eastAsia" w:ascii="Times New Roman" w:hAnsi="Times New Roman" w:eastAsia="宋体" w:cs="Times New Roman"/>
                      <w:color w:val="auto"/>
                      <w:kern w:val="0"/>
                      <w:sz w:val="21"/>
                      <w:szCs w:val="21"/>
                      <w:highlight w:val="none"/>
                      <w:shd w:val="clear" w:color="auto" w:fill="auto"/>
                      <w:lang w:eastAsia="zh-CN"/>
                    </w:rPr>
                    <w:t>晨风路188号</w:t>
                  </w:r>
                  <w:r>
                    <w:rPr>
                      <w:rFonts w:hint="default" w:ascii="Times New Roman" w:hAnsi="Times New Roman" w:eastAsia="宋体" w:cs="Times New Roman"/>
                      <w:color w:val="auto"/>
                      <w:kern w:val="0"/>
                      <w:sz w:val="21"/>
                      <w:szCs w:val="21"/>
                      <w:highlight w:val="none"/>
                      <w:shd w:val="clear" w:color="auto" w:fill="auto"/>
                    </w:rPr>
                    <w:t>，不位于政策所述区域</w:t>
                  </w:r>
                </w:p>
              </w:tc>
            </w:tr>
            <w:tr w14:paraId="5AEBE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25F119CD">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3</w:t>
                  </w:r>
                </w:p>
              </w:tc>
              <w:tc>
                <w:tcPr>
                  <w:tcW w:w="3084" w:type="pct"/>
                  <w:tcBorders>
                    <w:tl2br w:val="nil"/>
                    <w:tr2bl w:val="nil"/>
                  </w:tcBorders>
                  <w:vAlign w:val="center"/>
                </w:tcPr>
                <w:p w14:paraId="1C190D8B">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13" w:type="pct"/>
                  <w:tcBorders>
                    <w:tl2br w:val="nil"/>
                    <w:tr2bl w:val="nil"/>
                  </w:tcBorders>
                  <w:vAlign w:val="center"/>
                </w:tcPr>
                <w:p w14:paraId="505FCC3E">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w:t>
                  </w:r>
                  <w:r>
                    <w:rPr>
                      <w:rFonts w:hint="default" w:ascii="Times New Roman" w:hAnsi="Times New Roman" w:eastAsia="宋体" w:cs="Times New Roman"/>
                      <w:color w:val="auto"/>
                      <w:kern w:val="0"/>
                      <w:sz w:val="21"/>
                      <w:szCs w:val="21"/>
                      <w:highlight w:val="none"/>
                      <w:shd w:val="clear" w:color="auto" w:fill="auto"/>
                      <w:lang w:eastAsia="zh-CN"/>
                    </w:rPr>
                    <w:t>江苏省常州市金坛区</w:t>
                  </w:r>
                  <w:r>
                    <w:rPr>
                      <w:rFonts w:hint="eastAsia" w:ascii="Times New Roman" w:hAnsi="Times New Roman" w:eastAsia="宋体" w:cs="Times New Roman"/>
                      <w:color w:val="auto"/>
                      <w:kern w:val="0"/>
                      <w:sz w:val="21"/>
                      <w:szCs w:val="21"/>
                      <w:highlight w:val="none"/>
                      <w:shd w:val="clear" w:color="auto" w:fill="auto"/>
                      <w:lang w:eastAsia="zh-CN"/>
                    </w:rPr>
                    <w:t>晨风路188号</w:t>
                  </w:r>
                  <w:r>
                    <w:rPr>
                      <w:rFonts w:hint="default" w:ascii="Times New Roman" w:hAnsi="Times New Roman" w:eastAsia="宋体" w:cs="Times New Roman"/>
                      <w:color w:val="auto"/>
                      <w:kern w:val="0"/>
                      <w:sz w:val="21"/>
                      <w:szCs w:val="21"/>
                      <w:highlight w:val="none"/>
                      <w:shd w:val="clear" w:color="auto" w:fill="auto"/>
                    </w:rPr>
                    <w:t>，不位于饮用水水源一级与二级保护区的岸线和河段范围内</w:t>
                  </w:r>
                </w:p>
              </w:tc>
            </w:tr>
            <w:tr w14:paraId="0D5CF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24DAFB36">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4</w:t>
                  </w:r>
                </w:p>
              </w:tc>
              <w:tc>
                <w:tcPr>
                  <w:tcW w:w="3084" w:type="pct"/>
                  <w:tcBorders>
                    <w:tl2br w:val="nil"/>
                    <w:tr2bl w:val="nil"/>
                  </w:tcBorders>
                  <w:vAlign w:val="center"/>
                </w:tcPr>
                <w:p w14:paraId="41139FED">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13" w:type="pct"/>
                  <w:tcBorders>
                    <w:tl2br w:val="nil"/>
                    <w:tr2bl w:val="nil"/>
                  </w:tcBorders>
                  <w:vAlign w:val="center"/>
                </w:tcPr>
                <w:p w14:paraId="042FD2E7">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本项目位于</w:t>
                  </w:r>
                  <w:r>
                    <w:rPr>
                      <w:rFonts w:hint="default" w:ascii="Times New Roman" w:hAnsi="Times New Roman" w:eastAsia="宋体" w:cs="Times New Roman"/>
                      <w:color w:val="auto"/>
                      <w:kern w:val="0"/>
                      <w:sz w:val="21"/>
                      <w:szCs w:val="21"/>
                      <w:highlight w:val="none"/>
                      <w:shd w:val="clear" w:color="auto" w:fill="auto"/>
                      <w:lang w:eastAsia="zh-CN"/>
                    </w:rPr>
                    <w:t>江苏省常州市金坛区</w:t>
                  </w:r>
                  <w:r>
                    <w:rPr>
                      <w:rFonts w:hint="eastAsia" w:ascii="Times New Roman" w:hAnsi="Times New Roman" w:eastAsia="宋体" w:cs="Times New Roman"/>
                      <w:color w:val="auto"/>
                      <w:kern w:val="0"/>
                      <w:sz w:val="21"/>
                      <w:szCs w:val="21"/>
                      <w:highlight w:val="none"/>
                      <w:shd w:val="clear" w:color="auto" w:fill="auto"/>
                      <w:lang w:eastAsia="zh-CN"/>
                    </w:rPr>
                    <w:t>晨风路188号</w:t>
                  </w:r>
                  <w:r>
                    <w:rPr>
                      <w:rFonts w:hint="default" w:ascii="Times New Roman" w:hAnsi="Times New Roman" w:eastAsia="宋体" w:cs="Times New Roman"/>
                      <w:color w:val="auto"/>
                      <w:kern w:val="0"/>
                      <w:sz w:val="21"/>
                      <w:szCs w:val="21"/>
                      <w:highlight w:val="none"/>
                      <w:shd w:val="clear" w:color="auto" w:fill="auto"/>
                    </w:rPr>
                    <w:t>，不位于政策所述区域</w:t>
                  </w:r>
                </w:p>
              </w:tc>
            </w:tr>
            <w:tr w14:paraId="3B609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7786B378">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5</w:t>
                  </w:r>
                </w:p>
              </w:tc>
              <w:tc>
                <w:tcPr>
                  <w:tcW w:w="3084" w:type="pct"/>
                  <w:tcBorders>
                    <w:tl2br w:val="nil"/>
                    <w:tr2bl w:val="nil"/>
                  </w:tcBorders>
                  <w:vAlign w:val="center"/>
                </w:tcPr>
                <w:p w14:paraId="502676B4">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13" w:type="pct"/>
                  <w:tcBorders>
                    <w:tl2br w:val="nil"/>
                    <w:tr2bl w:val="nil"/>
                  </w:tcBorders>
                  <w:vAlign w:val="center"/>
                </w:tcPr>
                <w:p w14:paraId="71DA19BE">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本项目位于</w:t>
                  </w:r>
                  <w:r>
                    <w:rPr>
                      <w:rFonts w:hint="default" w:ascii="Times New Roman" w:hAnsi="Times New Roman" w:eastAsia="宋体" w:cs="Times New Roman"/>
                      <w:color w:val="auto"/>
                      <w:kern w:val="0"/>
                      <w:sz w:val="21"/>
                      <w:szCs w:val="21"/>
                      <w:highlight w:val="none"/>
                      <w:shd w:val="clear" w:color="auto" w:fill="auto"/>
                      <w:lang w:eastAsia="zh-CN"/>
                    </w:rPr>
                    <w:t>江苏省常州市金坛区</w:t>
                  </w:r>
                  <w:r>
                    <w:rPr>
                      <w:rFonts w:hint="eastAsia" w:ascii="Times New Roman" w:hAnsi="Times New Roman" w:eastAsia="宋体" w:cs="Times New Roman"/>
                      <w:color w:val="auto"/>
                      <w:kern w:val="0"/>
                      <w:sz w:val="21"/>
                      <w:szCs w:val="21"/>
                      <w:highlight w:val="none"/>
                      <w:shd w:val="clear" w:color="auto" w:fill="auto"/>
                      <w:lang w:eastAsia="zh-CN"/>
                    </w:rPr>
                    <w:t>晨风路188号</w:t>
                  </w:r>
                  <w:r>
                    <w:rPr>
                      <w:rFonts w:hint="default" w:ascii="Times New Roman" w:hAnsi="Times New Roman" w:eastAsia="宋体" w:cs="Times New Roman"/>
                      <w:color w:val="auto"/>
                      <w:kern w:val="0"/>
                      <w:sz w:val="21"/>
                      <w:szCs w:val="21"/>
                      <w:highlight w:val="none"/>
                      <w:shd w:val="clear" w:color="auto" w:fill="auto"/>
                    </w:rPr>
                    <w:t>，不位于政策所述区域</w:t>
                  </w:r>
                </w:p>
              </w:tc>
            </w:tr>
            <w:tr w14:paraId="264F0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7392740E">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6</w:t>
                  </w:r>
                </w:p>
              </w:tc>
              <w:tc>
                <w:tcPr>
                  <w:tcW w:w="3084" w:type="pct"/>
                  <w:tcBorders>
                    <w:tl2br w:val="nil"/>
                    <w:tr2bl w:val="nil"/>
                  </w:tcBorders>
                  <w:vAlign w:val="center"/>
                </w:tcPr>
                <w:p w14:paraId="197A386F">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禁止未经许可在长江干支流及湖泊新设、改设或扩大排污口。</w:t>
                  </w:r>
                </w:p>
              </w:tc>
              <w:tc>
                <w:tcPr>
                  <w:tcW w:w="1613" w:type="pct"/>
                  <w:tcBorders>
                    <w:tl2br w:val="nil"/>
                    <w:tr2bl w:val="nil"/>
                  </w:tcBorders>
                  <w:vAlign w:val="center"/>
                </w:tcPr>
                <w:p w14:paraId="73DF98FF">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本项目不涉及</w:t>
                  </w:r>
                </w:p>
              </w:tc>
            </w:tr>
            <w:tr w14:paraId="56D92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77A0C46D">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7</w:t>
                  </w:r>
                </w:p>
              </w:tc>
              <w:tc>
                <w:tcPr>
                  <w:tcW w:w="3084" w:type="pct"/>
                  <w:tcBorders>
                    <w:tl2br w:val="nil"/>
                    <w:tr2bl w:val="nil"/>
                  </w:tcBorders>
                  <w:vAlign w:val="center"/>
                </w:tcPr>
                <w:p w14:paraId="7DDCFF1D">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禁止在“一江一口两湖七河”和332个水生生物保护区开展生产性捕捞。</w:t>
                  </w:r>
                </w:p>
              </w:tc>
              <w:tc>
                <w:tcPr>
                  <w:tcW w:w="1613" w:type="pct"/>
                  <w:tcBorders>
                    <w:tl2br w:val="nil"/>
                    <w:tr2bl w:val="nil"/>
                  </w:tcBorders>
                  <w:vAlign w:val="center"/>
                </w:tcPr>
                <w:p w14:paraId="4FBABB77">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本项目不涉及</w:t>
                  </w:r>
                </w:p>
              </w:tc>
            </w:tr>
            <w:tr w14:paraId="59CBD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1B632464">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8</w:t>
                  </w:r>
                </w:p>
              </w:tc>
              <w:tc>
                <w:tcPr>
                  <w:tcW w:w="3084" w:type="pct"/>
                  <w:tcBorders>
                    <w:tl2br w:val="nil"/>
                    <w:tr2bl w:val="nil"/>
                  </w:tcBorders>
                  <w:vAlign w:val="center"/>
                </w:tcPr>
                <w:p w14:paraId="19ADF4B9">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13" w:type="pct"/>
                  <w:tcBorders>
                    <w:tl2br w:val="nil"/>
                    <w:tr2bl w:val="nil"/>
                  </w:tcBorders>
                  <w:vAlign w:val="center"/>
                </w:tcPr>
                <w:p w14:paraId="64647121">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本项目为</w:t>
                  </w:r>
                  <w:r>
                    <w:rPr>
                      <w:rFonts w:hint="eastAsia" w:ascii="Times New Roman" w:hAnsi="Times New Roman" w:eastAsia="宋体" w:cs="Times New Roman"/>
                      <w:color w:val="auto"/>
                      <w:kern w:val="0"/>
                      <w:sz w:val="21"/>
                      <w:szCs w:val="21"/>
                      <w:highlight w:val="none"/>
                      <w:shd w:val="clear" w:color="auto" w:fill="auto"/>
                      <w:lang w:eastAsia="zh-CN"/>
                    </w:rPr>
                    <w:t>环保塑料袋</w:t>
                  </w:r>
                  <w:r>
                    <w:rPr>
                      <w:rFonts w:hint="default" w:ascii="Times New Roman" w:hAnsi="Times New Roman" w:eastAsia="宋体" w:cs="Times New Roman"/>
                      <w:color w:val="auto"/>
                      <w:kern w:val="0"/>
                      <w:sz w:val="21"/>
                      <w:szCs w:val="21"/>
                      <w:highlight w:val="none"/>
                      <w:shd w:val="clear" w:color="auto" w:fill="auto"/>
                      <w:lang w:eastAsia="zh-CN"/>
                    </w:rPr>
                    <w:t>生产项目</w:t>
                  </w:r>
                  <w:r>
                    <w:rPr>
                      <w:rFonts w:hint="default" w:ascii="Times New Roman" w:hAnsi="Times New Roman" w:eastAsia="宋体" w:cs="Times New Roman"/>
                      <w:color w:val="auto"/>
                      <w:kern w:val="0"/>
                      <w:sz w:val="21"/>
                      <w:szCs w:val="21"/>
                      <w:highlight w:val="none"/>
                      <w:shd w:val="clear" w:color="auto" w:fill="auto"/>
                    </w:rPr>
                    <w:t>，不属于政策中所述禁止项目</w:t>
                  </w:r>
                </w:p>
              </w:tc>
            </w:tr>
            <w:tr w14:paraId="1758F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37C45BA0">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9</w:t>
                  </w:r>
                </w:p>
              </w:tc>
              <w:tc>
                <w:tcPr>
                  <w:tcW w:w="3084" w:type="pct"/>
                  <w:tcBorders>
                    <w:tl2br w:val="nil"/>
                    <w:tr2bl w:val="nil"/>
                  </w:tcBorders>
                  <w:vAlign w:val="center"/>
                </w:tcPr>
                <w:p w14:paraId="4684F03E">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禁止在合规园区外新建、扩建钢铁、石化、化工、焦化、建材、有色、制浆造纸等高污染项目。</w:t>
                  </w:r>
                </w:p>
              </w:tc>
              <w:tc>
                <w:tcPr>
                  <w:tcW w:w="1613" w:type="pct"/>
                  <w:tcBorders>
                    <w:tl2br w:val="nil"/>
                    <w:tr2bl w:val="nil"/>
                  </w:tcBorders>
                  <w:vAlign w:val="center"/>
                </w:tcPr>
                <w:p w14:paraId="6E67E5F0">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本项目为</w:t>
                  </w:r>
                  <w:r>
                    <w:rPr>
                      <w:rFonts w:hint="eastAsia" w:ascii="Times New Roman" w:hAnsi="Times New Roman" w:eastAsia="宋体" w:cs="Times New Roman"/>
                      <w:color w:val="auto"/>
                      <w:kern w:val="0"/>
                      <w:sz w:val="21"/>
                      <w:szCs w:val="21"/>
                      <w:highlight w:val="none"/>
                      <w:shd w:val="clear" w:color="auto" w:fill="auto"/>
                      <w:lang w:eastAsia="zh-CN"/>
                    </w:rPr>
                    <w:t>环保塑料袋</w:t>
                  </w:r>
                  <w:r>
                    <w:rPr>
                      <w:rFonts w:hint="default" w:ascii="Times New Roman" w:hAnsi="Times New Roman" w:eastAsia="宋体" w:cs="Times New Roman"/>
                      <w:color w:val="auto"/>
                      <w:kern w:val="0"/>
                      <w:sz w:val="21"/>
                      <w:szCs w:val="21"/>
                      <w:highlight w:val="none"/>
                      <w:shd w:val="clear" w:color="auto" w:fill="auto"/>
                      <w:lang w:eastAsia="zh-CN"/>
                    </w:rPr>
                    <w:t>生产项目</w:t>
                  </w:r>
                  <w:r>
                    <w:rPr>
                      <w:rFonts w:hint="default" w:ascii="Times New Roman" w:hAnsi="Times New Roman" w:eastAsia="宋体" w:cs="Times New Roman"/>
                      <w:color w:val="auto"/>
                      <w:kern w:val="0"/>
                      <w:sz w:val="21"/>
                      <w:szCs w:val="21"/>
                      <w:highlight w:val="none"/>
                      <w:shd w:val="clear" w:color="auto" w:fill="auto"/>
                    </w:rPr>
                    <w:t>，不属于政策中所述禁止项目</w:t>
                  </w:r>
                </w:p>
              </w:tc>
            </w:tr>
            <w:tr w14:paraId="4E95B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10473559">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10</w:t>
                  </w:r>
                </w:p>
              </w:tc>
              <w:tc>
                <w:tcPr>
                  <w:tcW w:w="3084" w:type="pct"/>
                  <w:tcBorders>
                    <w:tl2br w:val="nil"/>
                    <w:tr2bl w:val="nil"/>
                  </w:tcBorders>
                  <w:vAlign w:val="center"/>
                </w:tcPr>
                <w:p w14:paraId="0393E080">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禁止新建、扩建不符合国家石化、现代煤化工等产业布局规划的项目。</w:t>
                  </w:r>
                </w:p>
              </w:tc>
              <w:tc>
                <w:tcPr>
                  <w:tcW w:w="1613" w:type="pct"/>
                  <w:tcBorders>
                    <w:tl2br w:val="nil"/>
                    <w:tr2bl w:val="nil"/>
                  </w:tcBorders>
                  <w:vAlign w:val="center"/>
                </w:tcPr>
                <w:p w14:paraId="255E2BE2">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本项目为</w:t>
                  </w:r>
                  <w:r>
                    <w:rPr>
                      <w:rFonts w:hint="eastAsia" w:ascii="Times New Roman" w:hAnsi="Times New Roman" w:eastAsia="宋体" w:cs="Times New Roman"/>
                      <w:color w:val="auto"/>
                      <w:kern w:val="0"/>
                      <w:sz w:val="21"/>
                      <w:szCs w:val="21"/>
                      <w:highlight w:val="none"/>
                      <w:shd w:val="clear" w:color="auto" w:fill="auto"/>
                      <w:lang w:eastAsia="zh-CN"/>
                    </w:rPr>
                    <w:t>环保塑料袋</w:t>
                  </w:r>
                  <w:r>
                    <w:rPr>
                      <w:rFonts w:hint="default" w:ascii="Times New Roman" w:hAnsi="Times New Roman" w:eastAsia="宋体" w:cs="Times New Roman"/>
                      <w:color w:val="auto"/>
                      <w:kern w:val="0"/>
                      <w:sz w:val="21"/>
                      <w:szCs w:val="21"/>
                      <w:highlight w:val="none"/>
                      <w:shd w:val="clear" w:color="auto" w:fill="auto"/>
                      <w:lang w:eastAsia="zh-CN"/>
                    </w:rPr>
                    <w:t>生产项目</w:t>
                  </w:r>
                  <w:r>
                    <w:rPr>
                      <w:rFonts w:hint="default" w:ascii="Times New Roman" w:hAnsi="Times New Roman" w:eastAsia="宋体" w:cs="Times New Roman"/>
                      <w:color w:val="auto"/>
                      <w:kern w:val="0"/>
                      <w:sz w:val="21"/>
                      <w:szCs w:val="21"/>
                      <w:highlight w:val="none"/>
                      <w:shd w:val="clear" w:color="auto" w:fill="auto"/>
                    </w:rPr>
                    <w:t>，不属于政策中所述禁止项目</w:t>
                  </w:r>
                </w:p>
              </w:tc>
            </w:tr>
            <w:tr w14:paraId="785BA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235F84CF">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11</w:t>
                  </w:r>
                </w:p>
              </w:tc>
              <w:tc>
                <w:tcPr>
                  <w:tcW w:w="3084" w:type="pct"/>
                  <w:tcBorders>
                    <w:tl2br w:val="nil"/>
                    <w:tr2bl w:val="nil"/>
                  </w:tcBorders>
                  <w:vAlign w:val="center"/>
                </w:tcPr>
                <w:p w14:paraId="1E24CB0D">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禁止新建、扩建法律法规和相关政策明令禁止的落后产能项目。禁止新建、扩建不符合国家产能置换要求的严重过剩产能行业的项目。禁止新建、扩建不符合要求的高耗能高排放项目。</w:t>
                  </w:r>
                </w:p>
              </w:tc>
              <w:tc>
                <w:tcPr>
                  <w:tcW w:w="1613" w:type="pct"/>
                  <w:tcBorders>
                    <w:tl2br w:val="nil"/>
                    <w:tr2bl w:val="nil"/>
                  </w:tcBorders>
                  <w:vAlign w:val="center"/>
                </w:tcPr>
                <w:p w14:paraId="0BBE5505">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本项目为</w:t>
                  </w:r>
                  <w:r>
                    <w:rPr>
                      <w:rFonts w:hint="eastAsia" w:ascii="Times New Roman" w:hAnsi="Times New Roman" w:eastAsia="宋体" w:cs="Times New Roman"/>
                      <w:color w:val="auto"/>
                      <w:kern w:val="0"/>
                      <w:sz w:val="21"/>
                      <w:szCs w:val="21"/>
                      <w:highlight w:val="none"/>
                      <w:shd w:val="clear" w:color="auto" w:fill="auto"/>
                      <w:lang w:eastAsia="zh-CN"/>
                    </w:rPr>
                    <w:t>环保塑料袋</w:t>
                  </w:r>
                  <w:r>
                    <w:rPr>
                      <w:rFonts w:hint="default" w:ascii="Times New Roman" w:hAnsi="Times New Roman" w:eastAsia="宋体" w:cs="Times New Roman"/>
                      <w:color w:val="auto"/>
                      <w:kern w:val="0"/>
                      <w:sz w:val="21"/>
                      <w:szCs w:val="21"/>
                      <w:highlight w:val="none"/>
                      <w:shd w:val="clear" w:color="auto" w:fill="auto"/>
                      <w:lang w:eastAsia="zh-CN"/>
                    </w:rPr>
                    <w:t>生产项目</w:t>
                  </w:r>
                  <w:r>
                    <w:rPr>
                      <w:rFonts w:hint="default" w:ascii="Times New Roman" w:hAnsi="Times New Roman" w:eastAsia="宋体" w:cs="Times New Roman"/>
                      <w:color w:val="auto"/>
                      <w:kern w:val="0"/>
                      <w:sz w:val="21"/>
                      <w:szCs w:val="21"/>
                      <w:highlight w:val="none"/>
                      <w:shd w:val="clear" w:color="auto" w:fill="auto"/>
                    </w:rPr>
                    <w:t>，不属于政策中所述禁止项目</w:t>
                  </w:r>
                </w:p>
              </w:tc>
            </w:tr>
            <w:tr w14:paraId="4860E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0D843992">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12</w:t>
                  </w:r>
                </w:p>
              </w:tc>
              <w:tc>
                <w:tcPr>
                  <w:tcW w:w="3084" w:type="pct"/>
                  <w:tcBorders>
                    <w:tl2br w:val="nil"/>
                    <w:tr2bl w:val="nil"/>
                  </w:tcBorders>
                  <w:vAlign w:val="center"/>
                </w:tcPr>
                <w:p w14:paraId="1A418E5C">
                  <w:pP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法律法规及相关政策文件有更加严格规定的从其规定。</w:t>
                  </w:r>
                </w:p>
              </w:tc>
              <w:tc>
                <w:tcPr>
                  <w:tcW w:w="1613" w:type="pct"/>
                  <w:tcBorders>
                    <w:tl2br w:val="nil"/>
                    <w:tr2bl w:val="nil"/>
                  </w:tcBorders>
                  <w:vAlign w:val="center"/>
                </w:tcPr>
                <w:p w14:paraId="37DF9925">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相符</w:t>
                  </w:r>
                </w:p>
              </w:tc>
            </w:tr>
          </w:tbl>
          <w:p w14:paraId="02114C77">
            <w:pPr>
              <w:spacing w:line="360" w:lineRule="auto"/>
              <w:ind w:firstLine="482" w:firstLineChars="200"/>
              <w:rPr>
                <w:rFonts w:hint="default" w:ascii="Times New Roman" w:hAnsi="Times New Roman" w:eastAsia="宋体" w:cs="Times New Roman"/>
                <w:b/>
                <w:bCs/>
                <w:color w:val="auto"/>
                <w:sz w:val="24"/>
                <w:szCs w:val="24"/>
                <w:highlight w:val="none"/>
                <w:shd w:val="clear" w:color="auto" w:fill="auto"/>
              </w:rPr>
            </w:pPr>
            <w:r>
              <w:rPr>
                <w:rFonts w:hint="eastAsia" w:ascii="Times New Roman" w:hAnsi="Times New Roman" w:eastAsia="宋体" w:cs="Times New Roman"/>
                <w:b/>
                <w:bCs/>
                <w:color w:val="auto"/>
                <w:sz w:val="24"/>
                <w:szCs w:val="24"/>
                <w:highlight w:val="none"/>
                <w:shd w:val="clear" w:color="auto" w:fill="auto"/>
                <w:lang w:val="en-US" w:eastAsia="zh-CN"/>
              </w:rPr>
              <w:t>8</w:t>
            </w:r>
            <w:r>
              <w:rPr>
                <w:rFonts w:hint="default" w:ascii="Times New Roman" w:hAnsi="Times New Roman" w:eastAsia="宋体" w:cs="Times New Roman"/>
                <w:b/>
                <w:bCs/>
                <w:color w:val="auto"/>
                <w:sz w:val="24"/>
                <w:szCs w:val="24"/>
                <w:highlight w:val="none"/>
                <w:shd w:val="clear" w:color="auto" w:fill="auto"/>
              </w:rPr>
              <w:t>、与《江苏省水污染防治条例》相符性分析</w:t>
            </w:r>
          </w:p>
          <w:p w14:paraId="13F380CD">
            <w:pPr>
              <w:jc w:val="center"/>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t>表1-</w:t>
            </w:r>
            <w:r>
              <w:rPr>
                <w:rFonts w:hint="eastAsia" w:ascii="Times New Roman" w:hAnsi="Times New Roman" w:eastAsia="宋体" w:cs="Times New Roman"/>
                <w:b/>
                <w:bCs/>
                <w:color w:val="auto"/>
                <w:sz w:val="24"/>
                <w:szCs w:val="24"/>
                <w:highlight w:val="none"/>
                <w:shd w:val="clear" w:color="auto" w:fill="auto"/>
                <w:lang w:val="en-US" w:eastAsia="zh-CN"/>
              </w:rPr>
              <w:t>8</w:t>
            </w:r>
            <w:r>
              <w:rPr>
                <w:rFonts w:hint="default" w:ascii="Times New Roman" w:hAnsi="Times New Roman" w:eastAsia="宋体" w:cs="Times New Roman"/>
                <w:b/>
                <w:bCs/>
                <w:color w:val="auto"/>
                <w:sz w:val="24"/>
                <w:szCs w:val="24"/>
                <w:highlight w:val="none"/>
                <w:shd w:val="clear" w:color="auto" w:fill="auto"/>
              </w:rPr>
              <w:t xml:space="preserve">  与《江苏省水污染防治条例》的相符性分析</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858"/>
              <w:gridCol w:w="5404"/>
              <w:gridCol w:w="2145"/>
            </w:tblGrid>
            <w:tr w14:paraId="44F0AF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10" w:type="pct"/>
                  <w:tcBorders>
                    <w:tl2br w:val="nil"/>
                    <w:tr2bl w:val="nil"/>
                  </w:tcBorders>
                  <w:vAlign w:val="center"/>
                </w:tcPr>
                <w:p w14:paraId="1E3ADB33">
                  <w:pPr>
                    <w:widowControl/>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条款</w:t>
                  </w:r>
                </w:p>
              </w:tc>
              <w:tc>
                <w:tcPr>
                  <w:tcW w:w="3213" w:type="pct"/>
                  <w:tcBorders>
                    <w:tl2br w:val="nil"/>
                    <w:tr2bl w:val="nil"/>
                  </w:tcBorders>
                  <w:vAlign w:val="center"/>
                </w:tcPr>
                <w:p w14:paraId="274BE699">
                  <w:pPr>
                    <w:widowControl/>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内容</w:t>
                  </w:r>
                </w:p>
              </w:tc>
              <w:tc>
                <w:tcPr>
                  <w:tcW w:w="1275" w:type="pct"/>
                  <w:tcBorders>
                    <w:tl2br w:val="nil"/>
                    <w:tr2bl w:val="nil"/>
                  </w:tcBorders>
                  <w:vAlign w:val="center"/>
                </w:tcPr>
                <w:p w14:paraId="664D979D">
                  <w:pPr>
                    <w:widowControl/>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对照分析</w:t>
                  </w:r>
                </w:p>
              </w:tc>
            </w:tr>
            <w:tr w14:paraId="6266B6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10" w:type="pct"/>
                  <w:tcBorders>
                    <w:tl2br w:val="nil"/>
                    <w:tr2bl w:val="nil"/>
                  </w:tcBorders>
                  <w:vAlign w:val="center"/>
                </w:tcPr>
                <w:p w14:paraId="361DE142">
                  <w:pPr>
                    <w:widowControl/>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第二十三条</w:t>
                  </w:r>
                </w:p>
              </w:tc>
              <w:tc>
                <w:tcPr>
                  <w:tcW w:w="3213" w:type="pct"/>
                  <w:tcBorders>
                    <w:tl2br w:val="nil"/>
                    <w:tr2bl w:val="nil"/>
                  </w:tcBorders>
                  <w:vAlign w:val="center"/>
                </w:tcPr>
                <w:p w14:paraId="694B3576">
                  <w:pPr>
                    <w:widowControl/>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禁止工业企业、宾馆、餐饮、洗涤等企业事业单位以及个人使用各类含磷洗涤用品。</w:t>
                  </w:r>
                </w:p>
              </w:tc>
              <w:tc>
                <w:tcPr>
                  <w:tcW w:w="1275" w:type="pct"/>
                  <w:tcBorders>
                    <w:tl2br w:val="nil"/>
                    <w:tr2bl w:val="nil"/>
                  </w:tcBorders>
                  <w:vAlign w:val="center"/>
                </w:tcPr>
                <w:p w14:paraId="03F834D8">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本项目不使用含磷洗涤用品</w:t>
                  </w:r>
                </w:p>
              </w:tc>
            </w:tr>
            <w:tr w14:paraId="180220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10" w:type="pct"/>
                  <w:tcBorders>
                    <w:tl2br w:val="nil"/>
                    <w:tr2bl w:val="nil"/>
                  </w:tcBorders>
                  <w:vAlign w:val="center"/>
                </w:tcPr>
                <w:p w14:paraId="7A6FA3EE">
                  <w:pPr>
                    <w:widowControl/>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第二十六条</w:t>
                  </w:r>
                </w:p>
              </w:tc>
              <w:tc>
                <w:tcPr>
                  <w:tcW w:w="3213" w:type="pct"/>
                  <w:tcBorders>
                    <w:tl2br w:val="nil"/>
                    <w:tr2bl w:val="nil"/>
                  </w:tcBorders>
                  <w:vAlign w:val="center"/>
                </w:tcPr>
                <w:p w14:paraId="3C26EA62">
                  <w:pPr>
                    <w:widowControl/>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向污水集中处理设施排放工业废水的，应当按照国家和省有关规定进行预处理，符合国家、省有关标准和污水集中处理设施的接纳要求。污水集中处理设施尾水，可以采取生态净化等方式处理后排放。</w:t>
                  </w:r>
                </w:p>
                <w:p w14:paraId="326075AB">
                  <w:pPr>
                    <w:widowControl/>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实行工业废水与生活污水分质处理，对不符合城镇污水集中处理设施接纳要求的工业废水，限期退出城镇污水管网。</w:t>
                  </w:r>
                </w:p>
              </w:tc>
              <w:tc>
                <w:tcPr>
                  <w:tcW w:w="1275" w:type="pct"/>
                  <w:tcBorders>
                    <w:tl2br w:val="nil"/>
                    <w:tr2bl w:val="nil"/>
                  </w:tcBorders>
                  <w:vAlign w:val="center"/>
                </w:tcPr>
                <w:p w14:paraId="5C3A7E83">
                  <w:pPr>
                    <w:widowControl/>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本项目</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color w:val="auto"/>
                      <w:sz w:val="21"/>
                      <w:szCs w:val="21"/>
                      <w:highlight w:val="none"/>
                      <w:shd w:val="clear" w:color="auto" w:fill="auto"/>
                    </w:rPr>
                    <w:t>生活污水</w:t>
                  </w:r>
                  <w:r>
                    <w:rPr>
                      <w:rFonts w:hint="default" w:ascii="Times New Roman" w:hAnsi="Times New Roman" w:eastAsia="宋体" w:cs="Times New Roman"/>
                      <w:color w:val="auto"/>
                      <w:sz w:val="21"/>
                      <w:szCs w:val="21"/>
                      <w:highlight w:val="none"/>
                      <w:shd w:val="clear" w:color="auto" w:fill="auto"/>
                      <w:lang w:val="en-US" w:eastAsia="zh-CN"/>
                    </w:rPr>
                    <w:t>经市政污水管网接至污水处理厂处理</w:t>
                  </w:r>
                  <w:r>
                    <w:rPr>
                      <w:rFonts w:hint="default" w:ascii="Times New Roman" w:hAnsi="Times New Roman" w:eastAsia="宋体" w:cs="Times New Roman"/>
                      <w:color w:val="auto"/>
                      <w:sz w:val="21"/>
                      <w:szCs w:val="21"/>
                      <w:highlight w:val="none"/>
                      <w:shd w:val="clear" w:color="auto" w:fill="auto"/>
                    </w:rPr>
                    <w:t>，符合本条例要求</w:t>
                  </w:r>
                </w:p>
              </w:tc>
            </w:tr>
          </w:tbl>
          <w:p w14:paraId="77395435">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auto"/>
                <w:sz w:val="24"/>
                <w:szCs w:val="24"/>
                <w:highlight w:val="none"/>
                <w:shd w:val="clear" w:color="auto" w:fill="auto"/>
                <w:lang w:val="zh-CN"/>
              </w:rPr>
            </w:pPr>
            <w:r>
              <w:rPr>
                <w:rFonts w:hint="eastAsia" w:ascii="Times New Roman" w:hAnsi="Times New Roman" w:eastAsia="宋体" w:cs="Times New Roman"/>
                <w:b/>
                <w:bCs/>
                <w:color w:val="auto"/>
                <w:sz w:val="24"/>
                <w:szCs w:val="24"/>
                <w:highlight w:val="none"/>
                <w:shd w:val="clear" w:color="auto" w:fill="auto"/>
                <w:lang w:val="en-US" w:eastAsia="zh-CN"/>
              </w:rPr>
              <w:t>9</w:t>
            </w:r>
            <w:r>
              <w:rPr>
                <w:rFonts w:hint="default" w:ascii="Times New Roman" w:hAnsi="Times New Roman" w:eastAsia="宋体" w:cs="Times New Roman"/>
                <w:b/>
                <w:bCs/>
                <w:color w:val="auto"/>
                <w:sz w:val="24"/>
                <w:szCs w:val="24"/>
                <w:highlight w:val="none"/>
                <w:shd w:val="clear" w:color="auto" w:fill="auto"/>
              </w:rPr>
              <w:t>、</w:t>
            </w:r>
            <w:r>
              <w:rPr>
                <w:rFonts w:hint="default" w:ascii="Times New Roman" w:hAnsi="Times New Roman" w:eastAsia="宋体" w:cs="Times New Roman"/>
                <w:b/>
                <w:bCs/>
                <w:color w:val="auto"/>
                <w:sz w:val="24"/>
                <w:szCs w:val="24"/>
                <w:highlight w:val="none"/>
                <w:shd w:val="clear" w:color="auto" w:fill="auto"/>
                <w:lang w:val="zh-CN"/>
              </w:rPr>
              <w:t>与《关于做好生态环境和应急管理部门联动工作的意见》（苏环办[2020]101号）相符性分析</w:t>
            </w:r>
          </w:p>
          <w:p w14:paraId="4A376C06">
            <w:pPr>
              <w:jc w:val="center"/>
              <w:rPr>
                <w:rFonts w:hint="default" w:ascii="Times New Roman" w:hAnsi="Times New Roman" w:eastAsia="宋体" w:cs="Times New Roman"/>
                <w:b/>
                <w:bCs/>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zh-CN"/>
              </w:rPr>
              <w:t>表1-</w:t>
            </w:r>
            <w:r>
              <w:rPr>
                <w:rFonts w:hint="eastAsia" w:ascii="Times New Roman" w:hAnsi="Times New Roman" w:eastAsia="宋体" w:cs="Times New Roman"/>
                <w:b/>
                <w:bCs/>
                <w:color w:val="auto"/>
                <w:sz w:val="24"/>
                <w:szCs w:val="24"/>
                <w:highlight w:val="none"/>
                <w:shd w:val="clear" w:color="auto" w:fill="auto"/>
                <w:lang w:val="en-US" w:eastAsia="zh-CN"/>
              </w:rPr>
              <w:t>9</w:t>
            </w:r>
            <w:r>
              <w:rPr>
                <w:rFonts w:hint="default" w:ascii="Times New Roman" w:hAnsi="Times New Roman" w:eastAsia="宋体" w:cs="Times New Roman"/>
                <w:b/>
                <w:bCs/>
                <w:color w:val="auto"/>
                <w:sz w:val="24"/>
                <w:szCs w:val="24"/>
                <w:highlight w:val="none"/>
                <w:shd w:val="clear" w:color="auto" w:fill="auto"/>
                <w:lang w:val="zh-CN"/>
              </w:rPr>
              <w:t xml:space="preserve">  与苏环办[2020]101号文的相符性分析</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83"/>
              <w:gridCol w:w="2841"/>
              <w:gridCol w:w="883"/>
            </w:tblGrid>
            <w:tr w14:paraId="6731D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4" w:type="pct"/>
                  <w:tcBorders>
                    <w:tl2br w:val="nil"/>
                    <w:tr2bl w:val="nil"/>
                  </w:tcBorders>
                  <w:vAlign w:val="center"/>
                </w:tcPr>
                <w:p w14:paraId="4386A092">
                  <w:pPr>
                    <w:jc w:val="center"/>
                    <w:rPr>
                      <w:rFonts w:hint="default" w:ascii="Times New Roman" w:hAnsi="Times New Roman" w:eastAsia="宋体" w:cs="Times New Roman"/>
                      <w:b/>
                      <w:bCs/>
                      <w:color w:val="auto"/>
                      <w:sz w:val="21"/>
                      <w:szCs w:val="21"/>
                      <w:highlight w:val="none"/>
                      <w:shd w:val="clear" w:color="auto" w:fill="auto"/>
                      <w:lang w:val="zh-CN"/>
                    </w:rPr>
                  </w:pPr>
                  <w:r>
                    <w:rPr>
                      <w:rFonts w:hint="default" w:ascii="Times New Roman" w:hAnsi="Times New Roman" w:eastAsia="宋体" w:cs="Times New Roman"/>
                      <w:b/>
                      <w:bCs/>
                      <w:color w:val="auto"/>
                      <w:sz w:val="21"/>
                      <w:szCs w:val="21"/>
                      <w:highlight w:val="none"/>
                      <w:shd w:val="clear" w:color="auto" w:fill="auto"/>
                      <w:lang w:val="zh-CN"/>
                    </w:rPr>
                    <w:t>文件指导要求</w:t>
                  </w:r>
                </w:p>
              </w:tc>
              <w:tc>
                <w:tcPr>
                  <w:tcW w:w="1689" w:type="pct"/>
                  <w:tcBorders>
                    <w:tl2br w:val="nil"/>
                    <w:tr2bl w:val="nil"/>
                  </w:tcBorders>
                  <w:vAlign w:val="center"/>
                </w:tcPr>
                <w:p w14:paraId="62A9ED9E">
                  <w:pPr>
                    <w:jc w:val="center"/>
                    <w:rPr>
                      <w:rFonts w:hint="default" w:ascii="Times New Roman" w:hAnsi="Times New Roman" w:eastAsia="宋体" w:cs="Times New Roman"/>
                      <w:b/>
                      <w:bCs/>
                      <w:color w:val="auto"/>
                      <w:sz w:val="21"/>
                      <w:szCs w:val="21"/>
                      <w:highlight w:val="none"/>
                      <w:shd w:val="clear" w:color="auto" w:fill="auto"/>
                      <w:lang w:val="zh-CN"/>
                    </w:rPr>
                  </w:pPr>
                  <w:r>
                    <w:rPr>
                      <w:rFonts w:hint="default" w:ascii="Times New Roman" w:hAnsi="Times New Roman" w:eastAsia="宋体" w:cs="Times New Roman"/>
                      <w:b/>
                      <w:bCs/>
                      <w:color w:val="auto"/>
                      <w:sz w:val="21"/>
                      <w:szCs w:val="21"/>
                      <w:highlight w:val="none"/>
                      <w:shd w:val="clear" w:color="auto" w:fill="auto"/>
                      <w:lang w:val="zh-CN"/>
                    </w:rPr>
                    <w:t>本项目相符性分析</w:t>
                  </w:r>
                </w:p>
              </w:tc>
              <w:tc>
                <w:tcPr>
                  <w:tcW w:w="525" w:type="pct"/>
                  <w:tcBorders>
                    <w:tl2br w:val="nil"/>
                    <w:tr2bl w:val="nil"/>
                  </w:tcBorders>
                  <w:vAlign w:val="center"/>
                </w:tcPr>
                <w:p w14:paraId="2872323A">
                  <w:pPr>
                    <w:jc w:val="center"/>
                    <w:rPr>
                      <w:rFonts w:hint="default" w:ascii="Times New Roman" w:hAnsi="Times New Roman" w:eastAsia="宋体" w:cs="Times New Roman"/>
                      <w:b/>
                      <w:bCs/>
                      <w:color w:val="auto"/>
                      <w:sz w:val="21"/>
                      <w:szCs w:val="21"/>
                      <w:highlight w:val="none"/>
                      <w:shd w:val="clear" w:color="auto" w:fill="auto"/>
                      <w:lang w:val="zh-CN"/>
                    </w:rPr>
                  </w:pPr>
                  <w:r>
                    <w:rPr>
                      <w:rFonts w:hint="default" w:ascii="Times New Roman" w:hAnsi="Times New Roman" w:eastAsia="宋体" w:cs="Times New Roman"/>
                      <w:b/>
                      <w:bCs/>
                      <w:color w:val="auto"/>
                      <w:sz w:val="21"/>
                      <w:szCs w:val="21"/>
                      <w:highlight w:val="none"/>
                      <w:shd w:val="clear" w:color="auto" w:fill="auto"/>
                      <w:lang w:val="zh-CN"/>
                    </w:rPr>
                    <w:t>相符性</w:t>
                  </w:r>
                </w:p>
              </w:tc>
            </w:tr>
            <w:tr w14:paraId="3599A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4" w:type="pct"/>
                  <w:tcBorders>
                    <w:tl2br w:val="nil"/>
                    <w:tr2bl w:val="nil"/>
                  </w:tcBorders>
                  <w:vAlign w:val="center"/>
                </w:tcPr>
                <w:p w14:paraId="72D52DF5">
                  <w:pPr>
                    <w:jc w:val="center"/>
                    <w:rPr>
                      <w:rFonts w:hint="default" w:ascii="Times New Roman" w:hAnsi="Times New Roman" w:eastAsia="宋体" w:cs="Times New Roman"/>
                      <w:bCs/>
                      <w:color w:val="auto"/>
                      <w:sz w:val="21"/>
                      <w:szCs w:val="21"/>
                      <w:highlight w:val="none"/>
                      <w:shd w:val="clear" w:color="auto" w:fill="auto"/>
                      <w:lang w:val="zh-CN"/>
                    </w:rPr>
                  </w:pPr>
                  <w:r>
                    <w:rPr>
                      <w:rFonts w:hint="default" w:ascii="Times New Roman" w:hAnsi="Times New Roman" w:eastAsia="宋体" w:cs="Times New Roman"/>
                      <w:bCs/>
                      <w:color w:val="auto"/>
                      <w:sz w:val="21"/>
                      <w:szCs w:val="21"/>
                      <w:highlight w:val="none"/>
                      <w:shd w:val="clear" w:color="auto" w:fill="auto"/>
                      <w:lang w:val="zh-CN"/>
                    </w:rPr>
                    <w:t>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tc>
              <w:tc>
                <w:tcPr>
                  <w:tcW w:w="1689" w:type="pct"/>
                  <w:tcBorders>
                    <w:tl2br w:val="nil"/>
                    <w:tr2bl w:val="nil"/>
                  </w:tcBorders>
                  <w:vAlign w:val="center"/>
                </w:tcPr>
                <w:p w14:paraId="54831D36">
                  <w:pPr>
                    <w:jc w:val="center"/>
                    <w:rPr>
                      <w:rFonts w:hint="default" w:ascii="Times New Roman" w:hAnsi="Times New Roman" w:eastAsia="宋体" w:cs="Times New Roman"/>
                      <w:bCs/>
                      <w:color w:val="auto"/>
                      <w:sz w:val="21"/>
                      <w:szCs w:val="21"/>
                      <w:highlight w:val="none"/>
                      <w:shd w:val="clear" w:color="auto" w:fill="auto"/>
                      <w:lang w:val="zh-CN"/>
                    </w:rPr>
                  </w:pPr>
                  <w:r>
                    <w:rPr>
                      <w:rFonts w:hint="default" w:ascii="Times New Roman" w:hAnsi="Times New Roman" w:eastAsia="宋体" w:cs="Times New Roman"/>
                      <w:bCs/>
                      <w:color w:val="auto"/>
                      <w:sz w:val="21"/>
                      <w:szCs w:val="21"/>
                      <w:highlight w:val="none"/>
                      <w:shd w:val="clear" w:color="auto" w:fill="auto"/>
                      <w:lang w:val="zh-CN"/>
                    </w:rPr>
                    <w:t>本项目产生的危险废物包括</w:t>
                  </w:r>
                  <w:r>
                    <w:rPr>
                      <w:rFonts w:hint="eastAsia" w:ascii="Times New Roman" w:hAnsi="Times New Roman" w:eastAsia="宋体" w:cs="Times New Roman"/>
                      <w:color w:val="auto"/>
                      <w:sz w:val="21"/>
                      <w:szCs w:val="21"/>
                      <w:highlight w:val="none"/>
                      <w:shd w:val="clear" w:color="auto" w:fill="auto"/>
                      <w:lang w:val="en-US" w:eastAsia="zh-CN"/>
                    </w:rPr>
                    <w:t>废包装桶、废抹布、废活性炭、含油抹布手套</w:t>
                  </w:r>
                  <w:r>
                    <w:rPr>
                      <w:rFonts w:hint="default" w:ascii="Times New Roman" w:hAnsi="Times New Roman" w:eastAsia="宋体" w:cs="Times New Roman"/>
                      <w:bCs/>
                      <w:color w:val="auto"/>
                      <w:sz w:val="21"/>
                      <w:szCs w:val="21"/>
                      <w:highlight w:val="none"/>
                      <w:shd w:val="clear" w:color="auto" w:fill="auto"/>
                      <w:lang w:val="zh-CN"/>
                    </w:rPr>
                    <w:t>，本项目建成后将按照相关法律法规及标准技术文件对危废进行收集、贮存、运输、处置，危废的管理过程将在“江苏省危险废物全生命周期监控系统”中体现</w:t>
                  </w:r>
                </w:p>
              </w:tc>
              <w:tc>
                <w:tcPr>
                  <w:tcW w:w="525" w:type="pct"/>
                  <w:tcBorders>
                    <w:tl2br w:val="nil"/>
                    <w:tr2bl w:val="nil"/>
                  </w:tcBorders>
                  <w:vAlign w:val="center"/>
                </w:tcPr>
                <w:p w14:paraId="3C890867">
                  <w:pPr>
                    <w:jc w:val="center"/>
                    <w:rPr>
                      <w:rFonts w:hint="default" w:ascii="Times New Roman" w:hAnsi="Times New Roman" w:eastAsia="宋体" w:cs="Times New Roman"/>
                      <w:bCs/>
                      <w:color w:val="auto"/>
                      <w:sz w:val="21"/>
                      <w:szCs w:val="21"/>
                      <w:highlight w:val="none"/>
                      <w:shd w:val="clear" w:color="auto" w:fill="auto"/>
                      <w:lang w:val="zh-CN"/>
                    </w:rPr>
                  </w:pPr>
                  <w:r>
                    <w:rPr>
                      <w:rFonts w:hint="default" w:ascii="Times New Roman" w:hAnsi="Times New Roman" w:eastAsia="宋体" w:cs="Times New Roman"/>
                      <w:bCs/>
                      <w:color w:val="auto"/>
                      <w:sz w:val="21"/>
                      <w:szCs w:val="21"/>
                      <w:highlight w:val="none"/>
                      <w:shd w:val="clear" w:color="auto" w:fill="auto"/>
                      <w:lang w:val="zh-CN"/>
                    </w:rPr>
                    <w:t>相符</w:t>
                  </w:r>
                </w:p>
              </w:tc>
            </w:tr>
            <w:tr w14:paraId="16B5F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84" w:type="pct"/>
                  <w:tcBorders>
                    <w:tl2br w:val="nil"/>
                    <w:tr2bl w:val="nil"/>
                  </w:tcBorders>
                  <w:vAlign w:val="center"/>
                </w:tcPr>
                <w:p w14:paraId="6443538B">
                  <w:pPr>
                    <w:jc w:val="center"/>
                    <w:rPr>
                      <w:rFonts w:hint="default" w:ascii="Times New Roman" w:hAnsi="Times New Roman" w:eastAsia="宋体" w:cs="Times New Roman"/>
                      <w:bCs/>
                      <w:color w:val="auto"/>
                      <w:sz w:val="21"/>
                      <w:szCs w:val="21"/>
                      <w:highlight w:val="none"/>
                      <w:shd w:val="clear" w:color="auto" w:fill="auto"/>
                      <w:lang w:val="zh-CN"/>
                    </w:rPr>
                  </w:pPr>
                  <w:r>
                    <w:rPr>
                      <w:rFonts w:hint="default" w:ascii="Times New Roman" w:hAnsi="Times New Roman" w:eastAsia="宋体" w:cs="Times New Roman"/>
                      <w:bCs/>
                      <w:color w:val="auto"/>
                      <w:sz w:val="21"/>
                      <w:szCs w:val="21"/>
                      <w:highlight w:val="none"/>
                      <w:shd w:val="clear" w:color="auto" w:fill="auto"/>
                      <w:lang w:val="zh-CN"/>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689" w:type="pct"/>
                  <w:tcBorders>
                    <w:tl2br w:val="nil"/>
                    <w:tr2bl w:val="nil"/>
                  </w:tcBorders>
                  <w:vAlign w:val="center"/>
                </w:tcPr>
                <w:p w14:paraId="47DB2E2C">
                  <w:pPr>
                    <w:jc w:val="center"/>
                    <w:rPr>
                      <w:rFonts w:hint="default" w:ascii="Times New Roman" w:hAnsi="Times New Roman" w:eastAsia="宋体" w:cs="Times New Roman"/>
                      <w:bCs/>
                      <w:color w:val="auto"/>
                      <w:sz w:val="21"/>
                      <w:szCs w:val="21"/>
                      <w:highlight w:val="none"/>
                      <w:shd w:val="clear" w:color="auto" w:fill="auto"/>
                      <w:lang w:val="zh-CN"/>
                    </w:rPr>
                  </w:pPr>
                  <w:r>
                    <w:rPr>
                      <w:rFonts w:hint="default" w:ascii="Times New Roman" w:hAnsi="Times New Roman" w:eastAsia="宋体" w:cs="Times New Roman"/>
                      <w:bCs/>
                      <w:color w:val="auto"/>
                      <w:sz w:val="21"/>
                      <w:szCs w:val="21"/>
                      <w:highlight w:val="none"/>
                      <w:shd w:val="clear" w:color="auto" w:fill="auto"/>
                      <w:lang w:val="zh-CN"/>
                    </w:rPr>
                    <w:t>本项目实施后，按要求编制环保设施安全风险辨识评估报告。并将已审批的环境治理设施项目及时通报应急管理部门。</w:t>
                  </w:r>
                </w:p>
              </w:tc>
              <w:tc>
                <w:tcPr>
                  <w:tcW w:w="525" w:type="pct"/>
                  <w:tcBorders>
                    <w:tl2br w:val="nil"/>
                    <w:tr2bl w:val="nil"/>
                  </w:tcBorders>
                  <w:vAlign w:val="center"/>
                </w:tcPr>
                <w:p w14:paraId="1616D46A">
                  <w:pPr>
                    <w:jc w:val="center"/>
                    <w:rPr>
                      <w:rFonts w:hint="default" w:ascii="Times New Roman" w:hAnsi="Times New Roman" w:eastAsia="宋体" w:cs="Times New Roman"/>
                      <w:bCs/>
                      <w:color w:val="auto"/>
                      <w:sz w:val="21"/>
                      <w:szCs w:val="21"/>
                      <w:highlight w:val="none"/>
                      <w:shd w:val="clear" w:color="auto" w:fill="auto"/>
                      <w:lang w:val="zh-CN"/>
                    </w:rPr>
                  </w:pPr>
                  <w:r>
                    <w:rPr>
                      <w:rFonts w:hint="default" w:ascii="Times New Roman" w:hAnsi="Times New Roman" w:eastAsia="宋体" w:cs="Times New Roman"/>
                      <w:bCs/>
                      <w:color w:val="auto"/>
                      <w:sz w:val="21"/>
                      <w:szCs w:val="21"/>
                      <w:highlight w:val="none"/>
                      <w:shd w:val="clear" w:color="auto" w:fill="auto"/>
                      <w:lang w:val="zh-CN"/>
                    </w:rPr>
                    <w:t>相符</w:t>
                  </w:r>
                </w:p>
              </w:tc>
            </w:tr>
          </w:tbl>
          <w:p w14:paraId="75782322">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en-US" w:eastAsia="zh-CN"/>
              </w:rPr>
              <w:t>1</w:t>
            </w:r>
            <w:r>
              <w:rPr>
                <w:rFonts w:hint="eastAsia" w:ascii="Times New Roman" w:hAnsi="Times New Roman" w:eastAsia="宋体" w:cs="Times New Roman"/>
                <w:b/>
                <w:bCs/>
                <w:color w:val="auto"/>
                <w:sz w:val="24"/>
                <w:szCs w:val="24"/>
                <w:highlight w:val="none"/>
                <w:shd w:val="clear" w:color="auto" w:fill="auto"/>
                <w:lang w:val="en-US" w:eastAsia="zh-CN"/>
              </w:rPr>
              <w:t>0</w:t>
            </w:r>
            <w:r>
              <w:rPr>
                <w:rFonts w:hint="default" w:ascii="Times New Roman" w:hAnsi="Times New Roman" w:eastAsia="宋体" w:cs="Times New Roman"/>
                <w:b/>
                <w:bCs/>
                <w:color w:val="auto"/>
                <w:sz w:val="24"/>
                <w:szCs w:val="24"/>
                <w:highlight w:val="none"/>
                <w:shd w:val="clear" w:color="auto" w:fill="auto"/>
                <w:lang w:val="zh-CN"/>
              </w:rPr>
              <w:t>、与《省生态环境厅关于进一步加强建设项目环评审批和服务工作的指导意见》（苏环办[2020]225号）相符性分析</w:t>
            </w:r>
          </w:p>
          <w:p w14:paraId="5271644A">
            <w:pPr>
              <w:autoSpaceDE w:val="0"/>
              <w:autoSpaceDN w:val="0"/>
              <w:adjustRightInd w:val="0"/>
              <w:jc w:val="center"/>
              <w:rPr>
                <w:rFonts w:hint="default" w:ascii="Times New Roman" w:hAnsi="Times New Roman" w:eastAsia="宋体" w:cs="Times New Roman"/>
                <w:b/>
                <w:bCs/>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zh-CN"/>
              </w:rPr>
              <w:t>表</w:t>
            </w:r>
            <w:r>
              <w:rPr>
                <w:rFonts w:hint="default" w:ascii="Times New Roman" w:hAnsi="Times New Roman" w:eastAsia="宋体" w:cs="Times New Roman"/>
                <w:b/>
                <w:bCs/>
                <w:color w:val="auto"/>
                <w:sz w:val="24"/>
                <w:szCs w:val="24"/>
                <w:highlight w:val="none"/>
                <w:shd w:val="clear" w:color="auto" w:fill="auto"/>
              </w:rPr>
              <w:t>1-</w:t>
            </w:r>
            <w:r>
              <w:rPr>
                <w:rFonts w:hint="eastAsia" w:ascii="Times New Roman" w:hAnsi="Times New Roman" w:eastAsia="宋体" w:cs="Times New Roman"/>
                <w:b/>
                <w:bCs/>
                <w:color w:val="auto"/>
                <w:sz w:val="24"/>
                <w:szCs w:val="24"/>
                <w:highlight w:val="none"/>
                <w:shd w:val="clear" w:color="auto" w:fill="auto"/>
                <w:lang w:val="en-US" w:eastAsia="zh-CN"/>
              </w:rPr>
              <w:t>10</w:t>
            </w:r>
            <w:r>
              <w:rPr>
                <w:rFonts w:hint="default" w:ascii="Times New Roman" w:hAnsi="Times New Roman" w:eastAsia="宋体" w:cs="Times New Roman"/>
                <w:b/>
                <w:bCs/>
                <w:color w:val="auto"/>
                <w:sz w:val="24"/>
                <w:szCs w:val="24"/>
                <w:highlight w:val="none"/>
                <w:shd w:val="clear" w:color="auto" w:fill="auto"/>
              </w:rPr>
              <w:t xml:space="preserve">  </w:t>
            </w:r>
            <w:r>
              <w:rPr>
                <w:rFonts w:hint="default" w:ascii="Times New Roman" w:hAnsi="Times New Roman" w:eastAsia="宋体" w:cs="Times New Roman"/>
                <w:b/>
                <w:bCs/>
                <w:color w:val="auto"/>
                <w:sz w:val="24"/>
                <w:szCs w:val="24"/>
                <w:highlight w:val="none"/>
                <w:shd w:val="clear" w:color="auto" w:fill="auto"/>
                <w:lang w:val="zh-CN"/>
              </w:rPr>
              <w:t>本项目与苏环办[2020]225号文相符性分析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3096"/>
              <w:gridCol w:w="3649"/>
              <w:gridCol w:w="781"/>
            </w:tblGrid>
            <w:tr w14:paraId="1826C2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l2br w:val="nil"/>
                    <w:tr2bl w:val="nil"/>
                  </w:tcBorders>
                  <w:vAlign w:val="center"/>
                </w:tcPr>
                <w:p w14:paraId="1C726508">
                  <w:pPr>
                    <w:autoSpaceDE w:val="0"/>
                    <w:autoSpaceDN w:val="0"/>
                    <w:adjustRightInd w:val="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类别</w:t>
                  </w:r>
                </w:p>
              </w:tc>
              <w:tc>
                <w:tcPr>
                  <w:tcW w:w="1840" w:type="pct"/>
                  <w:tcBorders>
                    <w:tl2br w:val="nil"/>
                    <w:tr2bl w:val="nil"/>
                  </w:tcBorders>
                  <w:vAlign w:val="center"/>
                </w:tcPr>
                <w:p w14:paraId="2CCD0A3D">
                  <w:pPr>
                    <w:autoSpaceDE w:val="0"/>
                    <w:autoSpaceDN w:val="0"/>
                    <w:adjustRightInd w:val="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文件要求</w:t>
                  </w:r>
                </w:p>
              </w:tc>
              <w:tc>
                <w:tcPr>
                  <w:tcW w:w="2169" w:type="pct"/>
                  <w:tcBorders>
                    <w:tl2br w:val="nil"/>
                    <w:tr2bl w:val="nil"/>
                  </w:tcBorders>
                  <w:vAlign w:val="center"/>
                </w:tcPr>
                <w:p w14:paraId="1C83B604">
                  <w:pPr>
                    <w:autoSpaceDE w:val="0"/>
                    <w:autoSpaceDN w:val="0"/>
                    <w:adjustRightInd w:val="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本项目对照分析</w:t>
                  </w:r>
                </w:p>
              </w:tc>
              <w:tc>
                <w:tcPr>
                  <w:tcW w:w="464" w:type="pct"/>
                  <w:tcBorders>
                    <w:tl2br w:val="nil"/>
                    <w:tr2bl w:val="nil"/>
                  </w:tcBorders>
                  <w:vAlign w:val="center"/>
                </w:tcPr>
                <w:p w14:paraId="52BF94C3">
                  <w:pPr>
                    <w:autoSpaceDE w:val="0"/>
                    <w:autoSpaceDN w:val="0"/>
                    <w:adjustRightInd w:val="0"/>
                    <w:ind w:left="-73" w:leftChars="-35" w:right="-73" w:rightChars="-35"/>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相符性</w:t>
                  </w:r>
                </w:p>
              </w:tc>
            </w:tr>
            <w:tr w14:paraId="136DE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Merge w:val="restart"/>
                  <w:tcBorders>
                    <w:tl2br w:val="nil"/>
                    <w:tr2bl w:val="nil"/>
                  </w:tcBorders>
                  <w:vAlign w:val="center"/>
                </w:tcPr>
                <w:p w14:paraId="4709D50A">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严守生态环境质量底线</w:t>
                  </w:r>
                </w:p>
              </w:tc>
              <w:tc>
                <w:tcPr>
                  <w:tcW w:w="1840" w:type="pct"/>
                  <w:tcBorders>
                    <w:tl2br w:val="nil"/>
                    <w:tr2bl w:val="nil"/>
                  </w:tcBorders>
                  <w:vAlign w:val="center"/>
                </w:tcPr>
                <w:p w14:paraId="117F5D77">
                  <w:pPr>
                    <w:autoSpaceDE w:val="0"/>
                    <w:autoSpaceDN w:val="0"/>
                    <w:adjustRightInd w:val="0"/>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建设项目所在区域环境质量</w:t>
                  </w:r>
                  <w:r>
                    <w:rPr>
                      <w:rFonts w:hint="default" w:ascii="Times New Roman" w:hAnsi="Times New Roman" w:eastAsia="宋体" w:cs="Times New Roman"/>
                      <w:color w:val="auto"/>
                      <w:kern w:val="0"/>
                      <w:sz w:val="21"/>
                      <w:szCs w:val="21"/>
                      <w:highlight w:val="none"/>
                      <w:shd w:val="clear" w:color="auto" w:fill="auto"/>
                      <w:lang w:eastAsia="zh-CN"/>
                    </w:rPr>
                    <w:t>未</w:t>
                  </w:r>
                  <w:r>
                    <w:rPr>
                      <w:rFonts w:hint="default" w:ascii="Times New Roman" w:hAnsi="Times New Roman" w:eastAsia="宋体" w:cs="Times New Roman"/>
                      <w:color w:val="auto"/>
                      <w:kern w:val="0"/>
                      <w:sz w:val="21"/>
                      <w:szCs w:val="21"/>
                      <w:highlight w:val="none"/>
                      <w:shd w:val="clear" w:color="auto" w:fill="auto"/>
                    </w:rPr>
                    <w:t>达到国家或地方环境质量标准，且项目拟采取的污染防治措施不能满足区域环境质量改善目标管理要求的，一律不得审批。</w:t>
                  </w:r>
                </w:p>
              </w:tc>
              <w:tc>
                <w:tcPr>
                  <w:tcW w:w="2169" w:type="pct"/>
                  <w:tcBorders>
                    <w:tl2br w:val="nil"/>
                    <w:tr2bl w:val="nil"/>
                  </w:tcBorders>
                  <w:vAlign w:val="center"/>
                </w:tcPr>
                <w:p w14:paraId="7EE4E18B">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根据《202</w:t>
                  </w:r>
                  <w:r>
                    <w:rPr>
                      <w:rFonts w:hint="eastAsia" w:ascii="Times New Roman" w:hAnsi="Times New Roman" w:eastAsia="宋体" w:cs="Times New Roman"/>
                      <w:color w:val="auto"/>
                      <w:kern w:val="0"/>
                      <w:sz w:val="21"/>
                      <w:szCs w:val="21"/>
                      <w:highlight w:val="none"/>
                      <w:shd w:val="clear" w:color="auto" w:fill="auto"/>
                      <w:lang w:val="en-US" w:eastAsia="zh-CN"/>
                    </w:rPr>
                    <w:t>4</w:t>
                  </w:r>
                  <w:r>
                    <w:rPr>
                      <w:rFonts w:hint="default" w:ascii="Times New Roman" w:hAnsi="Times New Roman" w:eastAsia="宋体" w:cs="Times New Roman"/>
                      <w:color w:val="auto"/>
                      <w:kern w:val="0"/>
                      <w:sz w:val="21"/>
                      <w:szCs w:val="21"/>
                      <w:highlight w:val="none"/>
                      <w:shd w:val="clear" w:color="auto" w:fill="auto"/>
                    </w:rPr>
                    <w:t>年常州市生态环境质量状况公报》，大气污染防治取得历史性成效</w:t>
                  </w:r>
                  <w:r>
                    <w:rPr>
                      <w:rFonts w:hint="eastAsia" w:ascii="Times New Roman" w:hAnsi="Times New Roman" w:eastAsia="宋体" w:cs="Times New Roman"/>
                      <w:color w:val="auto"/>
                      <w:kern w:val="0"/>
                      <w:sz w:val="21"/>
                      <w:szCs w:val="21"/>
                      <w:highlight w:val="none"/>
                      <w:shd w:val="clear" w:color="auto" w:fill="auto"/>
                      <w:lang w:eastAsia="zh-CN"/>
                    </w:rPr>
                    <w:t>，</w:t>
                  </w:r>
                  <w:r>
                    <w:rPr>
                      <w:rFonts w:hint="default" w:ascii="Times New Roman" w:hAnsi="Times New Roman" w:eastAsia="宋体" w:cs="Times New Roman"/>
                      <w:color w:val="auto"/>
                      <w:kern w:val="0"/>
                      <w:sz w:val="21"/>
                      <w:szCs w:val="21"/>
                      <w:highlight w:val="none"/>
                      <w:shd w:val="clear" w:color="auto" w:fill="auto"/>
                    </w:rPr>
                    <w:t>水环境质量持续改善</w:t>
                  </w:r>
                  <w:r>
                    <w:rPr>
                      <w:rFonts w:hint="eastAsia" w:ascii="Times New Roman" w:hAnsi="Times New Roman" w:eastAsia="宋体" w:cs="Times New Roman"/>
                      <w:color w:val="auto"/>
                      <w:kern w:val="0"/>
                      <w:sz w:val="21"/>
                      <w:szCs w:val="21"/>
                      <w:highlight w:val="none"/>
                      <w:shd w:val="clear" w:color="auto" w:fill="auto"/>
                      <w:lang w:eastAsia="zh-CN"/>
                    </w:rPr>
                    <w:t>，</w:t>
                  </w:r>
                  <w:r>
                    <w:rPr>
                      <w:rFonts w:hint="default" w:ascii="Times New Roman" w:hAnsi="Times New Roman" w:eastAsia="宋体" w:cs="Times New Roman"/>
                      <w:color w:val="auto"/>
                      <w:kern w:val="0"/>
                      <w:sz w:val="21"/>
                      <w:szCs w:val="21"/>
                      <w:highlight w:val="none"/>
                      <w:shd w:val="clear" w:color="auto" w:fill="auto"/>
                    </w:rPr>
                    <w:t>土壤环境质量总体状况较稳定</w:t>
                  </w:r>
                  <w:r>
                    <w:rPr>
                      <w:rFonts w:hint="eastAsia" w:ascii="Times New Roman" w:hAnsi="Times New Roman" w:eastAsia="宋体" w:cs="Times New Roman"/>
                      <w:color w:val="auto"/>
                      <w:kern w:val="0"/>
                      <w:sz w:val="21"/>
                      <w:szCs w:val="21"/>
                      <w:highlight w:val="none"/>
                      <w:shd w:val="clear" w:color="auto" w:fill="auto"/>
                      <w:lang w:eastAsia="zh-CN"/>
                    </w:rPr>
                    <w:t>，</w:t>
                  </w:r>
                  <w:r>
                    <w:rPr>
                      <w:rFonts w:hint="default" w:ascii="Times New Roman" w:hAnsi="Times New Roman" w:eastAsia="宋体" w:cs="Times New Roman"/>
                      <w:color w:val="auto"/>
                      <w:kern w:val="0"/>
                      <w:sz w:val="21"/>
                      <w:szCs w:val="21"/>
                      <w:highlight w:val="none"/>
                      <w:shd w:val="clear" w:color="auto" w:fill="auto"/>
                    </w:rPr>
                    <w:t>声环境质量总体处于较好水平；电离辐射水平未有异常变化，空气及土壤中的放射性水平保持在天然本底范围内；全市农村环境空气质量日均值达标率80.3%，64条农村黑臭水体完成整治，基本消除农村较大面积黑臭水体。全市的生态环境状况指数为55.98，属于“二类”生态质量地区。</w:t>
                  </w:r>
                </w:p>
                <w:p w14:paraId="04D1312C">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项目建成后采取严格的污染防治措施，废水、厂界噪声均可达标排放，固废合理处置，不会使区域环境质量恶化。</w:t>
                  </w:r>
                </w:p>
              </w:tc>
              <w:tc>
                <w:tcPr>
                  <w:tcW w:w="464" w:type="pct"/>
                  <w:tcBorders>
                    <w:tl2br w:val="nil"/>
                    <w:tr2bl w:val="nil"/>
                  </w:tcBorders>
                  <w:vAlign w:val="center"/>
                </w:tcPr>
                <w:p w14:paraId="7CF1171C">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相符</w:t>
                  </w:r>
                </w:p>
              </w:tc>
            </w:tr>
            <w:tr w14:paraId="6BF2E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Merge w:val="continue"/>
                  <w:tcBorders>
                    <w:tl2br w:val="nil"/>
                    <w:tr2bl w:val="nil"/>
                  </w:tcBorders>
                  <w:vAlign w:val="center"/>
                </w:tcPr>
                <w:p w14:paraId="5411CF56">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p>
              </w:tc>
              <w:tc>
                <w:tcPr>
                  <w:tcW w:w="1840" w:type="pct"/>
                  <w:tcBorders>
                    <w:tl2br w:val="nil"/>
                    <w:tr2bl w:val="nil"/>
                  </w:tcBorders>
                  <w:vAlign w:val="center"/>
                </w:tcPr>
                <w:p w14:paraId="682004A8">
                  <w:pPr>
                    <w:autoSpaceDE w:val="0"/>
                    <w:autoSpaceDN w:val="0"/>
                    <w:adjustRightInd w:val="0"/>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加强规划环评与建设项目环评联动，对不符合规划环评结论及审查意见的项目环评，依法不予审批。规划所包含项目的环评内容，可根据规划环评结论和审查意见予以简化。</w:t>
                  </w:r>
                </w:p>
              </w:tc>
              <w:tc>
                <w:tcPr>
                  <w:tcW w:w="2169" w:type="pct"/>
                  <w:tcBorders>
                    <w:tl2br w:val="nil"/>
                    <w:tr2bl w:val="nil"/>
                  </w:tcBorders>
                  <w:vAlign w:val="center"/>
                </w:tcPr>
                <w:p w14:paraId="47F6400E">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rPr>
                    <w:t>本项目建设于</w:t>
                  </w:r>
                  <w:r>
                    <w:rPr>
                      <w:rFonts w:hint="default" w:ascii="Times New Roman" w:hAnsi="Times New Roman" w:eastAsia="宋体" w:cs="Times New Roman"/>
                      <w:color w:val="auto"/>
                      <w:kern w:val="0"/>
                      <w:sz w:val="21"/>
                      <w:szCs w:val="21"/>
                      <w:highlight w:val="none"/>
                      <w:shd w:val="clear" w:color="auto" w:fill="auto"/>
                      <w:lang w:eastAsia="zh-CN"/>
                    </w:rPr>
                    <w:t>江苏省常州市金坛区</w:t>
                  </w:r>
                  <w:r>
                    <w:rPr>
                      <w:rFonts w:hint="eastAsia" w:ascii="Times New Roman" w:hAnsi="Times New Roman" w:eastAsia="宋体" w:cs="Times New Roman"/>
                      <w:color w:val="auto"/>
                      <w:kern w:val="0"/>
                      <w:sz w:val="21"/>
                      <w:szCs w:val="21"/>
                      <w:highlight w:val="none"/>
                      <w:shd w:val="clear" w:color="auto" w:fill="auto"/>
                      <w:lang w:eastAsia="zh-CN"/>
                    </w:rPr>
                    <w:t>晨风路188号</w:t>
                  </w:r>
                  <w:r>
                    <w:rPr>
                      <w:rFonts w:hint="default" w:ascii="Times New Roman" w:hAnsi="Times New Roman" w:eastAsia="宋体" w:cs="Times New Roman"/>
                      <w:color w:val="auto"/>
                      <w:kern w:val="0"/>
                      <w:sz w:val="21"/>
                      <w:szCs w:val="21"/>
                      <w:highlight w:val="none"/>
                      <w:shd w:val="clear" w:color="auto" w:fill="auto"/>
                    </w:rPr>
                    <w:t>，位于</w:t>
                  </w:r>
                  <w:r>
                    <w:rPr>
                      <w:rFonts w:hint="default" w:ascii="Times New Roman" w:hAnsi="Times New Roman" w:eastAsia="宋体" w:cs="Times New Roman"/>
                      <w:color w:val="auto"/>
                      <w:kern w:val="0"/>
                      <w:sz w:val="21"/>
                      <w:szCs w:val="21"/>
                      <w:highlight w:val="none"/>
                      <w:shd w:val="clear" w:color="auto" w:fill="auto"/>
                      <w:lang w:eastAsia="zh-CN"/>
                    </w:rPr>
                    <w:t>常州市中心城区（金坛区）</w:t>
                  </w:r>
                  <w:r>
                    <w:rPr>
                      <w:rFonts w:hint="default" w:ascii="Times New Roman" w:hAnsi="Times New Roman" w:eastAsia="宋体" w:cs="Times New Roman"/>
                      <w:color w:val="auto"/>
                      <w:kern w:val="0"/>
                      <w:sz w:val="21"/>
                      <w:szCs w:val="21"/>
                      <w:highlight w:val="none"/>
                      <w:shd w:val="clear" w:color="auto" w:fill="auto"/>
                    </w:rPr>
                    <w:t>，</w:t>
                  </w:r>
                  <w:r>
                    <w:rPr>
                      <w:rFonts w:hint="eastAsia" w:ascii="Times New Roman" w:hAnsi="Times New Roman" w:eastAsia="宋体" w:cs="Times New Roman"/>
                      <w:color w:val="auto"/>
                      <w:kern w:val="0"/>
                      <w:sz w:val="21"/>
                      <w:szCs w:val="21"/>
                      <w:highlight w:val="none"/>
                      <w:shd w:val="clear" w:color="auto" w:fill="auto"/>
                      <w:lang w:val="en-US" w:eastAsia="zh-CN"/>
                    </w:rPr>
                    <w:t>本区域尚未编制规划及规划环评</w:t>
                  </w:r>
                </w:p>
              </w:tc>
              <w:tc>
                <w:tcPr>
                  <w:tcW w:w="464" w:type="pct"/>
                  <w:tcBorders>
                    <w:tl2br w:val="nil"/>
                    <w:tr2bl w:val="nil"/>
                  </w:tcBorders>
                  <w:vAlign w:val="center"/>
                </w:tcPr>
                <w:p w14:paraId="2D02A27B">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相符</w:t>
                  </w:r>
                </w:p>
              </w:tc>
            </w:tr>
            <w:tr w14:paraId="4BC06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Merge w:val="continue"/>
                  <w:tcBorders>
                    <w:tl2br w:val="nil"/>
                    <w:tr2bl w:val="nil"/>
                  </w:tcBorders>
                  <w:vAlign w:val="center"/>
                </w:tcPr>
                <w:p w14:paraId="3B48C3F7">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p>
              </w:tc>
              <w:tc>
                <w:tcPr>
                  <w:tcW w:w="1840" w:type="pct"/>
                  <w:tcBorders>
                    <w:tl2br w:val="nil"/>
                    <w:tr2bl w:val="nil"/>
                  </w:tcBorders>
                  <w:vAlign w:val="center"/>
                </w:tcPr>
                <w:p w14:paraId="6A449D12">
                  <w:pPr>
                    <w:autoSpaceDE w:val="0"/>
                    <w:autoSpaceDN w:val="0"/>
                    <w:adjustRightInd w:val="0"/>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切实加强区域环境容量、环境承载力研究，不得审批突破环境容量和环境承载力的建设项目。</w:t>
                  </w:r>
                </w:p>
              </w:tc>
              <w:tc>
                <w:tcPr>
                  <w:tcW w:w="2169" w:type="pct"/>
                  <w:tcBorders>
                    <w:tl2br w:val="nil"/>
                    <w:tr2bl w:val="nil"/>
                  </w:tcBorders>
                  <w:vAlign w:val="center"/>
                </w:tcPr>
                <w:p w14:paraId="52C52DD7">
                  <w:pPr>
                    <w:autoSpaceDE w:val="0"/>
                    <w:autoSpaceDN w:val="0"/>
                    <w:adjustRightInd w:val="0"/>
                    <w:jc w:val="center"/>
                    <w:rPr>
                      <w:rFonts w:hint="eastAsia"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rPr>
                    <w:t>本项目</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color w:val="auto"/>
                      <w:kern w:val="0"/>
                      <w:sz w:val="21"/>
                      <w:szCs w:val="21"/>
                      <w:highlight w:val="none"/>
                      <w:shd w:val="clear" w:color="auto" w:fill="auto"/>
                    </w:rPr>
                    <w:t>生活污水</w:t>
                  </w:r>
                  <w:r>
                    <w:rPr>
                      <w:rFonts w:hint="default" w:ascii="Times New Roman" w:hAnsi="Times New Roman" w:eastAsia="宋体" w:cs="Times New Roman"/>
                      <w:color w:val="auto"/>
                      <w:kern w:val="0"/>
                      <w:sz w:val="21"/>
                      <w:szCs w:val="21"/>
                      <w:highlight w:val="none"/>
                      <w:shd w:val="clear" w:color="auto" w:fill="auto"/>
                      <w:lang w:val="en-US" w:eastAsia="zh-CN"/>
                    </w:rPr>
                    <w:t>经市政污水管网接至</w:t>
                  </w:r>
                  <w:r>
                    <w:rPr>
                      <w:rFonts w:hint="default" w:ascii="Times New Roman" w:hAnsi="Times New Roman" w:eastAsia="宋体" w:cs="Times New Roman"/>
                      <w:color w:val="auto"/>
                      <w:kern w:val="0"/>
                      <w:sz w:val="21"/>
                      <w:szCs w:val="21"/>
                      <w:highlight w:val="none"/>
                      <w:shd w:val="clear" w:color="auto" w:fill="auto"/>
                    </w:rPr>
                    <w:t>常州市金坛区第二污水处理厂集中处理，水污染物排放总量在常州市金坛区第二污水处理厂内平衡</w:t>
                  </w:r>
                  <w:r>
                    <w:rPr>
                      <w:rFonts w:hint="eastAsia" w:ascii="Times New Roman" w:hAnsi="Times New Roman" w:eastAsia="宋体" w:cs="Times New Roman"/>
                      <w:color w:val="auto"/>
                      <w:kern w:val="0"/>
                      <w:sz w:val="21"/>
                      <w:szCs w:val="21"/>
                      <w:highlight w:val="none"/>
                      <w:shd w:val="clear" w:color="auto" w:fill="auto"/>
                      <w:lang w:eastAsia="zh-CN"/>
                    </w:rPr>
                    <w:t>。</w:t>
                  </w:r>
                  <w:r>
                    <w:rPr>
                      <w:rFonts w:hint="eastAsia" w:ascii="Times New Roman" w:hAnsi="Times New Roman" w:eastAsia="宋体" w:cs="Times New Roman"/>
                      <w:color w:val="auto"/>
                      <w:kern w:val="0"/>
                      <w:sz w:val="21"/>
                      <w:szCs w:val="21"/>
                      <w:highlight w:val="none"/>
                      <w:shd w:val="clear" w:color="auto" w:fill="auto"/>
                      <w:lang w:val="en-US" w:eastAsia="zh-CN"/>
                    </w:rPr>
                    <w:t>本项目</w:t>
                  </w:r>
                  <w:r>
                    <w:rPr>
                      <w:rFonts w:hint="eastAsia" w:ascii="Times New Roman" w:hAnsi="Times New Roman" w:eastAsia="宋体" w:cs="Times New Roman"/>
                      <w:color w:val="auto"/>
                      <w:kern w:val="0"/>
                      <w:szCs w:val="21"/>
                      <w:highlight w:val="none"/>
                      <w:shd w:val="clear" w:color="auto" w:fill="auto"/>
                    </w:rPr>
                    <w:t>破碎粉尘经设备自带的布袋除尘器处理后车间无组织排放，</w:t>
                  </w:r>
                  <w:r>
                    <w:rPr>
                      <w:rFonts w:hint="eastAsia" w:ascii="Times New Roman" w:hAnsi="Times New Roman" w:eastAsia="宋体" w:cs="Times New Roman"/>
                      <w:color w:val="auto"/>
                      <w:sz w:val="21"/>
                      <w:szCs w:val="21"/>
                      <w:highlight w:val="none"/>
                      <w:shd w:val="clear" w:color="auto" w:fill="auto"/>
                      <w:lang w:eastAsia="zh-CN"/>
                    </w:rPr>
                    <w:t>调墨、印刷、复合、熟化、清洗废气各自收集后通过一套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二级活性炭处理，经1根18m高的排气筒1#排放，吹膜、制袋废气各自收集后通过一套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#排放。</w:t>
                  </w:r>
                  <w:r>
                    <w:rPr>
                      <w:rFonts w:hint="eastAsia" w:ascii="Times New Roman" w:hAnsi="Times New Roman" w:eastAsia="宋体" w:cs="Times New Roman"/>
                      <w:color w:val="auto"/>
                      <w:kern w:val="0"/>
                      <w:szCs w:val="21"/>
                      <w:highlight w:val="none"/>
                      <w:shd w:val="clear" w:color="auto" w:fill="auto"/>
                    </w:rPr>
                    <w:t>对周围环境影响较小。</w:t>
                  </w:r>
                </w:p>
              </w:tc>
              <w:tc>
                <w:tcPr>
                  <w:tcW w:w="464" w:type="pct"/>
                  <w:tcBorders>
                    <w:tl2br w:val="nil"/>
                    <w:tr2bl w:val="nil"/>
                  </w:tcBorders>
                  <w:vAlign w:val="center"/>
                </w:tcPr>
                <w:p w14:paraId="3AE24419">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相符</w:t>
                  </w:r>
                </w:p>
              </w:tc>
            </w:tr>
            <w:tr w14:paraId="02908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vMerge w:val="continue"/>
                  <w:tcBorders>
                    <w:tl2br w:val="nil"/>
                    <w:tr2bl w:val="nil"/>
                  </w:tcBorders>
                  <w:vAlign w:val="center"/>
                </w:tcPr>
                <w:p w14:paraId="5A573D46">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p>
              </w:tc>
              <w:tc>
                <w:tcPr>
                  <w:tcW w:w="1840" w:type="pct"/>
                  <w:tcBorders>
                    <w:tl2br w:val="nil"/>
                    <w:tr2bl w:val="nil"/>
                  </w:tcBorders>
                  <w:vAlign w:val="center"/>
                </w:tcPr>
                <w:p w14:paraId="0E84F8FF">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应将“三线一单”作为建设项目环评审批的重要依据，严格落实生态环境分区管控要求，从严把好环境准入关。</w:t>
                  </w:r>
                </w:p>
              </w:tc>
              <w:tc>
                <w:tcPr>
                  <w:tcW w:w="2169" w:type="pct"/>
                  <w:tcBorders>
                    <w:tl2br w:val="nil"/>
                    <w:tr2bl w:val="nil"/>
                  </w:tcBorders>
                  <w:vAlign w:val="center"/>
                </w:tcPr>
                <w:p w14:paraId="77130FCD">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本项目符合“三线一单”（即生态</w:t>
                  </w:r>
                </w:p>
                <w:p w14:paraId="3B362227">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保护红线、环境质量底线、资源利用上线、环境准入负面清单）管理机制的要求</w:t>
                  </w:r>
                </w:p>
              </w:tc>
              <w:tc>
                <w:tcPr>
                  <w:tcW w:w="464" w:type="pct"/>
                  <w:tcBorders>
                    <w:tl2br w:val="nil"/>
                    <w:tr2bl w:val="nil"/>
                  </w:tcBorders>
                  <w:vAlign w:val="center"/>
                </w:tcPr>
                <w:p w14:paraId="321E8002">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相符</w:t>
                  </w:r>
                </w:p>
              </w:tc>
            </w:tr>
            <w:tr w14:paraId="2A074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pct"/>
                  <w:tcBorders>
                    <w:tl2br w:val="nil"/>
                    <w:tr2bl w:val="nil"/>
                  </w:tcBorders>
                  <w:vAlign w:val="center"/>
                </w:tcPr>
                <w:p w14:paraId="3F80D329">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严格重点行业环评审批</w:t>
                  </w:r>
                </w:p>
              </w:tc>
              <w:tc>
                <w:tcPr>
                  <w:tcW w:w="1840" w:type="pct"/>
                  <w:tcBorders>
                    <w:tl2br w:val="nil"/>
                    <w:tr2bl w:val="nil"/>
                  </w:tcBorders>
                  <w:vAlign w:val="center"/>
                </w:tcPr>
                <w:p w14:paraId="4BAD432F">
                  <w:pPr>
                    <w:autoSpaceDE w:val="0"/>
                    <w:autoSpaceDN w:val="0"/>
                    <w:adjustRightInd w:val="0"/>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严格执行《江苏省长江经济带发展负面清单实施细则</w:t>
                  </w:r>
                  <w:r>
                    <w:rPr>
                      <w:rFonts w:hint="default" w:ascii="Times New Roman" w:hAnsi="Times New Roman" w:eastAsia="宋体" w:cs="Times New Roman"/>
                      <w:color w:val="auto"/>
                      <w:kern w:val="0"/>
                      <w:sz w:val="21"/>
                      <w:szCs w:val="21"/>
                      <w:highlight w:val="none"/>
                      <w:shd w:val="clear" w:color="auto" w:fill="auto"/>
                      <w:lang w:eastAsia="zh-CN"/>
                    </w:rPr>
                    <w:t>（</w:t>
                  </w:r>
                  <w:r>
                    <w:rPr>
                      <w:rFonts w:hint="default" w:ascii="Times New Roman" w:hAnsi="Times New Roman" w:eastAsia="宋体" w:cs="Times New Roman"/>
                      <w:color w:val="auto"/>
                      <w:kern w:val="0"/>
                      <w:sz w:val="21"/>
                      <w:szCs w:val="21"/>
                      <w:highlight w:val="none"/>
                      <w:shd w:val="clear" w:color="auto" w:fill="auto"/>
                    </w:rPr>
                    <w:t>试行</w:t>
                  </w:r>
                  <w:r>
                    <w:rPr>
                      <w:rFonts w:hint="default" w:ascii="Times New Roman" w:hAnsi="Times New Roman" w:eastAsia="宋体" w:cs="Times New Roman"/>
                      <w:color w:val="auto"/>
                      <w:kern w:val="0"/>
                      <w:sz w:val="21"/>
                      <w:szCs w:val="21"/>
                      <w:highlight w:val="none"/>
                      <w:shd w:val="clear" w:color="auto" w:fill="auto"/>
                      <w:lang w:eastAsia="zh-CN"/>
                    </w:rPr>
                    <w:t>）</w:t>
                  </w:r>
                  <w:r>
                    <w:rPr>
                      <w:rFonts w:hint="default" w:ascii="Times New Roman" w:hAnsi="Times New Roman" w:eastAsia="宋体" w:cs="Times New Roman"/>
                      <w:color w:val="auto"/>
                      <w:kern w:val="0"/>
                      <w:sz w:val="21"/>
                      <w:szCs w:val="21"/>
                      <w:highlight w:val="none"/>
                      <w:shd w:val="clear" w:color="auto" w:fill="auto"/>
                    </w:rPr>
                    <w:t>》，禁止在合规园区外新建、扩建钢铁、石化、化工、焦化少一。建材、有色等行业中的高污染项目。禁止新建</w:t>
                  </w:r>
                  <w:r>
                    <w:rPr>
                      <w:rFonts w:hint="default" w:ascii="Times New Roman" w:hAnsi="Times New Roman" w:eastAsia="宋体" w:cs="Times New Roman"/>
                      <w:color w:val="auto"/>
                      <w:kern w:val="0"/>
                      <w:sz w:val="21"/>
                      <w:szCs w:val="21"/>
                      <w:highlight w:val="none"/>
                      <w:shd w:val="clear" w:color="auto" w:fill="auto"/>
                      <w:lang w:eastAsia="zh-CN"/>
                    </w:rPr>
                    <w:t>燃煤</w:t>
                  </w:r>
                  <w:r>
                    <w:rPr>
                      <w:rFonts w:hint="default" w:ascii="Times New Roman" w:hAnsi="Times New Roman" w:eastAsia="宋体" w:cs="Times New Roman"/>
                      <w:color w:val="auto"/>
                      <w:kern w:val="0"/>
                      <w:sz w:val="21"/>
                      <w:szCs w:val="21"/>
                      <w:highlight w:val="none"/>
                      <w:shd w:val="clear" w:color="auto" w:fill="auto"/>
                    </w:rPr>
                    <w:t>电厂。</w:t>
                  </w:r>
                </w:p>
              </w:tc>
              <w:tc>
                <w:tcPr>
                  <w:tcW w:w="2169" w:type="pct"/>
                  <w:tcBorders>
                    <w:tl2br w:val="nil"/>
                    <w:tr2bl w:val="nil"/>
                  </w:tcBorders>
                  <w:vAlign w:val="center"/>
                </w:tcPr>
                <w:p w14:paraId="739B00F6">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本项目不属于禁止类项目</w:t>
                  </w:r>
                </w:p>
              </w:tc>
              <w:tc>
                <w:tcPr>
                  <w:tcW w:w="464" w:type="pct"/>
                  <w:tcBorders>
                    <w:tl2br w:val="nil"/>
                    <w:tr2bl w:val="nil"/>
                  </w:tcBorders>
                  <w:vAlign w:val="center"/>
                </w:tcPr>
                <w:p w14:paraId="6B05EC7F">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相符</w:t>
                  </w:r>
                </w:p>
              </w:tc>
            </w:tr>
          </w:tbl>
          <w:p w14:paraId="600C2405">
            <w:pPr>
              <w:spacing w:line="360" w:lineRule="auto"/>
              <w:ind w:firstLine="482" w:firstLineChars="200"/>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lang w:val="en-US" w:eastAsia="zh-CN"/>
              </w:rPr>
              <w:t>1</w:t>
            </w:r>
            <w:r>
              <w:rPr>
                <w:rFonts w:hint="eastAsia" w:ascii="Times New Roman" w:hAnsi="Times New Roman" w:eastAsia="宋体" w:cs="Times New Roman"/>
                <w:b/>
                <w:bCs/>
                <w:color w:val="auto"/>
                <w:sz w:val="24"/>
                <w:szCs w:val="24"/>
                <w:highlight w:val="none"/>
                <w:shd w:val="clear" w:color="auto" w:fill="auto"/>
                <w:lang w:val="en-US" w:eastAsia="zh-CN"/>
              </w:rPr>
              <w:t>1</w:t>
            </w:r>
            <w:r>
              <w:rPr>
                <w:rFonts w:hint="default" w:ascii="Times New Roman" w:hAnsi="Times New Roman" w:eastAsia="宋体" w:cs="Times New Roman"/>
                <w:b/>
                <w:bCs/>
                <w:color w:val="auto"/>
                <w:sz w:val="24"/>
                <w:szCs w:val="24"/>
                <w:highlight w:val="none"/>
                <w:shd w:val="clear" w:color="auto" w:fill="auto"/>
                <w:lang w:val="en-US" w:eastAsia="zh-CN"/>
              </w:rPr>
              <w:t>、</w:t>
            </w:r>
            <w:r>
              <w:rPr>
                <w:rFonts w:hint="default" w:ascii="Times New Roman" w:hAnsi="Times New Roman" w:eastAsia="宋体" w:cs="Times New Roman"/>
                <w:b/>
                <w:bCs/>
                <w:color w:val="auto"/>
                <w:sz w:val="24"/>
                <w:szCs w:val="24"/>
                <w:highlight w:val="none"/>
                <w:shd w:val="clear" w:color="auto" w:fill="auto"/>
              </w:rPr>
              <w:t>与《关于加强高耗能、高排放建设项目生态环境源头防控的指导意见》（环环评</w:t>
            </w:r>
            <w:r>
              <w:rPr>
                <w:rFonts w:hint="default" w:ascii="Times New Roman" w:hAnsi="Times New Roman" w:eastAsia="宋体" w:cs="Times New Roman"/>
                <w:b/>
                <w:bCs/>
                <w:color w:val="auto"/>
                <w:sz w:val="24"/>
                <w:szCs w:val="24"/>
                <w:highlight w:val="none"/>
                <w:shd w:val="clear" w:color="auto" w:fill="auto"/>
                <w:lang w:eastAsia="zh-CN"/>
              </w:rPr>
              <w:t>〔2021〕45号</w:t>
            </w:r>
            <w:r>
              <w:rPr>
                <w:rFonts w:hint="default" w:ascii="Times New Roman" w:hAnsi="Times New Roman" w:eastAsia="宋体" w:cs="Times New Roman"/>
                <w:b/>
                <w:bCs/>
                <w:color w:val="auto"/>
                <w:sz w:val="24"/>
                <w:szCs w:val="24"/>
                <w:highlight w:val="none"/>
                <w:shd w:val="clear" w:color="auto" w:fill="auto"/>
              </w:rPr>
              <w:t>）相符性分析</w:t>
            </w:r>
          </w:p>
          <w:p w14:paraId="2D87ECA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zh-CN"/>
              </w:rPr>
              <w:t>表</w:t>
            </w:r>
            <w:r>
              <w:rPr>
                <w:rFonts w:hint="default" w:ascii="Times New Roman" w:hAnsi="Times New Roman" w:eastAsia="宋体" w:cs="Times New Roman"/>
                <w:b/>
                <w:bCs/>
                <w:color w:val="auto"/>
                <w:sz w:val="24"/>
                <w:szCs w:val="24"/>
                <w:highlight w:val="none"/>
                <w:shd w:val="clear" w:color="auto" w:fill="auto"/>
              </w:rPr>
              <w:t>1-1</w:t>
            </w:r>
            <w:r>
              <w:rPr>
                <w:rFonts w:hint="eastAsia" w:ascii="Times New Roman" w:hAnsi="Times New Roman" w:eastAsia="宋体" w:cs="Times New Roman"/>
                <w:b/>
                <w:bCs/>
                <w:color w:val="auto"/>
                <w:sz w:val="24"/>
                <w:szCs w:val="24"/>
                <w:highlight w:val="none"/>
                <w:shd w:val="clear" w:color="auto" w:fill="auto"/>
                <w:lang w:val="en-US" w:eastAsia="zh-CN"/>
              </w:rPr>
              <w:t>1</w:t>
            </w:r>
            <w:r>
              <w:rPr>
                <w:rFonts w:hint="default" w:ascii="Times New Roman" w:hAnsi="Times New Roman" w:eastAsia="宋体" w:cs="Times New Roman"/>
                <w:b/>
                <w:bCs/>
                <w:color w:val="auto"/>
                <w:sz w:val="24"/>
                <w:szCs w:val="24"/>
                <w:highlight w:val="none"/>
                <w:shd w:val="clear" w:color="auto" w:fill="auto"/>
              </w:rPr>
              <w:t xml:space="preserve">  </w:t>
            </w:r>
            <w:r>
              <w:rPr>
                <w:rFonts w:hint="default" w:ascii="Times New Roman" w:hAnsi="Times New Roman" w:eastAsia="宋体" w:cs="Times New Roman"/>
                <w:b/>
                <w:bCs/>
                <w:color w:val="auto"/>
                <w:sz w:val="24"/>
                <w:szCs w:val="24"/>
                <w:highlight w:val="none"/>
                <w:shd w:val="clear" w:color="auto" w:fill="auto"/>
                <w:lang w:val="zh-CN"/>
              </w:rPr>
              <w:t>本项目与</w:t>
            </w:r>
            <w:r>
              <w:rPr>
                <w:rFonts w:hint="default" w:ascii="Times New Roman" w:hAnsi="Times New Roman" w:eastAsia="宋体" w:cs="Times New Roman"/>
                <w:b/>
                <w:bCs/>
                <w:color w:val="auto"/>
                <w:sz w:val="24"/>
                <w:szCs w:val="24"/>
                <w:highlight w:val="none"/>
                <w:shd w:val="clear" w:color="auto" w:fill="auto"/>
              </w:rPr>
              <w:t>环环评</w:t>
            </w:r>
            <w:r>
              <w:rPr>
                <w:rFonts w:hint="default" w:ascii="Times New Roman" w:hAnsi="Times New Roman" w:eastAsia="宋体" w:cs="Times New Roman"/>
                <w:b/>
                <w:bCs/>
                <w:color w:val="auto"/>
                <w:sz w:val="24"/>
                <w:szCs w:val="24"/>
                <w:highlight w:val="none"/>
                <w:shd w:val="clear" w:color="auto" w:fill="auto"/>
                <w:lang w:eastAsia="zh-CN"/>
              </w:rPr>
              <w:t>〔2021〕45号</w:t>
            </w:r>
            <w:r>
              <w:rPr>
                <w:rFonts w:hint="default" w:ascii="Times New Roman" w:hAnsi="Times New Roman" w:eastAsia="宋体" w:cs="Times New Roman"/>
                <w:b/>
                <w:bCs/>
                <w:color w:val="auto"/>
                <w:sz w:val="24"/>
                <w:szCs w:val="24"/>
                <w:highlight w:val="none"/>
                <w:shd w:val="clear" w:color="auto" w:fill="auto"/>
                <w:lang w:val="zh-CN"/>
              </w:rPr>
              <w:t>文相符性分析</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83"/>
              <w:gridCol w:w="2322"/>
            </w:tblGrid>
            <w:tr w14:paraId="4E16F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8" w:type="pct"/>
                  <w:vAlign w:val="center"/>
                </w:tcPr>
                <w:p w14:paraId="2157DE9E">
                  <w:pPr>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文件要求</w:t>
                  </w:r>
                </w:p>
              </w:tc>
              <w:tc>
                <w:tcPr>
                  <w:tcW w:w="1381" w:type="pct"/>
                  <w:vAlign w:val="center"/>
                </w:tcPr>
                <w:p w14:paraId="6CEDF85E">
                  <w:pPr>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相符性分析</w:t>
                  </w:r>
                </w:p>
              </w:tc>
            </w:tr>
            <w:tr w14:paraId="5E1A0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8" w:type="pct"/>
                  <w:vAlign w:val="center"/>
                </w:tcPr>
                <w:p w14:paraId="449B5529">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381" w:type="pct"/>
                  <w:vMerge w:val="restart"/>
                  <w:vAlign w:val="center"/>
                </w:tcPr>
                <w:p w14:paraId="5B67818D">
                  <w:pPr>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本项目不属于上述“两高”项目。同时，本项目采用的工艺技术和装备先进且适用，使用清洁能源电</w:t>
                  </w:r>
                  <w:r>
                    <w:rPr>
                      <w:rFonts w:hint="default" w:ascii="Times New Roman" w:hAnsi="Times New Roman" w:eastAsia="宋体" w:cs="Times New Roman"/>
                      <w:color w:val="auto"/>
                      <w:kern w:val="0"/>
                      <w:sz w:val="21"/>
                      <w:szCs w:val="21"/>
                      <w:highlight w:val="none"/>
                      <w:shd w:val="clear" w:color="auto" w:fill="auto"/>
                      <w:lang w:val="en-US" w:eastAsia="zh-CN"/>
                    </w:rPr>
                    <w:t>能</w:t>
                  </w:r>
                  <w:r>
                    <w:rPr>
                      <w:rFonts w:hint="default" w:ascii="Times New Roman" w:hAnsi="Times New Roman" w:eastAsia="宋体" w:cs="Times New Roman"/>
                      <w:color w:val="auto"/>
                      <w:kern w:val="0"/>
                      <w:sz w:val="21"/>
                      <w:szCs w:val="21"/>
                      <w:highlight w:val="none"/>
                      <w:shd w:val="clear" w:color="auto" w:fill="auto"/>
                    </w:rPr>
                    <w:t>，本项目废气经过有效处理后达标排放，在</w:t>
                  </w:r>
                  <w:r>
                    <w:rPr>
                      <w:rFonts w:hint="default" w:ascii="Times New Roman" w:hAnsi="Times New Roman" w:eastAsia="宋体" w:cs="Times New Roman"/>
                      <w:color w:val="auto"/>
                      <w:kern w:val="0"/>
                      <w:szCs w:val="21"/>
                      <w:highlight w:val="none"/>
                      <w:shd w:val="clear" w:color="auto" w:fill="auto"/>
                      <w:lang w:val="en-US" w:eastAsia="zh-CN"/>
                    </w:rPr>
                    <w:t>金坛区</w:t>
                  </w:r>
                  <w:r>
                    <w:rPr>
                      <w:rFonts w:hint="default" w:ascii="Times New Roman" w:hAnsi="Times New Roman" w:eastAsia="宋体" w:cs="Times New Roman"/>
                      <w:color w:val="auto"/>
                      <w:kern w:val="0"/>
                      <w:sz w:val="21"/>
                      <w:szCs w:val="21"/>
                      <w:highlight w:val="none"/>
                      <w:shd w:val="clear" w:color="auto" w:fill="auto"/>
                    </w:rPr>
                    <w:t>区域内平衡；</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bCs/>
                      <w:color w:val="auto"/>
                      <w:kern w:val="0"/>
                      <w:sz w:val="21"/>
                      <w:szCs w:val="21"/>
                      <w:highlight w:val="none"/>
                      <w:shd w:val="clear" w:color="auto" w:fill="auto"/>
                    </w:rPr>
                    <w:t>生活污水</w:t>
                  </w:r>
                  <w:r>
                    <w:rPr>
                      <w:rFonts w:hint="default" w:ascii="Times New Roman" w:hAnsi="Times New Roman" w:eastAsia="宋体" w:cs="Times New Roman"/>
                      <w:bCs/>
                      <w:color w:val="auto"/>
                      <w:kern w:val="0"/>
                      <w:sz w:val="21"/>
                      <w:szCs w:val="21"/>
                      <w:highlight w:val="none"/>
                      <w:shd w:val="clear" w:color="auto" w:fill="auto"/>
                      <w:lang w:val="en-US" w:eastAsia="zh-CN"/>
                    </w:rPr>
                    <w:t>接至</w:t>
                  </w:r>
                  <w:r>
                    <w:rPr>
                      <w:rFonts w:hint="default" w:ascii="Times New Roman" w:hAnsi="Times New Roman" w:eastAsia="宋体" w:cs="Times New Roman"/>
                      <w:color w:val="auto"/>
                      <w:sz w:val="21"/>
                      <w:szCs w:val="21"/>
                      <w:highlight w:val="none"/>
                      <w:shd w:val="clear" w:color="auto" w:fill="auto"/>
                    </w:rPr>
                    <w:t>常州市金坛区第二污水厂</w:t>
                  </w:r>
                  <w:r>
                    <w:rPr>
                      <w:rFonts w:hint="default" w:ascii="Times New Roman" w:hAnsi="Times New Roman" w:eastAsia="宋体" w:cs="Times New Roman"/>
                      <w:bCs/>
                      <w:color w:val="auto"/>
                      <w:kern w:val="0"/>
                      <w:sz w:val="21"/>
                      <w:szCs w:val="21"/>
                      <w:highlight w:val="none"/>
                      <w:shd w:val="clear" w:color="auto" w:fill="auto"/>
                    </w:rPr>
                    <w:t>处理，与文件要求相符。</w:t>
                  </w:r>
                </w:p>
              </w:tc>
            </w:tr>
            <w:tr w14:paraId="37339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18" w:type="pct"/>
                  <w:vAlign w:val="center"/>
                </w:tcPr>
                <w:p w14:paraId="35547AE3">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1381" w:type="pct"/>
                  <w:vMerge w:val="continue"/>
                  <w:vAlign w:val="center"/>
                </w:tcPr>
                <w:p w14:paraId="1DEBA09D">
                  <w:pPr>
                    <w:jc w:val="center"/>
                    <w:rPr>
                      <w:rFonts w:hint="default" w:ascii="Times New Roman" w:hAnsi="Times New Roman" w:eastAsia="宋体" w:cs="Times New Roman"/>
                      <w:color w:val="auto"/>
                      <w:kern w:val="0"/>
                      <w:sz w:val="21"/>
                      <w:szCs w:val="21"/>
                      <w:highlight w:val="none"/>
                      <w:shd w:val="clear" w:color="auto" w:fill="auto"/>
                    </w:rPr>
                  </w:pPr>
                </w:p>
              </w:tc>
            </w:tr>
          </w:tbl>
          <w:p w14:paraId="37F284E1">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综上，本项目与</w:t>
            </w:r>
            <w:r>
              <w:rPr>
                <w:rFonts w:hint="default" w:ascii="Times New Roman" w:hAnsi="Times New Roman" w:eastAsia="宋体" w:cs="Times New Roman"/>
                <w:bCs/>
                <w:color w:val="auto"/>
                <w:kern w:val="0"/>
                <w:sz w:val="24"/>
                <w:szCs w:val="24"/>
                <w:highlight w:val="none"/>
                <w:shd w:val="clear" w:color="auto" w:fill="auto"/>
              </w:rPr>
              <w:t>《关于加强高耗能、高排放建设项目生态环境源头防控的指导意见》（环环评</w:t>
            </w:r>
            <w:r>
              <w:rPr>
                <w:rFonts w:hint="default" w:ascii="Times New Roman" w:hAnsi="Times New Roman" w:eastAsia="宋体" w:cs="Times New Roman"/>
                <w:bCs/>
                <w:color w:val="auto"/>
                <w:kern w:val="0"/>
                <w:sz w:val="24"/>
                <w:szCs w:val="24"/>
                <w:highlight w:val="none"/>
                <w:shd w:val="clear" w:color="auto" w:fill="auto"/>
                <w:lang w:eastAsia="zh-CN"/>
              </w:rPr>
              <w:t>〔2021〕45号</w:t>
            </w:r>
            <w:r>
              <w:rPr>
                <w:rFonts w:hint="default" w:ascii="Times New Roman" w:hAnsi="Times New Roman" w:eastAsia="宋体" w:cs="Times New Roman"/>
                <w:bCs/>
                <w:color w:val="auto"/>
                <w:kern w:val="0"/>
                <w:sz w:val="24"/>
                <w:szCs w:val="24"/>
                <w:highlight w:val="none"/>
                <w:shd w:val="clear" w:color="auto" w:fill="auto"/>
              </w:rPr>
              <w:t>）</w:t>
            </w:r>
            <w:r>
              <w:rPr>
                <w:rFonts w:hint="default" w:ascii="Times New Roman" w:hAnsi="Times New Roman" w:eastAsia="宋体" w:cs="Times New Roman"/>
                <w:color w:val="auto"/>
                <w:kern w:val="0"/>
                <w:sz w:val="24"/>
                <w:szCs w:val="24"/>
                <w:highlight w:val="none"/>
                <w:shd w:val="clear" w:color="auto" w:fill="auto"/>
              </w:rPr>
              <w:t>的要求相符。</w:t>
            </w:r>
          </w:p>
          <w:p w14:paraId="7948C350">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en-US" w:eastAsia="zh-CN"/>
              </w:rPr>
              <w:t>1</w:t>
            </w:r>
            <w:r>
              <w:rPr>
                <w:rFonts w:hint="eastAsia" w:ascii="Times New Roman" w:hAnsi="Times New Roman" w:eastAsia="宋体" w:cs="Times New Roman"/>
                <w:b/>
                <w:bCs/>
                <w:color w:val="auto"/>
                <w:sz w:val="24"/>
                <w:szCs w:val="24"/>
                <w:highlight w:val="none"/>
                <w:shd w:val="clear" w:color="auto" w:fill="auto"/>
                <w:lang w:val="en-US" w:eastAsia="zh-CN"/>
              </w:rPr>
              <w:t>2</w:t>
            </w:r>
            <w:r>
              <w:rPr>
                <w:rFonts w:hint="default" w:ascii="Times New Roman" w:hAnsi="Times New Roman" w:eastAsia="宋体" w:cs="Times New Roman"/>
                <w:b/>
                <w:bCs/>
                <w:color w:val="auto"/>
                <w:sz w:val="24"/>
                <w:szCs w:val="24"/>
                <w:highlight w:val="none"/>
                <w:shd w:val="clear" w:color="auto" w:fill="auto"/>
                <w:lang w:val="zh-CN"/>
              </w:rPr>
              <w:t>、与《省政府关于印发江苏省空气质量持续改善行动计划实施方案的通知》（苏政发[2024]53号）相符性分析</w:t>
            </w:r>
          </w:p>
          <w:p w14:paraId="70A33195">
            <w:pPr>
              <w:autoSpaceDE w:val="0"/>
              <w:autoSpaceDN w:val="0"/>
              <w:adjustRightInd w:val="0"/>
              <w:jc w:val="center"/>
              <w:rPr>
                <w:rFonts w:hint="default" w:ascii="Times New Roman" w:hAnsi="Times New Roman" w:eastAsia="宋体" w:cs="Times New Roman"/>
                <w:b/>
                <w:bCs/>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zh-CN"/>
              </w:rPr>
              <w:t>表</w:t>
            </w:r>
            <w:r>
              <w:rPr>
                <w:rFonts w:hint="default" w:ascii="Times New Roman" w:hAnsi="Times New Roman" w:eastAsia="宋体" w:cs="Times New Roman"/>
                <w:b/>
                <w:bCs/>
                <w:color w:val="auto"/>
                <w:sz w:val="24"/>
                <w:szCs w:val="24"/>
                <w:highlight w:val="none"/>
                <w:shd w:val="clear" w:color="auto" w:fill="auto"/>
              </w:rPr>
              <w:t>1-</w:t>
            </w:r>
            <w:r>
              <w:rPr>
                <w:rFonts w:hint="eastAsia" w:ascii="Times New Roman" w:hAnsi="Times New Roman" w:eastAsia="宋体" w:cs="Times New Roman"/>
                <w:b/>
                <w:bCs/>
                <w:color w:val="auto"/>
                <w:sz w:val="24"/>
                <w:szCs w:val="24"/>
                <w:highlight w:val="none"/>
                <w:shd w:val="clear" w:color="auto" w:fill="auto"/>
                <w:lang w:val="en-US" w:eastAsia="zh-CN"/>
              </w:rPr>
              <w:t>12</w:t>
            </w:r>
            <w:r>
              <w:rPr>
                <w:rFonts w:hint="default" w:ascii="Times New Roman" w:hAnsi="Times New Roman" w:eastAsia="宋体" w:cs="Times New Roman"/>
                <w:b/>
                <w:bCs/>
                <w:color w:val="auto"/>
                <w:sz w:val="24"/>
                <w:szCs w:val="24"/>
                <w:highlight w:val="none"/>
                <w:shd w:val="clear" w:color="auto" w:fill="auto"/>
              </w:rPr>
              <w:t xml:space="preserve">  </w:t>
            </w:r>
            <w:r>
              <w:rPr>
                <w:rFonts w:hint="default" w:ascii="Times New Roman" w:hAnsi="Times New Roman" w:eastAsia="宋体" w:cs="Times New Roman"/>
                <w:b/>
                <w:bCs/>
                <w:color w:val="auto"/>
                <w:sz w:val="24"/>
                <w:szCs w:val="24"/>
                <w:highlight w:val="none"/>
                <w:shd w:val="clear" w:color="auto" w:fill="auto"/>
                <w:lang w:val="zh-CN"/>
              </w:rPr>
              <w:t>本项目与苏政发[2024]53号文相符性分析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58"/>
              <w:gridCol w:w="4077"/>
              <w:gridCol w:w="872"/>
            </w:tblGrid>
            <w:tr w14:paraId="13DCD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6" w:type="pct"/>
                  <w:tcBorders>
                    <w:tl2br w:val="nil"/>
                    <w:tr2bl w:val="nil"/>
                  </w:tcBorders>
                  <w:vAlign w:val="center"/>
                </w:tcPr>
                <w:p w14:paraId="0EE6AA6A">
                  <w:pPr>
                    <w:autoSpaceDE w:val="0"/>
                    <w:autoSpaceDN w:val="0"/>
                    <w:adjustRightInd w:val="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文件要求</w:t>
                  </w:r>
                </w:p>
              </w:tc>
              <w:tc>
                <w:tcPr>
                  <w:tcW w:w="2424" w:type="pct"/>
                  <w:tcBorders>
                    <w:tl2br w:val="nil"/>
                    <w:tr2bl w:val="nil"/>
                  </w:tcBorders>
                  <w:vAlign w:val="center"/>
                </w:tcPr>
                <w:p w14:paraId="57827E82">
                  <w:pPr>
                    <w:autoSpaceDE w:val="0"/>
                    <w:autoSpaceDN w:val="0"/>
                    <w:adjustRightInd w:val="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本项目对照分析</w:t>
                  </w:r>
                </w:p>
              </w:tc>
              <w:tc>
                <w:tcPr>
                  <w:tcW w:w="518" w:type="pct"/>
                  <w:tcBorders>
                    <w:tl2br w:val="nil"/>
                    <w:tr2bl w:val="nil"/>
                  </w:tcBorders>
                  <w:vAlign w:val="center"/>
                </w:tcPr>
                <w:p w14:paraId="08B54474">
                  <w:pPr>
                    <w:autoSpaceDE w:val="0"/>
                    <w:autoSpaceDN w:val="0"/>
                    <w:adjustRightInd w:val="0"/>
                    <w:ind w:left="-73" w:leftChars="-35" w:right="-73" w:rightChars="-35"/>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相符性</w:t>
                  </w:r>
                </w:p>
              </w:tc>
            </w:tr>
            <w:tr w14:paraId="11253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6" w:type="pct"/>
                  <w:tcBorders>
                    <w:tl2br w:val="nil"/>
                    <w:tr2bl w:val="nil"/>
                  </w:tcBorders>
                  <w:vAlign w:val="center"/>
                </w:tcPr>
                <w:p w14:paraId="4EE581E6">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坚决遏制高耗能、高排放、低水平项目盲目上马。研究制定“两高”项目管理目录。严禁核准或备案钢铁（炼钢、炼铁）、焦化、电解铝、水泥（熟料）、平板玻璃（不含光伏压延玻璃）和炼化（纳入国家产业规划除外）等行业新增产能的项目。到2025年，短流程炼钢产量占比力争达20%以上。</w:t>
                  </w:r>
                </w:p>
                <w:p w14:paraId="69A29C5A">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加快退出重点行业落后产能。落实《产业结构调整指导目录》，逐步退出限制类涉气行业工艺和装备。逐步淘汰步进式烧结机和球团竖炉以及半封闭式硅锰合金、镍铁、高碳铬铁、高碳锰铁电炉。</w:t>
                  </w:r>
                </w:p>
              </w:tc>
              <w:tc>
                <w:tcPr>
                  <w:tcW w:w="2424" w:type="pct"/>
                  <w:tcBorders>
                    <w:tl2br w:val="nil"/>
                    <w:tr2bl w:val="nil"/>
                  </w:tcBorders>
                  <w:vAlign w:val="center"/>
                </w:tcPr>
                <w:p w14:paraId="1DF70EA5">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本项目为</w:t>
                  </w:r>
                  <w:r>
                    <w:rPr>
                      <w:rFonts w:hint="eastAsia" w:ascii="Times New Roman" w:hAnsi="Times New Roman" w:eastAsia="宋体" w:cs="Times New Roman"/>
                      <w:color w:val="auto"/>
                      <w:kern w:val="0"/>
                      <w:sz w:val="21"/>
                      <w:szCs w:val="21"/>
                      <w:highlight w:val="none"/>
                      <w:shd w:val="clear" w:color="auto" w:fill="auto"/>
                      <w:lang w:val="en-US" w:eastAsia="zh-CN"/>
                    </w:rPr>
                    <w:t>迁建</w:t>
                  </w:r>
                  <w:r>
                    <w:rPr>
                      <w:rFonts w:hint="eastAsia" w:ascii="Times New Roman" w:hAnsi="Times New Roman" w:eastAsia="宋体" w:cs="Times New Roman"/>
                      <w:color w:val="auto"/>
                      <w:kern w:val="0"/>
                      <w:sz w:val="21"/>
                      <w:szCs w:val="21"/>
                      <w:highlight w:val="none"/>
                      <w:shd w:val="clear" w:color="auto" w:fill="auto"/>
                      <w:lang w:eastAsia="zh-CN"/>
                    </w:rPr>
                    <w:t>项目</w:t>
                  </w:r>
                  <w:r>
                    <w:rPr>
                      <w:rFonts w:hint="default" w:ascii="Times New Roman" w:hAnsi="Times New Roman" w:eastAsia="宋体" w:cs="Times New Roman"/>
                      <w:color w:val="auto"/>
                      <w:kern w:val="0"/>
                      <w:sz w:val="21"/>
                      <w:szCs w:val="21"/>
                      <w:highlight w:val="none"/>
                      <w:shd w:val="clear" w:color="auto" w:fill="auto"/>
                    </w:rPr>
                    <w:t>，行业类别为</w:t>
                  </w:r>
                  <w:r>
                    <w:rPr>
                      <w:rFonts w:hint="eastAsia" w:ascii="Times New Roman" w:hAnsi="Times New Roman" w:eastAsia="宋体" w:cs="Times New Roman"/>
                      <w:color w:val="auto"/>
                      <w:kern w:val="0"/>
                      <w:sz w:val="21"/>
                      <w:szCs w:val="21"/>
                      <w:highlight w:val="none"/>
                      <w:shd w:val="clear" w:color="auto" w:fill="auto"/>
                      <w:lang w:eastAsia="zh-CN"/>
                    </w:rPr>
                    <w:t>C2923 塑料丝、绳及编织品制造</w:t>
                  </w:r>
                  <w:r>
                    <w:rPr>
                      <w:rFonts w:hint="default" w:ascii="Times New Roman" w:hAnsi="Times New Roman" w:eastAsia="宋体" w:cs="Times New Roman"/>
                      <w:color w:val="auto"/>
                      <w:kern w:val="0"/>
                      <w:sz w:val="21"/>
                      <w:szCs w:val="21"/>
                      <w:highlight w:val="none"/>
                      <w:shd w:val="clear" w:color="auto" w:fill="auto"/>
                    </w:rPr>
                    <w:t>，对照《江苏省“两高”项目管理目录（202</w:t>
                  </w:r>
                  <w:r>
                    <w:rPr>
                      <w:rFonts w:hint="eastAsia" w:ascii="Times New Roman" w:hAnsi="Times New Roman" w:eastAsia="宋体" w:cs="Times New Roman"/>
                      <w:color w:val="auto"/>
                      <w:kern w:val="0"/>
                      <w:sz w:val="21"/>
                      <w:szCs w:val="21"/>
                      <w:highlight w:val="none"/>
                      <w:shd w:val="clear" w:color="auto" w:fill="auto"/>
                      <w:lang w:val="en-US" w:eastAsia="zh-CN"/>
                    </w:rPr>
                    <w:t>5</w:t>
                  </w:r>
                  <w:r>
                    <w:rPr>
                      <w:rFonts w:hint="default" w:ascii="Times New Roman" w:hAnsi="Times New Roman" w:eastAsia="宋体" w:cs="Times New Roman"/>
                      <w:color w:val="auto"/>
                      <w:kern w:val="0"/>
                      <w:sz w:val="21"/>
                      <w:szCs w:val="21"/>
                      <w:highlight w:val="none"/>
                      <w:shd w:val="clear" w:color="auto" w:fill="auto"/>
                    </w:rPr>
                    <w:t>年版）》，本项目不属于两高项目。同时，本项目采用的工艺技术和装备先进且适用。</w:t>
                  </w:r>
                </w:p>
              </w:tc>
              <w:tc>
                <w:tcPr>
                  <w:tcW w:w="518" w:type="pct"/>
                  <w:tcBorders>
                    <w:tl2br w:val="nil"/>
                    <w:tr2bl w:val="nil"/>
                  </w:tcBorders>
                  <w:vAlign w:val="center"/>
                </w:tcPr>
                <w:p w14:paraId="5BDCDF77">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相符</w:t>
                  </w:r>
                </w:p>
              </w:tc>
            </w:tr>
            <w:tr w14:paraId="6C74D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6" w:type="pct"/>
                  <w:tcBorders>
                    <w:tl2br w:val="nil"/>
                    <w:tr2bl w:val="nil"/>
                  </w:tcBorders>
                  <w:vAlign w:val="center"/>
                </w:tcPr>
                <w:p w14:paraId="69EC8A96">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优化含VOCs原辅材料和产品结构。严格控制生产和使用高VOCs含量涂料、油墨、胶粘剂、清洗剂等建设项目。加大工业涂装、包装印刷和电子行业清洁原料替代力度。鼓励和推进汽车4S店、大型汽修厂实施水性涂料替代。</w:t>
                  </w:r>
                </w:p>
              </w:tc>
              <w:tc>
                <w:tcPr>
                  <w:tcW w:w="2424" w:type="pct"/>
                  <w:tcBorders>
                    <w:tl2br w:val="nil"/>
                    <w:tr2bl w:val="nil"/>
                  </w:tcBorders>
                  <w:vAlign w:val="center"/>
                </w:tcPr>
                <w:p w14:paraId="130597CB">
                  <w:pPr>
                    <w:autoSpaceDE w:val="0"/>
                    <w:autoSpaceDN w:val="0"/>
                    <w:adjustRightInd w:val="0"/>
                    <w:jc w:val="center"/>
                    <w:rPr>
                      <w:rFonts w:hint="eastAsia"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本项目使用低VOCs原辅材料，油墨均符合</w:t>
                  </w:r>
                  <w:r>
                    <w:rPr>
                      <w:rFonts w:hint="default" w:ascii="Times New Roman" w:hAnsi="Times New Roman" w:eastAsia="宋体" w:cs="Times New Roman"/>
                      <w:color w:val="auto"/>
                      <w:kern w:val="0"/>
                      <w:sz w:val="21"/>
                      <w:szCs w:val="21"/>
                      <w:highlight w:val="none"/>
                      <w:shd w:val="clear" w:color="auto" w:fill="auto"/>
                    </w:rPr>
                    <w:t>《油墨中可挥发性有机化合物(VOCs)含量的限值》(GB38507-2020)限值要求</w:t>
                  </w:r>
                  <w:r>
                    <w:rPr>
                      <w:rFonts w:hint="eastAsia" w:ascii="Times New Roman" w:hAnsi="Times New Roman" w:eastAsia="宋体" w:cs="Times New Roman"/>
                      <w:color w:val="auto"/>
                      <w:kern w:val="0"/>
                      <w:sz w:val="21"/>
                      <w:szCs w:val="21"/>
                      <w:highlight w:val="none"/>
                      <w:shd w:val="clear" w:color="auto" w:fill="auto"/>
                      <w:lang w:eastAsia="zh-CN"/>
                    </w:rPr>
                    <w:t>，</w:t>
                  </w:r>
                  <w:r>
                    <w:rPr>
                      <w:rFonts w:hint="eastAsia" w:ascii="Times New Roman" w:hAnsi="Times New Roman" w:eastAsia="宋体" w:cs="Times New Roman"/>
                      <w:color w:val="auto"/>
                      <w:kern w:val="0"/>
                      <w:sz w:val="21"/>
                      <w:szCs w:val="21"/>
                      <w:highlight w:val="none"/>
                      <w:shd w:val="clear" w:color="auto" w:fill="auto"/>
                      <w:lang w:val="en-US" w:eastAsia="zh-CN"/>
                    </w:rPr>
                    <w:t>粘合剂符合</w:t>
                  </w:r>
                  <w:r>
                    <w:rPr>
                      <w:rFonts w:hint="default" w:ascii="Times New Roman" w:hAnsi="Times New Roman" w:eastAsia="宋体" w:cs="Times New Roman"/>
                      <w:color w:val="auto"/>
                      <w:kern w:val="0"/>
                      <w:sz w:val="21"/>
                      <w:szCs w:val="21"/>
                      <w:highlight w:val="none"/>
                      <w:shd w:val="clear" w:color="auto" w:fill="auto"/>
                    </w:rPr>
                    <w:t>《胶粘剂挥发性有机化合物限量》(GB33372-2020)限值要求</w:t>
                  </w:r>
                  <w:r>
                    <w:rPr>
                      <w:rFonts w:hint="eastAsia" w:ascii="Times New Roman" w:hAnsi="Times New Roman" w:eastAsia="宋体" w:cs="Times New Roman"/>
                      <w:color w:val="auto"/>
                      <w:kern w:val="0"/>
                      <w:sz w:val="21"/>
                      <w:szCs w:val="21"/>
                      <w:highlight w:val="none"/>
                      <w:shd w:val="clear" w:color="auto" w:fill="auto"/>
                      <w:lang w:eastAsia="zh-CN"/>
                    </w:rPr>
                    <w:t>，</w:t>
                  </w:r>
                  <w:r>
                    <w:rPr>
                      <w:rFonts w:hint="eastAsia" w:ascii="Times New Roman" w:hAnsi="Times New Roman" w:eastAsia="宋体" w:cs="Times New Roman"/>
                      <w:color w:val="auto"/>
                      <w:kern w:val="0"/>
                      <w:sz w:val="21"/>
                      <w:szCs w:val="21"/>
                      <w:highlight w:val="none"/>
                      <w:shd w:val="clear" w:color="auto" w:fill="auto"/>
                      <w:lang w:val="en-US" w:eastAsia="zh-CN"/>
                    </w:rPr>
                    <w:t>清洗剂符合</w:t>
                  </w:r>
                  <w:r>
                    <w:rPr>
                      <w:rFonts w:hint="default" w:ascii="Times New Roman" w:hAnsi="Times New Roman" w:eastAsia="宋体" w:cs="Times New Roman"/>
                      <w:color w:val="auto"/>
                      <w:kern w:val="0"/>
                      <w:sz w:val="21"/>
                      <w:szCs w:val="21"/>
                      <w:highlight w:val="none"/>
                      <w:shd w:val="clear" w:color="auto" w:fill="auto"/>
                    </w:rPr>
                    <w:t>《清洗剂挥发性有机化合物含量限值》（GB38508-2020）限值要求</w:t>
                  </w:r>
                  <w:r>
                    <w:rPr>
                      <w:rFonts w:hint="eastAsia" w:ascii="Times New Roman" w:hAnsi="Times New Roman" w:eastAsia="宋体" w:cs="Times New Roman"/>
                      <w:color w:val="auto"/>
                      <w:kern w:val="0"/>
                      <w:sz w:val="21"/>
                      <w:szCs w:val="21"/>
                      <w:highlight w:val="none"/>
                      <w:shd w:val="clear" w:color="auto" w:fill="auto"/>
                      <w:lang w:eastAsia="zh-CN"/>
                    </w:rPr>
                    <w:t>。</w:t>
                  </w:r>
                </w:p>
              </w:tc>
              <w:tc>
                <w:tcPr>
                  <w:tcW w:w="518" w:type="pct"/>
                  <w:tcBorders>
                    <w:tl2br w:val="nil"/>
                    <w:tr2bl w:val="nil"/>
                  </w:tcBorders>
                  <w:vAlign w:val="center"/>
                </w:tcPr>
                <w:p w14:paraId="625A1101">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相符</w:t>
                  </w:r>
                </w:p>
              </w:tc>
            </w:tr>
            <w:tr w14:paraId="379957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6" w:type="pct"/>
                  <w:tcBorders>
                    <w:tl2br w:val="nil"/>
                    <w:tr2bl w:val="nil"/>
                  </w:tcBorders>
                  <w:vAlign w:val="center"/>
                </w:tcPr>
                <w:p w14:paraId="2EA318C6">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大力发展新能源和清洁能源。到2025年，非化石能源消费比重达20%左右，可再生能源占全省能源消费总量比重达15%以上，电能占终端能源消费比重达35%左右。</w:t>
                  </w:r>
                </w:p>
              </w:tc>
              <w:tc>
                <w:tcPr>
                  <w:tcW w:w="2424" w:type="pct"/>
                  <w:tcBorders>
                    <w:tl2br w:val="nil"/>
                    <w:tr2bl w:val="nil"/>
                  </w:tcBorders>
                  <w:vAlign w:val="center"/>
                </w:tcPr>
                <w:p w14:paraId="70413C3E">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使用清洁能源电能</w:t>
                  </w:r>
                </w:p>
              </w:tc>
              <w:tc>
                <w:tcPr>
                  <w:tcW w:w="518" w:type="pct"/>
                  <w:tcBorders>
                    <w:tl2br w:val="nil"/>
                    <w:tr2bl w:val="nil"/>
                  </w:tcBorders>
                  <w:vAlign w:val="center"/>
                </w:tcPr>
                <w:p w14:paraId="42B050F5">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相符</w:t>
                  </w:r>
                </w:p>
              </w:tc>
            </w:tr>
            <w:tr w14:paraId="1149D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6" w:type="pct"/>
                  <w:tcBorders>
                    <w:tl2br w:val="nil"/>
                    <w:tr2bl w:val="nil"/>
                  </w:tcBorders>
                  <w:vAlign w:val="center"/>
                </w:tcPr>
                <w:p w14:paraId="2387EB96">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tc>
              <w:tc>
                <w:tcPr>
                  <w:tcW w:w="2424" w:type="pct"/>
                  <w:tcBorders>
                    <w:tl2br w:val="nil"/>
                    <w:tr2bl w:val="nil"/>
                  </w:tcBorders>
                  <w:vAlign w:val="center"/>
                </w:tcPr>
                <w:p w14:paraId="395684A9">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w:t>
                  </w:r>
                  <w:r>
                    <w:rPr>
                      <w:rFonts w:hint="eastAsia" w:ascii="Times New Roman" w:hAnsi="Times New Roman" w:eastAsia="宋体" w:cs="Times New Roman"/>
                      <w:color w:val="auto"/>
                      <w:kern w:val="0"/>
                      <w:sz w:val="21"/>
                      <w:szCs w:val="21"/>
                      <w:highlight w:val="none"/>
                      <w:shd w:val="clear" w:color="auto" w:fill="auto"/>
                      <w:lang w:val="en-US" w:eastAsia="zh-CN"/>
                    </w:rPr>
                    <w:t>VOCs</w:t>
                  </w:r>
                  <w:r>
                    <w:rPr>
                      <w:rFonts w:hint="default" w:ascii="Times New Roman" w:hAnsi="Times New Roman" w:eastAsia="宋体" w:cs="Times New Roman"/>
                      <w:color w:val="auto"/>
                      <w:kern w:val="0"/>
                      <w:sz w:val="21"/>
                      <w:szCs w:val="21"/>
                      <w:highlight w:val="none"/>
                      <w:shd w:val="clear" w:color="auto" w:fill="auto"/>
                    </w:rPr>
                    <w:t>废气经过有效处理后达标排放，在金坛区区域内平衡</w:t>
                  </w:r>
                </w:p>
              </w:tc>
              <w:tc>
                <w:tcPr>
                  <w:tcW w:w="518" w:type="pct"/>
                  <w:tcBorders>
                    <w:tl2br w:val="nil"/>
                    <w:tr2bl w:val="nil"/>
                  </w:tcBorders>
                  <w:vAlign w:val="center"/>
                </w:tcPr>
                <w:p w14:paraId="7E96E97C">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相符</w:t>
                  </w:r>
                </w:p>
              </w:tc>
            </w:tr>
          </w:tbl>
          <w:p w14:paraId="6934CF8B">
            <w:pPr>
              <w:spacing w:line="360" w:lineRule="auto"/>
              <w:ind w:firstLine="482" w:firstLineChars="200"/>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lang w:val="en-US" w:eastAsia="zh-CN"/>
              </w:rPr>
              <w:t>1</w:t>
            </w:r>
            <w:r>
              <w:rPr>
                <w:rFonts w:hint="eastAsia" w:ascii="Times New Roman" w:hAnsi="Times New Roman" w:eastAsia="宋体" w:cs="Times New Roman"/>
                <w:b/>
                <w:bCs/>
                <w:color w:val="auto"/>
                <w:sz w:val="24"/>
                <w:szCs w:val="24"/>
                <w:highlight w:val="none"/>
                <w:shd w:val="clear" w:color="auto" w:fill="auto"/>
                <w:lang w:val="en-US" w:eastAsia="zh-CN"/>
              </w:rPr>
              <w:t>3</w:t>
            </w:r>
            <w:r>
              <w:rPr>
                <w:rFonts w:hint="default" w:ascii="Times New Roman" w:hAnsi="Times New Roman" w:eastAsia="宋体" w:cs="Times New Roman"/>
                <w:b/>
                <w:bCs/>
                <w:color w:val="auto"/>
                <w:sz w:val="24"/>
                <w:szCs w:val="24"/>
                <w:highlight w:val="none"/>
                <w:shd w:val="clear" w:color="auto" w:fill="auto"/>
              </w:rPr>
              <w:t>、与《常州市空气质量持续改善行动计划实施方案》（常政发[2024]51号）相符性分析</w:t>
            </w:r>
          </w:p>
          <w:p w14:paraId="71E184D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1、调整优化产业结构，推进产业绿色低碳发展。坚决遏制“两高”项目盲目发展</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lang w:val="en-US" w:eastAsia="zh-CN"/>
              </w:rPr>
              <w:t>加快退出重点行业落后产能，</w:t>
            </w:r>
            <w:r>
              <w:rPr>
                <w:rFonts w:hint="default" w:ascii="Times New Roman" w:hAnsi="Times New Roman" w:eastAsia="宋体" w:cs="Times New Roman"/>
                <w:bCs/>
                <w:color w:val="auto"/>
                <w:sz w:val="24"/>
                <w:szCs w:val="24"/>
                <w:highlight w:val="none"/>
                <w:shd w:val="clear" w:color="auto" w:fill="auto"/>
              </w:rPr>
              <w:t>推进产业集群、园区绿色转型升级</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优化含VOCs原辅材料和产品结构。</w:t>
            </w:r>
          </w:p>
          <w:p w14:paraId="7C3FC7B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2、推进能源高效利用，加快能源清洁低碳转型。大力发展新能源和清洁能源</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严格合理控制煤炭消费总量</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推进燃煤锅炉关停整合和工业炉窑清洁能源替代</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推进近零碳园区和近零碳工厂试点建设。</w:t>
            </w:r>
          </w:p>
          <w:p w14:paraId="1FBE638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3、优化调整交通结构，大力发展绿色运输体系。持续优化货物运输结构</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实施绿色车轮计划</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强化非道路移动源综合治理。</w:t>
            </w:r>
          </w:p>
          <w:p w14:paraId="33B9FA9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4</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加强面源污染治理，提高精细化管理水平。实施扬尘精细化治理</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推进矿山生态环境综合整治</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加强秸秆禁烧和综合利用。</w:t>
            </w:r>
          </w:p>
          <w:p w14:paraId="45D9BE4B">
            <w:pPr>
              <w:overflowPunct/>
              <w:topLinePunct w:val="0"/>
              <w:spacing w:line="360" w:lineRule="auto"/>
              <w:ind w:firstLine="482"/>
              <w:rPr>
                <w:rFonts w:hint="default" w:ascii="Times New Roman" w:hAnsi="Times New Roman" w:eastAsia="宋体" w:cs="Times New Roman"/>
                <w:bCs/>
                <w:color w:val="auto"/>
                <w:sz w:val="24"/>
                <w:szCs w:val="24"/>
                <w:highlight w:val="none"/>
                <w:shd w:val="clear" w:color="auto" w:fill="auto"/>
                <w:lang w:val="en-US" w:eastAsia="zh-CN"/>
              </w:rPr>
            </w:pPr>
            <w:r>
              <w:rPr>
                <w:rFonts w:hint="default" w:ascii="Times New Roman" w:hAnsi="Times New Roman" w:eastAsia="宋体" w:cs="Times New Roman"/>
                <w:bCs/>
                <w:color w:val="auto"/>
                <w:sz w:val="24"/>
                <w:szCs w:val="24"/>
                <w:highlight w:val="none"/>
                <w:shd w:val="clear" w:color="auto" w:fill="auto"/>
                <w:lang w:val="en-US" w:eastAsia="zh-CN"/>
              </w:rPr>
              <w:t>5、</w:t>
            </w:r>
            <w:r>
              <w:rPr>
                <w:rFonts w:hint="default" w:ascii="Times New Roman" w:hAnsi="Times New Roman" w:eastAsia="宋体" w:cs="Times New Roman"/>
                <w:bCs/>
                <w:color w:val="auto"/>
                <w:sz w:val="24"/>
                <w:szCs w:val="24"/>
                <w:highlight w:val="none"/>
                <w:shd w:val="clear" w:color="auto" w:fill="auto"/>
              </w:rPr>
              <w:t>强化协同减排，切实降低污染物排放强度</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强化VOCs全流程、全环节综合治理</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实施重点行业超低排放与深度治理</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推进餐饮油烟、恶臭异味专项整治</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推动大气氨污染防控</w:t>
            </w:r>
            <w:r>
              <w:rPr>
                <w:rFonts w:hint="default" w:ascii="Times New Roman" w:hAnsi="Times New Roman" w:eastAsia="宋体" w:cs="Times New Roman"/>
                <w:bCs/>
                <w:color w:val="auto"/>
                <w:sz w:val="24"/>
                <w:szCs w:val="24"/>
                <w:highlight w:val="none"/>
                <w:shd w:val="clear" w:color="auto" w:fill="auto"/>
                <w:lang w:eastAsia="zh-CN"/>
              </w:rPr>
              <w:t>。</w:t>
            </w:r>
          </w:p>
          <w:p w14:paraId="5A3E221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rPr>
              <w:t>本项目为</w:t>
            </w:r>
            <w:r>
              <w:rPr>
                <w:rFonts w:hint="eastAsia" w:ascii="Times New Roman" w:hAnsi="Times New Roman" w:eastAsia="宋体" w:cs="Times New Roman"/>
                <w:color w:val="auto"/>
                <w:sz w:val="24"/>
                <w:szCs w:val="24"/>
                <w:highlight w:val="none"/>
                <w:shd w:val="clear" w:color="auto" w:fill="auto"/>
                <w:lang w:val="en-US" w:eastAsia="zh-CN"/>
              </w:rPr>
              <w:t>迁建</w:t>
            </w:r>
            <w:r>
              <w:rPr>
                <w:rFonts w:hint="eastAsia" w:ascii="Times New Roman" w:hAnsi="Times New Roman" w:eastAsia="宋体" w:cs="Times New Roman"/>
                <w:color w:val="auto"/>
                <w:sz w:val="24"/>
                <w:szCs w:val="24"/>
                <w:highlight w:val="none"/>
                <w:shd w:val="clear" w:color="auto" w:fill="auto"/>
                <w:lang w:eastAsia="zh-CN"/>
              </w:rPr>
              <w:t>项目</w:t>
            </w:r>
            <w:r>
              <w:rPr>
                <w:rFonts w:hint="default" w:ascii="Times New Roman" w:hAnsi="Times New Roman" w:eastAsia="宋体" w:cs="Times New Roman"/>
                <w:color w:val="auto"/>
                <w:sz w:val="24"/>
                <w:szCs w:val="24"/>
                <w:highlight w:val="none"/>
                <w:shd w:val="clear" w:color="auto" w:fill="auto"/>
              </w:rPr>
              <w:t>，行业类别为</w:t>
            </w:r>
            <w:r>
              <w:rPr>
                <w:rFonts w:hint="eastAsia" w:ascii="Times New Roman" w:hAnsi="Times New Roman" w:eastAsia="宋体" w:cs="Times New Roman"/>
                <w:color w:val="auto"/>
                <w:sz w:val="24"/>
                <w:highlight w:val="none"/>
                <w:shd w:val="clear" w:color="auto" w:fill="auto"/>
                <w:lang w:eastAsia="zh-CN"/>
              </w:rPr>
              <w:t>C2923 塑料丝、绳及编织品制造</w:t>
            </w:r>
            <w:r>
              <w:rPr>
                <w:rFonts w:hint="default" w:ascii="Times New Roman" w:hAnsi="Times New Roman" w:eastAsia="宋体" w:cs="Times New Roman"/>
                <w:color w:val="auto"/>
                <w:sz w:val="24"/>
                <w:szCs w:val="24"/>
                <w:highlight w:val="none"/>
                <w:shd w:val="clear" w:color="auto" w:fill="auto"/>
              </w:rPr>
              <w:t>，对照《江苏省“两高”项目管理目录（202</w:t>
            </w:r>
            <w:r>
              <w:rPr>
                <w:rFonts w:hint="eastAsia" w:ascii="Times New Roman" w:hAnsi="Times New Roman" w:eastAsia="宋体" w:cs="Times New Roman"/>
                <w:color w:val="auto"/>
                <w:sz w:val="24"/>
                <w:szCs w:val="24"/>
                <w:highlight w:val="none"/>
                <w:shd w:val="clear" w:color="auto" w:fill="auto"/>
                <w:lang w:val="en-US" w:eastAsia="zh-CN"/>
              </w:rPr>
              <w:t>5</w:t>
            </w:r>
            <w:r>
              <w:rPr>
                <w:rFonts w:hint="default" w:ascii="Times New Roman" w:hAnsi="Times New Roman" w:eastAsia="宋体" w:cs="Times New Roman"/>
                <w:color w:val="auto"/>
                <w:sz w:val="24"/>
                <w:szCs w:val="24"/>
                <w:highlight w:val="none"/>
                <w:shd w:val="clear" w:color="auto" w:fill="auto"/>
              </w:rPr>
              <w:t>年版）》，本项目不属于两高项目。本项目采用的工艺技术和装备先进且适用，使用清洁能源电能</w:t>
            </w:r>
            <w:r>
              <w:rPr>
                <w:rFonts w:hint="default" w:ascii="Times New Roman" w:hAnsi="Times New Roman" w:eastAsia="宋体" w:cs="Times New Roman"/>
                <w:color w:val="auto"/>
                <w:sz w:val="24"/>
                <w:szCs w:val="24"/>
                <w:highlight w:val="none"/>
                <w:shd w:val="clear" w:color="auto" w:fill="auto"/>
                <w:lang w:eastAsia="zh-CN"/>
              </w:rPr>
              <w:t>。</w:t>
            </w:r>
          </w:p>
          <w:p w14:paraId="6CDCE96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eastAsia="zh-CN"/>
              </w:rPr>
              <w:t>本项目破碎粉尘经设备自带的布袋除尘器处理后车间无组织排放，调墨、印刷、复合、熟化、清洗废气各自收集后通过一套</w:t>
            </w:r>
            <w:r>
              <w:rPr>
                <w:rFonts w:hint="eastAsia" w:ascii="Times New Roman" w:hAnsi="Times New Roman" w:eastAsia="宋体" w:cs="Times New Roman"/>
                <w:color w:val="auto"/>
                <w:sz w:val="24"/>
                <w:szCs w:val="24"/>
                <w:highlight w:val="none"/>
                <w:shd w:val="clear" w:color="auto" w:fill="auto"/>
                <w:lang w:val="en-US" w:eastAsia="zh-CN"/>
              </w:rPr>
              <w:t>1#</w:t>
            </w:r>
            <w:r>
              <w:rPr>
                <w:rFonts w:hint="eastAsia" w:ascii="Times New Roman" w:hAnsi="Times New Roman" w:eastAsia="宋体" w:cs="Times New Roman"/>
                <w:color w:val="auto"/>
                <w:sz w:val="24"/>
                <w:szCs w:val="24"/>
                <w:highlight w:val="none"/>
                <w:shd w:val="clear" w:color="auto" w:fill="auto"/>
                <w:lang w:eastAsia="zh-CN"/>
              </w:rPr>
              <w:t>二级活性炭处理，经1根18m高的排气筒1#排放，吹膜、制袋废气各自收集后通过一套</w:t>
            </w:r>
            <w:r>
              <w:rPr>
                <w:rFonts w:hint="eastAsia" w:ascii="Times New Roman" w:hAnsi="Times New Roman" w:eastAsia="宋体" w:cs="Times New Roman"/>
                <w:color w:val="auto"/>
                <w:sz w:val="24"/>
                <w:szCs w:val="24"/>
                <w:highlight w:val="none"/>
                <w:shd w:val="clear" w:color="auto" w:fill="auto"/>
                <w:lang w:val="en-US" w:eastAsia="zh-CN"/>
              </w:rPr>
              <w:t>2#</w:t>
            </w:r>
            <w:r>
              <w:rPr>
                <w:rFonts w:hint="eastAsia" w:ascii="Times New Roman" w:hAnsi="Times New Roman" w:eastAsia="宋体" w:cs="Times New Roman"/>
                <w:color w:val="auto"/>
                <w:sz w:val="24"/>
                <w:szCs w:val="24"/>
                <w:highlight w:val="none"/>
                <w:shd w:val="clear" w:color="auto" w:fill="auto"/>
                <w:lang w:eastAsia="zh-CN"/>
              </w:rPr>
              <w:t>二级活性炭处理，经1根18m高的排气筒2#排放。</w:t>
            </w:r>
            <w:r>
              <w:rPr>
                <w:rFonts w:hint="default" w:ascii="Times New Roman" w:hAnsi="Times New Roman" w:eastAsia="宋体" w:cs="Times New Roman"/>
                <w:color w:val="auto"/>
                <w:sz w:val="24"/>
                <w:szCs w:val="24"/>
                <w:highlight w:val="none"/>
                <w:shd w:val="clear" w:color="auto" w:fill="auto"/>
              </w:rPr>
              <w:t>对周围环境影响较小。</w:t>
            </w:r>
          </w:p>
          <w:p w14:paraId="5D937201">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en-US" w:eastAsia="zh-CN"/>
              </w:rPr>
              <w:t>1</w:t>
            </w:r>
            <w:r>
              <w:rPr>
                <w:rFonts w:hint="eastAsia" w:ascii="Times New Roman" w:hAnsi="Times New Roman" w:eastAsia="宋体" w:cs="Times New Roman"/>
                <w:b/>
                <w:bCs/>
                <w:color w:val="auto"/>
                <w:sz w:val="24"/>
                <w:szCs w:val="24"/>
                <w:highlight w:val="none"/>
                <w:shd w:val="clear" w:color="auto" w:fill="auto"/>
                <w:lang w:val="en-US" w:eastAsia="zh-CN"/>
              </w:rPr>
              <w:t>4</w:t>
            </w:r>
            <w:r>
              <w:rPr>
                <w:rFonts w:hint="default" w:ascii="Times New Roman" w:hAnsi="Times New Roman" w:eastAsia="宋体" w:cs="Times New Roman"/>
                <w:b/>
                <w:bCs/>
                <w:color w:val="auto"/>
                <w:sz w:val="24"/>
                <w:szCs w:val="24"/>
                <w:highlight w:val="none"/>
                <w:shd w:val="clear" w:color="auto" w:fill="auto"/>
                <w:lang w:val="en-US" w:eastAsia="zh-CN"/>
              </w:rPr>
              <w:t>、</w:t>
            </w:r>
            <w:r>
              <w:rPr>
                <w:rFonts w:hint="default" w:ascii="Times New Roman" w:hAnsi="Times New Roman" w:eastAsia="宋体" w:cs="Times New Roman"/>
                <w:b/>
                <w:bCs/>
                <w:color w:val="auto"/>
                <w:sz w:val="24"/>
                <w:szCs w:val="24"/>
                <w:highlight w:val="none"/>
                <w:shd w:val="clear" w:color="auto" w:fill="auto"/>
                <w:lang w:val="zh-CN"/>
              </w:rPr>
              <w:t>与</w:t>
            </w:r>
            <w:r>
              <w:rPr>
                <w:rFonts w:hint="default" w:ascii="Times New Roman" w:hAnsi="Times New Roman" w:eastAsia="宋体" w:cs="Times New Roman"/>
                <w:b/>
                <w:bCs/>
                <w:color w:val="auto"/>
                <w:sz w:val="24"/>
                <w:szCs w:val="24"/>
                <w:highlight w:val="none"/>
                <w:shd w:val="clear" w:color="auto" w:fill="auto"/>
              </w:rPr>
              <w:t>《关于发布&lt;有毒有害大气污染物名录</w:t>
            </w:r>
            <w:r>
              <w:rPr>
                <w:rFonts w:hint="default" w:ascii="Times New Roman" w:hAnsi="Times New Roman" w:eastAsia="宋体" w:cs="Times New Roman"/>
                <w:b/>
                <w:bCs/>
                <w:color w:val="auto"/>
                <w:sz w:val="24"/>
                <w:szCs w:val="24"/>
                <w:highlight w:val="none"/>
                <w:shd w:val="clear" w:color="auto" w:fill="auto"/>
                <w:lang w:eastAsia="zh-CN"/>
              </w:rPr>
              <w:t>（</w:t>
            </w:r>
            <w:r>
              <w:rPr>
                <w:rFonts w:hint="default" w:ascii="Times New Roman" w:hAnsi="Times New Roman" w:eastAsia="宋体" w:cs="Times New Roman"/>
                <w:b/>
                <w:bCs/>
                <w:color w:val="auto"/>
                <w:sz w:val="24"/>
                <w:szCs w:val="24"/>
                <w:highlight w:val="none"/>
                <w:shd w:val="clear" w:color="auto" w:fill="auto"/>
              </w:rPr>
              <w:t>2018 年</w:t>
            </w:r>
            <w:r>
              <w:rPr>
                <w:rFonts w:hint="default" w:ascii="Times New Roman" w:hAnsi="Times New Roman" w:eastAsia="宋体" w:cs="Times New Roman"/>
                <w:b/>
                <w:bCs/>
                <w:color w:val="auto"/>
                <w:sz w:val="24"/>
                <w:szCs w:val="24"/>
                <w:highlight w:val="none"/>
                <w:shd w:val="clear" w:color="auto" w:fill="auto"/>
                <w:lang w:eastAsia="zh-CN"/>
              </w:rPr>
              <w:t>）</w:t>
            </w:r>
            <w:r>
              <w:rPr>
                <w:rFonts w:hint="default" w:ascii="Times New Roman" w:hAnsi="Times New Roman" w:eastAsia="宋体" w:cs="Times New Roman"/>
                <w:b/>
                <w:bCs/>
                <w:color w:val="auto"/>
                <w:sz w:val="24"/>
                <w:szCs w:val="24"/>
                <w:highlight w:val="none"/>
                <w:shd w:val="clear" w:color="auto" w:fill="auto"/>
              </w:rPr>
              <w:t>&gt;的公告》</w:t>
            </w:r>
            <w:r>
              <w:rPr>
                <w:rFonts w:hint="default" w:ascii="Times New Roman" w:hAnsi="Times New Roman" w:eastAsia="宋体" w:cs="Times New Roman"/>
                <w:b/>
                <w:bCs/>
                <w:color w:val="auto"/>
                <w:sz w:val="24"/>
                <w:szCs w:val="24"/>
                <w:highlight w:val="none"/>
                <w:shd w:val="clear" w:color="auto" w:fill="auto"/>
                <w:lang w:val="zh-CN"/>
              </w:rPr>
              <w:t>相符性分析</w:t>
            </w:r>
          </w:p>
          <w:p w14:paraId="3C0D5328">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根据生态环境部、国家卫生健康委员会关于发布《有毒有害大气污染物名录（2018 年）》的公告，有毒有害大气污染物名录（2018年）包含二氯甲烷、甲醛、三氯甲烷、三氯乙烯、四氯乙烯、乙醛、镉及其化合物、铬及其化合物、汞及其化合物、铅及其化合物、砷及其化合物。</w:t>
            </w:r>
          </w:p>
          <w:p w14:paraId="3634895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本项目主要使用</w:t>
            </w:r>
            <w:r>
              <w:rPr>
                <w:rFonts w:hint="eastAsia" w:ascii="Times New Roman" w:hAnsi="Times New Roman" w:eastAsia="宋体" w:cs="Times New Roman"/>
                <w:bCs/>
                <w:color w:val="auto"/>
                <w:sz w:val="24"/>
                <w:szCs w:val="24"/>
                <w:highlight w:val="none"/>
                <w:shd w:val="clear" w:color="auto" w:fill="auto"/>
                <w:lang w:val="en-US" w:eastAsia="zh-CN"/>
              </w:rPr>
              <w:t>水性油墨、油性油墨、乙酸乙酯、双组份无溶剂聚氨酯粘合剂</w:t>
            </w:r>
            <w:r>
              <w:rPr>
                <w:rFonts w:hint="default" w:ascii="Times New Roman" w:hAnsi="Times New Roman" w:eastAsia="宋体" w:cs="Times New Roman"/>
                <w:bCs/>
                <w:color w:val="auto"/>
                <w:sz w:val="24"/>
                <w:szCs w:val="24"/>
                <w:highlight w:val="none"/>
                <w:shd w:val="clear" w:color="auto" w:fill="auto"/>
                <w:lang w:val="en-US" w:eastAsia="zh-CN"/>
              </w:rPr>
              <w:t>等</w:t>
            </w:r>
            <w:r>
              <w:rPr>
                <w:rFonts w:hint="default" w:ascii="Times New Roman" w:hAnsi="Times New Roman" w:eastAsia="宋体" w:cs="Times New Roman"/>
                <w:bCs/>
                <w:color w:val="auto"/>
                <w:sz w:val="24"/>
                <w:szCs w:val="24"/>
                <w:highlight w:val="none"/>
                <w:shd w:val="clear" w:color="auto" w:fill="auto"/>
              </w:rPr>
              <w:t>，同时生产过程中有</w:t>
            </w:r>
            <w:r>
              <w:rPr>
                <w:rFonts w:hint="default" w:ascii="Times New Roman" w:hAnsi="Times New Roman" w:eastAsia="宋体" w:cs="Times New Roman"/>
                <w:bCs/>
                <w:color w:val="auto"/>
                <w:sz w:val="24"/>
                <w:szCs w:val="24"/>
                <w:highlight w:val="none"/>
                <w:shd w:val="clear" w:color="auto" w:fill="auto"/>
                <w:lang w:val="en-US" w:eastAsia="zh-CN"/>
              </w:rPr>
              <w:t>VOCs</w:t>
            </w:r>
            <w:r>
              <w:rPr>
                <w:rFonts w:hint="default" w:ascii="Times New Roman" w:hAnsi="Times New Roman" w:eastAsia="宋体" w:cs="Times New Roman"/>
                <w:bCs/>
                <w:color w:val="auto"/>
                <w:sz w:val="24"/>
                <w:szCs w:val="24"/>
                <w:highlight w:val="none"/>
                <w:shd w:val="clear" w:color="auto" w:fill="auto"/>
              </w:rPr>
              <w:t>（含</w:t>
            </w:r>
            <w:r>
              <w:rPr>
                <w:rFonts w:hint="default" w:ascii="Times New Roman" w:hAnsi="Times New Roman" w:eastAsia="宋体" w:cs="Times New Roman"/>
                <w:bCs/>
                <w:color w:val="auto"/>
                <w:sz w:val="24"/>
                <w:szCs w:val="24"/>
                <w:highlight w:val="none"/>
                <w:shd w:val="clear" w:color="auto" w:fill="auto"/>
                <w:lang w:val="en-US" w:eastAsia="zh-CN"/>
              </w:rPr>
              <w:t>非甲烷总烃</w:t>
            </w:r>
            <w:r>
              <w:rPr>
                <w:rFonts w:hint="eastAsia" w:ascii="Times New Roman" w:hAnsi="Times New Roman" w:eastAsia="宋体" w:cs="Times New Roman"/>
                <w:bCs/>
                <w:color w:val="auto"/>
                <w:sz w:val="24"/>
                <w:szCs w:val="24"/>
                <w:highlight w:val="none"/>
                <w:shd w:val="clear" w:color="auto" w:fill="auto"/>
                <w:lang w:val="en-US" w:eastAsia="zh-CN"/>
              </w:rPr>
              <w:t>、乙酸乙酯、异丙醇</w:t>
            </w:r>
            <w:r>
              <w:rPr>
                <w:rFonts w:hint="default" w:ascii="Times New Roman" w:hAnsi="Times New Roman" w:eastAsia="宋体" w:cs="Times New Roman"/>
                <w:bCs/>
                <w:color w:val="auto"/>
                <w:sz w:val="24"/>
                <w:szCs w:val="24"/>
                <w:highlight w:val="none"/>
                <w:shd w:val="clear" w:color="auto" w:fill="auto"/>
              </w:rPr>
              <w:t>）产生，不属于有毒有害大气污染物名录（2018年）中包含的大气污染物，与上述内容相符。</w:t>
            </w:r>
          </w:p>
          <w:p w14:paraId="7AFC41A8">
            <w:pPr>
              <w:keepNext w:val="0"/>
              <w:keepLines w:val="0"/>
              <w:pageBreakBefore w:val="0"/>
              <w:widowControl w:val="0"/>
              <w:kinsoku/>
              <w:wordWrap/>
              <w:overflowPunct/>
              <w:topLinePunct w:val="0"/>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color w:val="auto"/>
                <w:sz w:val="24"/>
                <w:szCs w:val="24"/>
                <w:highlight w:val="none"/>
                <w:shd w:val="clear" w:color="auto" w:fill="auto"/>
                <w:lang w:val="en-US" w:eastAsia="zh-CN"/>
              </w:rPr>
              <w:t>1</w:t>
            </w:r>
            <w:r>
              <w:rPr>
                <w:rFonts w:hint="eastAsia" w:ascii="Times New Roman" w:hAnsi="Times New Roman" w:eastAsia="宋体" w:cs="Times New Roman"/>
                <w:b/>
                <w:color w:val="auto"/>
                <w:sz w:val="24"/>
                <w:szCs w:val="24"/>
                <w:highlight w:val="none"/>
                <w:shd w:val="clear" w:color="auto" w:fill="auto"/>
                <w:lang w:val="en-US" w:eastAsia="zh-CN"/>
              </w:rPr>
              <w:t>5</w:t>
            </w:r>
            <w:r>
              <w:rPr>
                <w:rFonts w:hint="default" w:ascii="Times New Roman" w:hAnsi="Times New Roman" w:eastAsia="宋体" w:cs="Times New Roman"/>
                <w:b/>
                <w:color w:val="auto"/>
                <w:sz w:val="24"/>
                <w:szCs w:val="24"/>
                <w:highlight w:val="none"/>
                <w:shd w:val="clear" w:color="auto" w:fill="auto"/>
                <w:lang w:val="en-US" w:eastAsia="zh-CN"/>
              </w:rPr>
              <w:t>、</w:t>
            </w:r>
            <w:r>
              <w:rPr>
                <w:rFonts w:hint="default" w:ascii="Times New Roman" w:hAnsi="Times New Roman" w:eastAsia="宋体" w:cs="Times New Roman"/>
                <w:b/>
                <w:color w:val="auto"/>
                <w:sz w:val="24"/>
                <w:szCs w:val="24"/>
                <w:highlight w:val="none"/>
                <w:shd w:val="clear" w:color="auto" w:fill="auto"/>
              </w:rPr>
              <w:t>与</w:t>
            </w:r>
            <w:r>
              <w:rPr>
                <w:rFonts w:hint="default" w:ascii="Times New Roman" w:hAnsi="Times New Roman" w:eastAsia="宋体" w:cs="Times New Roman"/>
                <w:b/>
                <w:bCs/>
                <w:color w:val="auto"/>
                <w:sz w:val="24"/>
                <w:szCs w:val="24"/>
                <w:highlight w:val="none"/>
                <w:shd w:val="clear" w:color="auto" w:fill="auto"/>
              </w:rPr>
              <w:t>《市生态环境局关于建设项目的审批指导意见》（试行）</w:t>
            </w:r>
            <w:r>
              <w:rPr>
                <w:rFonts w:hint="default" w:ascii="Times New Roman" w:hAnsi="Times New Roman" w:eastAsia="宋体" w:cs="Times New Roman"/>
                <w:b/>
                <w:color w:val="auto"/>
                <w:sz w:val="24"/>
                <w:szCs w:val="24"/>
                <w:highlight w:val="none"/>
                <w:shd w:val="clear" w:color="auto" w:fill="auto"/>
              </w:rPr>
              <w:t>的相符性分析</w:t>
            </w:r>
          </w:p>
          <w:p w14:paraId="3EC4FF3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1、严格项目总量。实施建设项目大气污染物总量负增长原则，即重点区域内建设项目使用大气污染物总量，原则上在重点区域范围内实施总量平衡，且必须实行总量2倍减量替代。</w:t>
            </w:r>
          </w:p>
          <w:p w14:paraId="02AD118A">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2、强化环评审批。对重点区域内新上的大气污染物排放的建设项目及全市范围内新上高能耗项目，审批部门对其环评文本应实施质量评估。</w:t>
            </w:r>
          </w:p>
          <w:p w14:paraId="38B10AF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3、推进减污降碳。对重点区域内新上的涉及大气污染物排放的建设项目及全市范围内新上高能耗建设项目的严格审批，区级审批部门审批前需向市生态环境局报备，审批部门方可出具审批文件。</w:t>
            </w:r>
          </w:p>
          <w:p w14:paraId="269722B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shd w:val="clear" w:color="auto" w:fill="auto"/>
              </w:rPr>
            </w:pPr>
            <w:r>
              <w:rPr>
                <w:rFonts w:hint="default" w:ascii="Times New Roman" w:hAnsi="Times New Roman" w:eastAsia="宋体" w:cs="Times New Roman"/>
                <w:bCs/>
                <w:color w:val="auto"/>
                <w:sz w:val="24"/>
                <w:szCs w:val="24"/>
                <w:highlight w:val="none"/>
                <w:shd w:val="clear" w:color="auto" w:fill="auto"/>
              </w:rPr>
              <w:t>4</w:t>
            </w:r>
            <w:r>
              <w:rPr>
                <w:rFonts w:hint="default" w:ascii="Times New Roman" w:hAnsi="Times New Roman" w:eastAsia="宋体" w:cs="Times New Roman"/>
                <w:bCs/>
                <w:color w:val="auto"/>
                <w:sz w:val="24"/>
                <w:szCs w:val="24"/>
                <w:highlight w:val="none"/>
                <w:shd w:val="clear" w:color="auto" w:fill="auto"/>
                <w:lang w:eastAsia="zh-CN"/>
              </w:rPr>
              <w:t>、</w:t>
            </w:r>
            <w:r>
              <w:rPr>
                <w:rFonts w:hint="default" w:ascii="Times New Roman" w:hAnsi="Times New Roman" w:eastAsia="宋体" w:cs="Times New Roman"/>
                <w:bCs/>
                <w:color w:val="auto"/>
                <w:sz w:val="24"/>
                <w:szCs w:val="24"/>
                <w:highlight w:val="none"/>
                <w:shd w:val="clear" w:color="auto" w:fill="auto"/>
              </w:rPr>
              <w:t>做好项目正面引导。及时与属地经济部门做好衔接沟通，在项目筹备初期提前介入服务，引导项目从自身实际出发，采用建造绿色建筑、加大清洁能源使用比例、优化生产工艺技术、使用先进高效治污设施等切实有力的措施。</w:t>
            </w:r>
          </w:p>
          <w:p w14:paraId="70D5BB8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本项目距离最近的国控</w:t>
            </w:r>
            <w:r>
              <w:rPr>
                <w:rFonts w:hint="eastAsia" w:ascii="Times New Roman" w:hAnsi="Times New Roman" w:eastAsia="宋体" w:cs="Times New Roman"/>
                <w:color w:val="auto"/>
                <w:sz w:val="24"/>
                <w:szCs w:val="24"/>
                <w:highlight w:val="none"/>
                <w:shd w:val="clear" w:color="auto" w:fill="auto"/>
                <w:lang w:val="en-US" w:eastAsia="zh-CN"/>
              </w:rPr>
              <w:t>站</w:t>
            </w:r>
            <w:r>
              <w:rPr>
                <w:rFonts w:hint="default" w:ascii="Times New Roman" w:hAnsi="Times New Roman" w:eastAsia="宋体" w:cs="Times New Roman"/>
                <w:color w:val="auto"/>
                <w:sz w:val="24"/>
                <w:szCs w:val="24"/>
                <w:highlight w:val="none"/>
                <w:shd w:val="clear" w:color="auto" w:fill="auto"/>
              </w:rPr>
              <w:t>点（金坛城区大气国控站点）约</w:t>
            </w:r>
            <w:r>
              <w:rPr>
                <w:rFonts w:hint="eastAsia" w:ascii="Times New Roman" w:hAnsi="Times New Roman" w:eastAsia="宋体" w:cs="Times New Roman"/>
                <w:color w:val="auto"/>
                <w:sz w:val="24"/>
                <w:szCs w:val="24"/>
                <w:highlight w:val="none"/>
                <w:shd w:val="clear" w:color="auto" w:fill="auto"/>
                <w:lang w:val="en-US" w:eastAsia="zh-CN"/>
              </w:rPr>
              <w:t>4</w:t>
            </w:r>
            <w:r>
              <w:rPr>
                <w:rFonts w:hint="default" w:ascii="Times New Roman" w:hAnsi="Times New Roman" w:eastAsia="宋体" w:cs="Times New Roman"/>
                <w:color w:val="auto"/>
                <w:sz w:val="24"/>
                <w:szCs w:val="24"/>
                <w:highlight w:val="none"/>
                <w:shd w:val="clear" w:color="auto" w:fill="auto"/>
                <w:lang w:val="en-US" w:eastAsia="zh-CN"/>
              </w:rPr>
              <w:t>.3km</w:t>
            </w:r>
            <w:r>
              <w:rPr>
                <w:rFonts w:hint="default" w:ascii="Times New Roman" w:hAnsi="Times New Roman" w:eastAsia="宋体" w:cs="Times New Roman"/>
                <w:color w:val="auto"/>
                <w:sz w:val="24"/>
                <w:szCs w:val="24"/>
                <w:highlight w:val="none"/>
                <w:shd w:val="clear" w:color="auto" w:fill="auto"/>
              </w:rPr>
              <w:t>，不在重点区域内。</w:t>
            </w:r>
            <w:r>
              <w:rPr>
                <w:rFonts w:hint="eastAsia" w:ascii="Times New Roman" w:hAnsi="Times New Roman" w:eastAsia="宋体" w:cs="Times New Roman"/>
                <w:color w:val="auto"/>
                <w:sz w:val="24"/>
                <w:szCs w:val="24"/>
                <w:highlight w:val="none"/>
                <w:shd w:val="clear" w:color="auto" w:fill="auto"/>
                <w:lang w:val="en-US" w:eastAsia="zh-CN"/>
              </w:rPr>
              <w:t>本项目总量</w:t>
            </w:r>
            <w:r>
              <w:rPr>
                <w:rFonts w:hint="default" w:ascii="Times New Roman" w:hAnsi="Times New Roman" w:eastAsia="宋体" w:cs="Times New Roman"/>
                <w:color w:val="auto"/>
                <w:sz w:val="24"/>
                <w:szCs w:val="24"/>
                <w:highlight w:val="none"/>
                <w:shd w:val="clear" w:color="auto" w:fill="auto"/>
              </w:rPr>
              <w:t>在</w:t>
            </w:r>
            <w:r>
              <w:rPr>
                <w:rFonts w:hint="eastAsia" w:ascii="Times New Roman" w:hAnsi="Times New Roman" w:eastAsia="宋体" w:cs="Times New Roman"/>
                <w:color w:val="auto"/>
                <w:sz w:val="24"/>
                <w:szCs w:val="24"/>
                <w:highlight w:val="none"/>
                <w:shd w:val="clear" w:color="auto" w:fill="auto"/>
                <w:lang w:val="en-US" w:eastAsia="zh-CN"/>
              </w:rPr>
              <w:t>金坛区</w:t>
            </w:r>
            <w:r>
              <w:rPr>
                <w:rFonts w:hint="default" w:ascii="Times New Roman" w:hAnsi="Times New Roman" w:eastAsia="宋体" w:cs="Times New Roman"/>
                <w:color w:val="auto"/>
                <w:sz w:val="24"/>
                <w:szCs w:val="24"/>
                <w:highlight w:val="none"/>
                <w:shd w:val="clear" w:color="auto" w:fill="auto"/>
              </w:rPr>
              <w:t>内实施总量平衡，且实行总量2倍减量替代。</w:t>
            </w:r>
          </w:p>
          <w:p w14:paraId="1B0E0F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本项目为</w:t>
            </w:r>
            <w:r>
              <w:rPr>
                <w:rFonts w:hint="eastAsia" w:ascii="Times New Roman" w:hAnsi="Times New Roman" w:eastAsia="宋体" w:cs="Times New Roman"/>
                <w:color w:val="auto"/>
                <w:sz w:val="24"/>
                <w:szCs w:val="24"/>
                <w:highlight w:val="none"/>
                <w:shd w:val="clear" w:color="auto" w:fill="auto"/>
                <w:lang w:val="en-US" w:eastAsia="zh-CN"/>
              </w:rPr>
              <w:t>迁建</w:t>
            </w:r>
            <w:r>
              <w:rPr>
                <w:rFonts w:hint="eastAsia" w:ascii="Times New Roman" w:hAnsi="Times New Roman" w:eastAsia="宋体" w:cs="Times New Roman"/>
                <w:color w:val="auto"/>
                <w:sz w:val="24"/>
                <w:szCs w:val="24"/>
                <w:highlight w:val="none"/>
                <w:shd w:val="clear" w:color="auto" w:fill="auto"/>
                <w:lang w:eastAsia="zh-CN"/>
              </w:rPr>
              <w:t>项目</w:t>
            </w:r>
            <w:r>
              <w:rPr>
                <w:rFonts w:hint="default" w:ascii="Times New Roman" w:hAnsi="Times New Roman" w:eastAsia="宋体" w:cs="Times New Roman"/>
                <w:color w:val="auto"/>
                <w:sz w:val="24"/>
                <w:szCs w:val="24"/>
                <w:highlight w:val="none"/>
                <w:shd w:val="clear" w:color="auto" w:fill="auto"/>
              </w:rPr>
              <w:t>，行业类别为</w:t>
            </w:r>
            <w:r>
              <w:rPr>
                <w:rFonts w:hint="eastAsia" w:ascii="Times New Roman" w:hAnsi="Times New Roman" w:eastAsia="宋体" w:cs="Times New Roman"/>
                <w:color w:val="auto"/>
                <w:sz w:val="24"/>
                <w:highlight w:val="none"/>
                <w:shd w:val="clear" w:color="auto" w:fill="auto"/>
                <w:lang w:eastAsia="zh-CN"/>
              </w:rPr>
              <w:t>C2923 塑料丝、绳及编织品制造</w:t>
            </w:r>
            <w:r>
              <w:rPr>
                <w:rFonts w:hint="default" w:ascii="Times New Roman" w:hAnsi="Times New Roman" w:eastAsia="宋体" w:cs="Times New Roman"/>
                <w:color w:val="auto"/>
                <w:sz w:val="24"/>
                <w:szCs w:val="24"/>
                <w:highlight w:val="none"/>
                <w:shd w:val="clear" w:color="auto" w:fill="auto"/>
              </w:rPr>
              <w:t>，对照《江苏省“两高”项目管理目录（202</w:t>
            </w:r>
            <w:r>
              <w:rPr>
                <w:rFonts w:hint="eastAsia" w:ascii="Times New Roman" w:hAnsi="Times New Roman" w:eastAsia="宋体" w:cs="Times New Roman"/>
                <w:color w:val="auto"/>
                <w:sz w:val="24"/>
                <w:szCs w:val="24"/>
                <w:highlight w:val="none"/>
                <w:shd w:val="clear" w:color="auto" w:fill="auto"/>
                <w:lang w:val="en-US" w:eastAsia="zh-CN"/>
              </w:rPr>
              <w:t>5</w:t>
            </w:r>
            <w:r>
              <w:rPr>
                <w:rFonts w:hint="default" w:ascii="Times New Roman" w:hAnsi="Times New Roman" w:eastAsia="宋体" w:cs="Times New Roman"/>
                <w:color w:val="auto"/>
                <w:sz w:val="24"/>
                <w:szCs w:val="24"/>
                <w:highlight w:val="none"/>
                <w:shd w:val="clear" w:color="auto" w:fill="auto"/>
              </w:rPr>
              <w:t>年版）》，本项目不属于两高项目。</w:t>
            </w:r>
          </w:p>
          <w:p w14:paraId="13CE13D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shd w:val="clear" w:color="auto" w:fill="auto"/>
                <w:lang w:val="en-US" w:eastAsia="zh-CN"/>
              </w:rPr>
            </w:pPr>
            <w:r>
              <w:rPr>
                <w:rFonts w:hint="default" w:ascii="Times New Roman" w:hAnsi="Times New Roman" w:eastAsia="宋体" w:cs="Times New Roman"/>
                <w:b/>
                <w:bCs/>
                <w:color w:val="auto"/>
                <w:sz w:val="24"/>
                <w:szCs w:val="24"/>
                <w:highlight w:val="none"/>
                <w:shd w:val="clear" w:color="auto" w:fill="auto"/>
                <w:lang w:val="en-US" w:eastAsia="zh-CN"/>
              </w:rPr>
              <w:t>1</w:t>
            </w:r>
            <w:r>
              <w:rPr>
                <w:rFonts w:hint="eastAsia" w:ascii="Times New Roman" w:hAnsi="Times New Roman" w:eastAsia="宋体" w:cs="Times New Roman"/>
                <w:b/>
                <w:bCs/>
                <w:color w:val="auto"/>
                <w:sz w:val="24"/>
                <w:szCs w:val="24"/>
                <w:highlight w:val="none"/>
                <w:shd w:val="clear" w:color="auto" w:fill="auto"/>
                <w:lang w:val="en-US" w:eastAsia="zh-CN"/>
              </w:rPr>
              <w:t>6</w:t>
            </w:r>
            <w:r>
              <w:rPr>
                <w:rFonts w:hint="default" w:ascii="Times New Roman" w:hAnsi="Times New Roman" w:eastAsia="宋体" w:cs="Times New Roman"/>
                <w:b/>
                <w:bCs/>
                <w:color w:val="auto"/>
                <w:sz w:val="24"/>
                <w:szCs w:val="24"/>
                <w:highlight w:val="none"/>
                <w:shd w:val="clear" w:color="auto" w:fill="auto"/>
                <w:lang w:val="en-US" w:eastAsia="zh-CN"/>
              </w:rPr>
              <w:t>、与《油墨中可挥发性有机化合物(VOCs)含量的限值》(GB38507-2020)相符性分析</w:t>
            </w:r>
          </w:p>
          <w:p w14:paraId="3DA093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hd w:val="clear" w:color="auto" w:fill="auto"/>
              </w:rPr>
            </w:pPr>
            <w:r>
              <w:rPr>
                <w:rFonts w:hint="default" w:ascii="Times New Roman" w:hAnsi="Times New Roman" w:eastAsia="宋体" w:cs="Times New Roman"/>
                <w:b w:val="0"/>
                <w:bCs/>
                <w:color w:val="auto"/>
                <w:sz w:val="24"/>
                <w:highlight w:val="none"/>
                <w:shd w:val="clear" w:color="auto" w:fill="auto"/>
                <w:lang w:val="en-US" w:eastAsia="zh-CN"/>
              </w:rPr>
              <w:t>根据企业提供的</w:t>
            </w:r>
            <w:r>
              <w:rPr>
                <w:rFonts w:hint="eastAsia" w:ascii="Times New Roman" w:hAnsi="Times New Roman" w:eastAsia="宋体" w:cs="Times New Roman"/>
                <w:b w:val="0"/>
                <w:bCs/>
                <w:color w:val="auto"/>
                <w:sz w:val="24"/>
                <w:highlight w:val="none"/>
                <w:shd w:val="clear" w:color="auto" w:fill="auto"/>
                <w:lang w:val="en-US" w:eastAsia="zh-CN"/>
              </w:rPr>
              <w:t>水性油墨</w:t>
            </w:r>
            <w:r>
              <w:rPr>
                <w:rFonts w:hint="default" w:ascii="Times New Roman" w:hAnsi="Times New Roman" w:eastAsia="宋体" w:cs="Times New Roman"/>
                <w:b w:val="0"/>
                <w:bCs/>
                <w:color w:val="auto"/>
                <w:sz w:val="24"/>
                <w:highlight w:val="none"/>
                <w:shd w:val="clear" w:color="auto" w:fill="auto"/>
                <w:lang w:val="en-US" w:eastAsia="zh-CN"/>
              </w:rPr>
              <w:t>VOCs</w:t>
            </w:r>
            <w:r>
              <w:rPr>
                <w:rFonts w:hint="eastAsia" w:ascii="Times New Roman" w:hAnsi="Times New Roman" w:eastAsia="宋体" w:cs="Times New Roman"/>
                <w:b w:val="0"/>
                <w:bCs/>
                <w:color w:val="auto"/>
                <w:sz w:val="24"/>
                <w:highlight w:val="none"/>
                <w:shd w:val="clear" w:color="auto" w:fill="auto"/>
                <w:lang w:val="en-US" w:eastAsia="zh-CN"/>
              </w:rPr>
              <w:t>检测</w:t>
            </w:r>
            <w:r>
              <w:rPr>
                <w:rFonts w:hint="default" w:ascii="Times New Roman" w:hAnsi="Times New Roman" w:eastAsia="宋体" w:cs="Times New Roman"/>
                <w:b w:val="0"/>
                <w:bCs/>
                <w:color w:val="auto"/>
                <w:sz w:val="24"/>
                <w:highlight w:val="none"/>
                <w:shd w:val="clear" w:color="auto" w:fill="auto"/>
                <w:lang w:val="en-US" w:eastAsia="zh-CN"/>
              </w:rPr>
              <w:t>含量为</w:t>
            </w:r>
            <w:r>
              <w:rPr>
                <w:rFonts w:hint="eastAsia" w:ascii="Times New Roman" w:hAnsi="Times New Roman" w:eastAsia="宋体" w:cs="Times New Roman"/>
                <w:b w:val="0"/>
                <w:bCs/>
                <w:color w:val="auto"/>
                <w:sz w:val="24"/>
                <w:highlight w:val="none"/>
                <w:shd w:val="clear" w:color="auto" w:fill="auto"/>
                <w:lang w:val="en-US" w:eastAsia="zh-CN"/>
              </w:rPr>
              <w:t>7.8%</w:t>
            </w:r>
            <w:r>
              <w:rPr>
                <w:rFonts w:hint="default" w:ascii="Times New Roman" w:hAnsi="Times New Roman" w:eastAsia="宋体" w:cs="Times New Roman"/>
                <w:b w:val="0"/>
                <w:bCs/>
                <w:color w:val="auto"/>
                <w:sz w:val="24"/>
                <w:highlight w:val="none"/>
                <w:shd w:val="clear" w:color="auto" w:fill="auto"/>
                <w:lang w:val="en-US" w:eastAsia="zh-CN"/>
              </w:rPr>
              <w:t>，满足《油墨中可挥发性有机化合物(VO</w:t>
            </w:r>
            <w:r>
              <w:rPr>
                <w:rFonts w:hint="eastAsia" w:ascii="Times New Roman" w:hAnsi="Times New Roman" w:eastAsia="宋体" w:cs="Times New Roman"/>
                <w:b w:val="0"/>
                <w:bCs/>
                <w:color w:val="auto"/>
                <w:sz w:val="24"/>
                <w:highlight w:val="none"/>
                <w:shd w:val="clear" w:color="auto" w:fill="auto"/>
                <w:lang w:val="en-US" w:eastAsia="zh-CN"/>
              </w:rPr>
              <w:t>Cs</w:t>
            </w:r>
            <w:r>
              <w:rPr>
                <w:rFonts w:hint="default" w:ascii="Times New Roman" w:hAnsi="Times New Roman" w:eastAsia="宋体" w:cs="Times New Roman"/>
                <w:b w:val="0"/>
                <w:bCs/>
                <w:color w:val="auto"/>
                <w:sz w:val="24"/>
                <w:highlight w:val="none"/>
                <w:shd w:val="clear" w:color="auto" w:fill="auto"/>
                <w:lang w:val="en-US" w:eastAsia="zh-CN"/>
              </w:rPr>
              <w:t>)含量的限值》(GB38507-2020)中</w:t>
            </w:r>
            <w:r>
              <w:rPr>
                <w:rFonts w:hint="eastAsia" w:ascii="Times New Roman" w:hAnsi="Times New Roman" w:eastAsia="宋体" w:cs="Times New Roman"/>
                <w:b w:val="0"/>
                <w:bCs/>
                <w:color w:val="auto"/>
                <w:sz w:val="24"/>
                <w:highlight w:val="none"/>
                <w:shd w:val="clear" w:color="auto" w:fill="auto"/>
                <w:lang w:val="en-US" w:eastAsia="zh-CN"/>
              </w:rPr>
              <w:t>水性油墨</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凹印油墨</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非吸收性承印物限值</w:t>
            </w:r>
            <w:r>
              <w:rPr>
                <w:rFonts w:hint="default" w:ascii="Times New Roman" w:hAnsi="Times New Roman" w:eastAsia="宋体" w:cs="Times New Roman"/>
                <w:b w:val="0"/>
                <w:bCs/>
                <w:color w:val="auto"/>
                <w:sz w:val="24"/>
                <w:highlight w:val="none"/>
                <w:shd w:val="clear" w:color="auto" w:fill="auto"/>
                <w:lang w:val="en-US" w:eastAsia="zh-CN"/>
              </w:rPr>
              <w:t>要求（≤</w:t>
            </w:r>
            <w:r>
              <w:rPr>
                <w:rFonts w:hint="eastAsia" w:ascii="Times New Roman" w:hAnsi="Times New Roman" w:eastAsia="宋体" w:cs="Times New Roman"/>
                <w:b w:val="0"/>
                <w:bCs/>
                <w:color w:val="auto"/>
                <w:sz w:val="24"/>
                <w:highlight w:val="none"/>
                <w:shd w:val="clear" w:color="auto" w:fill="auto"/>
                <w:lang w:val="en-US" w:eastAsia="zh-CN"/>
              </w:rPr>
              <w:t>3</w:t>
            </w:r>
            <w:r>
              <w:rPr>
                <w:rFonts w:hint="default" w:ascii="Times New Roman" w:hAnsi="Times New Roman" w:eastAsia="宋体" w:cs="Times New Roman"/>
                <w:b w:val="0"/>
                <w:bCs/>
                <w:color w:val="auto"/>
                <w:sz w:val="24"/>
                <w:highlight w:val="none"/>
                <w:shd w:val="clear" w:color="auto" w:fill="auto"/>
                <w:lang w:val="en-US" w:eastAsia="zh-CN"/>
              </w:rPr>
              <w:t>0</w:t>
            </w:r>
            <w:r>
              <w:rPr>
                <w:rFonts w:hint="eastAsia" w:ascii="Times New Roman" w:hAnsi="Times New Roman" w:eastAsia="宋体" w:cs="Times New Roman"/>
                <w:b w:val="0"/>
                <w:bCs/>
                <w:color w:val="auto"/>
                <w:sz w:val="24"/>
                <w:highlight w:val="none"/>
                <w:shd w:val="clear" w:color="auto" w:fill="auto"/>
                <w:lang w:val="en-US" w:eastAsia="zh-CN"/>
              </w:rPr>
              <w:t>%</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油性油墨</w:t>
            </w:r>
            <w:r>
              <w:rPr>
                <w:rFonts w:hint="default" w:ascii="Times New Roman" w:hAnsi="Times New Roman" w:eastAsia="宋体" w:cs="Times New Roman"/>
                <w:b w:val="0"/>
                <w:bCs/>
                <w:color w:val="auto"/>
                <w:sz w:val="24"/>
                <w:highlight w:val="none"/>
                <w:shd w:val="clear" w:color="auto" w:fill="auto"/>
                <w:lang w:val="en-US" w:eastAsia="zh-CN"/>
              </w:rPr>
              <w:t>VOCs</w:t>
            </w:r>
            <w:r>
              <w:rPr>
                <w:rFonts w:hint="eastAsia" w:ascii="Times New Roman" w:hAnsi="Times New Roman" w:eastAsia="宋体" w:cs="Times New Roman"/>
                <w:b w:val="0"/>
                <w:bCs/>
                <w:color w:val="auto"/>
                <w:sz w:val="24"/>
                <w:highlight w:val="none"/>
                <w:shd w:val="clear" w:color="auto" w:fill="auto"/>
                <w:lang w:val="en-US" w:eastAsia="zh-CN"/>
              </w:rPr>
              <w:t>检测</w:t>
            </w:r>
            <w:r>
              <w:rPr>
                <w:rFonts w:hint="default" w:ascii="Times New Roman" w:hAnsi="Times New Roman" w:eastAsia="宋体" w:cs="Times New Roman"/>
                <w:b w:val="0"/>
                <w:bCs/>
                <w:color w:val="auto"/>
                <w:sz w:val="24"/>
                <w:highlight w:val="none"/>
                <w:shd w:val="clear" w:color="auto" w:fill="auto"/>
                <w:lang w:val="en-US" w:eastAsia="zh-CN"/>
              </w:rPr>
              <w:t>含量为</w:t>
            </w:r>
            <w:r>
              <w:rPr>
                <w:rFonts w:hint="eastAsia" w:ascii="Times New Roman" w:hAnsi="Times New Roman" w:eastAsia="宋体" w:cs="Times New Roman"/>
                <w:b w:val="0"/>
                <w:bCs/>
                <w:color w:val="auto"/>
                <w:sz w:val="24"/>
                <w:highlight w:val="none"/>
                <w:shd w:val="clear" w:color="auto" w:fill="auto"/>
                <w:lang w:val="en-US" w:eastAsia="zh-CN"/>
              </w:rPr>
              <w:t>40%</w:t>
            </w:r>
            <w:r>
              <w:rPr>
                <w:rFonts w:hint="default" w:ascii="Times New Roman" w:hAnsi="Times New Roman" w:eastAsia="宋体" w:cs="Times New Roman"/>
                <w:b w:val="0"/>
                <w:bCs/>
                <w:color w:val="auto"/>
                <w:sz w:val="24"/>
                <w:highlight w:val="none"/>
                <w:shd w:val="clear" w:color="auto" w:fill="auto"/>
                <w:lang w:val="en-US" w:eastAsia="zh-CN"/>
              </w:rPr>
              <w:t>，满足《油墨中可挥发性有机化合物(VO</w:t>
            </w:r>
            <w:r>
              <w:rPr>
                <w:rFonts w:hint="eastAsia" w:ascii="Times New Roman" w:hAnsi="Times New Roman" w:eastAsia="宋体" w:cs="Times New Roman"/>
                <w:b w:val="0"/>
                <w:bCs/>
                <w:color w:val="auto"/>
                <w:sz w:val="24"/>
                <w:highlight w:val="none"/>
                <w:shd w:val="clear" w:color="auto" w:fill="auto"/>
                <w:lang w:val="en-US" w:eastAsia="zh-CN"/>
              </w:rPr>
              <w:t>Cs</w:t>
            </w:r>
            <w:r>
              <w:rPr>
                <w:rFonts w:hint="default" w:ascii="Times New Roman" w:hAnsi="Times New Roman" w:eastAsia="宋体" w:cs="Times New Roman"/>
                <w:b w:val="0"/>
                <w:bCs/>
                <w:color w:val="auto"/>
                <w:sz w:val="24"/>
                <w:highlight w:val="none"/>
                <w:shd w:val="clear" w:color="auto" w:fill="auto"/>
                <w:lang w:val="en-US" w:eastAsia="zh-CN"/>
              </w:rPr>
              <w:t>)含量的限值》(GB38507-2020)中</w:t>
            </w:r>
            <w:r>
              <w:rPr>
                <w:rFonts w:hint="eastAsia" w:ascii="Times New Roman" w:hAnsi="Times New Roman" w:eastAsia="宋体" w:cs="Times New Roman"/>
                <w:b w:val="0"/>
                <w:bCs/>
                <w:color w:val="auto"/>
                <w:sz w:val="24"/>
                <w:highlight w:val="none"/>
                <w:shd w:val="clear" w:color="auto" w:fill="auto"/>
                <w:lang w:val="en-US" w:eastAsia="zh-CN"/>
              </w:rPr>
              <w:t>油性油墨</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凹印油墨限值</w:t>
            </w:r>
            <w:r>
              <w:rPr>
                <w:rFonts w:hint="default" w:ascii="Times New Roman" w:hAnsi="Times New Roman" w:eastAsia="宋体" w:cs="Times New Roman"/>
                <w:b w:val="0"/>
                <w:bCs/>
                <w:color w:val="auto"/>
                <w:sz w:val="24"/>
                <w:highlight w:val="none"/>
                <w:shd w:val="clear" w:color="auto" w:fill="auto"/>
                <w:lang w:val="en-US" w:eastAsia="zh-CN"/>
              </w:rPr>
              <w:t>要求（</w:t>
            </w:r>
            <w:r>
              <w:rPr>
                <w:rFonts w:hint="eastAsia" w:ascii="Times New Roman" w:hAnsi="Times New Roman" w:eastAsia="宋体" w:cs="Times New Roman"/>
                <w:b w:val="0"/>
                <w:bCs/>
                <w:color w:val="auto"/>
                <w:sz w:val="24"/>
                <w:highlight w:val="none"/>
                <w:shd w:val="clear" w:color="auto" w:fill="auto"/>
                <w:lang w:val="en-US" w:eastAsia="zh-CN"/>
              </w:rPr>
              <w:t>75%</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w:t>
            </w:r>
          </w:p>
          <w:p w14:paraId="134CA14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shd w:val="clear" w:color="auto" w:fill="auto"/>
                <w:lang w:val="en-US" w:eastAsia="zh-CN"/>
              </w:rPr>
            </w:pPr>
            <w:r>
              <w:rPr>
                <w:rFonts w:hint="default" w:ascii="Times New Roman" w:hAnsi="Times New Roman" w:eastAsia="宋体" w:cs="Times New Roman"/>
                <w:b/>
                <w:bCs/>
                <w:color w:val="auto"/>
                <w:sz w:val="24"/>
                <w:szCs w:val="24"/>
                <w:highlight w:val="none"/>
                <w:shd w:val="clear" w:color="auto" w:fill="auto"/>
                <w:lang w:val="en-US" w:eastAsia="zh-CN"/>
              </w:rPr>
              <w:t>1</w:t>
            </w:r>
            <w:r>
              <w:rPr>
                <w:rFonts w:hint="eastAsia" w:ascii="Times New Roman" w:hAnsi="Times New Roman" w:eastAsia="宋体" w:cs="Times New Roman"/>
                <w:b/>
                <w:bCs/>
                <w:color w:val="auto"/>
                <w:sz w:val="24"/>
                <w:szCs w:val="24"/>
                <w:highlight w:val="none"/>
                <w:shd w:val="clear" w:color="auto" w:fill="auto"/>
                <w:lang w:val="en-US" w:eastAsia="zh-CN"/>
              </w:rPr>
              <w:t>7</w:t>
            </w:r>
            <w:r>
              <w:rPr>
                <w:rFonts w:hint="default" w:ascii="Times New Roman" w:hAnsi="Times New Roman" w:eastAsia="宋体" w:cs="Times New Roman"/>
                <w:b/>
                <w:bCs/>
                <w:color w:val="auto"/>
                <w:sz w:val="24"/>
                <w:szCs w:val="24"/>
                <w:highlight w:val="none"/>
                <w:shd w:val="clear" w:color="auto" w:fill="auto"/>
                <w:lang w:val="en-US" w:eastAsia="zh-CN"/>
              </w:rPr>
              <w:t>、与《胶粘剂挥发性有机化合物限量》(GB33372-2020)相符性分析</w:t>
            </w:r>
          </w:p>
          <w:p w14:paraId="284B09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根据企业提供的</w:t>
            </w:r>
            <w:r>
              <w:rPr>
                <w:rFonts w:hint="eastAsia" w:ascii="Times New Roman" w:hAnsi="Times New Roman" w:eastAsia="宋体" w:cs="Times New Roman"/>
                <w:b w:val="0"/>
                <w:bCs/>
                <w:color w:val="auto"/>
                <w:sz w:val="24"/>
                <w:highlight w:val="none"/>
                <w:shd w:val="clear" w:color="auto" w:fill="auto"/>
                <w:lang w:val="en-US" w:eastAsia="zh-CN"/>
              </w:rPr>
              <w:t>双组份无溶剂聚氨酯粘合剂</w:t>
            </w:r>
            <w:r>
              <w:rPr>
                <w:rFonts w:hint="default" w:ascii="Times New Roman" w:hAnsi="Times New Roman" w:eastAsia="宋体" w:cs="Times New Roman"/>
                <w:b w:val="0"/>
                <w:bCs/>
                <w:color w:val="auto"/>
                <w:sz w:val="24"/>
                <w:highlight w:val="none"/>
                <w:shd w:val="clear" w:color="auto" w:fill="auto"/>
                <w:lang w:val="en-US" w:eastAsia="zh-CN"/>
              </w:rPr>
              <w:t>VOCs</w:t>
            </w:r>
            <w:r>
              <w:rPr>
                <w:rFonts w:hint="eastAsia" w:ascii="Times New Roman" w:hAnsi="Times New Roman" w:eastAsia="宋体" w:cs="Times New Roman"/>
                <w:b w:val="0"/>
                <w:bCs/>
                <w:color w:val="auto"/>
                <w:sz w:val="24"/>
                <w:highlight w:val="none"/>
                <w:shd w:val="clear" w:color="auto" w:fill="auto"/>
                <w:lang w:val="en-US" w:eastAsia="zh-CN"/>
              </w:rPr>
              <w:t>检测</w:t>
            </w:r>
            <w:r>
              <w:rPr>
                <w:rFonts w:hint="default" w:ascii="Times New Roman" w:hAnsi="Times New Roman" w:eastAsia="宋体" w:cs="Times New Roman"/>
                <w:b w:val="0"/>
                <w:bCs/>
                <w:color w:val="auto"/>
                <w:sz w:val="24"/>
                <w:highlight w:val="none"/>
                <w:shd w:val="clear" w:color="auto" w:fill="auto"/>
                <w:lang w:val="en-US" w:eastAsia="zh-CN"/>
              </w:rPr>
              <w:t>含量为</w:t>
            </w:r>
            <w:r>
              <w:rPr>
                <w:rFonts w:hint="eastAsia" w:ascii="Times New Roman" w:hAnsi="Times New Roman" w:eastAsia="宋体" w:cs="Times New Roman"/>
                <w:b w:val="0"/>
                <w:bCs/>
                <w:color w:val="auto"/>
                <w:sz w:val="24"/>
                <w:highlight w:val="none"/>
                <w:shd w:val="clear" w:color="auto" w:fill="auto"/>
                <w:lang w:val="en-US" w:eastAsia="zh-CN"/>
              </w:rPr>
              <w:t>4g/kg</w:t>
            </w:r>
            <w:r>
              <w:rPr>
                <w:rFonts w:hint="default" w:ascii="Times New Roman" w:hAnsi="Times New Roman" w:eastAsia="宋体" w:cs="Times New Roman"/>
                <w:b w:val="0"/>
                <w:bCs/>
                <w:color w:val="auto"/>
                <w:sz w:val="24"/>
                <w:highlight w:val="none"/>
                <w:shd w:val="clear" w:color="auto" w:fill="auto"/>
                <w:lang w:val="en-US" w:eastAsia="zh-CN"/>
              </w:rPr>
              <w:t>，满足《胶粘剂挥发性有机化合物限量》(GB33372-2020)</w:t>
            </w:r>
            <w:r>
              <w:rPr>
                <w:rFonts w:hint="eastAsia" w:ascii="Times New Roman" w:hAnsi="Times New Roman" w:eastAsia="宋体" w:cs="Times New Roman"/>
                <w:b w:val="0"/>
                <w:bCs/>
                <w:color w:val="auto"/>
                <w:sz w:val="24"/>
                <w:highlight w:val="none"/>
                <w:shd w:val="clear" w:color="auto" w:fill="auto"/>
                <w:lang w:val="en-US" w:eastAsia="zh-CN"/>
              </w:rPr>
              <w:t>中本体型-包装-聚氨酯类（50g/kg）</w:t>
            </w:r>
            <w:r>
              <w:rPr>
                <w:rFonts w:hint="default" w:ascii="Times New Roman" w:hAnsi="Times New Roman" w:eastAsia="宋体" w:cs="Times New Roman"/>
                <w:b w:val="0"/>
                <w:bCs/>
                <w:color w:val="auto"/>
                <w:sz w:val="24"/>
                <w:highlight w:val="none"/>
                <w:shd w:val="clear" w:color="auto" w:fill="auto"/>
                <w:lang w:val="en-US" w:eastAsia="zh-CN"/>
              </w:rPr>
              <w:t>。</w:t>
            </w:r>
          </w:p>
          <w:p w14:paraId="113E3F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shd w:val="clear" w:color="auto" w:fill="auto"/>
                <w:lang w:val="en-US" w:eastAsia="zh-CN"/>
              </w:rPr>
            </w:pPr>
            <w:r>
              <w:rPr>
                <w:rFonts w:hint="eastAsia" w:ascii="Times New Roman" w:hAnsi="Times New Roman" w:eastAsia="宋体" w:cs="Times New Roman"/>
                <w:b/>
                <w:bCs/>
                <w:color w:val="auto"/>
                <w:sz w:val="24"/>
                <w:szCs w:val="24"/>
                <w:highlight w:val="none"/>
                <w:shd w:val="clear" w:color="auto" w:fill="auto"/>
                <w:lang w:val="en-US" w:eastAsia="zh-CN"/>
              </w:rPr>
              <w:t>18、</w:t>
            </w:r>
            <w:r>
              <w:rPr>
                <w:rFonts w:hint="default" w:ascii="Times New Roman" w:hAnsi="Times New Roman" w:eastAsia="宋体" w:cs="Times New Roman"/>
                <w:b/>
                <w:bCs/>
                <w:color w:val="auto"/>
                <w:sz w:val="24"/>
                <w:szCs w:val="24"/>
                <w:highlight w:val="none"/>
                <w:shd w:val="clear" w:color="auto" w:fill="auto"/>
                <w:lang w:val="en-US" w:eastAsia="zh-CN"/>
              </w:rPr>
              <w:t>与《清洗剂挥发性有机化合物含量限值》（GB38508-2020）相符性分析</w:t>
            </w:r>
          </w:p>
          <w:p w14:paraId="4AA8A3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根据企业提供的</w:t>
            </w:r>
            <w:r>
              <w:rPr>
                <w:rFonts w:hint="eastAsia" w:ascii="Times New Roman" w:hAnsi="Times New Roman" w:eastAsia="宋体" w:cs="Times New Roman"/>
                <w:b w:val="0"/>
                <w:bCs/>
                <w:color w:val="auto"/>
                <w:sz w:val="24"/>
                <w:highlight w:val="none"/>
                <w:shd w:val="clear" w:color="auto" w:fill="auto"/>
                <w:lang w:val="en-US" w:eastAsia="zh-CN"/>
              </w:rPr>
              <w:t>乙酸乙酯</w:t>
            </w:r>
            <w:r>
              <w:rPr>
                <w:rFonts w:hint="default" w:ascii="Times New Roman" w:hAnsi="Times New Roman" w:eastAsia="宋体" w:cs="Times New Roman"/>
                <w:b w:val="0"/>
                <w:bCs/>
                <w:color w:val="auto"/>
                <w:sz w:val="24"/>
                <w:highlight w:val="none"/>
                <w:shd w:val="clear" w:color="auto" w:fill="auto"/>
                <w:lang w:val="en-US" w:eastAsia="zh-CN"/>
              </w:rPr>
              <w:t>VOCs</w:t>
            </w:r>
            <w:r>
              <w:rPr>
                <w:rFonts w:hint="eastAsia" w:ascii="Times New Roman" w:hAnsi="Times New Roman" w:eastAsia="宋体" w:cs="Times New Roman"/>
                <w:b w:val="0"/>
                <w:bCs/>
                <w:color w:val="auto"/>
                <w:sz w:val="24"/>
                <w:highlight w:val="none"/>
                <w:shd w:val="clear" w:color="auto" w:fill="auto"/>
                <w:lang w:val="en-US" w:eastAsia="zh-CN"/>
              </w:rPr>
              <w:t>检测</w:t>
            </w:r>
            <w:r>
              <w:rPr>
                <w:rFonts w:hint="default" w:ascii="Times New Roman" w:hAnsi="Times New Roman" w:eastAsia="宋体" w:cs="Times New Roman"/>
                <w:b w:val="0"/>
                <w:bCs/>
                <w:color w:val="auto"/>
                <w:sz w:val="24"/>
                <w:highlight w:val="none"/>
                <w:shd w:val="clear" w:color="auto" w:fill="auto"/>
                <w:lang w:val="en-US" w:eastAsia="zh-CN"/>
              </w:rPr>
              <w:t>含量为</w:t>
            </w:r>
            <w:r>
              <w:rPr>
                <w:rFonts w:hint="eastAsia" w:ascii="Times New Roman" w:hAnsi="Times New Roman" w:eastAsia="宋体" w:cs="Times New Roman"/>
                <w:color w:val="auto"/>
                <w:sz w:val="24"/>
                <w:szCs w:val="24"/>
                <w:lang w:val="en-US" w:eastAsia="zh-CN"/>
              </w:rPr>
              <w:t>789</w:t>
            </w:r>
            <w:r>
              <w:rPr>
                <w:rFonts w:hint="default" w:ascii="Times New Roman" w:hAnsi="Times New Roman" w:eastAsia="宋体" w:cs="Times New Roman"/>
                <w:color w:val="auto"/>
                <w:sz w:val="24"/>
                <w:szCs w:val="24"/>
                <w:lang w:val="en-US" w:eastAsia="zh-CN"/>
              </w:rPr>
              <w:t>g/L</w:t>
            </w:r>
            <w:r>
              <w:rPr>
                <w:rFonts w:hint="default" w:ascii="Times New Roman" w:hAnsi="Times New Roman" w:eastAsia="宋体" w:cs="Times New Roman"/>
                <w:b w:val="0"/>
                <w:bCs/>
                <w:color w:val="auto"/>
                <w:sz w:val="24"/>
                <w:highlight w:val="none"/>
                <w:shd w:val="clear" w:color="auto" w:fill="auto"/>
                <w:lang w:val="en-US" w:eastAsia="zh-CN"/>
              </w:rPr>
              <w:t>，满足</w:t>
            </w:r>
            <w:r>
              <w:rPr>
                <w:rFonts w:hint="default" w:ascii="Times New Roman" w:hAnsi="Times New Roman" w:eastAsia="宋体" w:cs="Times New Roman"/>
                <w:color w:val="auto"/>
                <w:sz w:val="24"/>
                <w:szCs w:val="24"/>
                <w:lang w:val="en-US" w:eastAsia="zh-CN"/>
              </w:rPr>
              <w:t>《清洗剂挥发性有机化合物含量限值》（GB38508-2020）中有机溶剂清洗剂</w:t>
            </w:r>
            <w:r>
              <w:rPr>
                <w:rFonts w:hint="default" w:ascii="Times New Roman" w:hAnsi="Times New Roman" w:eastAsia="宋体" w:cs="Times New Roman"/>
                <w:color w:val="auto"/>
                <w:kern w:val="0"/>
                <w:sz w:val="24"/>
                <w:szCs w:val="24"/>
              </w:rPr>
              <w:t>VOCs含量限量</w:t>
            </w:r>
            <w:r>
              <w:rPr>
                <w:rFonts w:hint="default" w:ascii="Times New Roman" w:hAnsi="Times New Roman" w:eastAsia="宋体" w:cs="Times New Roman"/>
                <w:color w:val="auto"/>
                <w:sz w:val="24"/>
                <w:szCs w:val="24"/>
                <w:lang w:val="en-US" w:eastAsia="zh-CN"/>
              </w:rPr>
              <w:t>标准（900g/L）</w:t>
            </w:r>
            <w:r>
              <w:rPr>
                <w:rFonts w:hint="default" w:ascii="Times New Roman" w:hAnsi="Times New Roman" w:eastAsia="宋体" w:cs="Times New Roman"/>
                <w:color w:val="auto"/>
                <w:kern w:val="0"/>
                <w:sz w:val="24"/>
                <w:szCs w:val="24"/>
              </w:rPr>
              <w:t>。</w:t>
            </w:r>
          </w:p>
          <w:p w14:paraId="7005A0F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shd w:val="clear" w:color="auto" w:fill="auto"/>
                <w:lang w:val="en-US" w:eastAsia="zh-CN"/>
              </w:rPr>
            </w:pPr>
            <w:r>
              <w:rPr>
                <w:rFonts w:hint="eastAsia" w:ascii="Times New Roman" w:hAnsi="Times New Roman" w:eastAsia="宋体" w:cs="Times New Roman"/>
                <w:b/>
                <w:bCs/>
                <w:color w:val="auto"/>
                <w:sz w:val="24"/>
                <w:szCs w:val="24"/>
                <w:highlight w:val="none"/>
                <w:shd w:val="clear" w:color="auto" w:fill="auto"/>
                <w:lang w:val="en-US" w:eastAsia="zh-CN"/>
              </w:rPr>
              <w:t>19</w:t>
            </w:r>
            <w:r>
              <w:rPr>
                <w:rFonts w:hint="default" w:ascii="Times New Roman" w:hAnsi="Times New Roman" w:eastAsia="宋体" w:cs="Times New Roman"/>
                <w:b/>
                <w:bCs/>
                <w:color w:val="auto"/>
                <w:sz w:val="24"/>
                <w:szCs w:val="24"/>
                <w:highlight w:val="none"/>
                <w:shd w:val="clear" w:color="auto" w:fill="auto"/>
                <w:lang w:val="en-US" w:eastAsia="zh-CN"/>
              </w:rPr>
              <w:t>、与《关于印发江苏省挥发性有机物清洁原料替代工作方案的通知》（苏大气办〔2021〕2号）</w:t>
            </w:r>
            <w:r>
              <w:rPr>
                <w:rFonts w:hint="eastAsia" w:ascii="Times New Roman" w:hAnsi="Times New Roman" w:eastAsia="宋体" w:cs="Times New Roman"/>
                <w:b/>
                <w:bCs/>
                <w:color w:val="auto"/>
                <w:sz w:val="24"/>
                <w:szCs w:val="24"/>
                <w:highlight w:val="none"/>
                <w:shd w:val="clear" w:color="auto" w:fill="auto"/>
                <w:lang w:val="en-US" w:eastAsia="zh-CN"/>
              </w:rPr>
              <w:t>、《关于印发常州市挥发性有机物清洁原料替代工作方案的通知》（常污防攻坚指办〔2021〕32号）</w:t>
            </w:r>
            <w:r>
              <w:rPr>
                <w:rFonts w:hint="default" w:ascii="Times New Roman" w:hAnsi="Times New Roman" w:eastAsia="宋体" w:cs="Times New Roman"/>
                <w:b/>
                <w:bCs/>
                <w:color w:val="auto"/>
                <w:sz w:val="24"/>
                <w:szCs w:val="24"/>
                <w:highlight w:val="none"/>
                <w:shd w:val="clear" w:color="auto" w:fill="auto"/>
                <w:lang w:val="en-US" w:eastAsia="zh-CN"/>
              </w:rPr>
              <w:t>相符性分析</w:t>
            </w:r>
          </w:p>
          <w:p w14:paraId="61728F96">
            <w:pPr>
              <w:autoSpaceDE w:val="0"/>
              <w:autoSpaceDN w:val="0"/>
              <w:adjustRightInd w:val="0"/>
              <w:jc w:val="center"/>
              <w:rPr>
                <w:rFonts w:hint="default" w:ascii="Times New Roman" w:hAnsi="Times New Roman" w:eastAsia="宋体" w:cs="Times New Roman"/>
                <w:b/>
                <w:bCs/>
                <w:color w:val="auto"/>
                <w:sz w:val="24"/>
                <w:szCs w:val="24"/>
                <w:highlight w:val="none"/>
                <w:shd w:val="clear" w:color="auto" w:fill="auto"/>
                <w:lang w:val="zh-CN"/>
              </w:rPr>
            </w:pPr>
            <w:r>
              <w:rPr>
                <w:rFonts w:hint="default" w:ascii="Times New Roman" w:hAnsi="Times New Roman" w:eastAsia="宋体" w:cs="Times New Roman"/>
                <w:b/>
                <w:bCs/>
                <w:color w:val="auto"/>
                <w:sz w:val="24"/>
                <w:szCs w:val="24"/>
                <w:highlight w:val="none"/>
                <w:shd w:val="clear" w:color="auto" w:fill="auto"/>
                <w:lang w:val="zh-CN"/>
              </w:rPr>
              <w:t>表</w:t>
            </w:r>
            <w:r>
              <w:rPr>
                <w:rFonts w:hint="default" w:ascii="Times New Roman" w:hAnsi="Times New Roman" w:eastAsia="宋体" w:cs="Times New Roman"/>
                <w:b/>
                <w:bCs/>
                <w:color w:val="auto"/>
                <w:sz w:val="24"/>
                <w:szCs w:val="24"/>
                <w:highlight w:val="none"/>
                <w:shd w:val="clear" w:color="auto" w:fill="auto"/>
              </w:rPr>
              <w:t>1-</w:t>
            </w:r>
            <w:r>
              <w:rPr>
                <w:rFonts w:hint="eastAsia" w:ascii="Times New Roman" w:hAnsi="Times New Roman" w:eastAsia="宋体" w:cs="Times New Roman"/>
                <w:b/>
                <w:bCs/>
                <w:color w:val="auto"/>
                <w:sz w:val="24"/>
                <w:szCs w:val="24"/>
                <w:highlight w:val="none"/>
                <w:shd w:val="clear" w:color="auto" w:fill="auto"/>
                <w:lang w:val="en-US" w:eastAsia="zh-CN"/>
              </w:rPr>
              <w:t>13</w:t>
            </w:r>
            <w:r>
              <w:rPr>
                <w:rFonts w:hint="default" w:ascii="Times New Roman" w:hAnsi="Times New Roman" w:eastAsia="宋体" w:cs="Times New Roman"/>
                <w:b/>
                <w:bCs/>
                <w:color w:val="auto"/>
                <w:sz w:val="24"/>
                <w:szCs w:val="24"/>
                <w:highlight w:val="none"/>
                <w:shd w:val="clear" w:color="auto" w:fill="auto"/>
              </w:rPr>
              <w:t xml:space="preserve">  </w:t>
            </w:r>
            <w:r>
              <w:rPr>
                <w:rFonts w:hint="default" w:ascii="Times New Roman" w:hAnsi="Times New Roman" w:eastAsia="宋体" w:cs="Times New Roman"/>
                <w:b/>
                <w:bCs/>
                <w:color w:val="auto"/>
                <w:sz w:val="24"/>
                <w:szCs w:val="24"/>
                <w:highlight w:val="none"/>
                <w:shd w:val="clear" w:color="auto" w:fill="auto"/>
                <w:lang w:val="zh-CN"/>
              </w:rPr>
              <w:t>本项目与</w:t>
            </w:r>
            <w:r>
              <w:rPr>
                <w:rFonts w:hint="default" w:ascii="Times New Roman" w:hAnsi="Times New Roman" w:eastAsia="宋体" w:cs="Times New Roman"/>
                <w:b/>
                <w:bCs/>
                <w:color w:val="auto"/>
                <w:sz w:val="24"/>
                <w:szCs w:val="24"/>
                <w:highlight w:val="none"/>
                <w:shd w:val="clear" w:color="auto" w:fill="auto"/>
                <w:lang w:val="en-US" w:eastAsia="zh-CN"/>
              </w:rPr>
              <w:t>苏大气办〔2021〕2</w:t>
            </w:r>
            <w:r>
              <w:rPr>
                <w:rFonts w:hint="eastAsia" w:ascii="Times New Roman" w:hAnsi="Times New Roman" w:eastAsia="宋体" w:cs="Times New Roman"/>
                <w:b/>
                <w:bCs/>
                <w:color w:val="auto"/>
                <w:sz w:val="24"/>
                <w:szCs w:val="24"/>
                <w:highlight w:val="none"/>
                <w:shd w:val="clear" w:color="auto" w:fill="auto"/>
                <w:lang w:val="en-US" w:eastAsia="zh-CN"/>
              </w:rPr>
              <w:t>号、常污防攻坚指办〔2021〕32号</w:t>
            </w:r>
            <w:r>
              <w:rPr>
                <w:rFonts w:hint="default" w:ascii="Times New Roman" w:hAnsi="Times New Roman" w:eastAsia="宋体" w:cs="Times New Roman"/>
                <w:b/>
                <w:bCs/>
                <w:color w:val="auto"/>
                <w:sz w:val="24"/>
                <w:szCs w:val="24"/>
                <w:highlight w:val="none"/>
                <w:shd w:val="clear" w:color="auto" w:fill="auto"/>
                <w:lang w:val="zh-CN"/>
              </w:rPr>
              <w:t>文相符性分析</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58"/>
              <w:gridCol w:w="4077"/>
              <w:gridCol w:w="872"/>
            </w:tblGrid>
            <w:tr w14:paraId="180B1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6" w:type="pct"/>
                  <w:tcBorders>
                    <w:tl2br w:val="nil"/>
                    <w:tr2bl w:val="nil"/>
                  </w:tcBorders>
                  <w:vAlign w:val="center"/>
                </w:tcPr>
                <w:p w14:paraId="492E4BCD">
                  <w:pPr>
                    <w:autoSpaceDE w:val="0"/>
                    <w:autoSpaceDN w:val="0"/>
                    <w:adjustRightInd w:val="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文件要求</w:t>
                  </w:r>
                </w:p>
              </w:tc>
              <w:tc>
                <w:tcPr>
                  <w:tcW w:w="2424" w:type="pct"/>
                  <w:tcBorders>
                    <w:tl2br w:val="nil"/>
                    <w:tr2bl w:val="nil"/>
                  </w:tcBorders>
                  <w:vAlign w:val="center"/>
                </w:tcPr>
                <w:p w14:paraId="2F718BA6">
                  <w:pPr>
                    <w:autoSpaceDE w:val="0"/>
                    <w:autoSpaceDN w:val="0"/>
                    <w:adjustRightInd w:val="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本项目对照分析</w:t>
                  </w:r>
                </w:p>
              </w:tc>
              <w:tc>
                <w:tcPr>
                  <w:tcW w:w="518" w:type="pct"/>
                  <w:tcBorders>
                    <w:tl2br w:val="nil"/>
                    <w:tr2bl w:val="nil"/>
                  </w:tcBorders>
                  <w:vAlign w:val="center"/>
                </w:tcPr>
                <w:p w14:paraId="7F4F609D">
                  <w:pPr>
                    <w:autoSpaceDE w:val="0"/>
                    <w:autoSpaceDN w:val="0"/>
                    <w:adjustRightInd w:val="0"/>
                    <w:ind w:left="-73" w:leftChars="-35" w:right="-73" w:rightChars="-35"/>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相符性</w:t>
                  </w:r>
                </w:p>
              </w:tc>
            </w:tr>
            <w:tr w14:paraId="666F1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6" w:type="pct"/>
                  <w:tcBorders>
                    <w:tl2br w:val="nil"/>
                    <w:tr2bl w:val="nil"/>
                  </w:tcBorders>
                  <w:vAlign w:val="center"/>
                </w:tcPr>
                <w:p w14:paraId="0CA41189">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以工业涂装、包装印刷、木材加工、纺织(附件1)等行业为重点，分阶段推进3130家企业(附件2)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含量的限值要求。</w:t>
                  </w:r>
                </w:p>
              </w:tc>
              <w:tc>
                <w:tcPr>
                  <w:tcW w:w="2424" w:type="pct"/>
                  <w:vMerge w:val="restart"/>
                  <w:tcBorders>
                    <w:tl2br w:val="nil"/>
                    <w:tr2bl w:val="nil"/>
                  </w:tcBorders>
                  <w:vAlign w:val="center"/>
                </w:tcPr>
                <w:p w14:paraId="471FCC9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根据企业提供的水性油墨VOCs检测含量为7.8%，满足《油墨中可挥发性有机化合物(VOCs)含量的限值》(GB38507-2020)中水性油墨-凹印油墨-非吸收性承印物限值要求（≤30%）。油性油墨VOCs检测含量为40%，满足《油墨中可挥发性有机化合物(VOCs)含量的限值》(GB38507-2020)中油性油墨-凹印油墨限值要求（75%）。</w:t>
                  </w:r>
                </w:p>
                <w:p w14:paraId="09B2214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根据企业提供的</w:t>
                  </w:r>
                  <w:r>
                    <w:rPr>
                      <w:rFonts w:hint="eastAsia" w:ascii="Times New Roman" w:hAnsi="Times New Roman" w:eastAsia="宋体" w:cs="Times New Roman"/>
                      <w:color w:val="auto"/>
                      <w:sz w:val="21"/>
                      <w:szCs w:val="21"/>
                      <w:highlight w:val="none"/>
                      <w:shd w:val="clear" w:color="auto" w:fill="auto"/>
                      <w:lang w:val="en-US" w:eastAsia="zh-CN"/>
                    </w:rPr>
                    <w:t>双组份无溶剂聚氨酯粘合剂</w:t>
                  </w:r>
                  <w:r>
                    <w:rPr>
                      <w:rFonts w:hint="default" w:ascii="Times New Roman" w:hAnsi="Times New Roman" w:eastAsia="宋体" w:cs="Times New Roman"/>
                      <w:color w:val="auto"/>
                      <w:sz w:val="21"/>
                      <w:szCs w:val="21"/>
                      <w:highlight w:val="none"/>
                      <w:shd w:val="clear" w:color="auto" w:fill="auto"/>
                      <w:lang w:val="en-US" w:eastAsia="zh-CN"/>
                    </w:rPr>
                    <w:t>VOCs检测含量为</w:t>
                  </w: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lang w:val="en-US" w:eastAsia="zh-CN"/>
                    </w:rPr>
                    <w:t>g/kg，满足《胶粘剂挥发性有机化合物限量》(GB33372-2020)中本体型-包装-聚氨酯类（50g/kg）。</w:t>
                  </w:r>
                </w:p>
                <w:p w14:paraId="7C839592">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根据企业提供的乙酸乙酯VOCs检测含量为789g/L，满足《清洗剂挥发性有机化合物含量限值》（GB38508-2020）中有机溶剂清洗剂VOCs含量限量标准（900g/L）。</w:t>
                  </w:r>
                </w:p>
                <w:p w14:paraId="7B492DD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本项目使用的油性油墨、</w:t>
                  </w:r>
                  <w:r>
                    <w:rPr>
                      <w:rFonts w:hint="eastAsia" w:ascii="Times New Roman" w:hAnsi="Times New Roman" w:eastAsia="宋体" w:cs="Times New Roman"/>
                      <w:color w:val="auto"/>
                      <w:kern w:val="0"/>
                      <w:sz w:val="21"/>
                      <w:szCs w:val="21"/>
                      <w:highlight w:val="none"/>
                      <w:shd w:val="clear" w:color="auto" w:fill="auto"/>
                      <w:lang w:val="en-US" w:eastAsia="zh-CN"/>
                    </w:rPr>
                    <w:t>清洗剂均为溶剂型，因此已编制相应的不可替代证明。</w:t>
                  </w:r>
                </w:p>
              </w:tc>
              <w:tc>
                <w:tcPr>
                  <w:tcW w:w="518" w:type="pct"/>
                  <w:vMerge w:val="restart"/>
                  <w:tcBorders>
                    <w:tl2br w:val="nil"/>
                    <w:tr2bl w:val="nil"/>
                  </w:tcBorders>
                  <w:vAlign w:val="center"/>
                </w:tcPr>
                <w:p w14:paraId="4E157F5F">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相符</w:t>
                  </w:r>
                </w:p>
              </w:tc>
            </w:tr>
            <w:tr w14:paraId="5263F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6" w:type="pct"/>
                  <w:tcBorders>
                    <w:tl2br w:val="nil"/>
                    <w:tr2bl w:val="nil"/>
                  </w:tcBorders>
                  <w:vAlign w:val="center"/>
                </w:tcPr>
                <w:p w14:paraId="704CDA3D">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禁止建设生产和使用高VOCs含量的涂料、油墨、胶黏剂等项目。2021年起，全省工业涂装、包装印刷、纺织、木材加工等行业以及涂料、油墨等生产企业的新(改、扩)建项目需满足低(无)VOCs含量限值要求。省内市场上流通的水性涂料等低挥发性有机物含量涂料产品，执行国家《低挥发性有机化合物含量涂料产品技术要求》(GB/T38597-2020)</w:t>
                  </w:r>
                </w:p>
              </w:tc>
              <w:tc>
                <w:tcPr>
                  <w:tcW w:w="2424" w:type="pct"/>
                  <w:vMerge w:val="continue"/>
                  <w:tcBorders>
                    <w:tl2br w:val="nil"/>
                    <w:tr2bl w:val="nil"/>
                  </w:tcBorders>
                  <w:vAlign w:val="center"/>
                </w:tcPr>
                <w:p w14:paraId="7082F8ED">
                  <w:pPr>
                    <w:autoSpaceDE w:val="0"/>
                    <w:autoSpaceDN w:val="0"/>
                    <w:adjustRightInd w:val="0"/>
                    <w:jc w:val="center"/>
                    <w:rPr>
                      <w:rFonts w:hint="default" w:ascii="Times New Roman" w:hAnsi="Times New Roman" w:eastAsia="宋体" w:cs="Times New Roman"/>
                      <w:color w:val="auto"/>
                      <w:kern w:val="0"/>
                      <w:sz w:val="21"/>
                      <w:szCs w:val="21"/>
                      <w:highlight w:val="none"/>
                      <w:shd w:val="clear" w:color="auto" w:fill="auto"/>
                      <w:lang w:val="en-US" w:eastAsia="zh-CN"/>
                    </w:rPr>
                  </w:pPr>
                </w:p>
              </w:tc>
              <w:tc>
                <w:tcPr>
                  <w:tcW w:w="518" w:type="pct"/>
                  <w:vMerge w:val="continue"/>
                  <w:tcBorders>
                    <w:tl2br w:val="nil"/>
                    <w:tr2bl w:val="nil"/>
                  </w:tcBorders>
                  <w:vAlign w:val="center"/>
                </w:tcPr>
                <w:p w14:paraId="72EC48AF">
                  <w:pPr>
                    <w:autoSpaceDE w:val="0"/>
                    <w:autoSpaceDN w:val="0"/>
                    <w:adjustRightInd w:val="0"/>
                    <w:ind w:left="-73" w:leftChars="-35" w:right="-73" w:rightChars="-35"/>
                    <w:jc w:val="center"/>
                    <w:rPr>
                      <w:rFonts w:hint="default" w:ascii="Times New Roman" w:hAnsi="Times New Roman" w:eastAsia="宋体" w:cs="Times New Roman"/>
                      <w:color w:val="auto"/>
                      <w:kern w:val="0"/>
                      <w:sz w:val="21"/>
                      <w:szCs w:val="21"/>
                      <w:highlight w:val="none"/>
                      <w:shd w:val="clear" w:color="auto" w:fill="auto"/>
                    </w:rPr>
                  </w:pPr>
                </w:p>
              </w:tc>
            </w:tr>
          </w:tbl>
          <w:p w14:paraId="6067D1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highlight w:val="none"/>
                <w:shd w:val="clear" w:color="auto" w:fill="auto"/>
              </w:rPr>
            </w:pPr>
          </w:p>
        </w:tc>
      </w:tr>
    </w:tbl>
    <w:p w14:paraId="582B73A1">
      <w:pPr>
        <w:rPr>
          <w:rFonts w:hint="default" w:ascii="Times New Roman" w:hAnsi="Times New Roman" w:eastAsia="宋体" w:cs="Times New Roman"/>
          <w:color w:val="auto"/>
          <w:sz w:val="24"/>
          <w:highlight w:val="none"/>
          <w:shd w:val="clear" w:color="auto" w:fill="auto"/>
          <w:lang w:val="en-US" w:eastAsia="zh-CN"/>
        </w:rPr>
        <w:sectPr>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978"/>
      </w:tblGrid>
      <w:tr w14:paraId="1CAB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14:paraId="5C52087F">
            <w:pPr>
              <w:pStyle w:val="6"/>
              <w:rPr>
                <w:rFonts w:hint="default" w:ascii="Times New Roman" w:hAnsi="Times New Roman" w:eastAsia="宋体" w:cs="Times New Roman"/>
                <w:color w:val="auto"/>
                <w:highlight w:val="none"/>
                <w:shd w:val="clear" w:color="auto" w:fill="auto"/>
                <w:vertAlign w:val="baseline"/>
              </w:rPr>
            </w:pPr>
          </w:p>
        </w:tc>
        <w:tc>
          <w:tcPr>
            <w:tcW w:w="12978" w:type="dxa"/>
          </w:tcPr>
          <w:p w14:paraId="31CB3E60">
            <w:pPr>
              <w:spacing w:line="360" w:lineRule="auto"/>
              <w:ind w:firstLine="482" w:firstLineChars="200"/>
              <w:jc w:val="left"/>
              <w:rPr>
                <w:rFonts w:hint="default" w:ascii="Times New Roman" w:hAnsi="Times New Roman" w:eastAsia="宋体" w:cs="Times New Roman"/>
                <w:b/>
                <w:color w:val="auto"/>
                <w:kern w:val="0"/>
                <w:sz w:val="24"/>
                <w:szCs w:val="24"/>
                <w:highlight w:val="none"/>
                <w:shd w:val="clear" w:color="auto" w:fill="auto"/>
              </w:rPr>
            </w:pPr>
            <w:r>
              <w:rPr>
                <w:rFonts w:hint="eastAsia" w:ascii="Times New Roman" w:hAnsi="Times New Roman" w:eastAsia="宋体" w:cs="Times New Roman"/>
                <w:b/>
                <w:color w:val="auto"/>
                <w:kern w:val="0"/>
                <w:sz w:val="24"/>
                <w:szCs w:val="24"/>
                <w:highlight w:val="none"/>
                <w:shd w:val="clear" w:color="auto" w:fill="auto"/>
                <w:lang w:val="en-US" w:eastAsia="zh-CN"/>
              </w:rPr>
              <w:t>20</w:t>
            </w:r>
            <w:r>
              <w:rPr>
                <w:rFonts w:hint="default" w:ascii="Times New Roman" w:hAnsi="Times New Roman" w:eastAsia="宋体" w:cs="Times New Roman"/>
                <w:b/>
                <w:color w:val="auto"/>
                <w:kern w:val="0"/>
                <w:sz w:val="24"/>
                <w:szCs w:val="24"/>
                <w:highlight w:val="none"/>
                <w:shd w:val="clear" w:color="auto" w:fill="auto"/>
              </w:rPr>
              <w:t>、与相关环保法律法规相符性分析</w:t>
            </w:r>
          </w:p>
          <w:p w14:paraId="432398EE">
            <w:pPr>
              <w:spacing w:line="360" w:lineRule="auto"/>
              <w:ind w:firstLine="480" w:firstLineChars="200"/>
              <w:jc w:val="left"/>
              <w:rPr>
                <w:rFonts w:hint="default" w:ascii="Times New Roman" w:hAnsi="Times New Roman" w:eastAsia="宋体" w:cs="Times New Roman"/>
                <w:b/>
                <w:color w:val="auto"/>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本项目与相关法律法规相符性分析见表1-</w:t>
            </w:r>
            <w:r>
              <w:rPr>
                <w:rFonts w:hint="default" w:ascii="Times New Roman" w:hAnsi="Times New Roman" w:eastAsia="宋体" w:cs="Times New Roman"/>
                <w:color w:val="auto"/>
                <w:kern w:val="0"/>
                <w:sz w:val="24"/>
                <w:szCs w:val="24"/>
                <w:highlight w:val="none"/>
                <w:shd w:val="clear" w:color="auto" w:fill="auto"/>
                <w:lang w:val="en-US" w:eastAsia="zh-CN"/>
              </w:rPr>
              <w:t>1</w:t>
            </w:r>
            <w:r>
              <w:rPr>
                <w:rFonts w:hint="eastAsia" w:ascii="Times New Roman" w:hAnsi="Times New Roman" w:eastAsia="宋体" w:cs="Times New Roman"/>
                <w:color w:val="auto"/>
                <w:kern w:val="0"/>
                <w:sz w:val="24"/>
                <w:szCs w:val="24"/>
                <w:highlight w:val="none"/>
                <w:shd w:val="clear" w:color="auto" w:fill="auto"/>
                <w:lang w:val="en-US" w:eastAsia="zh-CN"/>
              </w:rPr>
              <w:t>4</w:t>
            </w:r>
            <w:r>
              <w:rPr>
                <w:rFonts w:hint="default" w:ascii="Times New Roman" w:hAnsi="Times New Roman" w:eastAsia="宋体" w:cs="Times New Roman"/>
                <w:color w:val="auto"/>
                <w:kern w:val="0"/>
                <w:sz w:val="24"/>
                <w:szCs w:val="24"/>
                <w:highlight w:val="none"/>
                <w:shd w:val="clear" w:color="auto" w:fill="auto"/>
              </w:rPr>
              <w:t>。</w:t>
            </w:r>
          </w:p>
          <w:p w14:paraId="693661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4"/>
                <w:szCs w:val="24"/>
                <w:highlight w:val="none"/>
                <w:shd w:val="clear" w:color="auto" w:fill="auto"/>
              </w:rPr>
            </w:pPr>
            <w:r>
              <w:rPr>
                <w:rFonts w:hint="default" w:ascii="Times New Roman" w:hAnsi="Times New Roman" w:eastAsia="宋体" w:cs="Times New Roman"/>
                <w:b/>
                <w:color w:val="auto"/>
                <w:sz w:val="24"/>
                <w:szCs w:val="24"/>
                <w:highlight w:val="none"/>
                <w:shd w:val="clear" w:color="auto" w:fill="auto"/>
              </w:rPr>
              <w:t>表1-</w:t>
            </w:r>
            <w:r>
              <w:rPr>
                <w:rFonts w:hint="default" w:ascii="Times New Roman" w:hAnsi="Times New Roman" w:eastAsia="宋体" w:cs="Times New Roman"/>
                <w:b/>
                <w:color w:val="auto"/>
                <w:sz w:val="24"/>
                <w:szCs w:val="24"/>
                <w:highlight w:val="none"/>
                <w:shd w:val="clear" w:color="auto" w:fill="auto"/>
                <w:lang w:val="en-US" w:eastAsia="zh-CN"/>
              </w:rPr>
              <w:t>1</w:t>
            </w:r>
            <w:r>
              <w:rPr>
                <w:rFonts w:hint="eastAsia" w:ascii="Times New Roman" w:hAnsi="Times New Roman" w:eastAsia="宋体" w:cs="Times New Roman"/>
                <w:b/>
                <w:color w:val="auto"/>
                <w:sz w:val="24"/>
                <w:szCs w:val="24"/>
                <w:highlight w:val="none"/>
                <w:shd w:val="clear" w:color="auto" w:fill="auto"/>
                <w:lang w:val="en-US" w:eastAsia="zh-CN"/>
              </w:rPr>
              <w:t>4</w:t>
            </w:r>
            <w:r>
              <w:rPr>
                <w:rFonts w:hint="default" w:ascii="Times New Roman" w:hAnsi="Times New Roman" w:eastAsia="宋体" w:cs="Times New Roman"/>
                <w:b/>
                <w:color w:val="auto"/>
                <w:sz w:val="24"/>
                <w:szCs w:val="24"/>
                <w:highlight w:val="none"/>
                <w:shd w:val="clear" w:color="auto" w:fill="auto"/>
              </w:rPr>
              <w:t xml:space="preserve">  项目与相关环保法律法规相符性分析</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2048"/>
              <w:gridCol w:w="6470"/>
              <w:gridCol w:w="2827"/>
              <w:gridCol w:w="886"/>
            </w:tblGrid>
            <w:tr w14:paraId="5EB76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5C77FAD2">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序号</w:t>
                  </w:r>
                </w:p>
              </w:tc>
              <w:tc>
                <w:tcPr>
                  <w:tcW w:w="802" w:type="pct"/>
                  <w:tcBorders>
                    <w:tl2br w:val="nil"/>
                    <w:tr2bl w:val="nil"/>
                  </w:tcBorders>
                  <w:vAlign w:val="center"/>
                </w:tcPr>
                <w:p w14:paraId="1E241140">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文件名称</w:t>
                  </w:r>
                </w:p>
              </w:tc>
              <w:tc>
                <w:tcPr>
                  <w:tcW w:w="2534" w:type="pct"/>
                  <w:tcBorders>
                    <w:tl2br w:val="nil"/>
                    <w:tr2bl w:val="nil"/>
                  </w:tcBorders>
                  <w:vAlign w:val="center"/>
                </w:tcPr>
                <w:p w14:paraId="061F8356">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文件要求</w:t>
                  </w:r>
                </w:p>
              </w:tc>
              <w:tc>
                <w:tcPr>
                  <w:tcW w:w="1107" w:type="pct"/>
                  <w:tcBorders>
                    <w:tl2br w:val="nil"/>
                    <w:tr2bl w:val="nil"/>
                  </w:tcBorders>
                  <w:vAlign w:val="center"/>
                </w:tcPr>
                <w:p w14:paraId="4189E3A6">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本项目情况</w:t>
                  </w:r>
                </w:p>
              </w:tc>
              <w:tc>
                <w:tcPr>
                  <w:tcW w:w="347" w:type="pct"/>
                  <w:tcBorders>
                    <w:tl2br w:val="nil"/>
                    <w:tr2bl w:val="nil"/>
                  </w:tcBorders>
                  <w:vAlign w:val="center"/>
                </w:tcPr>
                <w:p w14:paraId="266265C2">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是否符合</w:t>
                  </w:r>
                </w:p>
              </w:tc>
            </w:tr>
            <w:tr w14:paraId="3602A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208" w:type="pct"/>
                  <w:tcBorders>
                    <w:tl2br w:val="nil"/>
                    <w:tr2bl w:val="nil"/>
                  </w:tcBorders>
                  <w:vAlign w:val="center"/>
                </w:tcPr>
                <w:p w14:paraId="6461DA47">
                  <w:pPr>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802" w:type="pct"/>
                  <w:tcBorders>
                    <w:tl2br w:val="nil"/>
                    <w:tr2bl w:val="nil"/>
                  </w:tcBorders>
                  <w:vAlign w:val="center"/>
                </w:tcPr>
                <w:p w14:paraId="1EF4476C">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《中华人民共和国大气污染防治法》（2018年修正）</w:t>
                  </w:r>
                </w:p>
              </w:tc>
              <w:tc>
                <w:tcPr>
                  <w:tcW w:w="2534" w:type="pct"/>
                  <w:tcBorders>
                    <w:tl2br w:val="nil"/>
                    <w:tr2bl w:val="nil"/>
                  </w:tcBorders>
                  <w:vAlign w:val="center"/>
                </w:tcPr>
                <w:p w14:paraId="32D43D97">
                  <w:pPr>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第四十三条  钢铁、建材、有色金属、石油、化工等企业生产过程中排放粉尘、硫化物和氮氧化物的，应当采用清洁生产工艺，配套建设除尘、脱硫、脱硝等装置，或者采取技术改造等其他控制大气污染物排放的措施。</w:t>
                  </w:r>
                </w:p>
                <w:p w14:paraId="32E8F49C">
                  <w:pPr>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第四十五条  产生含挥发性有机物废气的生产和服务活动，应当在密闭空间或者设备中进行，并按照规定安装、使用污染防治设施；无法密闭的，应当采取措施减少废气排放。</w:t>
                  </w:r>
                </w:p>
              </w:tc>
              <w:tc>
                <w:tcPr>
                  <w:tcW w:w="1107" w:type="pct"/>
                  <w:tcBorders>
                    <w:tl2br w:val="nil"/>
                    <w:tr2bl w:val="nil"/>
                  </w:tcBorders>
                  <w:vAlign w:val="center"/>
                </w:tcPr>
                <w:p w14:paraId="116C73C9">
                  <w:pPr>
                    <w:spacing w:line="240" w:lineRule="auto"/>
                    <w:ind w:firstLine="420" w:firstLineChars="200"/>
                    <w:jc w:val="left"/>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 w:val="0"/>
                      <w:bCs/>
                      <w:color w:val="auto"/>
                      <w:sz w:val="21"/>
                      <w:szCs w:val="21"/>
                      <w:highlight w:val="none"/>
                      <w:shd w:val="clear" w:color="auto" w:fill="auto"/>
                      <w:lang w:val="en-US" w:eastAsia="zh-CN"/>
                    </w:rPr>
                    <w:t>本项目为</w:t>
                  </w:r>
                  <w:r>
                    <w:rPr>
                      <w:rFonts w:hint="eastAsia" w:ascii="Times New Roman" w:hAnsi="Times New Roman" w:eastAsia="宋体" w:cs="Times New Roman"/>
                      <w:b w:val="0"/>
                      <w:bCs/>
                      <w:color w:val="auto"/>
                      <w:sz w:val="21"/>
                      <w:szCs w:val="21"/>
                      <w:highlight w:val="none"/>
                      <w:shd w:val="clear" w:color="auto" w:fill="auto"/>
                      <w:lang w:val="en-US" w:eastAsia="zh-CN"/>
                    </w:rPr>
                    <w:t>环保塑料袋（厚度大于0.025毫米）</w:t>
                  </w:r>
                  <w:r>
                    <w:rPr>
                      <w:rFonts w:hint="default" w:ascii="Times New Roman" w:hAnsi="Times New Roman" w:eastAsia="宋体" w:cs="Times New Roman"/>
                      <w:b w:val="0"/>
                      <w:bCs/>
                      <w:color w:val="auto"/>
                      <w:sz w:val="21"/>
                      <w:szCs w:val="21"/>
                      <w:highlight w:val="none"/>
                      <w:shd w:val="clear" w:color="auto" w:fill="auto"/>
                      <w:lang w:val="en-US" w:eastAsia="zh-CN"/>
                    </w:rPr>
                    <w:t>生产项目</w:t>
                  </w:r>
                  <w:r>
                    <w:rPr>
                      <w:rFonts w:hint="eastAsia" w:ascii="Times New Roman" w:hAnsi="Times New Roman" w:eastAsia="宋体" w:cs="Times New Roman"/>
                      <w:b w:val="0"/>
                      <w:bCs/>
                      <w:color w:val="auto"/>
                      <w:sz w:val="21"/>
                      <w:szCs w:val="21"/>
                      <w:highlight w:val="none"/>
                      <w:shd w:val="clear" w:color="auto" w:fill="auto"/>
                      <w:lang w:val="en-US" w:eastAsia="zh-CN"/>
                    </w:rPr>
                    <w:t>，产生的</w:t>
                  </w:r>
                  <w:r>
                    <w:rPr>
                      <w:rFonts w:hint="eastAsia" w:ascii="Times New Roman" w:hAnsi="Times New Roman" w:eastAsia="宋体" w:cs="Times New Roman"/>
                      <w:color w:val="auto"/>
                      <w:sz w:val="21"/>
                      <w:szCs w:val="21"/>
                      <w:highlight w:val="none"/>
                      <w:shd w:val="clear" w:color="auto" w:fill="auto"/>
                      <w:lang w:eastAsia="zh-CN"/>
                    </w:rPr>
                    <w:t>破碎粉尘经设备自带的布袋除尘器处理后车间无组织排放，调墨、印刷、复合、熟化、清洗废气各自收集后通过一套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二级活性炭处理，经1根18m高的排气筒1#排放，吹膜、制袋废气各自收集后通过一套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#排放。</w:t>
                  </w:r>
                  <w:r>
                    <w:rPr>
                      <w:rFonts w:hint="default" w:ascii="Times New Roman" w:hAnsi="Times New Roman" w:eastAsia="宋体" w:cs="Times New Roman"/>
                      <w:bCs/>
                      <w:color w:val="auto"/>
                      <w:sz w:val="21"/>
                      <w:szCs w:val="21"/>
                      <w:highlight w:val="none"/>
                      <w:shd w:val="clear" w:color="auto" w:fill="auto"/>
                    </w:rPr>
                    <w:t>对周围环境影响较小。</w:t>
                  </w:r>
                </w:p>
              </w:tc>
              <w:tc>
                <w:tcPr>
                  <w:tcW w:w="347" w:type="pct"/>
                  <w:tcBorders>
                    <w:tl2br w:val="nil"/>
                    <w:tr2bl w:val="nil"/>
                  </w:tcBorders>
                  <w:vAlign w:val="center"/>
                </w:tcPr>
                <w:p w14:paraId="0189D970">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是</w:t>
                  </w:r>
                </w:p>
              </w:tc>
            </w:tr>
            <w:tr w14:paraId="7C4175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3" w:hRule="atLeast"/>
              </w:trPr>
              <w:tc>
                <w:tcPr>
                  <w:tcW w:w="208" w:type="pct"/>
                  <w:tcBorders>
                    <w:tl2br w:val="nil"/>
                    <w:tr2bl w:val="nil"/>
                  </w:tcBorders>
                  <w:vAlign w:val="center"/>
                </w:tcPr>
                <w:p w14:paraId="3AF6CB68">
                  <w:pPr>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val="en-US" w:eastAsia="zh-CN"/>
                    </w:rPr>
                    <w:t>2</w:t>
                  </w:r>
                </w:p>
              </w:tc>
              <w:tc>
                <w:tcPr>
                  <w:tcW w:w="802" w:type="pct"/>
                  <w:tcBorders>
                    <w:tl2br w:val="nil"/>
                    <w:tr2bl w:val="nil"/>
                  </w:tcBorders>
                  <w:vAlign w:val="center"/>
                </w:tcPr>
                <w:p w14:paraId="0A23CBC0">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《江苏省大气污染防治条例》（2018年修正）</w:t>
                  </w:r>
                </w:p>
              </w:tc>
              <w:tc>
                <w:tcPr>
                  <w:tcW w:w="2534" w:type="pct"/>
                  <w:tcBorders>
                    <w:tl2br w:val="nil"/>
                    <w:tr2bl w:val="nil"/>
                  </w:tcBorders>
                  <w:vAlign w:val="center"/>
                </w:tcPr>
                <w:p w14:paraId="0DA9F20B">
                  <w:pPr>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第三十八条  在生产经营过程中产生有毒有害大气污染物的，排污单位应当安装收集净化装置或者采取其他措施，达到国家和省规定的排放标准或者其他相关要求。禁止直接排放有毒有害大气污染物。</w:t>
                  </w:r>
                </w:p>
                <w:p w14:paraId="5ACE34A5">
                  <w:pPr>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第三十九条  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1107" w:type="pct"/>
                  <w:tcBorders>
                    <w:tl2br w:val="nil"/>
                    <w:tr2bl w:val="nil"/>
                  </w:tcBorders>
                  <w:vAlign w:val="center"/>
                </w:tcPr>
                <w:p w14:paraId="704E316C">
                  <w:pPr>
                    <w:widowControl/>
                    <w:ind w:firstLine="420" w:firstLineChars="200"/>
                    <w:jc w:val="left"/>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eastAsia="zh-CN"/>
                    </w:rPr>
                    <w:t>本项目破碎粉尘经设备自带的布袋除尘器处理后车间无组织排放，调墨、印刷、复合、熟化、清洗废气各自收集后通过一套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二级活性炭处理，经1根18m高的排气筒1#排放，吹膜、制袋废气各自收集后通过一套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#排放。</w:t>
                  </w:r>
                  <w:r>
                    <w:rPr>
                      <w:rFonts w:hint="default" w:ascii="Times New Roman" w:hAnsi="Times New Roman" w:eastAsia="宋体" w:cs="Times New Roman"/>
                      <w:bCs/>
                      <w:color w:val="auto"/>
                      <w:sz w:val="21"/>
                      <w:szCs w:val="21"/>
                      <w:highlight w:val="none"/>
                      <w:shd w:val="clear" w:color="auto" w:fill="auto"/>
                    </w:rPr>
                    <w:t>对周围环境影响较小。</w:t>
                  </w:r>
                </w:p>
              </w:tc>
              <w:tc>
                <w:tcPr>
                  <w:tcW w:w="347" w:type="pct"/>
                  <w:tcBorders>
                    <w:tl2br w:val="nil"/>
                    <w:tr2bl w:val="nil"/>
                  </w:tcBorders>
                  <w:vAlign w:val="center"/>
                </w:tcPr>
                <w:p w14:paraId="611004CF">
                  <w:pPr>
                    <w:widowControl/>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是</w:t>
                  </w:r>
                </w:p>
              </w:tc>
            </w:tr>
            <w:tr w14:paraId="63334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 w:type="pct"/>
                  <w:tcBorders>
                    <w:tl2br w:val="nil"/>
                    <w:tr2bl w:val="nil"/>
                  </w:tcBorders>
                  <w:shd w:val="clear" w:color="auto" w:fill="auto"/>
                  <w:vAlign w:val="center"/>
                </w:tcPr>
                <w:p w14:paraId="20416F3B">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w:t>
                  </w:r>
                </w:p>
              </w:tc>
              <w:tc>
                <w:tcPr>
                  <w:tcW w:w="802" w:type="pct"/>
                  <w:tcBorders>
                    <w:tl2br w:val="nil"/>
                    <w:tr2bl w:val="nil"/>
                  </w:tcBorders>
                  <w:shd w:val="clear" w:color="auto" w:fill="auto"/>
                  <w:vAlign w:val="center"/>
                </w:tcPr>
                <w:p w14:paraId="3A599C26">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《关于印发江苏省重点行业挥发性有机物污染整治方案的通知》（苏环办〔2015〕19号）</w:t>
                  </w:r>
                </w:p>
              </w:tc>
              <w:tc>
                <w:tcPr>
                  <w:tcW w:w="2534" w:type="pct"/>
                  <w:tcBorders>
                    <w:tl2br w:val="nil"/>
                    <w:tr2bl w:val="nil"/>
                  </w:tcBorders>
                  <w:shd w:val="clear" w:color="auto" w:fill="auto"/>
                  <w:vAlign w:val="top"/>
                </w:tcPr>
                <w:p w14:paraId="3E4766C4">
                  <w:pPr>
                    <w:jc w:val="left"/>
                    <w:rPr>
                      <w:rFonts w:hint="default" w:ascii="Times New Roman" w:hAnsi="Times New Roman" w:eastAsia="宋体" w:cs="Times New Roman"/>
                      <w:color w:val="auto"/>
                      <w:sz w:val="21"/>
                      <w:szCs w:val="21"/>
                      <w:highlight w:val="none"/>
                      <w:shd w:val="clear" w:color="auto" w:fill="auto"/>
                      <w:lang w:val="en-US" w:eastAsia="en-US"/>
                    </w:rPr>
                  </w:pPr>
                  <w:r>
                    <w:rPr>
                      <w:rFonts w:hint="default" w:ascii="Times New Roman" w:hAnsi="Times New Roman" w:eastAsia="宋体" w:cs="Times New Roman"/>
                      <w:color w:val="auto"/>
                      <w:sz w:val="21"/>
                      <w:szCs w:val="21"/>
                      <w:highlight w:val="none"/>
                      <w:shd w:val="clear" w:color="auto" w:fill="auto"/>
                    </w:rPr>
                    <w:t>管理办法规定：①排放挥发性有机物的生产经营者应当履行防治挥发性有机物污染的义务，根据国家和省相关标准以及防治技术指南，采用挥发性有机物污染控 制技术，规范操作规程，组织生产经营管理，确保挥发性有机物的排放符合相应的排放标准。②产生挥发性有机物废气的生产经营活动应当在密闭空间或者密闭设备中进行。生产场所、生产设备应当按照 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107" w:type="pct"/>
                  <w:tcBorders>
                    <w:tl2br w:val="nil"/>
                    <w:tr2bl w:val="nil"/>
                  </w:tcBorders>
                  <w:vAlign w:val="center"/>
                </w:tcPr>
                <w:p w14:paraId="7CD73A54">
                  <w:pPr>
                    <w:widowControl/>
                    <w:ind w:firstLine="420" w:firstLineChars="20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本项目</w:t>
                  </w:r>
                  <w:r>
                    <w:rPr>
                      <w:rFonts w:hint="eastAsia" w:ascii="Times New Roman" w:hAnsi="Times New Roman" w:eastAsia="宋体" w:cs="Times New Roman"/>
                      <w:bCs/>
                      <w:color w:val="auto"/>
                      <w:sz w:val="21"/>
                      <w:szCs w:val="21"/>
                      <w:highlight w:val="none"/>
                      <w:shd w:val="clear" w:color="auto" w:fill="auto"/>
                      <w:lang w:val="en-US" w:eastAsia="zh-CN"/>
                    </w:rPr>
                    <w:t>不产生生产废水，</w:t>
                  </w:r>
                  <w:r>
                    <w:rPr>
                      <w:rFonts w:hint="default" w:ascii="Times New Roman" w:hAnsi="Times New Roman" w:eastAsia="宋体" w:cs="Times New Roman"/>
                      <w:bCs/>
                      <w:color w:val="auto"/>
                      <w:sz w:val="21"/>
                      <w:szCs w:val="21"/>
                      <w:highlight w:val="none"/>
                      <w:shd w:val="clear" w:color="auto" w:fill="auto"/>
                    </w:rPr>
                    <w:t>生活污水接管至常州市金坛区第二污水处理厂集中处理，总量在污水处理厂内平衡。</w:t>
                  </w:r>
                  <w:r>
                    <w:rPr>
                      <w:rFonts w:hint="eastAsia" w:ascii="Times New Roman" w:hAnsi="Times New Roman" w:eastAsia="宋体" w:cs="Times New Roman"/>
                      <w:color w:val="auto"/>
                      <w:sz w:val="21"/>
                      <w:szCs w:val="21"/>
                      <w:highlight w:val="none"/>
                      <w:shd w:val="clear" w:color="auto" w:fill="auto"/>
                      <w:lang w:eastAsia="zh-CN"/>
                    </w:rPr>
                    <w:t>本项目破碎粉尘经设备自带的布袋除尘器处理后车间无组织排放，调墨、印刷、复合、熟化、清洗废气各自收集后通过一套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二级活性炭处理，经1根18m高的排气筒1#排放，吹膜、制袋废气各自收集后通过一套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#排放。</w:t>
                  </w:r>
                  <w:r>
                    <w:rPr>
                      <w:rFonts w:hint="default" w:ascii="Times New Roman" w:hAnsi="Times New Roman" w:eastAsia="宋体" w:cs="Times New Roman"/>
                      <w:bCs/>
                      <w:color w:val="auto"/>
                      <w:sz w:val="21"/>
                      <w:szCs w:val="21"/>
                      <w:highlight w:val="none"/>
                      <w:shd w:val="clear" w:color="auto" w:fill="auto"/>
                    </w:rPr>
                    <w:t>对周围环境影响较小。</w:t>
                  </w:r>
                </w:p>
              </w:tc>
              <w:tc>
                <w:tcPr>
                  <w:tcW w:w="347" w:type="pct"/>
                  <w:tcBorders>
                    <w:tl2br w:val="nil"/>
                    <w:tr2bl w:val="nil"/>
                  </w:tcBorders>
                  <w:vAlign w:val="center"/>
                </w:tcPr>
                <w:p w14:paraId="767815A9">
                  <w:pPr>
                    <w:widowControl/>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是</w:t>
                  </w:r>
                </w:p>
              </w:tc>
            </w:tr>
            <w:tr w14:paraId="24813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 w:type="pct"/>
                  <w:tcBorders>
                    <w:tl2br w:val="nil"/>
                    <w:tr2bl w:val="nil"/>
                  </w:tcBorders>
                  <w:shd w:val="clear" w:color="auto" w:fill="auto"/>
                  <w:vAlign w:val="center"/>
                </w:tcPr>
                <w:p w14:paraId="54C2C70C">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4</w:t>
                  </w:r>
                </w:p>
              </w:tc>
              <w:tc>
                <w:tcPr>
                  <w:tcW w:w="802" w:type="pct"/>
                  <w:tcBorders>
                    <w:tl2br w:val="nil"/>
                    <w:tr2bl w:val="nil"/>
                  </w:tcBorders>
                  <w:shd w:val="clear" w:color="auto" w:fill="auto"/>
                  <w:vAlign w:val="center"/>
                </w:tcPr>
                <w:p w14:paraId="51019749">
                  <w:pPr>
                    <w:jc w:val="center"/>
                    <w:rPr>
                      <w:rFonts w:hint="default" w:ascii="Times New Roman" w:hAnsi="Times New Roman" w:eastAsia="宋体" w:cs="Times New Roman"/>
                      <w:color w:val="auto"/>
                      <w:sz w:val="21"/>
                      <w:szCs w:val="21"/>
                      <w:highlight w:val="none"/>
                      <w:shd w:val="clear" w:color="auto" w:fill="auto"/>
                    </w:rPr>
                  </w:pPr>
                </w:p>
                <w:p w14:paraId="61FD2C45">
                  <w:pPr>
                    <w:jc w:val="center"/>
                    <w:rPr>
                      <w:rFonts w:hint="default" w:ascii="Times New Roman" w:hAnsi="Times New Roman" w:eastAsia="宋体" w:cs="Times New Roman"/>
                      <w:color w:val="auto"/>
                      <w:sz w:val="21"/>
                      <w:szCs w:val="21"/>
                      <w:highlight w:val="none"/>
                      <w:shd w:val="clear" w:color="auto" w:fill="auto"/>
                    </w:rPr>
                  </w:pPr>
                </w:p>
                <w:p w14:paraId="6C0F476F">
                  <w:pPr>
                    <w:jc w:val="center"/>
                    <w:rPr>
                      <w:rFonts w:hint="default" w:ascii="Times New Roman" w:hAnsi="Times New Roman" w:eastAsia="宋体" w:cs="Times New Roman"/>
                      <w:color w:val="auto"/>
                      <w:sz w:val="21"/>
                      <w:szCs w:val="21"/>
                      <w:highlight w:val="none"/>
                      <w:shd w:val="clear" w:color="auto" w:fill="auto"/>
                    </w:rPr>
                  </w:pPr>
                </w:p>
                <w:p w14:paraId="21644461">
                  <w:pPr>
                    <w:jc w:val="center"/>
                    <w:rPr>
                      <w:rFonts w:hint="default" w:ascii="Times New Roman" w:hAnsi="Times New Roman" w:eastAsia="宋体" w:cs="Times New Roman"/>
                      <w:color w:val="auto"/>
                      <w:sz w:val="21"/>
                      <w:szCs w:val="21"/>
                      <w:highlight w:val="none"/>
                      <w:shd w:val="clear" w:color="auto" w:fill="auto"/>
                    </w:rPr>
                  </w:pPr>
                </w:p>
                <w:p w14:paraId="616E227F">
                  <w:pPr>
                    <w:jc w:val="center"/>
                    <w:rPr>
                      <w:rFonts w:hint="default" w:ascii="Times New Roman" w:hAnsi="Times New Roman" w:eastAsia="宋体" w:cs="Times New Roman"/>
                      <w:color w:val="auto"/>
                      <w:sz w:val="21"/>
                      <w:szCs w:val="21"/>
                      <w:highlight w:val="none"/>
                      <w:shd w:val="clear" w:color="auto" w:fill="auto"/>
                    </w:rPr>
                  </w:pPr>
                </w:p>
                <w:p w14:paraId="675F8E8E">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《市大气污染防治联席会议办公室关于印发2022年常 州市挥发性有机物 减排攻坚方案的通 知 》（常大气办[2022]2号）</w:t>
                  </w:r>
                </w:p>
              </w:tc>
              <w:tc>
                <w:tcPr>
                  <w:tcW w:w="2534" w:type="pct"/>
                  <w:tcBorders>
                    <w:tl2br w:val="nil"/>
                    <w:tr2bl w:val="nil"/>
                  </w:tcBorders>
                  <w:shd w:val="clear" w:color="auto" w:fill="auto"/>
                  <w:vAlign w:val="center"/>
                </w:tcPr>
                <w:p w14:paraId="1016C215">
                  <w:pPr>
                    <w:numPr>
                      <w:ilvl w:val="0"/>
                      <w:numId w:val="2"/>
                    </w:numPr>
                    <w:ind w:left="0" w:leftChars="0"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推进重点集群攻坚治理。</w:t>
                  </w:r>
                </w:p>
                <w:p w14:paraId="62C6FFE8">
                  <w:pPr>
                    <w:numPr>
                      <w:ilvl w:val="0"/>
                      <w:numId w:val="0"/>
                    </w:numPr>
                    <w:ind w:leftChars="0" w:firstLine="420" w:firstLineChars="200"/>
                    <w:jc w:val="left"/>
                    <w:rPr>
                      <w:rFonts w:hint="eastAsia"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检查车间和设备密闭情况，废气收集是否符合标准要求，采用局部集气罩的，距集气罩开口面最远处的VOCs无组织排放位置控制风速应不低于0.3米/秒，并采用风速仪等设备开展现场抽测，废气收集系统输送管道是否有可见的破损等</w:t>
                  </w:r>
                  <w:r>
                    <w:rPr>
                      <w:rFonts w:hint="eastAsia" w:ascii="Times New Roman" w:hAnsi="Times New Roman" w:eastAsia="宋体" w:cs="Times New Roman"/>
                      <w:color w:val="auto"/>
                      <w:sz w:val="21"/>
                      <w:szCs w:val="21"/>
                      <w:highlight w:val="none"/>
                      <w:shd w:val="clear" w:color="auto" w:fill="auto"/>
                      <w:lang w:eastAsia="zh-CN"/>
                    </w:rPr>
                    <w:t>。</w:t>
                  </w:r>
                </w:p>
                <w:p w14:paraId="09715EFB">
                  <w:pPr>
                    <w:numPr>
                      <w:ilvl w:val="0"/>
                      <w:numId w:val="2"/>
                    </w:numPr>
                    <w:ind w:left="0" w:leftChars="0"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持续推进涉 VOCs 行业清洁原料替代。</w:t>
                  </w:r>
                </w:p>
                <w:p w14:paraId="3713D504">
                  <w:pPr>
                    <w:numPr>
                      <w:ilvl w:val="0"/>
                      <w:numId w:val="0"/>
                    </w:numPr>
                    <w:ind w:leftChars="0" w:firstLine="420" w:firstLineChars="20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各地要对照《江苏省挥发性有机物清洁原料替代工作方案》(苏大气办[2021]2号)要求，持续推动182家企业实施源头替代，严把环评审批准入关，控增量、去存量。实施替代的钢结构企业需使用符合 GB/T38597 中规定的粉末、水性、无溶剂、辐射固化涂料产品；实施替代的包装印刷企业需符合 GB38507 中规定的水性、能量固化、胶印油墨产品。无法替代的应开展论证，并采用适宜的高效末端治理技术。</w:t>
                  </w:r>
                </w:p>
                <w:p w14:paraId="2B419456">
                  <w:pPr>
                    <w:numPr>
                      <w:ilvl w:val="0"/>
                      <w:numId w:val="2"/>
                    </w:numPr>
                    <w:ind w:left="0" w:leftChars="0"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强化工业源日常管理与监管。</w:t>
                  </w:r>
                </w:p>
                <w:p w14:paraId="50DE54B2">
                  <w:pPr>
                    <w:numPr>
                      <w:ilvl w:val="0"/>
                      <w:numId w:val="2"/>
                    </w:numPr>
                    <w:ind w:left="0" w:leftChars="0"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对采用活性炭吸附技术的，按照《吸附法工业有机废气治理工程 技术规范》(HJ2026-2013)进行管理，按要求足量添加、定期更换；一次性活性炭吸附工艺需使用柱状炭(颗粒炭) ，碘吸附值不低于800毫克/克；VOCs初始排放速率大于2kg/h的重点源排气筒进口应设施采样平台，治理效率不低于 80%。</w:t>
                  </w:r>
                </w:p>
                <w:p w14:paraId="3DABBA74">
                  <w:pPr>
                    <w:numPr>
                      <w:ilvl w:val="0"/>
                      <w:numId w:val="2"/>
                    </w:numPr>
                    <w:ind w:left="0" w:leftChars="0"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推进 VOCs 在线监控安装、验收与联网。</w:t>
                  </w:r>
                </w:p>
                <w:p w14:paraId="2DA275E5">
                  <w:pPr>
                    <w:numPr>
                      <w:ilvl w:val="0"/>
                      <w:numId w:val="0"/>
                    </w:numPr>
                    <w:ind w:leftChars="0" w:firstLine="420" w:firstLineChars="20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各地要按照《江苏省污染源 自动监控管理办法(试行)》(苏环发[2021]3 号)要求，全面梳理企业废气排放量信息，推动单排放口 VOCs 排放设计小时废气排放量1万立方米及以上的化工行业、3万立方米及以上的其他行业安装VOCs 自动监测设备，9月底前基本完成。对已安装自动监控设备的，7月底前要完成验收并联网</w:t>
                  </w:r>
                  <w:r>
                    <w:rPr>
                      <w:rFonts w:hint="eastAsia" w:ascii="Times New Roman" w:hAnsi="Times New Roman" w:eastAsia="宋体" w:cs="Times New Roman"/>
                      <w:color w:val="auto"/>
                      <w:sz w:val="21"/>
                      <w:szCs w:val="21"/>
                      <w:highlight w:val="none"/>
                      <w:shd w:val="clear" w:color="auto" w:fill="auto"/>
                      <w:lang w:eastAsia="zh-CN"/>
                    </w:rPr>
                    <w:t>。</w:t>
                  </w:r>
                </w:p>
                <w:p w14:paraId="1CD0EAFF">
                  <w:pPr>
                    <w:numPr>
                      <w:ilvl w:val="0"/>
                      <w:numId w:val="2"/>
                    </w:numPr>
                    <w:ind w:left="0" w:leftChars="0" w:firstLine="0" w:firstLineChars="0"/>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开展重点区域微环境整治专项行动。</w:t>
                  </w:r>
                </w:p>
                <w:p w14:paraId="72E10887">
                  <w:pPr>
                    <w:numPr>
                      <w:ilvl w:val="0"/>
                      <w:numId w:val="0"/>
                    </w:numPr>
                    <w:ind w:leftChars="0" w:firstLine="420" w:firstLineChars="200"/>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是对采用简易低效VOCs治理设施企业专项执法行动，以末端治理设施仅采用低温等离子、光催化、光氧化、一次性活性炭吸附等技术的企业为重点，检查企业治理设施是否正常运行、活性炭等耗材是否及时更换等；二是开展汽修企业专项执法行动，检查企业末端治理设施是否正常运行，调漆、喷涂作业是否在密闭空间进行等；三是开展餐饮油烟企业专项执法行动，检查企业是否安 装油烟净化设施，处理设备是否按要求进行清洗、维护等。各地要对违法问题依法 查处，形成震慑。</w:t>
                  </w:r>
                </w:p>
              </w:tc>
              <w:tc>
                <w:tcPr>
                  <w:tcW w:w="1107" w:type="pct"/>
                  <w:tcBorders>
                    <w:tl2br w:val="nil"/>
                    <w:tr2bl w:val="nil"/>
                  </w:tcBorders>
                  <w:vAlign w:val="center"/>
                </w:tcPr>
                <w:p w14:paraId="7975A33F">
                  <w:pPr>
                    <w:widowControl/>
                    <w:numPr>
                      <w:ilvl w:val="0"/>
                      <w:numId w:val="3"/>
                    </w:numPr>
                    <w:jc w:val="left"/>
                    <w:rPr>
                      <w:rFonts w:hint="default" w:ascii="Times New Roman" w:hAnsi="Times New Roman" w:eastAsia="宋体" w:cs="Times New Roman"/>
                      <w:bCs/>
                      <w:color w:val="auto"/>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eastAsia="zh-CN"/>
                    </w:rPr>
                    <w:t>本项目破碎粉尘经设备自带的布袋除尘器处理后车间无组织排放，调墨、印刷、复合、熟化、清洗废气各自收集后通过一套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二级活性炭处理，经1根18m高的排气筒1#排放，吹膜、制袋废气各自收集后通过一套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#排放。</w:t>
                  </w:r>
                  <w:r>
                    <w:rPr>
                      <w:rFonts w:hint="default" w:ascii="Times New Roman" w:hAnsi="Times New Roman" w:eastAsia="宋体" w:cs="Times New Roman"/>
                      <w:bCs/>
                      <w:color w:val="auto"/>
                      <w:sz w:val="21"/>
                      <w:szCs w:val="21"/>
                      <w:highlight w:val="none"/>
                      <w:shd w:val="clear" w:color="auto" w:fill="auto"/>
                    </w:rPr>
                    <w:t>对周围环境影响较小。</w:t>
                  </w:r>
                  <w:r>
                    <w:rPr>
                      <w:rFonts w:hint="default" w:ascii="Times New Roman" w:hAnsi="Times New Roman" w:eastAsia="宋体" w:cs="Times New Roman"/>
                      <w:bCs/>
                      <w:color w:val="auto"/>
                      <w:szCs w:val="21"/>
                      <w:highlight w:val="none"/>
                      <w:shd w:val="clear" w:color="auto" w:fill="auto"/>
                    </w:rPr>
                    <w:t>距集气罩开口面最远处的VOCs无组织排放位置控制风速不低于0.3米/秒</w:t>
                  </w:r>
                  <w:r>
                    <w:rPr>
                      <w:rFonts w:hint="eastAsia" w:ascii="Times New Roman" w:hAnsi="Times New Roman" w:eastAsia="宋体" w:cs="Times New Roman"/>
                      <w:bCs/>
                      <w:color w:val="auto"/>
                      <w:szCs w:val="21"/>
                      <w:highlight w:val="none"/>
                      <w:shd w:val="clear" w:color="auto" w:fill="auto"/>
                      <w:lang w:eastAsia="zh-CN"/>
                    </w:rPr>
                    <w:t>。</w:t>
                  </w:r>
                </w:p>
                <w:p w14:paraId="43C93B74">
                  <w:pPr>
                    <w:widowControl/>
                    <w:numPr>
                      <w:ilvl w:val="-1"/>
                      <w:numId w:val="0"/>
                    </w:numPr>
                    <w:jc w:val="left"/>
                    <w:rPr>
                      <w:rFonts w:hint="default" w:ascii="Times New Roman" w:hAnsi="Times New Roman" w:eastAsia="宋体" w:cs="Times New Roman"/>
                      <w:bCs/>
                      <w:color w:val="auto"/>
                      <w:sz w:val="21"/>
                      <w:szCs w:val="21"/>
                      <w:highlight w:val="none"/>
                      <w:shd w:val="clear" w:color="auto" w:fill="auto"/>
                    </w:rPr>
                  </w:pPr>
                  <w:r>
                    <w:rPr>
                      <w:rFonts w:hint="eastAsia" w:ascii="Times New Roman" w:hAnsi="Times New Roman" w:eastAsia="宋体" w:cs="Times New Roman"/>
                      <w:bCs/>
                      <w:color w:val="auto"/>
                      <w:sz w:val="21"/>
                      <w:szCs w:val="21"/>
                      <w:highlight w:val="none"/>
                      <w:shd w:val="clear" w:color="auto" w:fill="auto"/>
                      <w:lang w:val="en-US" w:eastAsia="zh-CN"/>
                    </w:rPr>
                    <w:t>（二）</w:t>
                  </w:r>
                  <w:r>
                    <w:rPr>
                      <w:rFonts w:hint="default" w:ascii="Times New Roman" w:hAnsi="Times New Roman" w:eastAsia="宋体" w:cs="Times New Roman"/>
                      <w:bCs/>
                      <w:color w:val="auto"/>
                      <w:sz w:val="21"/>
                      <w:szCs w:val="21"/>
                      <w:highlight w:val="none"/>
                      <w:shd w:val="clear" w:color="auto" w:fill="auto"/>
                    </w:rPr>
                    <w:t>根据企业提供的水性油墨VOCs检测含量为7.8%，满足《油墨中可挥发性有机化合物(VOCs)含量的限值》(GB38507-2020)中水性油墨-凹印油墨-非吸收性承印物限值要求（≤30%）。油性油墨VOCs检测含量为40%，满足《油墨中可挥发性有机化合物(VOCs)含量的限值》(GB38507-2020)中油性油墨-凹印油墨限值要求（75%）。</w:t>
                  </w:r>
                </w:p>
                <w:p w14:paraId="2CD197D1">
                  <w:pPr>
                    <w:widowControl/>
                    <w:ind w:firstLine="420" w:firstLineChars="200"/>
                    <w:jc w:val="left"/>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根据企业提供的</w:t>
                  </w:r>
                  <w:r>
                    <w:rPr>
                      <w:rFonts w:hint="eastAsia" w:ascii="Times New Roman" w:hAnsi="Times New Roman" w:eastAsia="宋体" w:cs="Times New Roman"/>
                      <w:bCs/>
                      <w:color w:val="auto"/>
                      <w:sz w:val="21"/>
                      <w:szCs w:val="21"/>
                      <w:highlight w:val="none"/>
                      <w:shd w:val="clear" w:color="auto" w:fill="auto"/>
                      <w:lang w:eastAsia="zh-CN"/>
                    </w:rPr>
                    <w:t>双组份无溶剂聚氨酯粘合剂</w:t>
                  </w:r>
                  <w:r>
                    <w:rPr>
                      <w:rFonts w:hint="default" w:ascii="Times New Roman" w:hAnsi="Times New Roman" w:eastAsia="宋体" w:cs="Times New Roman"/>
                      <w:bCs/>
                      <w:color w:val="auto"/>
                      <w:sz w:val="21"/>
                      <w:szCs w:val="21"/>
                      <w:highlight w:val="none"/>
                      <w:shd w:val="clear" w:color="auto" w:fill="auto"/>
                    </w:rPr>
                    <w:t>VOCs检测含量为</w:t>
                  </w:r>
                  <w:r>
                    <w:rPr>
                      <w:rFonts w:hint="eastAsia" w:ascii="Times New Roman" w:hAnsi="Times New Roman" w:eastAsia="宋体" w:cs="Times New Roman"/>
                      <w:bCs/>
                      <w:color w:val="auto"/>
                      <w:sz w:val="21"/>
                      <w:szCs w:val="21"/>
                      <w:highlight w:val="none"/>
                      <w:shd w:val="clear" w:color="auto" w:fill="auto"/>
                      <w:lang w:val="en-US" w:eastAsia="zh-CN"/>
                    </w:rPr>
                    <w:t>4</w:t>
                  </w:r>
                  <w:r>
                    <w:rPr>
                      <w:rFonts w:hint="default" w:ascii="Times New Roman" w:hAnsi="Times New Roman" w:eastAsia="宋体" w:cs="Times New Roman"/>
                      <w:bCs/>
                      <w:color w:val="auto"/>
                      <w:sz w:val="21"/>
                      <w:szCs w:val="21"/>
                      <w:highlight w:val="none"/>
                      <w:shd w:val="clear" w:color="auto" w:fill="auto"/>
                    </w:rPr>
                    <w:t>g/kg，满足《胶粘剂挥发性有机化合物限量》(GB33372-2020)中本体型-包装-聚氨酯类（50g/kg）。</w:t>
                  </w:r>
                </w:p>
                <w:p w14:paraId="438A86A9">
                  <w:pPr>
                    <w:widowControl/>
                    <w:ind w:firstLine="420" w:firstLineChars="200"/>
                    <w:jc w:val="left"/>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根据企业提供的乙酸乙酯VOCs检测含量为789g/L，满足《清洗剂挥发性有机化合物含量限值》（GB38508-2020）中有机溶剂清洗剂VOCs含量限量标准（900g/L）。</w:t>
                  </w:r>
                </w:p>
                <w:p w14:paraId="37672CD9">
                  <w:pPr>
                    <w:widowControl/>
                    <w:ind w:firstLine="420" w:firstLineChars="200"/>
                    <w:jc w:val="left"/>
                    <w:rPr>
                      <w:rFonts w:hint="default" w:ascii="Times New Roman" w:hAnsi="Times New Roman" w:eastAsia="宋体" w:cs="Times New Roman"/>
                      <w:bCs/>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本项目使用的油性油墨、</w:t>
                  </w:r>
                  <w:r>
                    <w:rPr>
                      <w:rFonts w:hint="eastAsia" w:ascii="Times New Roman" w:hAnsi="Times New Roman" w:eastAsia="宋体" w:cs="Times New Roman"/>
                      <w:color w:val="auto"/>
                      <w:kern w:val="0"/>
                      <w:sz w:val="21"/>
                      <w:szCs w:val="21"/>
                      <w:highlight w:val="none"/>
                      <w:shd w:val="clear" w:color="auto" w:fill="auto"/>
                      <w:lang w:val="en-US" w:eastAsia="zh-CN"/>
                    </w:rPr>
                    <w:t>清洗剂均为溶剂型，因此已编制相应的不可替代证明。</w:t>
                  </w:r>
                </w:p>
                <w:p w14:paraId="5DE8AE2D">
                  <w:pPr>
                    <w:widowControl/>
                    <w:numPr>
                      <w:ilvl w:val="0"/>
                      <w:numId w:val="4"/>
                    </w:numPr>
                    <w:jc w:val="left"/>
                    <w:rPr>
                      <w:rFonts w:hint="eastAsia"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已制定监测计划。</w:t>
                  </w:r>
                </w:p>
                <w:p w14:paraId="2EF71E7A">
                  <w:pPr>
                    <w:widowControl/>
                    <w:numPr>
                      <w:ilvl w:val="0"/>
                      <w:numId w:val="4"/>
                    </w:numPr>
                    <w:jc w:val="left"/>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本项目已</w:t>
                  </w:r>
                  <w:r>
                    <w:rPr>
                      <w:rFonts w:hint="default" w:ascii="Times New Roman" w:hAnsi="Times New Roman" w:eastAsia="宋体" w:cs="Times New Roman"/>
                      <w:color w:val="auto"/>
                      <w:sz w:val="21"/>
                      <w:szCs w:val="21"/>
                      <w:highlight w:val="none"/>
                      <w:shd w:val="clear" w:color="auto" w:fill="auto"/>
                    </w:rPr>
                    <w:t>要求</w:t>
                  </w:r>
                  <w:r>
                    <w:rPr>
                      <w:rFonts w:hint="eastAsia" w:ascii="Times New Roman" w:hAnsi="Times New Roman" w:eastAsia="宋体" w:cs="Times New Roman"/>
                      <w:color w:val="auto"/>
                      <w:sz w:val="21"/>
                      <w:szCs w:val="21"/>
                      <w:highlight w:val="none"/>
                      <w:shd w:val="clear" w:color="auto" w:fill="auto"/>
                      <w:lang w:val="en-US" w:eastAsia="zh-CN"/>
                    </w:rPr>
                    <w:t>活性炭</w:t>
                  </w:r>
                  <w:r>
                    <w:rPr>
                      <w:rFonts w:hint="default" w:ascii="Times New Roman" w:hAnsi="Times New Roman" w:eastAsia="宋体" w:cs="Times New Roman"/>
                      <w:color w:val="auto"/>
                      <w:sz w:val="21"/>
                      <w:szCs w:val="21"/>
                      <w:highlight w:val="none"/>
                      <w:shd w:val="clear" w:color="auto" w:fill="auto"/>
                    </w:rPr>
                    <w:t>足量添加、定期更换；使用柱状炭(颗粒炭) ，碘吸附值不低于800毫克/克；</w:t>
                  </w:r>
                  <w:r>
                    <w:rPr>
                      <w:rFonts w:hint="eastAsia" w:ascii="Times New Roman" w:hAnsi="Times New Roman" w:eastAsia="宋体" w:cs="Times New Roman"/>
                      <w:color w:val="auto"/>
                      <w:sz w:val="21"/>
                      <w:szCs w:val="21"/>
                      <w:highlight w:val="none"/>
                      <w:shd w:val="clear" w:color="auto" w:fill="auto"/>
                      <w:lang w:val="en-US" w:eastAsia="zh-CN"/>
                    </w:rPr>
                    <w:t>经计算</w:t>
                  </w:r>
                  <w:r>
                    <w:rPr>
                      <w:rFonts w:hint="default" w:ascii="Times New Roman" w:hAnsi="Times New Roman" w:eastAsia="宋体" w:cs="Times New Roman"/>
                      <w:color w:val="auto"/>
                      <w:sz w:val="21"/>
                      <w:szCs w:val="21"/>
                      <w:highlight w:val="none"/>
                      <w:shd w:val="clear" w:color="auto" w:fill="auto"/>
                    </w:rPr>
                    <w:t>VOCs初始排放速率</w:t>
                  </w:r>
                  <w:r>
                    <w:rPr>
                      <w:rFonts w:hint="eastAsia" w:ascii="Times New Roman" w:hAnsi="Times New Roman" w:eastAsia="宋体" w:cs="Times New Roman"/>
                      <w:color w:val="auto"/>
                      <w:sz w:val="21"/>
                      <w:szCs w:val="21"/>
                      <w:highlight w:val="none"/>
                      <w:shd w:val="clear" w:color="auto" w:fill="auto"/>
                      <w:lang w:val="en-US" w:eastAsia="zh-CN"/>
                    </w:rPr>
                    <w:t>小</w:t>
                  </w:r>
                  <w:r>
                    <w:rPr>
                      <w:rFonts w:hint="default" w:ascii="Times New Roman" w:hAnsi="Times New Roman" w:eastAsia="宋体" w:cs="Times New Roman"/>
                      <w:color w:val="auto"/>
                      <w:sz w:val="21"/>
                      <w:szCs w:val="21"/>
                      <w:highlight w:val="none"/>
                      <w:shd w:val="clear" w:color="auto" w:fill="auto"/>
                    </w:rPr>
                    <w:t>于2kg/h</w:t>
                  </w:r>
                  <w:r>
                    <w:rPr>
                      <w:rFonts w:hint="eastAsia" w:ascii="Times New Roman" w:hAnsi="Times New Roman" w:eastAsia="宋体" w:cs="Times New Roman"/>
                      <w:color w:val="auto"/>
                      <w:sz w:val="21"/>
                      <w:szCs w:val="21"/>
                      <w:highlight w:val="none"/>
                      <w:shd w:val="clear" w:color="auto" w:fill="auto"/>
                      <w:lang w:eastAsia="zh-CN"/>
                    </w:rPr>
                    <w:t>。</w:t>
                  </w:r>
                </w:p>
                <w:p w14:paraId="565460C4">
                  <w:pPr>
                    <w:widowControl/>
                    <w:numPr>
                      <w:ilvl w:val="0"/>
                      <w:numId w:val="4"/>
                    </w:numPr>
                    <w:jc w:val="left"/>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本项目</w:t>
                  </w:r>
                  <w:r>
                    <w:rPr>
                      <w:rFonts w:hint="default" w:ascii="Times New Roman" w:hAnsi="Times New Roman" w:eastAsia="宋体" w:cs="Times New Roman"/>
                      <w:b w:val="0"/>
                      <w:bCs/>
                      <w:color w:val="auto"/>
                      <w:sz w:val="21"/>
                      <w:szCs w:val="21"/>
                      <w:highlight w:val="none"/>
                      <w:shd w:val="clear" w:color="auto" w:fill="auto"/>
                      <w:lang w:val="en-US" w:eastAsia="zh-CN"/>
                    </w:rPr>
                    <w:t>为</w:t>
                  </w:r>
                  <w:r>
                    <w:rPr>
                      <w:rFonts w:hint="eastAsia" w:ascii="Times New Roman" w:hAnsi="Times New Roman" w:eastAsia="宋体" w:cs="Times New Roman"/>
                      <w:b w:val="0"/>
                      <w:bCs/>
                      <w:color w:val="auto"/>
                      <w:sz w:val="21"/>
                      <w:szCs w:val="21"/>
                      <w:highlight w:val="none"/>
                      <w:shd w:val="clear" w:color="auto" w:fill="auto"/>
                      <w:lang w:val="en-US" w:eastAsia="zh-CN"/>
                    </w:rPr>
                    <w:t>环保塑料袋（厚度大于0.025毫米）</w:t>
                  </w:r>
                  <w:r>
                    <w:rPr>
                      <w:rFonts w:hint="default" w:ascii="Times New Roman" w:hAnsi="Times New Roman" w:eastAsia="宋体" w:cs="Times New Roman"/>
                      <w:b w:val="0"/>
                      <w:bCs/>
                      <w:color w:val="auto"/>
                      <w:sz w:val="21"/>
                      <w:szCs w:val="21"/>
                      <w:highlight w:val="none"/>
                      <w:shd w:val="clear" w:color="auto" w:fill="auto"/>
                      <w:lang w:val="en-US" w:eastAsia="zh-CN"/>
                    </w:rPr>
                    <w:t>生产项目</w:t>
                  </w:r>
                  <w:r>
                    <w:rPr>
                      <w:rFonts w:hint="eastAsia" w:ascii="Times New Roman" w:hAnsi="Times New Roman" w:eastAsia="宋体" w:cs="Times New Roman"/>
                      <w:b w:val="0"/>
                      <w:bCs/>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rPr>
                    <w:t>VOCs</w:t>
                  </w:r>
                  <w:r>
                    <w:rPr>
                      <w:rFonts w:hint="eastAsia" w:ascii="Times New Roman" w:hAnsi="Times New Roman" w:eastAsia="宋体" w:cs="Times New Roman"/>
                      <w:color w:val="auto"/>
                      <w:sz w:val="21"/>
                      <w:szCs w:val="21"/>
                      <w:highlight w:val="none"/>
                      <w:shd w:val="clear" w:color="auto" w:fill="auto"/>
                      <w:lang w:val="en-US" w:eastAsia="zh-CN"/>
                    </w:rPr>
                    <w:t>废气排放量</w:t>
                  </w:r>
                  <w:r>
                    <w:rPr>
                      <w:rFonts w:hint="default" w:ascii="Times New Roman" w:hAnsi="Times New Roman" w:eastAsia="宋体" w:cs="Times New Roman"/>
                      <w:color w:val="auto"/>
                      <w:sz w:val="21"/>
                      <w:szCs w:val="21"/>
                      <w:highlight w:val="none"/>
                      <w:shd w:val="clear" w:color="auto" w:fill="auto"/>
                    </w:rPr>
                    <w:t>3万立方米</w:t>
                  </w:r>
                  <w:r>
                    <w:rPr>
                      <w:rFonts w:hint="eastAsia" w:ascii="Times New Roman" w:hAnsi="Times New Roman" w:eastAsia="宋体" w:cs="Times New Roman"/>
                      <w:color w:val="auto"/>
                      <w:sz w:val="21"/>
                      <w:szCs w:val="21"/>
                      <w:highlight w:val="none"/>
                      <w:shd w:val="clear" w:color="auto" w:fill="auto"/>
                      <w:lang w:val="en-US" w:eastAsia="zh-CN"/>
                    </w:rPr>
                    <w:t>以下，无需</w:t>
                  </w:r>
                  <w:r>
                    <w:rPr>
                      <w:rFonts w:hint="default" w:ascii="Times New Roman" w:hAnsi="Times New Roman" w:eastAsia="宋体" w:cs="Times New Roman"/>
                      <w:color w:val="auto"/>
                      <w:sz w:val="21"/>
                      <w:szCs w:val="21"/>
                      <w:highlight w:val="none"/>
                      <w:shd w:val="clear" w:color="auto" w:fill="auto"/>
                    </w:rPr>
                    <w:t>安装VOCs 自动监测设备</w:t>
                  </w:r>
                  <w:r>
                    <w:rPr>
                      <w:rFonts w:hint="eastAsia" w:ascii="Times New Roman" w:hAnsi="Times New Roman" w:eastAsia="宋体" w:cs="Times New Roman"/>
                      <w:color w:val="auto"/>
                      <w:sz w:val="21"/>
                      <w:szCs w:val="21"/>
                      <w:highlight w:val="none"/>
                      <w:shd w:val="clear" w:color="auto" w:fill="auto"/>
                      <w:lang w:eastAsia="zh-CN"/>
                    </w:rPr>
                    <w:t>。</w:t>
                  </w:r>
                </w:p>
              </w:tc>
              <w:tc>
                <w:tcPr>
                  <w:tcW w:w="347" w:type="pct"/>
                  <w:tcBorders>
                    <w:tl2br w:val="nil"/>
                    <w:tr2bl w:val="nil"/>
                  </w:tcBorders>
                  <w:vAlign w:val="center"/>
                </w:tcPr>
                <w:p w14:paraId="31E3BFD2">
                  <w:pPr>
                    <w:widowControl/>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是</w:t>
                  </w:r>
                </w:p>
              </w:tc>
            </w:tr>
            <w:tr w14:paraId="7D6CA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shd w:val="clear" w:color="auto" w:fill="auto"/>
                  <w:vAlign w:val="center"/>
                </w:tcPr>
                <w:p w14:paraId="4330674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5</w:t>
                  </w:r>
                </w:p>
              </w:tc>
              <w:tc>
                <w:tcPr>
                  <w:tcW w:w="802" w:type="pct"/>
                  <w:tcBorders>
                    <w:tl2br w:val="nil"/>
                    <w:tr2bl w:val="nil"/>
                  </w:tcBorders>
                  <w:vAlign w:val="center"/>
                </w:tcPr>
                <w:p w14:paraId="3124D4B4">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《江苏省挥发性有机物污染防治管理办法》（省政府令第119号）</w:t>
                  </w:r>
                </w:p>
              </w:tc>
              <w:tc>
                <w:tcPr>
                  <w:tcW w:w="2534" w:type="pct"/>
                  <w:tcBorders>
                    <w:tl2br w:val="nil"/>
                    <w:tr2bl w:val="nil"/>
                  </w:tcBorders>
                  <w:vAlign w:val="center"/>
                </w:tcPr>
                <w:p w14:paraId="1639F94A">
                  <w:pPr>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第二十一条</w:t>
                  </w:r>
                  <w:r>
                    <w:rPr>
                      <w:rFonts w:hint="default" w:ascii="Times New Roman" w:hAnsi="Times New Roman" w:eastAsia="宋体" w:cs="Times New Roman"/>
                      <w:color w:val="auto"/>
                      <w:sz w:val="21"/>
                      <w:szCs w:val="21"/>
                      <w:highlight w:val="none"/>
                      <w:shd w:val="clear" w:color="auto" w:fill="auto"/>
                      <w:lang w:val="en-US" w:eastAsia="zh-CN"/>
                    </w:rPr>
                    <w:t xml:space="preserve">  </w:t>
                  </w:r>
                  <w:r>
                    <w:rPr>
                      <w:rFonts w:hint="default" w:ascii="Times New Roman" w:hAnsi="Times New Roman" w:eastAsia="宋体" w:cs="Times New Roman"/>
                      <w:color w:val="auto"/>
                      <w:sz w:val="21"/>
                      <w:szCs w:val="21"/>
                      <w:highlight w:val="none"/>
                      <w:shd w:val="clear" w:color="auto" w:fill="auto"/>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6DE7E13D">
                  <w:pPr>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无法在密闭空间进行的生产经营活动应当采取有效措施，减少挥发性有机物排放量。</w:t>
                  </w:r>
                </w:p>
              </w:tc>
              <w:tc>
                <w:tcPr>
                  <w:tcW w:w="1107" w:type="pct"/>
                  <w:tcBorders>
                    <w:tl2br w:val="nil"/>
                    <w:tr2bl w:val="nil"/>
                  </w:tcBorders>
                  <w:vAlign w:val="center"/>
                </w:tcPr>
                <w:p w14:paraId="57A55C16">
                  <w:pPr>
                    <w:widowControl/>
                    <w:jc w:val="left"/>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eastAsia="zh-CN"/>
                    </w:rPr>
                    <w:t>本项目破碎粉尘经设备自带的布袋除尘器处理后车间无组织排放，调墨、印刷、复合、熟化、清洗废气各自收集后通过一套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二级活性炭处理，经1根18m高的排气筒1#排放，吹膜、制袋废气各自收集后通过一套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#排放。</w:t>
                  </w:r>
                  <w:r>
                    <w:rPr>
                      <w:rFonts w:hint="default" w:ascii="Times New Roman" w:hAnsi="Times New Roman" w:eastAsia="宋体" w:cs="Times New Roman"/>
                      <w:bCs/>
                      <w:color w:val="auto"/>
                      <w:sz w:val="21"/>
                      <w:szCs w:val="21"/>
                      <w:highlight w:val="none"/>
                      <w:shd w:val="clear" w:color="auto" w:fill="auto"/>
                    </w:rPr>
                    <w:t>对周围环境影响较小。</w:t>
                  </w:r>
                </w:p>
              </w:tc>
              <w:tc>
                <w:tcPr>
                  <w:tcW w:w="347" w:type="pct"/>
                  <w:tcBorders>
                    <w:tl2br w:val="nil"/>
                    <w:tr2bl w:val="nil"/>
                  </w:tcBorders>
                  <w:vAlign w:val="center"/>
                </w:tcPr>
                <w:p w14:paraId="3AB69F7A">
                  <w:pPr>
                    <w:widowControl/>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是</w:t>
                  </w:r>
                </w:p>
              </w:tc>
            </w:tr>
            <w:tr w14:paraId="1DEF4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shd w:val="clear" w:color="auto" w:fill="auto"/>
                  <w:vAlign w:val="center"/>
                </w:tcPr>
                <w:p w14:paraId="2B4AA62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6</w:t>
                  </w:r>
                </w:p>
              </w:tc>
              <w:tc>
                <w:tcPr>
                  <w:tcW w:w="802" w:type="pct"/>
                  <w:tcBorders>
                    <w:tl2br w:val="nil"/>
                    <w:tr2bl w:val="nil"/>
                  </w:tcBorders>
                  <w:vAlign w:val="center"/>
                </w:tcPr>
                <w:p w14:paraId="416A8BCC">
                  <w:pPr>
                    <w:widowControl/>
                    <w:spacing w:line="24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《江苏省重点行业挥发性有机物污染控制指南》（苏环办[2014]128号）</w:t>
                  </w:r>
                </w:p>
              </w:tc>
              <w:tc>
                <w:tcPr>
                  <w:tcW w:w="2534" w:type="pct"/>
                  <w:tcBorders>
                    <w:tl2br w:val="nil"/>
                    <w:tr2bl w:val="nil"/>
                  </w:tcBorders>
                  <w:vAlign w:val="center"/>
                </w:tcPr>
                <w:p w14:paraId="1580AD2F">
                  <w:pPr>
                    <w:widowControl/>
                    <w:spacing w:line="240" w:lineRule="atLeas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废气处理的工艺路线应根据废气产生量、污染物组分和性质、温度、压力等因素，综合分析后合理选择</w:t>
                  </w:r>
                </w:p>
              </w:tc>
              <w:tc>
                <w:tcPr>
                  <w:tcW w:w="1107" w:type="pct"/>
                  <w:tcBorders>
                    <w:tl2br w:val="nil"/>
                    <w:tr2bl w:val="nil"/>
                  </w:tcBorders>
                  <w:vAlign w:val="center"/>
                </w:tcPr>
                <w:p w14:paraId="5A83CD30">
                  <w:pPr>
                    <w:widowControl/>
                    <w:jc w:val="left"/>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eastAsia="zh-CN"/>
                    </w:rPr>
                    <w:t>本项目破碎粉尘经设备自带的布袋除尘器处理后车间无组织排放，调墨、印刷、复合、熟化、清洗废气各自收集后通过一套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1#</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二级活性炭处理，经1根18m高的排气筒1#排放，吹膜、制袋废气各自收集后通过一套</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二级活性炭处理，经1根18m高的排气筒</w:t>
                  </w: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eastAsia="zh-CN"/>
                    </w:rPr>
                    <w:t>#排放。</w:t>
                  </w:r>
                  <w:r>
                    <w:rPr>
                      <w:rFonts w:hint="eastAsia" w:ascii="Times New Roman" w:hAnsi="Times New Roman" w:eastAsia="宋体" w:cs="Times New Roman"/>
                      <w:color w:val="auto"/>
                      <w:sz w:val="21"/>
                      <w:szCs w:val="21"/>
                      <w:highlight w:val="none"/>
                      <w:shd w:val="clear" w:color="auto" w:fill="auto"/>
                      <w:lang w:val="en-US" w:eastAsia="zh-CN"/>
                    </w:rPr>
                    <w:t>本项目废气收集效率和二级活性炭对VOCs的去除效率均可达90%，</w:t>
                  </w:r>
                  <w:r>
                    <w:rPr>
                      <w:rFonts w:hint="default" w:ascii="Times New Roman" w:hAnsi="Times New Roman" w:eastAsia="宋体" w:cs="Times New Roman"/>
                      <w:bCs/>
                      <w:color w:val="auto"/>
                      <w:sz w:val="21"/>
                      <w:szCs w:val="21"/>
                      <w:highlight w:val="none"/>
                      <w:shd w:val="clear" w:color="auto" w:fill="auto"/>
                    </w:rPr>
                    <w:t>对周围环境影响较小。</w:t>
                  </w:r>
                </w:p>
              </w:tc>
              <w:tc>
                <w:tcPr>
                  <w:tcW w:w="347" w:type="pct"/>
                  <w:tcBorders>
                    <w:tl2br w:val="nil"/>
                    <w:tr2bl w:val="nil"/>
                  </w:tcBorders>
                  <w:vAlign w:val="center"/>
                </w:tcPr>
                <w:p w14:paraId="69FAFF70">
                  <w:pPr>
                    <w:widowControl/>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是</w:t>
                  </w:r>
                </w:p>
              </w:tc>
            </w:tr>
            <w:tr w14:paraId="1957A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shd w:val="clear" w:color="auto" w:fill="auto"/>
                  <w:vAlign w:val="center"/>
                </w:tcPr>
                <w:p w14:paraId="3CFD7395">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7</w:t>
                  </w:r>
                </w:p>
              </w:tc>
              <w:tc>
                <w:tcPr>
                  <w:tcW w:w="802" w:type="pct"/>
                  <w:tcBorders>
                    <w:tl2br w:val="nil"/>
                    <w:tr2bl w:val="nil"/>
                  </w:tcBorders>
                  <w:vAlign w:val="center"/>
                </w:tcPr>
                <w:p w14:paraId="1F123754">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关于印发《环境保护综合名录（2021年版）的通知》</w:t>
                  </w:r>
                </w:p>
              </w:tc>
              <w:tc>
                <w:tcPr>
                  <w:tcW w:w="2534" w:type="pct"/>
                  <w:tcBorders>
                    <w:tl2br w:val="nil"/>
                    <w:tr2bl w:val="nil"/>
                  </w:tcBorders>
                  <w:vAlign w:val="center"/>
                </w:tcPr>
                <w:p w14:paraId="611CF8B5">
                  <w:pPr>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为深入贯彻习近平生态文明思想，落实党的十九大和十九届二中、三中、四中、五中全会精神，深入打好污染防治攻坚战，坚决遏制“两高”项目盲目发展，引导企业绿色转型，推动行业高质量发展，我部在《环境保护综合名录（2017年版）》基础上，修订形成了《环境保护综合名录（2021年版）》。</w:t>
                  </w:r>
                </w:p>
              </w:tc>
              <w:tc>
                <w:tcPr>
                  <w:tcW w:w="1107" w:type="pct"/>
                  <w:tcBorders>
                    <w:tl2br w:val="nil"/>
                    <w:tr2bl w:val="nil"/>
                  </w:tcBorders>
                  <w:vAlign w:val="center"/>
                </w:tcPr>
                <w:p w14:paraId="47E85125">
                  <w:pPr>
                    <w:widowControl/>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本项目行业类别为</w:t>
                  </w:r>
                  <w:r>
                    <w:rPr>
                      <w:rFonts w:hint="eastAsia" w:ascii="Times New Roman" w:hAnsi="Times New Roman" w:eastAsia="宋体" w:cs="Times New Roman"/>
                      <w:color w:val="auto"/>
                      <w:kern w:val="0"/>
                      <w:sz w:val="21"/>
                      <w:szCs w:val="21"/>
                      <w:highlight w:val="none"/>
                      <w:shd w:val="clear" w:color="auto" w:fill="auto"/>
                      <w:lang w:eastAsia="zh-CN"/>
                    </w:rPr>
                    <w:t>C2923 塑料丝、绳及编织品制造</w:t>
                  </w:r>
                  <w:r>
                    <w:rPr>
                      <w:rFonts w:hint="default" w:ascii="Times New Roman" w:hAnsi="Times New Roman" w:eastAsia="宋体" w:cs="Times New Roman"/>
                      <w:color w:val="auto"/>
                      <w:kern w:val="0"/>
                      <w:sz w:val="21"/>
                      <w:szCs w:val="21"/>
                      <w:highlight w:val="none"/>
                      <w:shd w:val="clear" w:color="auto" w:fill="auto"/>
                    </w:rPr>
                    <w:t>，不属于两高项目</w:t>
                  </w:r>
                  <w:r>
                    <w:rPr>
                      <w:rFonts w:hint="eastAsia" w:ascii="Times New Roman" w:hAnsi="Times New Roman" w:eastAsia="宋体" w:cs="Times New Roman"/>
                      <w:color w:val="auto"/>
                      <w:kern w:val="0"/>
                      <w:sz w:val="21"/>
                      <w:szCs w:val="21"/>
                      <w:highlight w:val="none"/>
                      <w:shd w:val="clear" w:color="auto" w:fill="auto"/>
                      <w:lang w:eastAsia="zh-CN"/>
                    </w:rPr>
                    <w:t>，</w:t>
                  </w:r>
                  <w:r>
                    <w:rPr>
                      <w:rFonts w:hint="default" w:ascii="Times New Roman" w:hAnsi="Times New Roman" w:eastAsia="宋体" w:cs="Times New Roman"/>
                      <w:color w:val="auto"/>
                      <w:kern w:val="0"/>
                      <w:sz w:val="21"/>
                      <w:szCs w:val="21"/>
                      <w:highlight w:val="none"/>
                      <w:shd w:val="clear" w:color="auto" w:fill="auto"/>
                    </w:rPr>
                    <w:t>同时，本项目采用的工艺技术和装备先进且适用。</w:t>
                  </w:r>
                </w:p>
              </w:tc>
              <w:tc>
                <w:tcPr>
                  <w:tcW w:w="347" w:type="pct"/>
                  <w:tcBorders>
                    <w:tl2br w:val="nil"/>
                    <w:tr2bl w:val="nil"/>
                  </w:tcBorders>
                  <w:vAlign w:val="center"/>
                </w:tcPr>
                <w:p w14:paraId="275C733B">
                  <w:pPr>
                    <w:widowControl/>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是</w:t>
                  </w:r>
                </w:p>
              </w:tc>
            </w:tr>
            <w:tr w14:paraId="12D71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8" w:type="pct"/>
                  <w:tcBorders>
                    <w:tl2br w:val="nil"/>
                    <w:tr2bl w:val="nil"/>
                  </w:tcBorders>
                  <w:vAlign w:val="center"/>
                </w:tcPr>
                <w:p w14:paraId="06981298">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8</w:t>
                  </w:r>
                </w:p>
              </w:tc>
              <w:tc>
                <w:tcPr>
                  <w:tcW w:w="802" w:type="pct"/>
                  <w:tcBorders>
                    <w:tl2br w:val="nil"/>
                    <w:tr2bl w:val="nil"/>
                  </w:tcBorders>
                  <w:vAlign w:val="center"/>
                </w:tcPr>
                <w:p w14:paraId="7F096C8C">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市生态环境局关于建设项目的审批指导意见（试行）</w:t>
                  </w:r>
                </w:p>
              </w:tc>
              <w:tc>
                <w:tcPr>
                  <w:tcW w:w="2534" w:type="pct"/>
                  <w:tcBorders>
                    <w:tl2br w:val="nil"/>
                    <w:tr2bl w:val="nil"/>
                  </w:tcBorders>
                  <w:vAlign w:val="center"/>
                </w:tcPr>
                <w:p w14:paraId="6DFAE0D5">
                  <w:pPr>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重点区域为常州市大气质量国控站点周边3km范围。高耗能项目为：石油、煤炭及其他燃料加工业，电力、热力生产和供应业，非金属矿物制品业，食品制造业，黑色金属冶炼和压延加工业，有色金属冶炼和压延加工业，造纸及纸制品业，化学原料和化学制品制造业。</w:t>
                  </w:r>
                </w:p>
              </w:tc>
              <w:tc>
                <w:tcPr>
                  <w:tcW w:w="1107" w:type="pct"/>
                  <w:tcBorders>
                    <w:tl2br w:val="nil"/>
                    <w:tr2bl w:val="nil"/>
                  </w:tcBorders>
                  <w:vAlign w:val="center"/>
                </w:tcPr>
                <w:p w14:paraId="6D0EED2E">
                  <w:pPr>
                    <w:widowControl/>
                    <w:jc w:val="left"/>
                    <w:rPr>
                      <w:rFonts w:hint="default" w:ascii="Times New Roman" w:hAnsi="Times New Roman" w:eastAsia="宋体" w:cs="Times New Roman"/>
                      <w:color w:val="auto"/>
                      <w:sz w:val="21"/>
                      <w:szCs w:val="21"/>
                      <w:highlight w:val="none"/>
                      <w:shd w:val="clear" w:color="auto" w:fill="auto"/>
                      <w:lang w:val="en-US"/>
                    </w:rPr>
                  </w:pPr>
                  <w:r>
                    <w:rPr>
                      <w:rFonts w:hint="default" w:ascii="Times New Roman" w:hAnsi="Times New Roman" w:eastAsia="宋体" w:cs="Times New Roman"/>
                      <w:color w:val="auto"/>
                      <w:sz w:val="21"/>
                      <w:szCs w:val="21"/>
                      <w:highlight w:val="none"/>
                      <w:shd w:val="clear" w:color="auto" w:fill="auto"/>
                    </w:rPr>
                    <w:t>项目距离最近的国控站点金坛城区直线距离约</w:t>
                  </w: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lang w:val="en-US" w:eastAsia="zh-CN"/>
                    </w:rPr>
                    <w:t>.3km</w:t>
                  </w:r>
                  <w:r>
                    <w:rPr>
                      <w:rFonts w:hint="default" w:ascii="Times New Roman" w:hAnsi="Times New Roman" w:eastAsia="宋体" w:cs="Times New Roman"/>
                      <w:color w:val="auto"/>
                      <w:sz w:val="21"/>
                      <w:szCs w:val="21"/>
                      <w:highlight w:val="none"/>
                      <w:shd w:val="clear" w:color="auto" w:fill="auto"/>
                    </w:rPr>
                    <w:t>，不属于重点区域。本项目</w:t>
                  </w:r>
                  <w:r>
                    <w:rPr>
                      <w:rFonts w:hint="default" w:ascii="Times New Roman" w:hAnsi="Times New Roman" w:eastAsia="宋体" w:cs="Times New Roman"/>
                      <w:color w:val="auto"/>
                      <w:sz w:val="21"/>
                      <w:szCs w:val="21"/>
                      <w:highlight w:val="none"/>
                      <w:shd w:val="clear" w:color="auto" w:fill="auto"/>
                      <w:lang w:eastAsia="zh-CN"/>
                    </w:rPr>
                    <w:t>从事</w:t>
                  </w:r>
                  <w:r>
                    <w:rPr>
                      <w:rFonts w:hint="eastAsia" w:ascii="Times New Roman" w:hAnsi="Times New Roman" w:eastAsia="宋体" w:cs="Times New Roman"/>
                      <w:color w:val="auto"/>
                      <w:sz w:val="21"/>
                      <w:szCs w:val="21"/>
                      <w:highlight w:val="none"/>
                      <w:shd w:val="clear" w:color="auto" w:fill="auto"/>
                      <w:lang w:val="en-US" w:eastAsia="zh-CN"/>
                    </w:rPr>
                    <w:t>环保塑料袋</w:t>
                  </w:r>
                  <w:r>
                    <w:rPr>
                      <w:rFonts w:hint="default" w:ascii="Times New Roman" w:hAnsi="Times New Roman" w:eastAsia="宋体" w:cs="Times New Roman"/>
                      <w:color w:val="auto"/>
                      <w:sz w:val="21"/>
                      <w:szCs w:val="21"/>
                      <w:highlight w:val="none"/>
                      <w:shd w:val="clear" w:color="auto" w:fill="auto"/>
                      <w:lang w:eastAsia="zh-CN"/>
                    </w:rPr>
                    <w:t>生产，</w:t>
                  </w:r>
                  <w:r>
                    <w:rPr>
                      <w:rFonts w:hint="default" w:ascii="Times New Roman" w:hAnsi="Times New Roman" w:eastAsia="宋体" w:cs="Times New Roman"/>
                      <w:color w:val="auto"/>
                      <w:sz w:val="21"/>
                      <w:szCs w:val="21"/>
                      <w:highlight w:val="none"/>
                      <w:shd w:val="clear" w:color="auto" w:fill="auto"/>
                      <w:lang w:val="en-US" w:eastAsia="zh-CN"/>
                    </w:rPr>
                    <w:t>不属于高能耗项目。</w:t>
                  </w:r>
                </w:p>
              </w:tc>
              <w:tc>
                <w:tcPr>
                  <w:tcW w:w="347" w:type="pct"/>
                  <w:tcBorders>
                    <w:tl2br w:val="nil"/>
                    <w:tr2bl w:val="nil"/>
                  </w:tcBorders>
                  <w:vAlign w:val="center"/>
                </w:tcPr>
                <w:p w14:paraId="0342091F">
                  <w:pPr>
                    <w:widowControl/>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是</w:t>
                  </w:r>
                </w:p>
              </w:tc>
            </w:tr>
          </w:tbl>
          <w:p w14:paraId="3DE9340E">
            <w:pPr>
              <w:pStyle w:val="6"/>
              <w:rPr>
                <w:rFonts w:hint="default" w:ascii="Times New Roman" w:hAnsi="Times New Roman" w:eastAsia="宋体" w:cs="Times New Roman"/>
                <w:color w:val="auto"/>
                <w:highlight w:val="none"/>
                <w:shd w:val="clear" w:color="auto" w:fill="auto"/>
                <w:vertAlign w:val="baseline"/>
              </w:rPr>
            </w:pPr>
          </w:p>
        </w:tc>
      </w:tr>
    </w:tbl>
    <w:p w14:paraId="06982DF2">
      <w:pPr>
        <w:pStyle w:val="6"/>
        <w:rPr>
          <w:rFonts w:hint="default" w:ascii="Times New Roman" w:hAnsi="Times New Roman" w:eastAsia="宋体" w:cs="Times New Roman"/>
          <w:color w:val="auto"/>
          <w:highlight w:val="none"/>
          <w:shd w:val="clear" w:color="auto" w:fill="auto"/>
        </w:rPr>
        <w:sectPr>
          <w:pgSz w:w="16838" w:h="11906" w:orient="landscape"/>
          <w:pgMar w:top="1418" w:right="1418" w:bottom="1418"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8C499B">
      <w:pPr>
        <w:pStyle w:val="4"/>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二、建设项目工程分析</w:t>
      </w:r>
    </w:p>
    <w:tbl>
      <w:tblPr>
        <w:tblStyle w:val="28"/>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574"/>
      </w:tblGrid>
      <w:tr w14:paraId="34F1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6" w:type="pct"/>
            <w:vAlign w:val="center"/>
          </w:tcPr>
          <w:p w14:paraId="05C10799">
            <w:pPr>
              <w:jc w:val="center"/>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rPr>
              <w:t>建设内容</w:t>
            </w:r>
          </w:p>
        </w:tc>
        <w:tc>
          <w:tcPr>
            <w:tcW w:w="4623" w:type="pct"/>
          </w:tcPr>
          <w:p w14:paraId="532C3774">
            <w:pPr>
              <w:spacing w:line="360" w:lineRule="auto"/>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rPr>
              <w:t>1、工程概况</w:t>
            </w:r>
          </w:p>
          <w:p w14:paraId="5DC943F5">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eastAsia="zh-CN"/>
              </w:rPr>
            </w:pPr>
            <w:r>
              <w:rPr>
                <w:rFonts w:hint="eastAsia" w:ascii="Times New Roman" w:hAnsi="Times New Roman" w:eastAsia="宋体" w:cs="Times New Roman"/>
                <w:color w:val="auto"/>
                <w:sz w:val="24"/>
                <w:highlight w:val="none"/>
                <w:shd w:val="clear" w:color="auto" w:fill="auto"/>
                <w:lang w:val="en-US" w:eastAsia="zh-CN"/>
              </w:rPr>
              <w:t>江苏冠龙新材料科技有限公司</w:t>
            </w:r>
            <w:r>
              <w:rPr>
                <w:rFonts w:hint="default" w:ascii="Times New Roman" w:hAnsi="Times New Roman" w:eastAsia="宋体" w:cs="Times New Roman"/>
                <w:color w:val="auto"/>
                <w:sz w:val="24"/>
                <w:highlight w:val="none"/>
                <w:shd w:val="clear" w:color="auto" w:fill="auto"/>
                <w:lang w:val="en-US"/>
              </w:rPr>
              <w:t>成立于20</w:t>
            </w:r>
            <w:r>
              <w:rPr>
                <w:rFonts w:hint="default" w:ascii="Times New Roman" w:hAnsi="Times New Roman" w:eastAsia="宋体" w:cs="Times New Roman"/>
                <w:color w:val="auto"/>
                <w:sz w:val="24"/>
                <w:highlight w:val="none"/>
                <w:shd w:val="clear" w:color="auto" w:fill="auto"/>
                <w:lang w:val="en-US" w:eastAsia="zh-CN"/>
              </w:rPr>
              <w:t>1</w:t>
            </w:r>
            <w:r>
              <w:rPr>
                <w:rFonts w:hint="eastAsia" w:ascii="Times New Roman" w:hAnsi="Times New Roman" w:eastAsia="宋体" w:cs="Times New Roman"/>
                <w:color w:val="auto"/>
                <w:sz w:val="24"/>
                <w:highlight w:val="none"/>
                <w:shd w:val="clear" w:color="auto" w:fill="auto"/>
                <w:lang w:val="en-US" w:eastAsia="zh-CN"/>
              </w:rPr>
              <w:t>6</w:t>
            </w:r>
            <w:r>
              <w:rPr>
                <w:rFonts w:hint="default" w:ascii="Times New Roman" w:hAnsi="Times New Roman" w:eastAsia="宋体" w:cs="Times New Roman"/>
                <w:color w:val="auto"/>
                <w:sz w:val="24"/>
                <w:highlight w:val="none"/>
                <w:shd w:val="clear" w:color="auto" w:fill="auto"/>
                <w:lang w:val="en-US"/>
              </w:rPr>
              <w:t>年</w:t>
            </w:r>
            <w:r>
              <w:rPr>
                <w:rFonts w:hint="default" w:ascii="Times New Roman" w:hAnsi="Times New Roman" w:eastAsia="宋体" w:cs="Times New Roman"/>
                <w:color w:val="auto"/>
                <w:sz w:val="24"/>
                <w:highlight w:val="none"/>
                <w:shd w:val="clear" w:color="auto" w:fill="auto"/>
                <w:lang w:val="en-US" w:eastAsia="zh-CN"/>
              </w:rPr>
              <w:t>0</w:t>
            </w:r>
            <w:r>
              <w:rPr>
                <w:rFonts w:hint="eastAsia" w:ascii="Times New Roman" w:hAnsi="Times New Roman" w:eastAsia="宋体" w:cs="Times New Roman"/>
                <w:color w:val="auto"/>
                <w:sz w:val="24"/>
                <w:highlight w:val="none"/>
                <w:shd w:val="clear" w:color="auto" w:fill="auto"/>
                <w:lang w:val="en-US" w:eastAsia="zh-CN"/>
              </w:rPr>
              <w:t>8</w:t>
            </w:r>
            <w:r>
              <w:rPr>
                <w:rFonts w:hint="default" w:ascii="Times New Roman" w:hAnsi="Times New Roman" w:eastAsia="宋体" w:cs="Times New Roman"/>
                <w:color w:val="auto"/>
                <w:sz w:val="24"/>
                <w:highlight w:val="none"/>
                <w:shd w:val="clear" w:color="auto" w:fill="auto"/>
                <w:lang w:val="en-US"/>
              </w:rPr>
              <w:t>月</w:t>
            </w:r>
            <w:r>
              <w:rPr>
                <w:rFonts w:hint="eastAsia" w:ascii="Times New Roman" w:hAnsi="Times New Roman" w:eastAsia="宋体" w:cs="Times New Roman"/>
                <w:color w:val="auto"/>
                <w:sz w:val="24"/>
                <w:highlight w:val="none"/>
                <w:shd w:val="clear" w:color="auto" w:fill="auto"/>
                <w:lang w:val="en-US" w:eastAsia="zh-CN"/>
              </w:rPr>
              <w:t>29</w:t>
            </w:r>
            <w:r>
              <w:rPr>
                <w:rFonts w:hint="default" w:ascii="Times New Roman" w:hAnsi="Times New Roman" w:eastAsia="宋体" w:cs="Times New Roman"/>
                <w:color w:val="auto"/>
                <w:sz w:val="24"/>
                <w:highlight w:val="none"/>
                <w:shd w:val="clear" w:color="auto" w:fill="auto"/>
                <w:lang w:val="en-US"/>
              </w:rPr>
              <w:t>日，本公司经营范围包括</w:t>
            </w:r>
            <w:r>
              <w:rPr>
                <w:rFonts w:hint="default"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rPr>
              <w:t>包装膜新材料研发、生产、</w:t>
            </w:r>
            <w:r>
              <w:rPr>
                <w:rFonts w:hint="default" w:ascii="Times New Roman" w:hAnsi="Times New Roman" w:eastAsia="宋体" w:cs="Times New Roman"/>
                <w:color w:val="auto"/>
                <w:sz w:val="24"/>
                <w:highlight w:val="none"/>
                <w:shd w:val="clear" w:color="auto" w:fill="auto"/>
                <w:lang w:val="en-US" w:eastAsia="zh-CN"/>
              </w:rPr>
              <w:t>加工；</w:t>
            </w:r>
            <w:r>
              <w:rPr>
                <w:rFonts w:hint="default" w:ascii="Times New Roman" w:hAnsi="Times New Roman" w:eastAsia="宋体" w:cs="Times New Roman"/>
                <w:color w:val="auto"/>
                <w:sz w:val="24"/>
                <w:highlight w:val="none"/>
                <w:shd w:val="clear" w:color="auto" w:fill="auto"/>
              </w:rPr>
              <w:t>包装材料、橡塑制品、电线电缆、化工原料及产品(不含化学危险品)</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家用电器</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五金工具、钢材、金属材料销售。(依法须经批准的项目</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经相关部门批准后方可开展经营活动</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许可项目</w:t>
            </w:r>
            <w:r>
              <w:rPr>
                <w:rFonts w:hint="eastAsia"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包装装潢印刷品印刷，文件</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资料等其他印刷品印刷</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食品用塑料包装容器工具制品生产(依法须经批准的项目，经相关部门批准后方可开展经营活动，具体经营项目以审批结果为准</w:t>
            </w:r>
            <w:r>
              <w:rPr>
                <w:rFonts w:hint="default" w:ascii="Times New Roman" w:hAnsi="Times New Roman" w:eastAsia="宋体" w:cs="Times New Roman"/>
                <w:color w:val="auto"/>
                <w:sz w:val="24"/>
                <w:highlight w:val="none"/>
                <w:shd w:val="clear" w:color="auto" w:fill="auto"/>
                <w:lang w:val="en-US" w:eastAsia="zh-CN"/>
              </w:rPr>
              <w:t>）</w:t>
            </w:r>
          </w:p>
          <w:p w14:paraId="71E4039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公司原址位于常州市</w:t>
            </w:r>
            <w:r>
              <w:rPr>
                <w:rFonts w:hint="eastAsia" w:ascii="Times New Roman" w:hAnsi="Times New Roman" w:eastAsia="宋体" w:cs="Times New Roman"/>
                <w:color w:val="auto"/>
                <w:sz w:val="24"/>
                <w:lang w:val="en-US" w:eastAsia="zh-CN"/>
              </w:rPr>
              <w:t>金坛经济开发区东康路89号</w:t>
            </w:r>
            <w:r>
              <w:rPr>
                <w:rFonts w:hint="eastAsia" w:ascii="Times New Roman" w:hAnsi="Times New Roman" w:eastAsia="宋体" w:cs="Times New Roman"/>
                <w:color w:val="auto"/>
                <w:sz w:val="24"/>
              </w:rPr>
              <w:t>，租用</w:t>
            </w:r>
            <w:r>
              <w:rPr>
                <w:rFonts w:hint="eastAsia" w:ascii="Times New Roman" w:hAnsi="Times New Roman" w:eastAsia="宋体" w:cs="Times New Roman"/>
                <w:color w:val="auto"/>
                <w:sz w:val="24"/>
                <w:lang w:val="en-US" w:eastAsia="zh-CN"/>
              </w:rPr>
              <w:t>常州安臣美合成材料有限公司</w:t>
            </w:r>
            <w:r>
              <w:rPr>
                <w:rFonts w:hint="eastAsia" w:ascii="Times New Roman" w:hAnsi="Times New Roman" w:eastAsia="宋体" w:cs="Times New Roman"/>
                <w:color w:val="auto"/>
                <w:sz w:val="24"/>
              </w:rPr>
              <w:t>厂房，于20</w:t>
            </w:r>
            <w:r>
              <w:rPr>
                <w:rFonts w:hint="eastAsia" w:ascii="Times New Roman" w:hAnsi="Times New Roman" w:eastAsia="宋体" w:cs="Times New Roman"/>
                <w:color w:val="auto"/>
                <w:sz w:val="24"/>
                <w:lang w:val="en-US" w:eastAsia="zh-CN"/>
              </w:rPr>
              <w:t>17</w:t>
            </w:r>
            <w:r>
              <w:rPr>
                <w:rFonts w:hint="eastAsia" w:ascii="Times New Roman" w:hAnsi="Times New Roman" w:eastAsia="宋体" w:cs="Times New Roman"/>
                <w:color w:val="auto"/>
                <w:sz w:val="24"/>
              </w:rPr>
              <w:t>年报批了《</w:t>
            </w:r>
            <w:r>
              <w:rPr>
                <w:rFonts w:hint="eastAsia" w:ascii="Times New Roman" w:hAnsi="Times New Roman" w:eastAsia="宋体" w:cs="Times New Roman"/>
                <w:color w:val="auto"/>
                <w:sz w:val="24"/>
                <w:highlight w:val="none"/>
                <w:shd w:val="clear" w:color="auto" w:fill="auto"/>
                <w:lang w:val="en-US" w:eastAsia="zh-CN"/>
              </w:rPr>
              <w:t>江苏冠龙新材料科技有限公司</w:t>
            </w:r>
            <w:r>
              <w:rPr>
                <w:rFonts w:hint="eastAsia" w:ascii="Times New Roman" w:hAnsi="Times New Roman" w:eastAsia="宋体" w:cs="Times New Roman"/>
                <w:color w:val="auto"/>
                <w:sz w:val="24"/>
                <w:lang w:val="en-US" w:eastAsia="zh-CN"/>
              </w:rPr>
              <w:t>新建包装膜研发、生产</w:t>
            </w:r>
            <w:r>
              <w:rPr>
                <w:rFonts w:hint="eastAsia" w:ascii="Times New Roman" w:hAnsi="Times New Roman" w:eastAsia="宋体" w:cs="Times New Roman"/>
                <w:color w:val="auto"/>
                <w:sz w:val="24"/>
              </w:rPr>
              <w:t>项目》环境影响报告表，于20</w:t>
            </w:r>
            <w:r>
              <w:rPr>
                <w:rFonts w:hint="eastAsia" w:ascii="Times New Roman" w:hAnsi="Times New Roman" w:eastAsia="宋体" w:cs="Times New Roman"/>
                <w:color w:val="auto"/>
                <w:sz w:val="24"/>
                <w:lang w:val="en-US" w:eastAsia="zh-CN"/>
              </w:rPr>
              <w:t>17</w:t>
            </w:r>
            <w:r>
              <w:rPr>
                <w:rFonts w:hint="eastAsia" w:ascii="Times New Roman" w:hAnsi="Times New Roman" w:eastAsia="宋体" w:cs="Times New Roman"/>
                <w:color w:val="auto"/>
                <w:sz w:val="24"/>
              </w:rPr>
              <w:t>年6月</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rPr>
              <w:t>日取得</w:t>
            </w:r>
            <w:r>
              <w:rPr>
                <w:rFonts w:hint="eastAsia" w:ascii="Times New Roman" w:hAnsi="Times New Roman" w:eastAsia="宋体" w:cs="Times New Roman"/>
                <w:color w:val="auto"/>
                <w:sz w:val="24"/>
                <w:lang w:val="en-US" w:eastAsia="zh-CN"/>
              </w:rPr>
              <w:t>原金坛市环保局</w:t>
            </w:r>
            <w:r>
              <w:rPr>
                <w:rFonts w:hint="eastAsia" w:ascii="Times New Roman" w:hAnsi="Times New Roman" w:eastAsia="宋体" w:cs="Times New Roman"/>
                <w:color w:val="auto"/>
                <w:sz w:val="24"/>
              </w:rPr>
              <w:t>环评批复（</w:t>
            </w:r>
            <w:r>
              <w:rPr>
                <w:rFonts w:hint="eastAsia" w:ascii="Times New Roman" w:hAnsi="Times New Roman" w:eastAsia="宋体" w:cs="Times New Roman"/>
                <w:color w:val="auto"/>
                <w:sz w:val="24"/>
                <w:lang w:val="en-US" w:eastAsia="zh-CN"/>
              </w:rPr>
              <w:t>坛环开审</w:t>
            </w:r>
            <w:r>
              <w:rPr>
                <w:rFonts w:hint="eastAsia"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17</w:t>
            </w:r>
            <w:r>
              <w:rPr>
                <w:rFonts w:hint="eastAsia"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lang w:val="en-US" w:eastAsia="zh-CN"/>
              </w:rPr>
              <w:t>37</w:t>
            </w:r>
            <w:r>
              <w:rPr>
                <w:rFonts w:hint="eastAsia" w:ascii="Times New Roman" w:hAnsi="Times New Roman" w:eastAsia="宋体" w:cs="Times New Roman"/>
                <w:color w:val="auto"/>
                <w:sz w:val="24"/>
              </w:rPr>
              <w:t>号），并于20</w:t>
            </w:r>
            <w:r>
              <w:rPr>
                <w:rFonts w:hint="eastAsia" w:ascii="Times New Roman" w:hAnsi="Times New Roman" w:eastAsia="宋体" w:cs="Times New Roman"/>
                <w:color w:val="auto"/>
                <w:sz w:val="24"/>
                <w:lang w:val="en-US" w:eastAsia="zh-CN"/>
              </w:rPr>
              <w:t>18</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月2</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日取得自主验收意见。</w:t>
            </w:r>
          </w:p>
          <w:p w14:paraId="65596ED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shd w:val="clear" w:color="auto" w:fill="auto"/>
                <w:lang w:val="en-US" w:eastAsia="zh-CN"/>
              </w:rPr>
            </w:pPr>
            <w:r>
              <w:rPr>
                <w:rFonts w:hint="eastAsia" w:ascii="Times New Roman" w:hAnsi="Times New Roman" w:eastAsia="宋体" w:cs="Times New Roman"/>
                <w:color w:val="auto"/>
                <w:sz w:val="24"/>
              </w:rPr>
              <w:t>由于厂房租约到期，</w:t>
            </w:r>
            <w:r>
              <w:rPr>
                <w:rFonts w:hint="eastAsia" w:ascii="Times New Roman" w:hAnsi="Times New Roman" w:eastAsia="宋体" w:cs="Times New Roman"/>
                <w:color w:val="auto"/>
                <w:sz w:val="24"/>
                <w:lang w:val="en-US" w:eastAsia="zh-CN"/>
              </w:rPr>
              <w:t>现迁建至</w:t>
            </w:r>
            <w:r>
              <w:rPr>
                <w:rFonts w:hint="default" w:ascii="Times New Roman" w:hAnsi="Times New Roman" w:eastAsia="宋体" w:cs="Times New Roman"/>
                <w:color w:val="auto"/>
                <w:sz w:val="24"/>
                <w:szCs w:val="24"/>
                <w:highlight w:val="none"/>
                <w:shd w:val="clear" w:color="auto" w:fill="auto"/>
                <w:lang w:val="en-US" w:eastAsia="zh-CN"/>
              </w:rPr>
              <w:t>江苏省常州市金坛区晨风路188号</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租赁</w:t>
            </w:r>
            <w:r>
              <w:rPr>
                <w:rFonts w:hint="default" w:ascii="Times New Roman" w:hAnsi="Times New Roman" w:eastAsia="宋体" w:cs="Times New Roman"/>
                <w:color w:val="auto"/>
                <w:sz w:val="24"/>
                <w:szCs w:val="24"/>
                <w:lang w:val="en-US" w:eastAsia="zh-CN"/>
              </w:rPr>
              <w:t>位于的</w:t>
            </w:r>
            <w:r>
              <w:rPr>
                <w:rFonts w:hint="eastAsia" w:ascii="Times New Roman" w:hAnsi="Times New Roman" w:eastAsia="宋体" w:cs="Times New Roman"/>
                <w:snapToGrid w:val="0"/>
                <w:color w:val="auto"/>
                <w:kern w:val="0"/>
                <w:sz w:val="24"/>
                <w:szCs w:val="24"/>
                <w:lang w:val="en-US" w:eastAsia="zh-CN" w:bidi="ar-SA"/>
              </w:rPr>
              <w:t>江苏高高制衣有限公司</w:t>
            </w:r>
            <w:r>
              <w:rPr>
                <w:rFonts w:hint="default" w:ascii="Times New Roman" w:hAnsi="Times New Roman" w:eastAsia="宋体" w:cs="Times New Roman"/>
                <w:color w:val="auto"/>
                <w:sz w:val="24"/>
                <w:szCs w:val="24"/>
                <w:lang w:val="en-US" w:eastAsia="zh-CN"/>
              </w:rPr>
              <w:t>现有空置</w:t>
            </w:r>
            <w:r>
              <w:rPr>
                <w:rFonts w:hint="eastAsia" w:ascii="Times New Roman" w:hAnsi="Times New Roman" w:eastAsia="宋体" w:cs="Times New Roman"/>
                <w:snapToGrid w:val="0"/>
                <w:color w:val="auto"/>
                <w:kern w:val="0"/>
                <w:sz w:val="24"/>
                <w:szCs w:val="24"/>
                <w:lang w:val="en-US" w:eastAsia="zh-CN" w:bidi="ar-SA"/>
              </w:rPr>
              <w:t>的</w:t>
            </w:r>
            <w:r>
              <w:rPr>
                <w:rFonts w:hint="default" w:ascii="Times New Roman" w:hAnsi="Times New Roman" w:eastAsia="宋体" w:cs="Times New Roman"/>
                <w:color w:val="auto"/>
                <w:sz w:val="24"/>
                <w:szCs w:val="24"/>
                <w:lang w:val="en-US" w:eastAsia="zh-CN"/>
              </w:rPr>
              <w:t>厂房车间四</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拟</w:t>
            </w:r>
            <w:r>
              <w:rPr>
                <w:rFonts w:hint="default" w:ascii="Times New Roman" w:hAnsi="Times New Roman" w:eastAsia="宋体" w:cs="Times New Roman"/>
                <w:color w:val="auto"/>
                <w:sz w:val="24"/>
                <w:highlight w:val="none"/>
                <w:shd w:val="clear" w:color="auto" w:fill="auto"/>
                <w:lang w:val="en-US"/>
              </w:rPr>
              <w:t>投资</w:t>
            </w:r>
            <w:r>
              <w:rPr>
                <w:rFonts w:hint="eastAsia" w:ascii="Times New Roman" w:hAnsi="Times New Roman" w:eastAsia="宋体" w:cs="Times New Roman"/>
                <w:color w:val="auto"/>
                <w:sz w:val="24"/>
                <w:highlight w:val="none"/>
                <w:shd w:val="clear" w:color="auto" w:fill="auto"/>
                <w:lang w:val="en-US" w:eastAsia="zh-CN"/>
              </w:rPr>
              <w:t>2</w:t>
            </w:r>
            <w:r>
              <w:rPr>
                <w:rFonts w:hint="default" w:ascii="Times New Roman" w:hAnsi="Times New Roman" w:eastAsia="宋体" w:cs="Times New Roman"/>
                <w:color w:val="auto"/>
                <w:sz w:val="24"/>
                <w:highlight w:val="none"/>
                <w:shd w:val="clear" w:color="auto" w:fill="auto"/>
                <w:lang w:val="en-US"/>
              </w:rPr>
              <w:t>000万，</w:t>
            </w:r>
            <w:r>
              <w:rPr>
                <w:rFonts w:hint="eastAsia" w:ascii="Times New Roman" w:hAnsi="Times New Roman" w:eastAsia="宋体" w:cs="Times New Roman"/>
                <w:color w:val="auto"/>
                <w:sz w:val="24"/>
                <w:highlight w:val="none"/>
                <w:shd w:val="clear" w:color="auto" w:fill="auto"/>
                <w:lang w:val="en-US" w:eastAsia="zh-CN"/>
              </w:rPr>
              <w:t>利用现有厂房4500</w:t>
            </w:r>
            <w:r>
              <w:rPr>
                <w:rFonts w:hint="default" w:ascii="Times New Roman" w:hAnsi="Times New Roman" w:eastAsia="宋体" w:cs="Times New Roman"/>
                <w:color w:val="auto"/>
                <w:sz w:val="24"/>
                <w:highlight w:val="none"/>
                <w:shd w:val="clear" w:color="auto" w:fill="auto"/>
                <w:lang w:val="en-US" w:eastAsia="zh-CN"/>
              </w:rPr>
              <w:t>m</w:t>
            </w:r>
            <w:r>
              <w:rPr>
                <w:rFonts w:hint="default" w:ascii="Times New Roman" w:hAnsi="Times New Roman" w:eastAsia="宋体" w:cs="Times New Roman"/>
                <w:color w:val="auto"/>
                <w:sz w:val="24"/>
                <w:highlight w:val="none"/>
                <w:shd w:val="clear" w:color="auto" w:fill="auto"/>
                <w:vertAlign w:val="superscript"/>
                <w:lang w:val="en-US" w:eastAsia="zh-CN"/>
              </w:rPr>
              <w:t>2</w:t>
            </w:r>
            <w:r>
              <w:rPr>
                <w:rFonts w:hint="eastAsia" w:ascii="Times New Roman" w:hAnsi="Times New Roman" w:eastAsia="宋体" w:cs="Times New Roman"/>
                <w:color w:val="auto"/>
                <w:sz w:val="24"/>
                <w:highlight w:val="none"/>
                <w:shd w:val="clear" w:color="auto" w:fill="auto"/>
                <w:vertAlign w:val="baseline"/>
                <w:lang w:val="en-US" w:eastAsia="zh-CN"/>
              </w:rPr>
              <w:t>并进行适应性装修改造</w:t>
            </w:r>
            <w:r>
              <w:rPr>
                <w:rFonts w:hint="eastAsia" w:ascii="Times New Roman" w:hAnsi="Times New Roman" w:eastAsia="宋体" w:cs="Times New Roman"/>
                <w:color w:val="auto"/>
                <w:sz w:val="24"/>
                <w:highlight w:val="none"/>
                <w:shd w:val="clear" w:color="auto" w:fill="auto"/>
                <w:lang w:val="en-US" w:eastAsia="zh-CN"/>
              </w:rPr>
              <w:t>。搬迁后企业优化产品方案，淘汰原有部分落后的</w:t>
            </w:r>
            <w:r>
              <w:rPr>
                <w:rFonts w:hint="default" w:ascii="Times New Roman" w:hAnsi="Times New Roman" w:eastAsia="宋体" w:cs="Times New Roman"/>
                <w:color w:val="auto"/>
                <w:sz w:val="24"/>
                <w:highlight w:val="none"/>
                <w:shd w:val="clear" w:color="auto" w:fill="auto"/>
                <w:lang w:val="en-US" w:eastAsia="zh-CN"/>
              </w:rPr>
              <w:t>设备</w:t>
            </w:r>
            <w:r>
              <w:rPr>
                <w:rFonts w:hint="eastAsia" w:ascii="Times New Roman" w:hAnsi="Times New Roman" w:eastAsia="宋体" w:cs="Times New Roman"/>
                <w:color w:val="auto"/>
                <w:sz w:val="24"/>
                <w:highlight w:val="none"/>
                <w:shd w:val="clear" w:color="auto" w:fill="auto"/>
                <w:lang w:val="en-US" w:eastAsia="zh-CN"/>
              </w:rPr>
              <w:t>和生产工艺</w:t>
            </w:r>
            <w:r>
              <w:rPr>
                <w:rFonts w:hint="default"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val="en-US" w:eastAsia="zh-CN"/>
              </w:rPr>
              <w:t>引进更加先进的设备和技术，建成后</w:t>
            </w:r>
            <w:r>
              <w:rPr>
                <w:rFonts w:hint="default" w:ascii="Times New Roman" w:hAnsi="Times New Roman" w:eastAsia="宋体" w:cs="Times New Roman"/>
                <w:color w:val="auto"/>
                <w:sz w:val="24"/>
                <w:highlight w:val="none"/>
                <w:shd w:val="clear" w:color="auto" w:fill="auto"/>
                <w:lang w:val="en-US" w:eastAsia="zh-CN"/>
              </w:rPr>
              <w:t>形成年</w:t>
            </w:r>
            <w:r>
              <w:rPr>
                <w:rFonts w:hint="default" w:ascii="Times New Roman" w:hAnsi="Times New Roman" w:eastAsia="宋体" w:cs="Times New Roman"/>
                <w:color w:val="auto"/>
                <w:sz w:val="24"/>
                <w:highlight w:val="none"/>
                <w:shd w:val="clear" w:color="auto" w:fill="auto"/>
                <w:lang w:val="en-US"/>
              </w:rPr>
              <w:t>产</w:t>
            </w:r>
            <w:r>
              <w:rPr>
                <w:rFonts w:hint="eastAsia" w:ascii="Times New Roman" w:hAnsi="Times New Roman" w:eastAsia="宋体" w:cs="Times New Roman"/>
                <w:color w:val="auto"/>
                <w:sz w:val="24"/>
                <w:highlight w:val="none"/>
                <w:shd w:val="clear" w:color="auto" w:fill="auto"/>
                <w:lang w:val="en-US" w:eastAsia="zh-CN"/>
              </w:rPr>
              <w:t>2000吨环保塑料袋（厚度大于0.025mm）</w:t>
            </w:r>
            <w:r>
              <w:rPr>
                <w:rFonts w:hint="default" w:ascii="Times New Roman" w:hAnsi="Times New Roman" w:eastAsia="宋体" w:cs="Times New Roman"/>
                <w:color w:val="auto"/>
                <w:sz w:val="24"/>
                <w:highlight w:val="none"/>
                <w:shd w:val="clear" w:color="auto" w:fill="auto"/>
                <w:lang w:val="en-US"/>
              </w:rPr>
              <w:t>的生产能力</w:t>
            </w:r>
            <w:r>
              <w:rPr>
                <w:rFonts w:hint="default" w:ascii="Times New Roman" w:hAnsi="Times New Roman" w:eastAsia="宋体" w:cs="Times New Roman"/>
                <w:color w:val="auto"/>
                <w:sz w:val="24"/>
                <w:highlight w:val="none"/>
                <w:shd w:val="clear" w:color="auto" w:fill="auto"/>
                <w:lang w:val="en-US" w:eastAsia="zh-CN"/>
              </w:rPr>
              <w:t>。</w:t>
            </w:r>
          </w:p>
          <w:p w14:paraId="7627ED15">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该项目已于202</w:t>
            </w:r>
            <w:r>
              <w:rPr>
                <w:rFonts w:hint="eastAsia" w:ascii="Times New Roman" w:hAnsi="Times New Roman" w:eastAsia="宋体" w:cs="Times New Roman"/>
                <w:color w:val="auto"/>
                <w:sz w:val="24"/>
                <w:highlight w:val="none"/>
                <w:shd w:val="clear" w:color="auto" w:fill="auto"/>
                <w:lang w:val="en-US" w:eastAsia="zh-CN"/>
              </w:rPr>
              <w:t>5</w:t>
            </w:r>
            <w:r>
              <w:rPr>
                <w:rFonts w:hint="default" w:ascii="Times New Roman" w:hAnsi="Times New Roman" w:eastAsia="宋体" w:cs="Times New Roman"/>
                <w:color w:val="auto"/>
                <w:sz w:val="24"/>
                <w:highlight w:val="none"/>
                <w:shd w:val="clear" w:color="auto" w:fill="auto"/>
                <w:lang w:val="en-US"/>
              </w:rPr>
              <w:t>年</w:t>
            </w:r>
            <w:r>
              <w:rPr>
                <w:rFonts w:hint="eastAsia" w:ascii="Times New Roman" w:hAnsi="Times New Roman" w:eastAsia="宋体" w:cs="Times New Roman"/>
                <w:color w:val="auto"/>
                <w:sz w:val="24"/>
                <w:highlight w:val="none"/>
                <w:shd w:val="clear" w:color="auto" w:fill="auto"/>
                <w:lang w:val="en-US" w:eastAsia="zh-CN"/>
              </w:rPr>
              <w:t>7</w:t>
            </w:r>
            <w:r>
              <w:rPr>
                <w:rFonts w:hint="default" w:ascii="Times New Roman" w:hAnsi="Times New Roman" w:eastAsia="宋体" w:cs="Times New Roman"/>
                <w:color w:val="auto"/>
                <w:sz w:val="24"/>
                <w:highlight w:val="none"/>
                <w:shd w:val="clear" w:color="auto" w:fill="auto"/>
                <w:lang w:val="en-US"/>
              </w:rPr>
              <w:t>月</w:t>
            </w:r>
            <w:r>
              <w:rPr>
                <w:rFonts w:hint="eastAsia" w:ascii="Times New Roman" w:hAnsi="Times New Roman" w:eastAsia="宋体" w:cs="Times New Roman"/>
                <w:color w:val="auto"/>
                <w:sz w:val="24"/>
                <w:highlight w:val="none"/>
                <w:shd w:val="clear" w:color="auto" w:fill="auto"/>
                <w:lang w:val="en-US" w:eastAsia="zh-CN"/>
              </w:rPr>
              <w:t>30</w:t>
            </w:r>
            <w:r>
              <w:rPr>
                <w:rFonts w:hint="default" w:ascii="Times New Roman" w:hAnsi="Times New Roman" w:eastAsia="宋体" w:cs="Times New Roman"/>
                <w:color w:val="auto"/>
                <w:sz w:val="24"/>
                <w:highlight w:val="none"/>
                <w:shd w:val="clear" w:color="auto" w:fill="auto"/>
                <w:lang w:val="en-US"/>
              </w:rPr>
              <w:t>日取得</w:t>
            </w:r>
            <w:r>
              <w:rPr>
                <w:rFonts w:hint="eastAsia" w:ascii="Times New Roman" w:hAnsi="Times New Roman" w:eastAsia="宋体" w:cs="Times New Roman"/>
                <w:color w:val="auto"/>
                <w:sz w:val="24"/>
                <w:highlight w:val="none"/>
                <w:shd w:val="clear" w:color="auto" w:fill="auto"/>
                <w:lang w:val="en-US" w:eastAsia="zh-CN"/>
              </w:rPr>
              <w:t>江苏金坛经济开发区经济发展局</w:t>
            </w:r>
            <w:r>
              <w:rPr>
                <w:rFonts w:hint="default" w:ascii="Times New Roman" w:hAnsi="Times New Roman" w:eastAsia="宋体" w:cs="Times New Roman"/>
                <w:color w:val="auto"/>
                <w:sz w:val="24"/>
                <w:highlight w:val="none"/>
                <w:shd w:val="clear" w:color="auto" w:fill="auto"/>
                <w:lang w:val="en-US"/>
              </w:rPr>
              <w:t>的项目备案证明，备案证号：</w:t>
            </w:r>
            <w:r>
              <w:rPr>
                <w:rFonts w:hint="eastAsia" w:ascii="Times New Roman" w:hAnsi="Times New Roman" w:eastAsia="宋体" w:cs="Times New Roman"/>
                <w:color w:val="auto"/>
                <w:sz w:val="24"/>
                <w:highlight w:val="none"/>
                <w:shd w:val="clear" w:color="auto" w:fill="auto"/>
                <w:lang w:val="en-US" w:eastAsia="zh-CN"/>
              </w:rPr>
              <w:t>坛开经发备字〔2025〕227号</w:t>
            </w:r>
            <w:r>
              <w:rPr>
                <w:rFonts w:hint="default" w:ascii="Times New Roman" w:hAnsi="Times New Roman" w:eastAsia="宋体" w:cs="Times New Roman"/>
                <w:color w:val="auto"/>
                <w:sz w:val="24"/>
                <w:highlight w:val="none"/>
                <w:shd w:val="clear" w:color="auto" w:fill="auto"/>
                <w:lang w:val="en-US"/>
              </w:rPr>
              <w:t>，项目代码：</w:t>
            </w:r>
            <w:r>
              <w:rPr>
                <w:rFonts w:hint="eastAsia" w:ascii="Times New Roman" w:hAnsi="Times New Roman" w:eastAsia="宋体" w:cs="Times New Roman"/>
                <w:color w:val="auto"/>
                <w:sz w:val="24"/>
                <w:highlight w:val="none"/>
                <w:shd w:val="clear" w:color="auto" w:fill="auto"/>
                <w:lang w:val="en-US" w:eastAsia="zh-CN"/>
              </w:rPr>
              <w:t>2507-320458-89-01-302443</w:t>
            </w:r>
            <w:r>
              <w:rPr>
                <w:rFonts w:hint="default" w:ascii="Times New Roman" w:hAnsi="Times New Roman" w:eastAsia="宋体" w:cs="Times New Roman"/>
                <w:color w:val="auto"/>
                <w:sz w:val="24"/>
                <w:highlight w:val="none"/>
                <w:shd w:val="clear" w:color="auto" w:fill="auto"/>
                <w:lang w:val="en-US"/>
              </w:rPr>
              <w:t>。</w:t>
            </w:r>
          </w:p>
          <w:p w14:paraId="7D0542A7">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根据《中华人民共和国环境保护法》（2015年1月1日）、《中华人民共和国环境影响评价法》（2018年12月29日）及《国务院关于修改&lt;建设项目环境保护管理条例&gt;的决定》（国令第682号）的有关规定，本项目应进行环境影响评价。根据《建设项目环境影响评价分类管理名录》（2021年版）环境管理要求，该项目属于</w:t>
            </w:r>
            <w:r>
              <w:rPr>
                <w:rFonts w:hint="eastAsia" w:ascii="Times New Roman" w:hAnsi="Times New Roman" w:eastAsia="宋体" w:cs="Times New Roman"/>
                <w:color w:val="auto"/>
                <w:sz w:val="24"/>
                <w:highlight w:val="none"/>
                <w:shd w:val="clear" w:color="auto" w:fill="auto"/>
                <w:lang w:val="en-US" w:eastAsia="zh-CN"/>
              </w:rPr>
              <w:t>“二十六、橡胶和塑料制品业29-53塑料制品业292-其他（年用非溶剂型低VOCs含量涂料10吨以下的除外）”</w:t>
            </w:r>
            <w:r>
              <w:rPr>
                <w:rFonts w:hint="default" w:ascii="Times New Roman" w:hAnsi="Times New Roman" w:eastAsia="宋体" w:cs="Times New Roman"/>
                <w:color w:val="auto"/>
                <w:sz w:val="24"/>
                <w:highlight w:val="none"/>
                <w:shd w:val="clear" w:color="auto" w:fill="auto"/>
                <w:lang w:val="en-US"/>
              </w:rPr>
              <w:t>，应编制环境影响评价报告表。</w:t>
            </w:r>
            <w:r>
              <w:rPr>
                <w:rFonts w:hint="eastAsia" w:ascii="Times New Roman" w:hAnsi="Times New Roman" w:eastAsia="宋体" w:cs="Times New Roman"/>
                <w:color w:val="auto"/>
                <w:sz w:val="24"/>
                <w:highlight w:val="none"/>
                <w:shd w:val="clear" w:color="auto" w:fill="auto"/>
                <w:lang w:val="en-US" w:eastAsia="zh-CN"/>
              </w:rPr>
              <w:t>江苏冠龙新材料科技有限公司</w:t>
            </w:r>
            <w:r>
              <w:rPr>
                <w:rFonts w:hint="default" w:ascii="Times New Roman" w:hAnsi="Times New Roman" w:eastAsia="宋体" w:cs="Times New Roman"/>
                <w:color w:val="auto"/>
                <w:sz w:val="24"/>
                <w:highlight w:val="none"/>
                <w:shd w:val="clear" w:color="auto" w:fill="auto"/>
                <w:lang w:val="en-US"/>
              </w:rPr>
              <w:t>委托</w:t>
            </w:r>
            <w:r>
              <w:rPr>
                <w:rFonts w:hint="default" w:ascii="Times New Roman" w:hAnsi="Times New Roman" w:eastAsia="宋体" w:cs="Times New Roman"/>
                <w:color w:val="auto"/>
                <w:sz w:val="24"/>
                <w:highlight w:val="none"/>
                <w:shd w:val="clear" w:color="auto" w:fill="auto"/>
                <w:lang w:val="en-US" w:eastAsia="zh-CN"/>
              </w:rPr>
              <w:t>常州爱森环保科技有限公司</w:t>
            </w:r>
            <w:r>
              <w:rPr>
                <w:rFonts w:hint="default" w:ascii="Times New Roman" w:hAnsi="Times New Roman" w:eastAsia="宋体" w:cs="Times New Roman"/>
                <w:color w:val="auto"/>
                <w:sz w:val="24"/>
                <w:highlight w:val="none"/>
                <w:shd w:val="clear" w:color="auto" w:fill="auto"/>
                <w:lang w:val="en-US"/>
              </w:rPr>
              <w:t>编制建设项目环境影响报告表，</w:t>
            </w:r>
            <w:r>
              <w:rPr>
                <w:rFonts w:hint="default" w:ascii="Times New Roman" w:hAnsi="Times New Roman" w:eastAsia="宋体" w:cs="Times New Roman"/>
                <w:color w:val="auto"/>
                <w:sz w:val="24"/>
                <w:highlight w:val="none"/>
                <w:shd w:val="clear" w:color="auto" w:fill="auto"/>
                <w:lang w:val="en-US" w:eastAsia="zh-CN"/>
              </w:rPr>
              <w:t>常州爱森环保科技有限公司</w:t>
            </w:r>
            <w:r>
              <w:rPr>
                <w:rFonts w:hint="default" w:ascii="Times New Roman" w:hAnsi="Times New Roman" w:eastAsia="宋体" w:cs="Times New Roman"/>
                <w:color w:val="auto"/>
                <w:sz w:val="24"/>
                <w:highlight w:val="none"/>
                <w:shd w:val="clear" w:color="auto" w:fill="auto"/>
                <w:lang w:val="en-US"/>
              </w:rPr>
              <w:t>接受委托后即组织进行现场勘查、相关资料收集及其他相关工作，最终完成了该项目环境影响评价报告表的编制。</w:t>
            </w:r>
          </w:p>
          <w:p w14:paraId="4E19E734">
            <w:pPr>
              <w:spacing w:line="360" w:lineRule="auto"/>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rPr>
              <w:t>2、建设内容和规模</w:t>
            </w:r>
          </w:p>
          <w:p w14:paraId="570E386C">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项目名称：</w:t>
            </w:r>
            <w:r>
              <w:rPr>
                <w:rFonts w:hint="eastAsia" w:ascii="Times New Roman" w:hAnsi="Times New Roman" w:eastAsia="宋体" w:cs="Times New Roman"/>
                <w:color w:val="auto"/>
                <w:sz w:val="24"/>
                <w:highlight w:val="none"/>
                <w:shd w:val="clear" w:color="auto" w:fill="auto"/>
                <w:lang w:val="en-US" w:eastAsia="zh-CN"/>
              </w:rPr>
              <w:t>新建年产2000吨环保塑料袋项目</w:t>
            </w:r>
            <w:r>
              <w:rPr>
                <w:rFonts w:hint="default" w:ascii="Times New Roman" w:hAnsi="Times New Roman" w:eastAsia="宋体" w:cs="Times New Roman"/>
                <w:color w:val="auto"/>
                <w:sz w:val="24"/>
                <w:highlight w:val="none"/>
                <w:shd w:val="clear" w:color="auto" w:fill="auto"/>
                <w:lang w:val="en-US"/>
              </w:rPr>
              <w:t>；</w:t>
            </w:r>
          </w:p>
          <w:p w14:paraId="2B15D261">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建设单位：</w:t>
            </w:r>
            <w:r>
              <w:rPr>
                <w:rFonts w:hint="eastAsia" w:ascii="Times New Roman" w:hAnsi="Times New Roman" w:eastAsia="宋体" w:cs="Times New Roman"/>
                <w:color w:val="auto"/>
                <w:sz w:val="24"/>
                <w:highlight w:val="none"/>
                <w:shd w:val="clear" w:color="auto" w:fill="auto"/>
                <w:lang w:val="en-US" w:eastAsia="zh-CN"/>
              </w:rPr>
              <w:t>江苏冠龙新材料科技有限公司</w:t>
            </w:r>
            <w:r>
              <w:rPr>
                <w:rFonts w:hint="default" w:ascii="Times New Roman" w:hAnsi="Times New Roman" w:eastAsia="宋体" w:cs="Times New Roman"/>
                <w:color w:val="auto"/>
                <w:sz w:val="24"/>
                <w:highlight w:val="none"/>
                <w:shd w:val="clear" w:color="auto" w:fill="auto"/>
                <w:lang w:val="en-US"/>
              </w:rPr>
              <w:t>；</w:t>
            </w:r>
          </w:p>
          <w:p w14:paraId="409C2223">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建设地点：</w:t>
            </w:r>
            <w:r>
              <w:rPr>
                <w:rFonts w:hint="default" w:ascii="Times New Roman" w:hAnsi="Times New Roman" w:eastAsia="宋体" w:cs="Times New Roman"/>
                <w:color w:val="auto"/>
                <w:sz w:val="24"/>
                <w:highlight w:val="none"/>
                <w:shd w:val="clear" w:color="auto" w:fill="auto"/>
                <w:lang w:val="en-US" w:eastAsia="zh-CN"/>
              </w:rPr>
              <w:t>江苏省常州市金坛区</w:t>
            </w:r>
            <w:r>
              <w:rPr>
                <w:rFonts w:hint="eastAsia" w:ascii="Times New Roman" w:hAnsi="Times New Roman" w:eastAsia="宋体" w:cs="Times New Roman"/>
                <w:color w:val="auto"/>
                <w:sz w:val="24"/>
                <w:highlight w:val="none"/>
                <w:shd w:val="clear" w:color="auto" w:fill="auto"/>
                <w:lang w:val="en-US" w:eastAsia="zh-CN"/>
              </w:rPr>
              <w:t>晨风路188号</w:t>
            </w:r>
            <w:r>
              <w:rPr>
                <w:rFonts w:hint="default" w:ascii="Times New Roman" w:hAnsi="Times New Roman" w:eastAsia="宋体" w:cs="Times New Roman"/>
                <w:color w:val="auto"/>
                <w:sz w:val="24"/>
                <w:highlight w:val="none"/>
                <w:shd w:val="clear" w:color="auto" w:fill="auto"/>
                <w:lang w:val="en-US"/>
              </w:rPr>
              <w:t>；</w:t>
            </w:r>
          </w:p>
          <w:p w14:paraId="730E3354">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建设性质：</w:t>
            </w:r>
            <w:r>
              <w:rPr>
                <w:rFonts w:hint="eastAsia" w:ascii="Times New Roman" w:hAnsi="Times New Roman" w:eastAsia="宋体" w:cs="Times New Roman"/>
                <w:color w:val="auto"/>
                <w:sz w:val="24"/>
                <w:highlight w:val="none"/>
                <w:shd w:val="clear" w:color="auto" w:fill="auto"/>
                <w:lang w:val="en-US" w:eastAsia="zh-CN"/>
              </w:rPr>
              <w:t>迁建</w:t>
            </w:r>
            <w:r>
              <w:rPr>
                <w:rFonts w:hint="default" w:ascii="Times New Roman" w:hAnsi="Times New Roman" w:eastAsia="宋体" w:cs="Times New Roman"/>
                <w:color w:val="auto"/>
                <w:sz w:val="24"/>
                <w:highlight w:val="none"/>
                <w:shd w:val="clear" w:color="auto" w:fill="auto"/>
                <w:lang w:val="en-US"/>
              </w:rPr>
              <w:t>；</w:t>
            </w:r>
          </w:p>
          <w:p w14:paraId="74FAAA9E">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建筑面积：</w:t>
            </w:r>
            <w:r>
              <w:rPr>
                <w:rFonts w:hint="eastAsia" w:ascii="Times New Roman" w:hAnsi="Times New Roman" w:eastAsia="宋体" w:cs="Times New Roman"/>
                <w:color w:val="auto"/>
                <w:sz w:val="24"/>
                <w:highlight w:val="none"/>
                <w:shd w:val="clear" w:color="auto" w:fill="auto"/>
                <w:lang w:val="en-US" w:eastAsia="zh-CN"/>
              </w:rPr>
              <w:t>45</w:t>
            </w:r>
            <w:r>
              <w:rPr>
                <w:rFonts w:hint="default" w:ascii="Times New Roman" w:hAnsi="Times New Roman" w:eastAsia="宋体" w:cs="Times New Roman"/>
                <w:color w:val="auto"/>
                <w:sz w:val="24"/>
                <w:highlight w:val="none"/>
                <w:shd w:val="clear" w:color="auto" w:fill="auto"/>
                <w:lang w:val="en-US" w:eastAsia="zh-CN"/>
              </w:rPr>
              <w:t>00</w:t>
            </w:r>
            <w:r>
              <w:rPr>
                <w:rFonts w:hint="default" w:ascii="Times New Roman" w:hAnsi="Times New Roman" w:eastAsia="宋体" w:cs="Times New Roman"/>
                <w:color w:val="auto"/>
                <w:sz w:val="24"/>
                <w:highlight w:val="none"/>
                <w:shd w:val="clear" w:color="auto" w:fill="auto"/>
                <w:lang w:val="en-US"/>
              </w:rPr>
              <w:t>m</w:t>
            </w:r>
            <w:r>
              <w:rPr>
                <w:rFonts w:hint="default" w:ascii="Times New Roman" w:hAnsi="Times New Roman" w:eastAsia="宋体" w:cs="Times New Roman"/>
                <w:color w:val="auto"/>
                <w:sz w:val="24"/>
                <w:highlight w:val="none"/>
                <w:shd w:val="clear" w:color="auto" w:fill="auto"/>
                <w:vertAlign w:val="superscript"/>
                <w:lang w:val="en-US"/>
              </w:rPr>
              <w:t>2</w:t>
            </w:r>
            <w:r>
              <w:rPr>
                <w:rFonts w:hint="default" w:ascii="Times New Roman" w:hAnsi="Times New Roman" w:eastAsia="宋体" w:cs="Times New Roman"/>
                <w:color w:val="auto"/>
                <w:sz w:val="24"/>
                <w:highlight w:val="none"/>
                <w:shd w:val="clear" w:color="auto" w:fill="auto"/>
                <w:lang w:val="en-US"/>
              </w:rPr>
              <w:t>；</w:t>
            </w:r>
          </w:p>
          <w:p w14:paraId="53F0DBC4">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lang w:val="en-US"/>
              </w:rPr>
              <w:t>建设内容和规模：投资</w:t>
            </w:r>
            <w:r>
              <w:rPr>
                <w:rFonts w:hint="eastAsia" w:ascii="Times New Roman" w:hAnsi="Times New Roman" w:eastAsia="宋体" w:cs="Times New Roman"/>
                <w:color w:val="auto"/>
                <w:sz w:val="24"/>
                <w:highlight w:val="none"/>
                <w:shd w:val="clear" w:color="auto" w:fill="auto"/>
                <w:lang w:val="en-US" w:eastAsia="zh-CN"/>
              </w:rPr>
              <w:t>2</w:t>
            </w:r>
            <w:r>
              <w:rPr>
                <w:rFonts w:hint="default" w:ascii="Times New Roman" w:hAnsi="Times New Roman" w:eastAsia="宋体" w:cs="Times New Roman"/>
                <w:color w:val="auto"/>
                <w:sz w:val="24"/>
                <w:highlight w:val="none"/>
                <w:shd w:val="clear" w:color="auto" w:fill="auto"/>
                <w:lang w:val="en-US"/>
              </w:rPr>
              <w:t>000万，</w:t>
            </w:r>
            <w:r>
              <w:rPr>
                <w:rFonts w:hint="eastAsia" w:ascii="Times New Roman" w:hAnsi="Times New Roman" w:eastAsia="宋体" w:cs="Times New Roman"/>
                <w:color w:val="auto"/>
                <w:sz w:val="24"/>
                <w:highlight w:val="none"/>
                <w:shd w:val="clear" w:color="auto" w:fill="auto"/>
                <w:lang w:val="en-US" w:eastAsia="zh-CN"/>
              </w:rPr>
              <w:t>利用现有厂房4500</w:t>
            </w:r>
            <w:r>
              <w:rPr>
                <w:rFonts w:hint="default" w:ascii="Times New Roman" w:hAnsi="Times New Roman" w:eastAsia="宋体" w:cs="Times New Roman"/>
                <w:color w:val="auto"/>
                <w:sz w:val="24"/>
                <w:highlight w:val="none"/>
                <w:shd w:val="clear" w:color="auto" w:fill="auto"/>
                <w:lang w:val="en-US" w:eastAsia="zh-CN"/>
              </w:rPr>
              <w:t>m</w:t>
            </w:r>
            <w:r>
              <w:rPr>
                <w:rFonts w:hint="default" w:ascii="Times New Roman" w:hAnsi="Times New Roman" w:eastAsia="宋体" w:cs="Times New Roman"/>
                <w:color w:val="auto"/>
                <w:sz w:val="24"/>
                <w:highlight w:val="none"/>
                <w:shd w:val="clear" w:color="auto" w:fill="auto"/>
                <w:vertAlign w:val="superscript"/>
                <w:lang w:val="en-US" w:eastAsia="zh-CN"/>
              </w:rPr>
              <w:t>2</w:t>
            </w:r>
            <w:r>
              <w:rPr>
                <w:rFonts w:hint="default" w:ascii="Times New Roman" w:hAnsi="Times New Roman" w:eastAsia="宋体" w:cs="Times New Roman"/>
                <w:color w:val="auto"/>
                <w:sz w:val="24"/>
                <w:highlight w:val="none"/>
                <w:shd w:val="clear" w:color="auto" w:fill="auto"/>
                <w:lang w:val="en-US"/>
              </w:rPr>
              <w:t>，</w:t>
            </w:r>
            <w:r>
              <w:rPr>
                <w:rFonts w:hint="default" w:ascii="Times New Roman" w:hAnsi="Times New Roman" w:eastAsia="宋体" w:cs="Times New Roman"/>
                <w:color w:val="auto"/>
                <w:sz w:val="24"/>
                <w:highlight w:val="none"/>
                <w:shd w:val="clear" w:color="auto" w:fill="auto"/>
                <w:lang w:val="en-US" w:eastAsia="zh-CN"/>
              </w:rPr>
              <w:t>购置混料机</w:t>
            </w:r>
            <w:r>
              <w:rPr>
                <w:rFonts w:hint="eastAsia"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lang w:val="en-US" w:eastAsia="zh-CN"/>
              </w:rPr>
              <w:t>生物降解吹膜机组</w:t>
            </w:r>
            <w:r>
              <w:rPr>
                <w:rFonts w:hint="eastAsia"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lang w:val="en-US" w:eastAsia="zh-CN"/>
              </w:rPr>
              <w:t>印刷机</w:t>
            </w:r>
            <w:r>
              <w:rPr>
                <w:rFonts w:hint="eastAsia"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lang w:val="en-US" w:eastAsia="zh-CN"/>
              </w:rPr>
              <w:t>制袋机组</w:t>
            </w:r>
            <w:r>
              <w:rPr>
                <w:rFonts w:hint="eastAsia"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lang w:val="en-US" w:eastAsia="zh-CN"/>
              </w:rPr>
              <w:t>封箱机</w:t>
            </w:r>
            <w:r>
              <w:rPr>
                <w:rFonts w:hint="eastAsia"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lang w:val="en-US" w:eastAsia="zh-CN"/>
              </w:rPr>
              <w:t>打包机</w:t>
            </w:r>
            <w:r>
              <w:rPr>
                <w:rFonts w:hint="eastAsia"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lang w:val="en-US" w:eastAsia="zh-CN"/>
              </w:rPr>
              <w:t>破碎机等设备，形成年</w:t>
            </w:r>
            <w:r>
              <w:rPr>
                <w:rFonts w:hint="default" w:ascii="Times New Roman" w:hAnsi="Times New Roman" w:eastAsia="宋体" w:cs="Times New Roman"/>
                <w:color w:val="auto"/>
                <w:sz w:val="24"/>
                <w:highlight w:val="none"/>
                <w:shd w:val="clear" w:color="auto" w:fill="auto"/>
                <w:lang w:val="en-US"/>
              </w:rPr>
              <w:t>产</w:t>
            </w:r>
            <w:r>
              <w:rPr>
                <w:rFonts w:hint="eastAsia" w:ascii="Times New Roman" w:hAnsi="Times New Roman" w:eastAsia="宋体" w:cs="Times New Roman"/>
                <w:color w:val="auto"/>
                <w:sz w:val="24"/>
                <w:highlight w:val="none"/>
                <w:shd w:val="clear" w:color="auto" w:fill="auto"/>
                <w:lang w:val="en-US" w:eastAsia="zh-CN"/>
              </w:rPr>
              <w:t>2000吨环保塑料袋（厚度大于0.025mm）</w:t>
            </w:r>
            <w:r>
              <w:rPr>
                <w:rFonts w:hint="default" w:ascii="Times New Roman" w:hAnsi="Times New Roman" w:eastAsia="宋体" w:cs="Times New Roman"/>
                <w:color w:val="auto"/>
                <w:sz w:val="24"/>
                <w:highlight w:val="none"/>
                <w:shd w:val="clear" w:color="auto" w:fill="auto"/>
                <w:lang w:val="en-US"/>
              </w:rPr>
              <w:t>的生产能力</w:t>
            </w:r>
            <w:r>
              <w:rPr>
                <w:rFonts w:hint="default" w:ascii="Times New Roman" w:hAnsi="Times New Roman" w:eastAsia="宋体" w:cs="Times New Roman"/>
                <w:color w:val="auto"/>
                <w:sz w:val="24"/>
                <w:highlight w:val="none"/>
                <w:shd w:val="clear" w:color="auto" w:fill="auto"/>
                <w:lang w:val="en-US" w:eastAsia="zh-CN"/>
              </w:rPr>
              <w:t>。</w:t>
            </w:r>
          </w:p>
          <w:p w14:paraId="7C6417A4">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投资情况：</w:t>
            </w:r>
            <w:r>
              <w:rPr>
                <w:rFonts w:hint="eastAsia" w:ascii="Times New Roman" w:hAnsi="Times New Roman" w:eastAsia="宋体" w:cs="Times New Roman"/>
                <w:color w:val="auto"/>
                <w:sz w:val="24"/>
                <w:highlight w:val="none"/>
                <w:shd w:val="clear" w:color="auto" w:fill="auto"/>
                <w:lang w:val="en-US" w:eastAsia="zh-CN"/>
              </w:rPr>
              <w:t>2</w:t>
            </w:r>
            <w:r>
              <w:rPr>
                <w:rFonts w:hint="default" w:ascii="Times New Roman" w:hAnsi="Times New Roman" w:eastAsia="宋体" w:cs="Times New Roman"/>
                <w:color w:val="auto"/>
                <w:sz w:val="24"/>
                <w:highlight w:val="none"/>
                <w:shd w:val="clear" w:color="auto" w:fill="auto"/>
                <w:lang w:val="en-US" w:eastAsia="zh-CN"/>
              </w:rPr>
              <w:t>000</w:t>
            </w:r>
            <w:r>
              <w:rPr>
                <w:rFonts w:hint="default" w:ascii="Times New Roman" w:hAnsi="Times New Roman" w:eastAsia="宋体" w:cs="Times New Roman"/>
                <w:color w:val="auto"/>
                <w:sz w:val="24"/>
                <w:highlight w:val="none"/>
                <w:shd w:val="clear" w:color="auto" w:fill="auto"/>
                <w:lang w:val="en-US"/>
              </w:rPr>
              <w:t>万元，其中环保投资</w:t>
            </w:r>
            <w:r>
              <w:rPr>
                <w:rFonts w:hint="eastAsia" w:ascii="Times New Roman" w:hAnsi="Times New Roman" w:eastAsia="宋体" w:cs="Times New Roman"/>
                <w:color w:val="auto"/>
                <w:sz w:val="24"/>
                <w:highlight w:val="none"/>
                <w:shd w:val="clear" w:color="auto" w:fill="auto"/>
                <w:lang w:val="en-US" w:eastAsia="zh-CN"/>
              </w:rPr>
              <w:t>2</w:t>
            </w:r>
            <w:r>
              <w:rPr>
                <w:rFonts w:hint="default" w:ascii="Times New Roman" w:hAnsi="Times New Roman" w:eastAsia="宋体" w:cs="Times New Roman"/>
                <w:color w:val="auto"/>
                <w:sz w:val="24"/>
                <w:highlight w:val="none"/>
                <w:shd w:val="clear" w:color="auto" w:fill="auto"/>
                <w:lang w:val="en-US" w:eastAsia="zh-CN"/>
              </w:rPr>
              <w:t>5</w:t>
            </w:r>
            <w:r>
              <w:rPr>
                <w:rFonts w:hint="default" w:ascii="Times New Roman" w:hAnsi="Times New Roman" w:eastAsia="宋体" w:cs="Times New Roman"/>
                <w:color w:val="auto"/>
                <w:sz w:val="24"/>
                <w:highlight w:val="none"/>
                <w:shd w:val="clear" w:color="auto" w:fill="auto"/>
                <w:lang w:val="en-US"/>
              </w:rPr>
              <w:t>万元</w:t>
            </w:r>
            <w:r>
              <w:rPr>
                <w:rFonts w:hint="default"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lang w:val="en-US"/>
              </w:rPr>
              <w:t>占总投资的</w:t>
            </w:r>
            <w:r>
              <w:rPr>
                <w:rFonts w:hint="eastAsia" w:ascii="Times New Roman" w:hAnsi="Times New Roman" w:eastAsia="宋体" w:cs="Times New Roman"/>
                <w:color w:val="auto"/>
                <w:sz w:val="24"/>
                <w:highlight w:val="none"/>
                <w:shd w:val="clear" w:color="auto" w:fill="auto"/>
                <w:lang w:val="en-US" w:eastAsia="zh-CN"/>
              </w:rPr>
              <w:t>1</w:t>
            </w:r>
            <w:r>
              <w:rPr>
                <w:rFonts w:hint="default"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val="en-US" w:eastAsia="zh-CN"/>
              </w:rPr>
              <w:t>25</w:t>
            </w:r>
            <w:r>
              <w:rPr>
                <w:rFonts w:hint="default" w:ascii="Times New Roman" w:hAnsi="Times New Roman" w:eastAsia="宋体" w:cs="Times New Roman"/>
                <w:color w:val="auto"/>
                <w:sz w:val="24"/>
                <w:highlight w:val="none"/>
                <w:shd w:val="clear" w:color="auto" w:fill="auto"/>
                <w:lang w:val="en-US"/>
              </w:rPr>
              <w:t>%；</w:t>
            </w:r>
          </w:p>
          <w:p w14:paraId="33DA35C9">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劳动定员及工作制度：</w:t>
            </w:r>
            <w:r>
              <w:rPr>
                <w:rFonts w:hint="eastAsia" w:ascii="Times New Roman" w:hAnsi="Times New Roman" w:eastAsia="宋体" w:cs="Times New Roman"/>
                <w:color w:val="auto"/>
                <w:sz w:val="24"/>
                <w:highlight w:val="none"/>
                <w:shd w:val="clear" w:color="auto" w:fill="auto"/>
                <w:lang w:val="en-US" w:eastAsia="zh-CN"/>
              </w:rPr>
              <w:t>迁建后不新增员工，</w:t>
            </w:r>
            <w:r>
              <w:rPr>
                <w:rFonts w:hint="default" w:ascii="Times New Roman" w:hAnsi="Times New Roman" w:eastAsia="宋体" w:cs="Times New Roman"/>
                <w:bCs/>
                <w:color w:val="auto"/>
                <w:sz w:val="24"/>
                <w:szCs w:val="24"/>
                <w:highlight w:val="none"/>
                <w:shd w:val="clear" w:color="auto" w:fill="auto"/>
                <w:lang w:val="en-US"/>
              </w:rPr>
              <w:t>劳动定员为</w:t>
            </w:r>
            <w:r>
              <w:rPr>
                <w:rFonts w:hint="eastAsia" w:ascii="Times New Roman" w:hAnsi="Times New Roman" w:eastAsia="宋体" w:cs="Times New Roman"/>
                <w:bCs/>
                <w:color w:val="auto"/>
                <w:sz w:val="24"/>
                <w:szCs w:val="24"/>
                <w:highlight w:val="none"/>
                <w:shd w:val="clear" w:color="auto" w:fill="auto"/>
                <w:lang w:val="en-US" w:eastAsia="zh-CN"/>
              </w:rPr>
              <w:t>2</w:t>
            </w:r>
            <w:r>
              <w:rPr>
                <w:rFonts w:hint="default" w:ascii="Times New Roman" w:hAnsi="Times New Roman" w:eastAsia="宋体" w:cs="Times New Roman"/>
                <w:bCs/>
                <w:color w:val="auto"/>
                <w:sz w:val="24"/>
                <w:szCs w:val="24"/>
                <w:highlight w:val="none"/>
                <w:shd w:val="clear" w:color="auto" w:fill="auto"/>
                <w:lang w:val="en-US" w:eastAsia="zh-CN"/>
              </w:rPr>
              <w:t>0</w:t>
            </w:r>
            <w:r>
              <w:rPr>
                <w:rFonts w:hint="default" w:ascii="Times New Roman" w:hAnsi="Times New Roman" w:eastAsia="宋体" w:cs="Times New Roman"/>
                <w:bCs/>
                <w:color w:val="auto"/>
                <w:sz w:val="24"/>
                <w:szCs w:val="24"/>
                <w:highlight w:val="none"/>
                <w:shd w:val="clear" w:color="auto" w:fill="auto"/>
                <w:lang w:val="en-US"/>
              </w:rPr>
              <w:t>人</w:t>
            </w:r>
            <w:r>
              <w:rPr>
                <w:rFonts w:hint="default" w:ascii="Times New Roman" w:hAnsi="Times New Roman" w:eastAsia="宋体" w:cs="Times New Roman"/>
                <w:bCs/>
                <w:color w:val="auto"/>
                <w:sz w:val="24"/>
                <w:szCs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lang w:val="en-US"/>
              </w:rPr>
              <w:t>年工作300天，每天工作</w:t>
            </w:r>
            <w:r>
              <w:rPr>
                <w:rFonts w:hint="default" w:ascii="Times New Roman" w:hAnsi="Times New Roman" w:eastAsia="宋体" w:cs="Times New Roman"/>
                <w:color w:val="auto"/>
                <w:sz w:val="24"/>
                <w:highlight w:val="none"/>
                <w:shd w:val="clear" w:color="auto" w:fill="auto"/>
                <w:lang w:val="en-US" w:eastAsia="zh-CN"/>
              </w:rPr>
              <w:t>一</w:t>
            </w:r>
            <w:r>
              <w:rPr>
                <w:rFonts w:hint="default" w:ascii="Times New Roman" w:hAnsi="Times New Roman" w:eastAsia="宋体" w:cs="Times New Roman"/>
                <w:color w:val="auto"/>
                <w:sz w:val="24"/>
                <w:highlight w:val="none"/>
                <w:shd w:val="clear" w:color="auto" w:fill="auto"/>
                <w:lang w:val="en-US"/>
              </w:rPr>
              <w:t>班，</w:t>
            </w:r>
            <w:r>
              <w:rPr>
                <w:rFonts w:hint="default" w:ascii="Times New Roman" w:hAnsi="Times New Roman" w:eastAsia="宋体" w:cs="Times New Roman"/>
                <w:color w:val="auto"/>
                <w:sz w:val="24"/>
                <w:highlight w:val="none"/>
                <w:shd w:val="clear" w:color="auto" w:fill="auto"/>
                <w:lang w:val="en-US" w:eastAsia="zh-CN"/>
              </w:rPr>
              <w:t>一</w:t>
            </w:r>
            <w:r>
              <w:rPr>
                <w:rFonts w:hint="default" w:ascii="Times New Roman" w:hAnsi="Times New Roman" w:eastAsia="宋体" w:cs="Times New Roman"/>
                <w:color w:val="auto"/>
                <w:sz w:val="24"/>
                <w:highlight w:val="none"/>
                <w:shd w:val="clear" w:color="auto" w:fill="auto"/>
                <w:lang w:val="en-US"/>
              </w:rPr>
              <w:t>班工作</w:t>
            </w:r>
            <w:r>
              <w:rPr>
                <w:rFonts w:hint="eastAsia" w:ascii="Times New Roman" w:hAnsi="Times New Roman" w:eastAsia="宋体" w:cs="Times New Roman"/>
                <w:color w:val="auto"/>
                <w:sz w:val="24"/>
                <w:highlight w:val="none"/>
                <w:shd w:val="clear" w:color="auto" w:fill="auto"/>
                <w:lang w:val="en-US" w:eastAsia="zh-CN"/>
              </w:rPr>
              <w:t>8</w:t>
            </w:r>
            <w:r>
              <w:rPr>
                <w:rFonts w:hint="default" w:ascii="Times New Roman" w:hAnsi="Times New Roman" w:eastAsia="宋体" w:cs="Times New Roman"/>
                <w:color w:val="auto"/>
                <w:sz w:val="24"/>
                <w:highlight w:val="none"/>
                <w:shd w:val="clear" w:color="auto" w:fill="auto"/>
                <w:lang w:val="en-US"/>
              </w:rPr>
              <w:t>小时，年工作时间为</w:t>
            </w:r>
            <w:r>
              <w:rPr>
                <w:rFonts w:hint="eastAsia" w:ascii="Times New Roman" w:hAnsi="Times New Roman" w:eastAsia="宋体" w:cs="Times New Roman"/>
                <w:color w:val="auto"/>
                <w:sz w:val="24"/>
                <w:highlight w:val="none"/>
                <w:shd w:val="clear" w:color="auto" w:fill="auto"/>
                <w:lang w:val="en-US" w:eastAsia="zh-CN"/>
              </w:rPr>
              <w:t>24</w:t>
            </w:r>
            <w:r>
              <w:rPr>
                <w:rFonts w:hint="default" w:ascii="Times New Roman" w:hAnsi="Times New Roman" w:eastAsia="宋体" w:cs="Times New Roman"/>
                <w:color w:val="auto"/>
                <w:sz w:val="24"/>
                <w:highlight w:val="none"/>
                <w:shd w:val="clear" w:color="auto" w:fill="auto"/>
                <w:lang w:val="en-US"/>
              </w:rPr>
              <w:t>00小时；</w:t>
            </w:r>
          </w:p>
          <w:p w14:paraId="1FD72F61">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其他：本项目</w:t>
            </w:r>
            <w:r>
              <w:rPr>
                <w:rFonts w:hint="default" w:ascii="Times New Roman" w:hAnsi="Times New Roman" w:eastAsia="宋体" w:cs="Times New Roman"/>
                <w:color w:val="auto"/>
                <w:sz w:val="24"/>
                <w:highlight w:val="none"/>
                <w:shd w:val="clear" w:color="auto" w:fill="auto"/>
                <w:lang w:val="en-US" w:eastAsia="zh-CN"/>
              </w:rPr>
              <w:t>不设置</w:t>
            </w:r>
            <w:r>
              <w:rPr>
                <w:rFonts w:hint="default" w:ascii="Times New Roman" w:hAnsi="Times New Roman" w:eastAsia="宋体" w:cs="Times New Roman"/>
                <w:color w:val="auto"/>
                <w:sz w:val="24"/>
                <w:highlight w:val="none"/>
                <w:shd w:val="clear" w:color="auto" w:fill="auto"/>
                <w:lang w:val="en-US"/>
              </w:rPr>
              <w:t>食堂</w:t>
            </w:r>
            <w:r>
              <w:rPr>
                <w:rFonts w:hint="eastAsia"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lang w:val="en-US"/>
              </w:rPr>
              <w:t>宿舍等其他生活设施。</w:t>
            </w:r>
          </w:p>
          <w:p w14:paraId="7445B5D2">
            <w:pPr>
              <w:spacing w:line="360" w:lineRule="auto"/>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eastAsia="zh-CN"/>
              </w:rPr>
              <w:t>3</w:t>
            </w:r>
            <w:r>
              <w:rPr>
                <w:rFonts w:hint="default" w:ascii="Times New Roman" w:hAnsi="Times New Roman" w:eastAsia="宋体" w:cs="Times New Roman"/>
                <w:b/>
                <w:color w:val="auto"/>
                <w:sz w:val="24"/>
                <w:highlight w:val="none"/>
                <w:shd w:val="clear" w:color="auto" w:fill="auto"/>
                <w:lang w:val="en-US"/>
              </w:rPr>
              <w:t>、产品及产能</w:t>
            </w:r>
          </w:p>
          <w:p w14:paraId="43C9F14C">
            <w:pPr>
              <w:pStyle w:val="56"/>
              <w:spacing w:line="360" w:lineRule="auto"/>
              <w:ind w:firstLine="484" w:firstLineChars="200"/>
              <w:jc w:val="left"/>
              <w:rPr>
                <w:rFonts w:hint="default" w:ascii="Times New Roman" w:hAnsi="Times New Roman" w:eastAsia="宋体" w:cs="Times New Roman"/>
                <w:b/>
                <w:bCs/>
                <w:color w:val="auto"/>
                <w:sz w:val="24"/>
                <w:highlight w:val="none"/>
                <w:shd w:val="clear" w:color="auto" w:fill="auto"/>
                <w:lang w:val="en-US"/>
              </w:rPr>
            </w:pPr>
            <w:r>
              <w:rPr>
                <w:rFonts w:hint="default" w:ascii="Times New Roman" w:hAnsi="Times New Roman" w:eastAsia="宋体" w:cs="Times New Roman"/>
                <w:color w:val="auto"/>
                <w:spacing w:val="1"/>
                <w:sz w:val="24"/>
                <w:highlight w:val="none"/>
                <w:shd w:val="clear" w:color="auto" w:fill="auto"/>
                <w:lang w:val="en-US"/>
              </w:rPr>
              <w:t>本项目</w:t>
            </w:r>
            <w:r>
              <w:rPr>
                <w:rFonts w:hint="default" w:ascii="Times New Roman" w:hAnsi="Times New Roman" w:eastAsia="宋体" w:cs="Times New Roman"/>
                <w:color w:val="auto"/>
                <w:spacing w:val="-2"/>
                <w:sz w:val="24"/>
                <w:highlight w:val="none"/>
                <w:shd w:val="clear" w:color="auto" w:fill="auto"/>
                <w:lang w:val="en-US"/>
              </w:rPr>
              <w:t>产品方案详见表2-1。</w:t>
            </w:r>
          </w:p>
          <w:p w14:paraId="764BF98D">
            <w:pPr>
              <w:jc w:val="center"/>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rPr>
              <w:t>表2-</w:t>
            </w:r>
            <w:r>
              <w:rPr>
                <w:rFonts w:hint="default" w:ascii="Times New Roman" w:hAnsi="Times New Roman" w:eastAsia="宋体" w:cs="Times New Roman"/>
                <w:b/>
                <w:color w:val="auto"/>
                <w:sz w:val="24"/>
                <w:highlight w:val="none"/>
                <w:shd w:val="clear" w:color="auto" w:fill="auto"/>
                <w:lang w:val="en-US" w:eastAsia="zh-CN"/>
              </w:rPr>
              <w:t>1</w:t>
            </w:r>
            <w:r>
              <w:rPr>
                <w:rFonts w:hint="default" w:ascii="Times New Roman" w:hAnsi="Times New Roman" w:eastAsia="宋体" w:cs="Times New Roman"/>
                <w:b/>
                <w:color w:val="auto"/>
                <w:sz w:val="24"/>
                <w:highlight w:val="none"/>
                <w:shd w:val="clear" w:color="auto" w:fill="auto"/>
                <w:lang w:val="en-US"/>
              </w:rPr>
              <w:t xml:space="preserve">  建设项目产品方案</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95"/>
              <w:gridCol w:w="1297"/>
              <w:gridCol w:w="1419"/>
              <w:gridCol w:w="2271"/>
              <w:gridCol w:w="1166"/>
              <w:gridCol w:w="866"/>
            </w:tblGrid>
            <w:tr w14:paraId="23707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 w:type="pct"/>
                  <w:tcBorders>
                    <w:tl2br w:val="nil"/>
                    <w:tr2bl w:val="nil"/>
                  </w:tcBorders>
                  <w:vAlign w:val="center"/>
                </w:tcPr>
                <w:p w14:paraId="5FA864CE">
                  <w:pPr>
                    <w:jc w:val="center"/>
                    <w:rPr>
                      <w:rFonts w:hint="eastAsia" w:ascii="Times New Roman" w:hAnsi="Times New Roman" w:eastAsia="宋体" w:cs="Times New Roman"/>
                      <w:b/>
                      <w:color w:val="auto"/>
                      <w:sz w:val="21"/>
                      <w:szCs w:val="21"/>
                      <w:highlight w:val="none"/>
                      <w:shd w:val="clear" w:color="auto" w:fill="auto"/>
                      <w:lang w:val="en-US" w:eastAsia="zh-CN"/>
                    </w:rPr>
                  </w:pPr>
                  <w:r>
                    <w:rPr>
                      <w:rFonts w:hint="eastAsia" w:ascii="Times New Roman" w:hAnsi="Times New Roman" w:eastAsia="宋体" w:cs="Times New Roman"/>
                      <w:b/>
                      <w:color w:val="auto"/>
                      <w:sz w:val="21"/>
                      <w:szCs w:val="21"/>
                      <w:highlight w:val="none"/>
                      <w:shd w:val="clear" w:color="auto" w:fill="auto"/>
                      <w:lang w:val="en-US" w:eastAsia="zh-CN"/>
                    </w:rPr>
                    <w:t>类别</w:t>
                  </w:r>
                </w:p>
              </w:tc>
              <w:tc>
                <w:tcPr>
                  <w:tcW w:w="535" w:type="pct"/>
                  <w:tcBorders>
                    <w:tl2br w:val="nil"/>
                    <w:tr2bl w:val="nil"/>
                  </w:tcBorders>
                  <w:vAlign w:val="center"/>
                </w:tcPr>
                <w:p w14:paraId="46AEFC39">
                  <w:pPr>
                    <w:jc w:val="center"/>
                    <w:rPr>
                      <w:rFonts w:hint="default" w:ascii="Times New Roman" w:hAnsi="Times New Roman" w:eastAsia="宋体" w:cs="Times New Roman"/>
                      <w:b/>
                      <w:color w:val="auto"/>
                      <w:sz w:val="21"/>
                      <w:szCs w:val="21"/>
                      <w:highlight w:val="none"/>
                      <w:shd w:val="clear" w:color="auto" w:fill="auto"/>
                      <w:lang w:val="en-US"/>
                    </w:rPr>
                  </w:pPr>
                  <w:r>
                    <w:rPr>
                      <w:rFonts w:hint="default" w:ascii="Times New Roman" w:hAnsi="Times New Roman" w:eastAsia="宋体" w:cs="Times New Roman"/>
                      <w:b/>
                      <w:color w:val="auto"/>
                      <w:sz w:val="21"/>
                      <w:szCs w:val="21"/>
                      <w:highlight w:val="none"/>
                      <w:shd w:val="clear" w:color="auto" w:fill="auto"/>
                      <w:lang w:val="en-US"/>
                    </w:rPr>
                    <w:t>产品名称</w:t>
                  </w:r>
                </w:p>
              </w:tc>
              <w:tc>
                <w:tcPr>
                  <w:tcW w:w="775" w:type="pct"/>
                  <w:tcBorders>
                    <w:tl2br w:val="nil"/>
                    <w:tr2bl w:val="nil"/>
                  </w:tcBorders>
                  <w:vAlign w:val="center"/>
                </w:tcPr>
                <w:p w14:paraId="78332EB1">
                  <w:pPr>
                    <w:jc w:val="center"/>
                    <w:rPr>
                      <w:rFonts w:hint="default" w:ascii="Times New Roman" w:hAnsi="Times New Roman" w:eastAsia="宋体" w:cs="Times New Roman"/>
                      <w:b/>
                      <w:color w:val="auto"/>
                      <w:sz w:val="21"/>
                      <w:szCs w:val="21"/>
                      <w:highlight w:val="none"/>
                      <w:shd w:val="clear" w:color="auto" w:fill="auto"/>
                      <w:lang w:val="en-US" w:eastAsia="zh-CN"/>
                    </w:rPr>
                  </w:pPr>
                  <w:r>
                    <w:rPr>
                      <w:rFonts w:hint="eastAsia" w:ascii="Times New Roman" w:hAnsi="Times New Roman" w:eastAsia="宋体" w:cs="Times New Roman"/>
                      <w:b/>
                      <w:color w:val="auto"/>
                      <w:sz w:val="21"/>
                      <w:szCs w:val="21"/>
                      <w:highlight w:val="none"/>
                      <w:shd w:val="clear" w:color="auto" w:fill="auto"/>
                      <w:lang w:val="en-US" w:eastAsia="zh-CN"/>
                    </w:rPr>
                    <w:t>具体产品</w:t>
                  </w:r>
                </w:p>
              </w:tc>
              <w:tc>
                <w:tcPr>
                  <w:tcW w:w="848" w:type="pct"/>
                  <w:tcBorders>
                    <w:tl2br w:val="nil"/>
                    <w:tr2bl w:val="nil"/>
                  </w:tcBorders>
                  <w:vAlign w:val="center"/>
                </w:tcPr>
                <w:p w14:paraId="4ADF4218">
                  <w:pPr>
                    <w:jc w:val="center"/>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eastAsia="zh-CN"/>
                    </w:rPr>
                    <w:t>产品参数</w:t>
                  </w:r>
                </w:p>
              </w:tc>
              <w:tc>
                <w:tcPr>
                  <w:tcW w:w="1358" w:type="pct"/>
                  <w:tcBorders>
                    <w:tl2br w:val="nil"/>
                    <w:tr2bl w:val="nil"/>
                  </w:tcBorders>
                  <w:vAlign w:val="center"/>
                </w:tcPr>
                <w:p w14:paraId="76328AAD">
                  <w:pPr>
                    <w:jc w:val="center"/>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eastAsia="zh-CN"/>
                    </w:rPr>
                    <w:t>产品照片</w:t>
                  </w:r>
                </w:p>
              </w:tc>
              <w:tc>
                <w:tcPr>
                  <w:tcW w:w="697" w:type="pct"/>
                  <w:tcBorders>
                    <w:tl2br w:val="nil"/>
                    <w:tr2bl w:val="nil"/>
                  </w:tcBorders>
                  <w:vAlign w:val="center"/>
                </w:tcPr>
                <w:p w14:paraId="41FE58E9">
                  <w:pPr>
                    <w:jc w:val="center"/>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rPr>
                    <w:t>设计能力</w:t>
                  </w:r>
                </w:p>
              </w:tc>
              <w:tc>
                <w:tcPr>
                  <w:tcW w:w="518" w:type="pct"/>
                  <w:tcBorders>
                    <w:tl2br w:val="nil"/>
                    <w:tr2bl w:val="nil"/>
                  </w:tcBorders>
                  <w:vAlign w:val="center"/>
                </w:tcPr>
                <w:p w14:paraId="42803CEF">
                  <w:pPr>
                    <w:jc w:val="center"/>
                    <w:rPr>
                      <w:rFonts w:hint="default" w:ascii="Times New Roman" w:hAnsi="Times New Roman" w:eastAsia="宋体" w:cs="Times New Roman"/>
                      <w:b/>
                      <w:color w:val="auto"/>
                      <w:sz w:val="21"/>
                      <w:szCs w:val="21"/>
                      <w:highlight w:val="none"/>
                      <w:shd w:val="clear" w:color="auto" w:fill="auto"/>
                      <w:lang w:val="en-US"/>
                    </w:rPr>
                  </w:pPr>
                  <w:r>
                    <w:rPr>
                      <w:rFonts w:hint="default" w:ascii="Times New Roman" w:hAnsi="Times New Roman" w:eastAsia="宋体" w:cs="Times New Roman"/>
                      <w:b/>
                      <w:color w:val="auto"/>
                      <w:sz w:val="21"/>
                      <w:szCs w:val="21"/>
                      <w:highlight w:val="none"/>
                      <w:shd w:val="clear" w:color="auto" w:fill="auto"/>
                      <w:lang w:val="en-US"/>
                    </w:rPr>
                    <w:t>年运行时数</w:t>
                  </w:r>
                </w:p>
              </w:tc>
            </w:tr>
            <w:tr w14:paraId="5B9E8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 w:type="pct"/>
                  <w:tcBorders>
                    <w:tl2br w:val="nil"/>
                    <w:tr2bl w:val="nil"/>
                  </w:tcBorders>
                  <w:vAlign w:val="center"/>
                </w:tcPr>
                <w:p w14:paraId="450AA5EE">
                  <w:pPr>
                    <w:jc w:val="center"/>
                    <w:rPr>
                      <w:rFonts w:hint="eastAsia" w:ascii="Times New Roman" w:hAnsi="Times New Roman" w:eastAsia="宋体" w:cs="Times New Roman"/>
                      <w:b w:val="0"/>
                      <w:bCs/>
                      <w:color w:val="auto"/>
                      <w:sz w:val="21"/>
                      <w:szCs w:val="21"/>
                      <w:highlight w:val="none"/>
                      <w:shd w:val="clear" w:color="auto" w:fill="auto"/>
                      <w:lang w:val="en-US" w:eastAsia="zh-CN"/>
                    </w:rPr>
                  </w:pPr>
                  <w:r>
                    <w:rPr>
                      <w:rFonts w:hint="eastAsia" w:ascii="Times New Roman" w:hAnsi="Times New Roman" w:eastAsia="宋体" w:cs="Times New Roman"/>
                      <w:b w:val="0"/>
                      <w:bCs/>
                      <w:color w:val="auto"/>
                      <w:sz w:val="21"/>
                      <w:szCs w:val="21"/>
                      <w:highlight w:val="none"/>
                      <w:shd w:val="clear" w:color="auto" w:fill="auto"/>
                      <w:lang w:val="en-US" w:eastAsia="zh-CN"/>
                    </w:rPr>
                    <w:t>搬迁前</w:t>
                  </w:r>
                </w:p>
              </w:tc>
              <w:tc>
                <w:tcPr>
                  <w:tcW w:w="535" w:type="pct"/>
                  <w:tcBorders>
                    <w:tl2br w:val="nil"/>
                    <w:tr2bl w:val="nil"/>
                  </w:tcBorders>
                  <w:vAlign w:val="center"/>
                </w:tcPr>
                <w:p w14:paraId="3A87538C">
                  <w:pPr>
                    <w:jc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eastAsia" w:ascii="Times New Roman" w:hAnsi="Times New Roman" w:eastAsia="宋体" w:cs="Times New Roman"/>
                      <w:b w:val="0"/>
                      <w:bCs/>
                      <w:color w:val="auto"/>
                      <w:sz w:val="21"/>
                      <w:szCs w:val="21"/>
                      <w:highlight w:val="none"/>
                      <w:shd w:val="clear" w:color="auto" w:fill="auto"/>
                      <w:lang w:val="en-US" w:eastAsia="zh-CN"/>
                    </w:rPr>
                    <w:t>塑料膜</w:t>
                  </w:r>
                </w:p>
              </w:tc>
              <w:tc>
                <w:tcPr>
                  <w:tcW w:w="775" w:type="pct"/>
                  <w:tcBorders>
                    <w:tl2br w:val="nil"/>
                    <w:tr2bl w:val="nil"/>
                  </w:tcBorders>
                  <w:vAlign w:val="center"/>
                </w:tcPr>
                <w:p w14:paraId="0D83F02A">
                  <w:pPr>
                    <w:jc w:val="center"/>
                    <w:rPr>
                      <w:rFonts w:hint="eastAsia" w:ascii="Times New Roman" w:hAnsi="Times New Roman" w:eastAsia="宋体" w:cs="Times New Roman"/>
                      <w:b w:val="0"/>
                      <w:bCs/>
                      <w:color w:val="auto"/>
                      <w:sz w:val="21"/>
                      <w:szCs w:val="21"/>
                      <w:highlight w:val="none"/>
                      <w:shd w:val="clear" w:color="auto" w:fill="auto"/>
                      <w:lang w:val="en-US" w:eastAsia="zh-CN"/>
                    </w:rPr>
                  </w:pPr>
                  <w:r>
                    <w:rPr>
                      <w:rFonts w:hint="eastAsia" w:ascii="Times New Roman" w:hAnsi="Times New Roman" w:eastAsia="宋体" w:cs="Times New Roman"/>
                      <w:b w:val="0"/>
                      <w:bCs/>
                      <w:color w:val="auto"/>
                      <w:sz w:val="21"/>
                      <w:szCs w:val="21"/>
                      <w:highlight w:val="none"/>
                      <w:shd w:val="clear" w:color="auto" w:fill="auto"/>
                      <w:lang w:val="en-US" w:eastAsia="zh-CN"/>
                    </w:rPr>
                    <w:t>包装膜</w:t>
                  </w:r>
                </w:p>
              </w:tc>
              <w:tc>
                <w:tcPr>
                  <w:tcW w:w="848" w:type="pct"/>
                  <w:tcBorders>
                    <w:tl2br w:val="nil"/>
                    <w:tr2bl w:val="nil"/>
                  </w:tcBorders>
                  <w:vAlign w:val="center"/>
                </w:tcPr>
                <w:p w14:paraId="5A84D8A7">
                  <w:pPr>
                    <w:jc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eastAsia" w:ascii="Times New Roman" w:hAnsi="Times New Roman" w:eastAsia="宋体" w:cs="Times New Roman"/>
                      <w:b w:val="0"/>
                      <w:bCs/>
                      <w:color w:val="auto"/>
                      <w:sz w:val="21"/>
                      <w:szCs w:val="21"/>
                      <w:highlight w:val="none"/>
                      <w:shd w:val="clear" w:color="auto" w:fill="auto"/>
                      <w:lang w:val="en-US" w:eastAsia="zh-CN"/>
                    </w:rPr>
                    <w:t>/</w:t>
                  </w:r>
                </w:p>
              </w:tc>
              <w:tc>
                <w:tcPr>
                  <w:tcW w:w="1358" w:type="pct"/>
                  <w:tcBorders>
                    <w:tl2br w:val="nil"/>
                    <w:tr2bl w:val="nil"/>
                  </w:tcBorders>
                  <w:vAlign w:val="center"/>
                </w:tcPr>
                <w:p w14:paraId="05EFA398">
                  <w:pPr>
                    <w:jc w:val="center"/>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eastAsia="zh-CN"/>
                    </w:rPr>
                    <w:drawing>
                      <wp:inline distT="0" distB="0" distL="114300" distR="114300">
                        <wp:extent cx="1198245" cy="2134870"/>
                        <wp:effectExtent l="0" t="0" r="8255" b="11430"/>
                        <wp:docPr id="6" name="图片 6" descr="e6c892401c18a4ea930370b336246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6c892401c18a4ea930370b336246bac"/>
                                <pic:cNvPicPr>
                                  <a:picLocks noChangeAspect="1"/>
                                </pic:cNvPicPr>
                              </pic:nvPicPr>
                              <pic:blipFill>
                                <a:blip r:embed="rId10"/>
                                <a:stretch>
                                  <a:fillRect/>
                                </a:stretch>
                              </pic:blipFill>
                              <pic:spPr>
                                <a:xfrm>
                                  <a:off x="0" y="0"/>
                                  <a:ext cx="1198245" cy="2134870"/>
                                </a:xfrm>
                                <a:prstGeom prst="rect">
                                  <a:avLst/>
                                </a:prstGeom>
                              </pic:spPr>
                            </pic:pic>
                          </a:graphicData>
                        </a:graphic>
                      </wp:inline>
                    </w:drawing>
                  </w:r>
                </w:p>
              </w:tc>
              <w:tc>
                <w:tcPr>
                  <w:tcW w:w="697" w:type="pct"/>
                  <w:tcBorders>
                    <w:tl2br w:val="nil"/>
                    <w:tr2bl w:val="nil"/>
                  </w:tcBorders>
                  <w:vAlign w:val="center"/>
                </w:tcPr>
                <w:p w14:paraId="61CB3393">
                  <w:pPr>
                    <w:jc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eastAsia" w:ascii="Times New Roman" w:hAnsi="Times New Roman" w:eastAsia="宋体" w:cs="Times New Roman"/>
                      <w:b w:val="0"/>
                      <w:bCs/>
                      <w:color w:val="auto"/>
                      <w:sz w:val="21"/>
                      <w:szCs w:val="21"/>
                      <w:highlight w:val="none"/>
                      <w:shd w:val="clear" w:color="auto" w:fill="auto"/>
                      <w:lang w:val="en-US" w:eastAsia="zh-CN"/>
                    </w:rPr>
                    <w:t>8000万卷/年</w:t>
                  </w:r>
                </w:p>
              </w:tc>
              <w:tc>
                <w:tcPr>
                  <w:tcW w:w="518" w:type="pct"/>
                  <w:tcBorders>
                    <w:tl2br w:val="nil"/>
                    <w:tr2bl w:val="nil"/>
                  </w:tcBorders>
                  <w:vAlign w:val="center"/>
                </w:tcPr>
                <w:p w14:paraId="61ADC6E6">
                  <w:pPr>
                    <w:jc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eastAsia" w:ascii="Times New Roman" w:hAnsi="Times New Roman" w:eastAsia="宋体" w:cs="Times New Roman"/>
                      <w:b w:val="0"/>
                      <w:bCs/>
                      <w:color w:val="auto"/>
                      <w:sz w:val="21"/>
                      <w:szCs w:val="21"/>
                      <w:highlight w:val="none"/>
                      <w:shd w:val="clear" w:color="auto" w:fill="auto"/>
                      <w:lang w:val="en-US" w:eastAsia="zh-CN"/>
                    </w:rPr>
                    <w:t>2400h</w:t>
                  </w:r>
                </w:p>
              </w:tc>
            </w:tr>
            <w:tr w14:paraId="42A0B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65" w:type="pct"/>
                  <w:vMerge w:val="restart"/>
                  <w:tcBorders>
                    <w:tl2br w:val="nil"/>
                    <w:tr2bl w:val="nil"/>
                  </w:tcBorders>
                  <w:vAlign w:val="center"/>
                </w:tcPr>
                <w:p w14:paraId="7CF89213">
                  <w:pPr>
                    <w:jc w:val="center"/>
                    <w:rPr>
                      <w:rFonts w:hint="eastAsia"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搬迁后</w:t>
                  </w:r>
                </w:p>
              </w:tc>
              <w:tc>
                <w:tcPr>
                  <w:tcW w:w="535" w:type="pct"/>
                  <w:vMerge w:val="restart"/>
                  <w:tcBorders>
                    <w:tl2br w:val="nil"/>
                    <w:tr2bl w:val="nil"/>
                  </w:tcBorders>
                  <w:vAlign w:val="center"/>
                </w:tcPr>
                <w:p w14:paraId="520CCDA1">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环保塑料袋</w:t>
                  </w:r>
                </w:p>
              </w:tc>
              <w:tc>
                <w:tcPr>
                  <w:tcW w:w="775" w:type="pct"/>
                  <w:tcBorders>
                    <w:tl2br w:val="nil"/>
                    <w:tr2bl w:val="nil"/>
                  </w:tcBorders>
                  <w:vAlign w:val="center"/>
                </w:tcPr>
                <w:p w14:paraId="47E15529">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冰袋外包装</w:t>
                  </w:r>
                </w:p>
              </w:tc>
              <w:tc>
                <w:tcPr>
                  <w:tcW w:w="848" w:type="pct"/>
                  <w:tcBorders>
                    <w:tl2br w:val="nil"/>
                    <w:tr2bl w:val="nil"/>
                  </w:tcBorders>
                  <w:vAlign w:val="center"/>
                </w:tcPr>
                <w:p w14:paraId="60FEE9BA">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160×120×0.08mm</w:t>
                  </w:r>
                </w:p>
              </w:tc>
              <w:tc>
                <w:tcPr>
                  <w:tcW w:w="1358" w:type="pct"/>
                  <w:tcBorders>
                    <w:tl2br w:val="nil"/>
                    <w:tr2bl w:val="nil"/>
                  </w:tcBorders>
                  <w:vAlign w:val="center"/>
                </w:tcPr>
                <w:p w14:paraId="78C9E24E">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drawing>
                      <wp:inline distT="0" distB="0" distL="114300" distR="114300">
                        <wp:extent cx="1362710" cy="1362710"/>
                        <wp:effectExtent l="0" t="0" r="8890" b="8890"/>
                        <wp:docPr id="19" name="图片 19" descr="5f52ee04b3dff72a64c3cc3c5834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f52ee04b3dff72a64c3cc3c58348c1"/>
                                <pic:cNvPicPr>
                                  <a:picLocks noChangeAspect="1"/>
                                </pic:cNvPicPr>
                              </pic:nvPicPr>
                              <pic:blipFill>
                                <a:blip r:embed="rId11"/>
                                <a:stretch>
                                  <a:fillRect/>
                                </a:stretch>
                              </pic:blipFill>
                              <pic:spPr>
                                <a:xfrm>
                                  <a:off x="0" y="0"/>
                                  <a:ext cx="1362710" cy="1362710"/>
                                </a:xfrm>
                                <a:prstGeom prst="rect">
                                  <a:avLst/>
                                </a:prstGeom>
                              </pic:spPr>
                            </pic:pic>
                          </a:graphicData>
                        </a:graphic>
                      </wp:inline>
                    </w:drawing>
                  </w:r>
                </w:p>
              </w:tc>
              <w:tc>
                <w:tcPr>
                  <w:tcW w:w="697" w:type="pct"/>
                  <w:tcBorders>
                    <w:tl2br w:val="nil"/>
                    <w:tr2bl w:val="nil"/>
                  </w:tcBorders>
                  <w:shd w:val="clear" w:color="auto" w:fill="auto"/>
                  <w:vAlign w:val="center"/>
                </w:tcPr>
                <w:p w14:paraId="2A07A287">
                  <w:pPr>
                    <w:adjustRightInd w:val="0"/>
                    <w:snapToGrid w:val="0"/>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sz w:val="21"/>
                      <w:szCs w:val="21"/>
                      <w:shd w:val="clear" w:color="auto" w:fill="auto"/>
                      <w:lang w:val="en-US" w:eastAsia="zh-CN"/>
                    </w:rPr>
                    <w:t>1920吨/年</w:t>
                  </w:r>
                </w:p>
              </w:tc>
              <w:tc>
                <w:tcPr>
                  <w:tcW w:w="518" w:type="pct"/>
                  <w:vMerge w:val="restart"/>
                  <w:tcBorders>
                    <w:tl2br w:val="nil"/>
                    <w:tr2bl w:val="nil"/>
                  </w:tcBorders>
                  <w:vAlign w:val="center"/>
                </w:tcPr>
                <w:p w14:paraId="52602AD9">
                  <w:pPr>
                    <w:jc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24</w:t>
                  </w:r>
                  <w:r>
                    <w:rPr>
                      <w:rFonts w:hint="default" w:ascii="Times New Roman" w:hAnsi="Times New Roman" w:eastAsia="宋体" w:cs="Times New Roman"/>
                      <w:color w:val="auto"/>
                      <w:sz w:val="21"/>
                      <w:szCs w:val="21"/>
                      <w:highlight w:val="none"/>
                      <w:shd w:val="clear" w:color="auto" w:fill="auto"/>
                      <w:lang w:val="en-US"/>
                    </w:rPr>
                    <w:t>00h</w:t>
                  </w:r>
                </w:p>
              </w:tc>
            </w:tr>
            <w:tr w14:paraId="6603B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265" w:type="pct"/>
                  <w:vMerge w:val="continue"/>
                  <w:tcBorders>
                    <w:tl2br w:val="nil"/>
                    <w:tr2bl w:val="nil"/>
                  </w:tcBorders>
                  <w:vAlign w:val="center"/>
                </w:tcPr>
                <w:p w14:paraId="630B024D">
                  <w:pPr>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535" w:type="pct"/>
                  <w:vMerge w:val="continue"/>
                  <w:tcBorders>
                    <w:tl2br w:val="nil"/>
                    <w:tr2bl w:val="nil"/>
                  </w:tcBorders>
                  <w:vAlign w:val="center"/>
                </w:tcPr>
                <w:p w14:paraId="7A7506A7">
                  <w:pPr>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775" w:type="pct"/>
                  <w:tcBorders>
                    <w:tl2br w:val="nil"/>
                    <w:tr2bl w:val="nil"/>
                  </w:tcBorders>
                  <w:vAlign w:val="center"/>
                </w:tcPr>
                <w:p w14:paraId="5F9D113F">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食品外包装</w:t>
                  </w:r>
                </w:p>
              </w:tc>
              <w:tc>
                <w:tcPr>
                  <w:tcW w:w="848" w:type="pct"/>
                  <w:tcBorders>
                    <w:tl2br w:val="nil"/>
                    <w:tr2bl w:val="nil"/>
                  </w:tcBorders>
                  <w:vAlign w:val="center"/>
                </w:tcPr>
                <w:p w14:paraId="375321BD">
                  <w:pPr>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130×100×0.08mm</w:t>
                  </w:r>
                </w:p>
              </w:tc>
              <w:tc>
                <w:tcPr>
                  <w:tcW w:w="1358" w:type="pct"/>
                  <w:tcBorders>
                    <w:tl2br w:val="nil"/>
                    <w:tr2bl w:val="nil"/>
                  </w:tcBorders>
                  <w:vAlign w:val="center"/>
                </w:tcPr>
                <w:p w14:paraId="5625F01F">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drawing>
                      <wp:inline distT="0" distB="0" distL="114300" distR="114300">
                        <wp:extent cx="1323975" cy="1323975"/>
                        <wp:effectExtent l="0" t="0" r="9525" b="9525"/>
                        <wp:docPr id="5" name="图片 5" descr="175126929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1269293093"/>
                                <pic:cNvPicPr>
                                  <a:picLocks noChangeAspect="1"/>
                                </pic:cNvPicPr>
                              </pic:nvPicPr>
                              <pic:blipFill>
                                <a:blip r:embed="rId12"/>
                                <a:stretch>
                                  <a:fillRect/>
                                </a:stretch>
                              </pic:blipFill>
                              <pic:spPr>
                                <a:xfrm>
                                  <a:off x="0" y="0"/>
                                  <a:ext cx="1323975" cy="1323975"/>
                                </a:xfrm>
                                <a:prstGeom prst="rect">
                                  <a:avLst/>
                                </a:prstGeom>
                              </pic:spPr>
                            </pic:pic>
                          </a:graphicData>
                        </a:graphic>
                      </wp:inline>
                    </w:drawing>
                  </w:r>
                </w:p>
              </w:tc>
              <w:tc>
                <w:tcPr>
                  <w:tcW w:w="697" w:type="pct"/>
                  <w:tcBorders>
                    <w:tl2br w:val="nil"/>
                    <w:tr2bl w:val="nil"/>
                  </w:tcBorders>
                  <w:shd w:val="clear" w:color="auto" w:fill="auto"/>
                  <w:vAlign w:val="center"/>
                </w:tcPr>
                <w:p w14:paraId="2558A551">
                  <w:pPr>
                    <w:adjustRightInd w:val="0"/>
                    <w:snapToGrid w:val="0"/>
                    <w:jc w:val="center"/>
                    <w:rPr>
                      <w:rFonts w:hint="eastAsia"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80吨/年</w:t>
                  </w:r>
                </w:p>
              </w:tc>
              <w:tc>
                <w:tcPr>
                  <w:tcW w:w="518" w:type="pct"/>
                  <w:vMerge w:val="continue"/>
                  <w:tcBorders>
                    <w:tl2br w:val="nil"/>
                    <w:tr2bl w:val="nil"/>
                  </w:tcBorders>
                  <w:vAlign w:val="center"/>
                </w:tcPr>
                <w:p w14:paraId="2F5BD633">
                  <w:pPr>
                    <w:jc w:val="center"/>
                    <w:rPr>
                      <w:rFonts w:hint="eastAsia" w:ascii="Times New Roman" w:hAnsi="Times New Roman" w:eastAsia="宋体" w:cs="Times New Roman"/>
                      <w:color w:val="auto"/>
                      <w:sz w:val="21"/>
                      <w:szCs w:val="21"/>
                      <w:highlight w:val="none"/>
                      <w:shd w:val="clear" w:color="auto" w:fill="auto"/>
                      <w:lang w:val="en-US" w:eastAsia="zh-CN"/>
                    </w:rPr>
                  </w:pPr>
                </w:p>
              </w:tc>
            </w:tr>
          </w:tbl>
          <w:p w14:paraId="26E3C1D2">
            <w:pPr>
              <w:spacing w:line="240" w:lineRule="auto"/>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注：</w:t>
            </w:r>
            <w:r>
              <w:rPr>
                <w:rFonts w:hint="eastAsia" w:ascii="Times New Roman" w:hAnsi="Times New Roman" w:eastAsia="宋体" w:cs="Times New Roman"/>
                <w:b w:val="0"/>
                <w:bCs/>
                <w:color w:val="auto"/>
                <w:sz w:val="21"/>
                <w:szCs w:val="21"/>
                <w:highlight w:val="none"/>
                <w:lang w:val="en-US" w:eastAsia="zh-CN"/>
              </w:rPr>
              <w:t>①搬迁后原项目产品不再生产。</w:t>
            </w:r>
          </w:p>
          <w:p w14:paraId="7E99AB3E">
            <w:pPr>
              <w:spacing w:line="24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②</w:t>
            </w:r>
            <w:r>
              <w:rPr>
                <w:rFonts w:hint="default" w:ascii="Times New Roman" w:hAnsi="Times New Roman" w:eastAsia="宋体" w:cs="Times New Roman"/>
                <w:b w:val="0"/>
                <w:bCs/>
                <w:color w:val="auto"/>
                <w:sz w:val="21"/>
                <w:szCs w:val="21"/>
                <w:highlight w:val="none"/>
                <w:lang w:val="en-US" w:eastAsia="zh-CN"/>
              </w:rPr>
              <w:t>本项目生产的产品主要用作</w:t>
            </w:r>
            <w:r>
              <w:rPr>
                <w:rFonts w:hint="eastAsia" w:ascii="Times New Roman" w:hAnsi="Times New Roman" w:eastAsia="宋体" w:cs="Times New Roman"/>
                <w:b w:val="0"/>
                <w:bCs/>
                <w:color w:val="auto"/>
                <w:sz w:val="21"/>
                <w:szCs w:val="21"/>
                <w:highlight w:val="none"/>
                <w:lang w:val="en-US" w:eastAsia="zh-CN"/>
              </w:rPr>
              <w:t>冰袋或食品外包装袋</w:t>
            </w:r>
            <w:r>
              <w:rPr>
                <w:rFonts w:hint="default" w:ascii="Times New Roman" w:hAnsi="Times New Roman" w:eastAsia="宋体" w:cs="Times New Roman"/>
                <w:b w:val="0"/>
                <w:bCs/>
                <w:color w:val="auto"/>
                <w:sz w:val="21"/>
                <w:szCs w:val="21"/>
                <w:highlight w:val="none"/>
                <w:lang w:val="en-US" w:eastAsia="zh-CN"/>
              </w:rPr>
              <w:t>，具体参数根据客户要求而定，</w:t>
            </w:r>
            <w:r>
              <w:rPr>
                <w:rFonts w:hint="default" w:ascii="Times New Roman" w:hAnsi="Times New Roman" w:eastAsia="宋体" w:cs="Times New Roman"/>
                <w:color w:val="auto"/>
                <w:sz w:val="21"/>
                <w:szCs w:val="21"/>
                <w:highlight w:val="none"/>
                <w:lang w:val="en-US" w:eastAsia="zh-CN"/>
              </w:rPr>
              <w:t>本项目产品方案挑选了几个具有代表性的产品。</w:t>
            </w:r>
          </w:p>
          <w:p w14:paraId="627E91E8">
            <w:pPr>
              <w:spacing w:line="360" w:lineRule="auto"/>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eastAsia="zh-CN"/>
              </w:rPr>
              <w:t>4</w:t>
            </w:r>
            <w:r>
              <w:rPr>
                <w:rFonts w:hint="default" w:ascii="Times New Roman" w:hAnsi="Times New Roman" w:eastAsia="宋体" w:cs="Times New Roman"/>
                <w:b/>
                <w:color w:val="auto"/>
                <w:sz w:val="24"/>
                <w:highlight w:val="none"/>
                <w:shd w:val="clear" w:color="auto" w:fill="auto"/>
                <w:lang w:val="en-US"/>
              </w:rPr>
              <w:t>、生产设施</w:t>
            </w:r>
          </w:p>
          <w:p w14:paraId="6CFAED61">
            <w:pPr>
              <w:pStyle w:val="57"/>
              <w:snapToGrid/>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本项目主要设备见表2-</w:t>
            </w:r>
            <w:r>
              <w:rPr>
                <w:rFonts w:hint="default" w:ascii="Times New Roman" w:hAnsi="Times New Roman" w:eastAsia="宋体" w:cs="Times New Roman"/>
                <w:color w:val="auto"/>
                <w:sz w:val="24"/>
                <w:highlight w:val="none"/>
                <w:shd w:val="clear" w:color="auto" w:fill="auto"/>
                <w:lang w:val="en-US" w:eastAsia="zh-CN"/>
              </w:rPr>
              <w:t>2</w:t>
            </w:r>
            <w:r>
              <w:rPr>
                <w:rFonts w:hint="default" w:ascii="Times New Roman" w:hAnsi="Times New Roman" w:eastAsia="宋体" w:cs="Times New Roman"/>
                <w:color w:val="auto"/>
                <w:sz w:val="24"/>
                <w:highlight w:val="none"/>
                <w:shd w:val="clear" w:color="auto" w:fill="auto"/>
                <w:lang w:val="en-US"/>
              </w:rPr>
              <w:t>。</w:t>
            </w:r>
          </w:p>
          <w:p w14:paraId="49BB4996">
            <w:pPr>
              <w:jc w:val="center"/>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rPr>
              <w:t>表2-</w:t>
            </w:r>
            <w:r>
              <w:rPr>
                <w:rFonts w:hint="default" w:ascii="Times New Roman" w:hAnsi="Times New Roman" w:eastAsia="宋体" w:cs="Times New Roman"/>
                <w:b/>
                <w:color w:val="auto"/>
                <w:sz w:val="24"/>
                <w:highlight w:val="none"/>
                <w:shd w:val="clear" w:color="auto" w:fill="auto"/>
                <w:lang w:val="en-US" w:eastAsia="zh-CN"/>
              </w:rPr>
              <w:t>2</w:t>
            </w:r>
            <w:r>
              <w:rPr>
                <w:rFonts w:hint="default" w:ascii="Times New Roman" w:hAnsi="Times New Roman" w:eastAsia="宋体" w:cs="Times New Roman"/>
                <w:b/>
                <w:color w:val="auto"/>
                <w:sz w:val="24"/>
                <w:highlight w:val="none"/>
                <w:shd w:val="clear" w:color="auto" w:fill="auto"/>
                <w:lang w:val="en-US"/>
              </w:rPr>
              <w:t xml:space="preserve">  主要设备清单一览表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822"/>
              <w:gridCol w:w="1268"/>
              <w:gridCol w:w="1045"/>
              <w:gridCol w:w="1163"/>
              <w:gridCol w:w="1025"/>
              <w:gridCol w:w="1466"/>
            </w:tblGrid>
            <w:tr w14:paraId="44C76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40" w:type="pct"/>
                  <w:vMerge w:val="restart"/>
                  <w:tcBorders>
                    <w:tl2br w:val="nil"/>
                    <w:tr2bl w:val="nil"/>
                  </w:tcBorders>
                  <w:vAlign w:val="center"/>
                </w:tcPr>
                <w:p w14:paraId="6AE64E24">
                  <w:pPr>
                    <w:jc w:val="center"/>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eastAsia="zh-CN"/>
                    </w:rPr>
                    <w:t>序号</w:t>
                  </w:r>
                </w:p>
              </w:tc>
              <w:tc>
                <w:tcPr>
                  <w:tcW w:w="1089" w:type="pct"/>
                  <w:vMerge w:val="restart"/>
                  <w:tcBorders>
                    <w:tl2br w:val="nil"/>
                    <w:tr2bl w:val="nil"/>
                  </w:tcBorders>
                  <w:vAlign w:val="center"/>
                </w:tcPr>
                <w:p w14:paraId="4B4D11F9">
                  <w:pPr>
                    <w:jc w:val="center"/>
                    <w:rPr>
                      <w:rFonts w:hint="default" w:ascii="Times New Roman" w:hAnsi="Times New Roman" w:eastAsia="宋体" w:cs="Times New Roman"/>
                      <w:b/>
                      <w:color w:val="auto"/>
                      <w:sz w:val="21"/>
                      <w:szCs w:val="21"/>
                      <w:highlight w:val="none"/>
                      <w:shd w:val="clear" w:color="auto" w:fill="auto"/>
                      <w:lang w:val="en-US"/>
                    </w:rPr>
                  </w:pPr>
                  <w:r>
                    <w:rPr>
                      <w:rFonts w:hint="default" w:ascii="Times New Roman" w:hAnsi="Times New Roman" w:eastAsia="宋体" w:cs="Times New Roman"/>
                      <w:b/>
                      <w:color w:val="auto"/>
                      <w:sz w:val="21"/>
                      <w:szCs w:val="21"/>
                      <w:highlight w:val="none"/>
                      <w:shd w:val="clear" w:color="auto" w:fill="auto"/>
                      <w:lang w:val="en-US"/>
                    </w:rPr>
                    <w:t>设备名称</w:t>
                  </w:r>
                </w:p>
              </w:tc>
              <w:tc>
                <w:tcPr>
                  <w:tcW w:w="758" w:type="pct"/>
                  <w:vMerge w:val="restart"/>
                  <w:tcBorders>
                    <w:tl2br w:val="nil"/>
                    <w:tr2bl w:val="nil"/>
                  </w:tcBorders>
                  <w:vAlign w:val="center"/>
                </w:tcPr>
                <w:p w14:paraId="0EA4808B">
                  <w:pPr>
                    <w:jc w:val="center"/>
                    <w:rPr>
                      <w:rFonts w:hint="default" w:ascii="Times New Roman" w:hAnsi="Times New Roman" w:eastAsia="宋体" w:cs="Times New Roman"/>
                      <w:b/>
                      <w:color w:val="auto"/>
                      <w:sz w:val="21"/>
                      <w:szCs w:val="21"/>
                      <w:highlight w:val="none"/>
                      <w:shd w:val="clear" w:color="auto" w:fill="auto"/>
                      <w:lang w:val="en-US"/>
                    </w:rPr>
                  </w:pPr>
                  <w:r>
                    <w:rPr>
                      <w:rFonts w:hint="default" w:ascii="Times New Roman" w:hAnsi="Times New Roman" w:eastAsia="宋体" w:cs="Times New Roman"/>
                      <w:b/>
                      <w:color w:val="auto"/>
                      <w:sz w:val="21"/>
                      <w:szCs w:val="21"/>
                      <w:highlight w:val="none"/>
                      <w:shd w:val="clear" w:color="auto" w:fill="auto"/>
                      <w:lang w:val="en-US"/>
                    </w:rPr>
                    <w:t>规格、型号</w:t>
                  </w:r>
                </w:p>
              </w:tc>
              <w:tc>
                <w:tcPr>
                  <w:tcW w:w="1934" w:type="pct"/>
                  <w:gridSpan w:val="3"/>
                  <w:tcBorders>
                    <w:tl2br w:val="nil"/>
                    <w:tr2bl w:val="nil"/>
                  </w:tcBorders>
                  <w:vAlign w:val="center"/>
                </w:tcPr>
                <w:p w14:paraId="7B174FBB">
                  <w:pPr>
                    <w:jc w:val="center"/>
                    <w:rPr>
                      <w:rFonts w:hint="eastAsia"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rPr>
                    <w:t>数量</w:t>
                  </w:r>
                  <w:r>
                    <w:rPr>
                      <w:rFonts w:hint="eastAsia" w:ascii="Times New Roman" w:hAnsi="Times New Roman" w:eastAsia="宋体" w:cs="Times New Roman"/>
                      <w:b/>
                      <w:color w:val="auto"/>
                      <w:sz w:val="21"/>
                      <w:szCs w:val="21"/>
                      <w:highlight w:val="none"/>
                      <w:shd w:val="clear" w:color="auto" w:fill="auto"/>
                      <w:lang w:val="en-US" w:eastAsia="zh-CN"/>
                    </w:rPr>
                    <w:t>（台/套）</w:t>
                  </w:r>
                </w:p>
              </w:tc>
              <w:tc>
                <w:tcPr>
                  <w:tcW w:w="877" w:type="pct"/>
                  <w:vMerge w:val="restart"/>
                  <w:tcBorders>
                    <w:tl2br w:val="nil"/>
                    <w:tr2bl w:val="nil"/>
                  </w:tcBorders>
                  <w:vAlign w:val="center"/>
                </w:tcPr>
                <w:p w14:paraId="376CF3CD">
                  <w:pPr>
                    <w:jc w:val="center"/>
                    <w:rPr>
                      <w:rFonts w:hint="default" w:ascii="Times New Roman" w:hAnsi="Times New Roman" w:eastAsia="宋体" w:cs="Times New Roman"/>
                      <w:b/>
                      <w:color w:val="auto"/>
                      <w:sz w:val="21"/>
                      <w:szCs w:val="21"/>
                      <w:highlight w:val="none"/>
                      <w:shd w:val="clear" w:color="auto" w:fill="auto"/>
                      <w:lang w:val="en-US"/>
                    </w:rPr>
                  </w:pPr>
                  <w:r>
                    <w:rPr>
                      <w:rFonts w:hint="default" w:ascii="Times New Roman" w:hAnsi="Times New Roman" w:eastAsia="宋体" w:cs="Times New Roman"/>
                      <w:b/>
                      <w:color w:val="auto"/>
                      <w:sz w:val="21"/>
                      <w:szCs w:val="21"/>
                      <w:highlight w:val="none"/>
                      <w:shd w:val="clear" w:color="auto" w:fill="auto"/>
                      <w:lang w:val="en-US"/>
                    </w:rPr>
                    <w:t>备注</w:t>
                  </w:r>
                </w:p>
              </w:tc>
            </w:tr>
            <w:tr w14:paraId="31ED1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40" w:type="pct"/>
                  <w:vMerge w:val="continue"/>
                  <w:tcBorders>
                    <w:tl2br w:val="nil"/>
                    <w:tr2bl w:val="nil"/>
                  </w:tcBorders>
                  <w:vAlign w:val="center"/>
                </w:tcPr>
                <w:p w14:paraId="5B1B1DAD">
                  <w:pPr>
                    <w:jc w:val="center"/>
                    <w:rPr>
                      <w:color w:val="auto"/>
                    </w:rPr>
                  </w:pPr>
                </w:p>
              </w:tc>
              <w:tc>
                <w:tcPr>
                  <w:tcW w:w="1089" w:type="pct"/>
                  <w:vMerge w:val="continue"/>
                  <w:tcBorders>
                    <w:tl2br w:val="nil"/>
                    <w:tr2bl w:val="nil"/>
                  </w:tcBorders>
                  <w:vAlign w:val="center"/>
                </w:tcPr>
                <w:p w14:paraId="364BE772">
                  <w:pPr>
                    <w:jc w:val="center"/>
                    <w:rPr>
                      <w:color w:val="auto"/>
                    </w:rPr>
                  </w:pPr>
                </w:p>
              </w:tc>
              <w:tc>
                <w:tcPr>
                  <w:tcW w:w="758" w:type="pct"/>
                  <w:vMerge w:val="continue"/>
                  <w:tcBorders>
                    <w:tl2br w:val="nil"/>
                    <w:tr2bl w:val="nil"/>
                  </w:tcBorders>
                  <w:vAlign w:val="center"/>
                </w:tcPr>
                <w:p w14:paraId="6933D020">
                  <w:pPr>
                    <w:jc w:val="center"/>
                    <w:rPr>
                      <w:color w:val="auto"/>
                    </w:rPr>
                  </w:pPr>
                </w:p>
              </w:tc>
              <w:tc>
                <w:tcPr>
                  <w:tcW w:w="625" w:type="pct"/>
                  <w:tcBorders>
                    <w:tl2br w:val="nil"/>
                    <w:tr2bl w:val="nil"/>
                  </w:tcBorders>
                  <w:vAlign w:val="center"/>
                </w:tcPr>
                <w:p w14:paraId="2CFD6F47">
                  <w:pPr>
                    <w:jc w:val="center"/>
                    <w:rPr>
                      <w:rFonts w:hint="default" w:ascii="Times New Roman" w:hAnsi="Times New Roman" w:eastAsia="宋体" w:cs="Times New Roman"/>
                      <w:b/>
                      <w:color w:val="auto"/>
                      <w:sz w:val="21"/>
                      <w:szCs w:val="21"/>
                      <w:highlight w:val="none"/>
                      <w:shd w:val="clear" w:color="auto" w:fill="auto"/>
                      <w:lang w:val="en-US"/>
                    </w:rPr>
                  </w:pPr>
                  <w:r>
                    <w:rPr>
                      <w:rFonts w:hint="eastAsia" w:ascii="Times New Roman" w:hAnsi="Times New Roman" w:eastAsia="宋体" w:cs="Times New Roman"/>
                      <w:b/>
                      <w:color w:val="auto"/>
                      <w:sz w:val="21"/>
                      <w:szCs w:val="21"/>
                      <w:highlight w:val="none"/>
                      <w:shd w:val="clear" w:color="auto" w:fill="auto"/>
                      <w:lang w:val="en-US" w:eastAsia="zh-CN"/>
                    </w:rPr>
                    <w:t>搬迁前</w:t>
                  </w:r>
                </w:p>
              </w:tc>
              <w:tc>
                <w:tcPr>
                  <w:tcW w:w="695" w:type="pct"/>
                  <w:tcBorders>
                    <w:tl2br w:val="nil"/>
                    <w:tr2bl w:val="nil"/>
                  </w:tcBorders>
                  <w:vAlign w:val="center"/>
                </w:tcPr>
                <w:p w14:paraId="6C7CB9E6">
                  <w:pPr>
                    <w:jc w:val="center"/>
                    <w:rPr>
                      <w:rFonts w:hint="default" w:ascii="Times New Roman" w:hAnsi="Times New Roman" w:eastAsia="宋体" w:cs="Times New Roman"/>
                      <w:b/>
                      <w:color w:val="auto"/>
                      <w:sz w:val="21"/>
                      <w:szCs w:val="21"/>
                      <w:highlight w:val="none"/>
                      <w:shd w:val="clear" w:color="auto" w:fill="auto"/>
                      <w:lang w:val="en-US"/>
                    </w:rPr>
                  </w:pPr>
                  <w:r>
                    <w:rPr>
                      <w:rFonts w:hint="eastAsia" w:ascii="Times New Roman" w:hAnsi="Times New Roman" w:eastAsia="宋体" w:cs="Times New Roman"/>
                      <w:b/>
                      <w:color w:val="auto"/>
                      <w:sz w:val="21"/>
                      <w:szCs w:val="21"/>
                      <w:highlight w:val="none"/>
                      <w:shd w:val="clear" w:color="auto" w:fill="auto"/>
                      <w:lang w:val="en-US" w:eastAsia="zh-CN"/>
                    </w:rPr>
                    <w:t>搬迁后</w:t>
                  </w:r>
                </w:p>
              </w:tc>
              <w:tc>
                <w:tcPr>
                  <w:tcW w:w="613" w:type="pct"/>
                  <w:tcBorders>
                    <w:tl2br w:val="nil"/>
                    <w:tr2bl w:val="nil"/>
                  </w:tcBorders>
                  <w:vAlign w:val="center"/>
                </w:tcPr>
                <w:p w14:paraId="7169A0E1">
                  <w:pPr>
                    <w:jc w:val="center"/>
                    <w:rPr>
                      <w:rFonts w:hint="default" w:ascii="Times New Roman" w:hAnsi="Times New Roman" w:eastAsia="宋体" w:cs="Times New Roman"/>
                      <w:b/>
                      <w:color w:val="auto"/>
                      <w:sz w:val="21"/>
                      <w:szCs w:val="21"/>
                      <w:highlight w:val="none"/>
                      <w:shd w:val="clear" w:color="auto" w:fill="auto"/>
                      <w:lang w:val="en-US"/>
                    </w:rPr>
                  </w:pPr>
                  <w:r>
                    <w:rPr>
                      <w:rFonts w:hint="eastAsia" w:ascii="Times New Roman" w:hAnsi="Times New Roman" w:eastAsia="宋体" w:cs="Times New Roman"/>
                      <w:b/>
                      <w:color w:val="auto"/>
                      <w:sz w:val="21"/>
                      <w:szCs w:val="21"/>
                      <w:highlight w:val="none"/>
                      <w:shd w:val="clear" w:color="auto" w:fill="auto"/>
                      <w:lang w:val="en-US" w:eastAsia="zh-CN"/>
                    </w:rPr>
                    <w:t>变化量</w:t>
                  </w:r>
                </w:p>
              </w:tc>
              <w:tc>
                <w:tcPr>
                  <w:tcW w:w="877" w:type="pct"/>
                  <w:vMerge w:val="continue"/>
                  <w:tcBorders>
                    <w:tl2br w:val="nil"/>
                    <w:tr2bl w:val="nil"/>
                  </w:tcBorders>
                  <w:vAlign w:val="center"/>
                </w:tcPr>
                <w:p w14:paraId="0C63B37E">
                  <w:pPr>
                    <w:jc w:val="center"/>
                    <w:rPr>
                      <w:rFonts w:hint="default" w:ascii="Times New Roman" w:hAnsi="Times New Roman" w:eastAsia="宋体" w:cs="Times New Roman"/>
                      <w:b/>
                      <w:color w:val="auto"/>
                      <w:sz w:val="21"/>
                      <w:szCs w:val="21"/>
                      <w:highlight w:val="none"/>
                      <w:shd w:val="clear" w:color="auto" w:fill="auto"/>
                      <w:lang w:val="en-US"/>
                    </w:rPr>
                  </w:pPr>
                </w:p>
              </w:tc>
            </w:tr>
            <w:tr w14:paraId="392E2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4F8AFF1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1</w:t>
                  </w:r>
                </w:p>
              </w:tc>
              <w:tc>
                <w:tcPr>
                  <w:tcW w:w="1089" w:type="pct"/>
                  <w:tcBorders>
                    <w:tl2br w:val="nil"/>
                    <w:tr2bl w:val="nil"/>
                  </w:tcBorders>
                  <w:shd w:val="clear" w:color="auto" w:fill="auto"/>
                  <w:vAlign w:val="center"/>
                </w:tcPr>
                <w:p w14:paraId="05AEF59C">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搅拌罐</w:t>
                  </w:r>
                </w:p>
              </w:tc>
              <w:tc>
                <w:tcPr>
                  <w:tcW w:w="758" w:type="pct"/>
                  <w:tcBorders>
                    <w:tl2br w:val="nil"/>
                    <w:tr2bl w:val="nil"/>
                  </w:tcBorders>
                  <w:shd w:val="clear" w:color="auto" w:fill="auto"/>
                  <w:vAlign w:val="center"/>
                </w:tcPr>
                <w:p w14:paraId="68C2DE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ZD52</w:t>
                  </w:r>
                </w:p>
              </w:tc>
              <w:tc>
                <w:tcPr>
                  <w:tcW w:w="625" w:type="pct"/>
                  <w:tcBorders>
                    <w:tl2br w:val="nil"/>
                    <w:tr2bl w:val="nil"/>
                  </w:tcBorders>
                  <w:shd w:val="clear" w:color="auto" w:fill="auto"/>
                  <w:vAlign w:val="center"/>
                </w:tcPr>
                <w:p w14:paraId="21DA11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695" w:type="pct"/>
                  <w:tcBorders>
                    <w:tl2br w:val="nil"/>
                    <w:tr2bl w:val="nil"/>
                  </w:tcBorders>
                  <w:shd w:val="clear" w:color="auto" w:fill="auto"/>
                  <w:vAlign w:val="center"/>
                </w:tcPr>
                <w:p w14:paraId="15C56F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613" w:type="pct"/>
                  <w:tcBorders>
                    <w:tl2br w:val="nil"/>
                    <w:tr2bl w:val="nil"/>
                  </w:tcBorders>
                  <w:vAlign w:val="center"/>
                </w:tcPr>
                <w:p w14:paraId="7291EA30">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-2</w:t>
                  </w:r>
                </w:p>
              </w:tc>
              <w:tc>
                <w:tcPr>
                  <w:tcW w:w="877" w:type="pct"/>
                  <w:tcBorders>
                    <w:tl2br w:val="nil"/>
                    <w:tr2bl w:val="nil"/>
                  </w:tcBorders>
                  <w:vAlign w:val="center"/>
                </w:tcPr>
                <w:p w14:paraId="2F6F42AF">
                  <w:pPr>
                    <w:keepNext w:val="0"/>
                    <w:keepLines w:val="0"/>
                    <w:widowControl/>
                    <w:suppressLineNumbers w:val="0"/>
                    <w:jc w:val="center"/>
                    <w:textAlignment w:val="center"/>
                    <w:rPr>
                      <w:rFonts w:hint="eastAsia" w:ascii="Times New Roman" w:hAnsi="Times New Roman" w:eastAsia="宋体" w:cs="Times New Roman"/>
                      <w:color w:val="auto"/>
                      <w:sz w:val="21"/>
                      <w:szCs w:val="21"/>
                      <w:shd w:val="clear" w:color="auto" w:fill="auto"/>
                      <w:lang w:val="en-US" w:eastAsia="zh-CN"/>
                    </w:rPr>
                  </w:pPr>
                  <w:r>
                    <w:rPr>
                      <w:rFonts w:hint="eastAsia" w:ascii="宋体" w:hAnsi="宋体" w:eastAsia="宋体" w:cs="宋体"/>
                      <w:i w:val="0"/>
                      <w:iCs w:val="0"/>
                      <w:color w:val="auto"/>
                      <w:kern w:val="0"/>
                      <w:sz w:val="21"/>
                      <w:szCs w:val="21"/>
                      <w:u w:val="none"/>
                      <w:lang w:val="en-US" w:eastAsia="zh-CN" w:bidi="ar"/>
                    </w:rPr>
                    <w:t>搅拌</w:t>
                  </w:r>
                </w:p>
              </w:tc>
            </w:tr>
            <w:tr w14:paraId="3003D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1A9435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2</w:t>
                  </w:r>
                </w:p>
              </w:tc>
              <w:tc>
                <w:tcPr>
                  <w:tcW w:w="1089" w:type="pct"/>
                  <w:tcBorders>
                    <w:tl2br w:val="nil"/>
                    <w:tr2bl w:val="nil"/>
                  </w:tcBorders>
                  <w:shd w:val="clear" w:color="auto" w:fill="auto"/>
                  <w:vAlign w:val="center"/>
                </w:tcPr>
                <w:p w14:paraId="64FF02C9">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涂布机</w:t>
                  </w:r>
                </w:p>
              </w:tc>
              <w:tc>
                <w:tcPr>
                  <w:tcW w:w="758" w:type="pct"/>
                  <w:tcBorders>
                    <w:tl2br w:val="nil"/>
                    <w:tr2bl w:val="nil"/>
                  </w:tcBorders>
                  <w:shd w:val="clear" w:color="auto" w:fill="auto"/>
                  <w:vAlign w:val="center"/>
                </w:tcPr>
                <w:p w14:paraId="3C826A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HG52</w:t>
                  </w:r>
                </w:p>
              </w:tc>
              <w:tc>
                <w:tcPr>
                  <w:tcW w:w="625" w:type="pct"/>
                  <w:tcBorders>
                    <w:tl2br w:val="nil"/>
                    <w:tr2bl w:val="nil"/>
                  </w:tcBorders>
                  <w:shd w:val="clear" w:color="auto" w:fill="auto"/>
                  <w:vAlign w:val="center"/>
                </w:tcPr>
                <w:p w14:paraId="247D43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p>
              </w:tc>
              <w:tc>
                <w:tcPr>
                  <w:tcW w:w="695" w:type="pct"/>
                  <w:tcBorders>
                    <w:tl2br w:val="nil"/>
                    <w:tr2bl w:val="nil"/>
                  </w:tcBorders>
                  <w:shd w:val="clear" w:color="auto" w:fill="auto"/>
                  <w:vAlign w:val="center"/>
                </w:tcPr>
                <w:p w14:paraId="1BEE6C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613" w:type="pct"/>
                  <w:tcBorders>
                    <w:tl2br w:val="nil"/>
                    <w:tr2bl w:val="nil"/>
                  </w:tcBorders>
                  <w:vAlign w:val="center"/>
                </w:tcPr>
                <w:p w14:paraId="4BB99DAF">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-3</w:t>
                  </w:r>
                </w:p>
              </w:tc>
              <w:tc>
                <w:tcPr>
                  <w:tcW w:w="877" w:type="pct"/>
                  <w:tcBorders>
                    <w:tl2br w:val="nil"/>
                    <w:tr2bl w:val="nil"/>
                  </w:tcBorders>
                  <w:vAlign w:val="center"/>
                </w:tcPr>
                <w:p w14:paraId="62DAA3C2">
                  <w:pPr>
                    <w:keepNext w:val="0"/>
                    <w:keepLines w:val="0"/>
                    <w:widowControl/>
                    <w:suppressLineNumbers w:val="0"/>
                    <w:jc w:val="center"/>
                    <w:textAlignment w:val="center"/>
                    <w:rPr>
                      <w:rFonts w:hint="eastAsia" w:ascii="Times New Roman" w:hAnsi="Times New Roman" w:eastAsia="宋体" w:cs="Times New Roman"/>
                      <w:color w:val="auto"/>
                      <w:sz w:val="21"/>
                      <w:szCs w:val="21"/>
                      <w:shd w:val="clear" w:color="auto" w:fill="auto"/>
                      <w:lang w:val="en-US" w:eastAsia="zh-CN"/>
                    </w:rPr>
                  </w:pPr>
                  <w:r>
                    <w:rPr>
                      <w:rFonts w:hint="eastAsia" w:ascii="宋体" w:hAnsi="宋体" w:eastAsia="宋体" w:cs="宋体"/>
                      <w:i w:val="0"/>
                      <w:iCs w:val="0"/>
                      <w:color w:val="auto"/>
                      <w:kern w:val="0"/>
                      <w:sz w:val="21"/>
                      <w:szCs w:val="21"/>
                      <w:u w:val="none"/>
                      <w:lang w:val="en-US" w:eastAsia="zh-CN" w:bidi="ar"/>
                    </w:rPr>
                    <w:t>涂布</w:t>
                  </w:r>
                </w:p>
              </w:tc>
            </w:tr>
            <w:tr w14:paraId="42481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3BC58CE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3</w:t>
                  </w:r>
                </w:p>
              </w:tc>
              <w:tc>
                <w:tcPr>
                  <w:tcW w:w="1089" w:type="pct"/>
                  <w:tcBorders>
                    <w:tl2br w:val="nil"/>
                    <w:tr2bl w:val="nil"/>
                  </w:tcBorders>
                  <w:shd w:val="clear" w:color="auto" w:fill="auto"/>
                  <w:vAlign w:val="center"/>
                </w:tcPr>
                <w:p w14:paraId="2384FBA8">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印刷机</w:t>
                  </w:r>
                </w:p>
              </w:tc>
              <w:tc>
                <w:tcPr>
                  <w:tcW w:w="758" w:type="pct"/>
                  <w:tcBorders>
                    <w:tl2br w:val="nil"/>
                    <w:tr2bl w:val="nil"/>
                  </w:tcBorders>
                  <w:shd w:val="clear" w:color="auto" w:fill="auto"/>
                  <w:vAlign w:val="center"/>
                </w:tcPr>
                <w:p w14:paraId="0C9A3E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FR-522</w:t>
                  </w:r>
                </w:p>
              </w:tc>
              <w:tc>
                <w:tcPr>
                  <w:tcW w:w="625" w:type="pct"/>
                  <w:tcBorders>
                    <w:tl2br w:val="nil"/>
                    <w:tr2bl w:val="nil"/>
                  </w:tcBorders>
                  <w:shd w:val="clear" w:color="auto" w:fill="auto"/>
                  <w:vAlign w:val="center"/>
                </w:tcPr>
                <w:p w14:paraId="6F3CE8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695" w:type="pct"/>
                  <w:tcBorders>
                    <w:tl2br w:val="nil"/>
                    <w:tr2bl w:val="nil"/>
                  </w:tcBorders>
                  <w:shd w:val="clear" w:color="auto" w:fill="auto"/>
                  <w:vAlign w:val="center"/>
                </w:tcPr>
                <w:p w14:paraId="157E31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613" w:type="pct"/>
                  <w:tcBorders>
                    <w:tl2br w:val="nil"/>
                    <w:tr2bl w:val="nil"/>
                  </w:tcBorders>
                  <w:shd w:val="clear" w:color="auto" w:fill="auto"/>
                  <w:vAlign w:val="center"/>
                </w:tcPr>
                <w:p w14:paraId="16464DA1">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+1</w:t>
                  </w:r>
                </w:p>
              </w:tc>
              <w:tc>
                <w:tcPr>
                  <w:tcW w:w="877" w:type="pct"/>
                  <w:tcBorders>
                    <w:tl2br w:val="nil"/>
                    <w:tr2bl w:val="nil"/>
                  </w:tcBorders>
                  <w:vAlign w:val="center"/>
                </w:tcPr>
                <w:p w14:paraId="18E01583">
                  <w:pPr>
                    <w:keepNext w:val="0"/>
                    <w:keepLines w:val="0"/>
                    <w:widowControl/>
                    <w:suppressLineNumbers w:val="0"/>
                    <w:jc w:val="center"/>
                    <w:textAlignment w:val="center"/>
                    <w:rPr>
                      <w:rFonts w:hint="eastAsia" w:ascii="Times New Roman" w:hAnsi="Times New Roman" w:eastAsia="宋体" w:cs="Times New Roman"/>
                      <w:color w:val="auto"/>
                      <w:sz w:val="21"/>
                      <w:szCs w:val="21"/>
                      <w:shd w:val="clear" w:color="auto" w:fill="auto"/>
                      <w:lang w:val="en-US" w:eastAsia="zh-CN"/>
                    </w:rPr>
                  </w:pPr>
                  <w:r>
                    <w:rPr>
                      <w:rFonts w:hint="eastAsia" w:ascii="宋体" w:hAnsi="宋体" w:eastAsia="宋体" w:cs="宋体"/>
                      <w:i w:val="0"/>
                      <w:iCs w:val="0"/>
                      <w:color w:val="auto"/>
                      <w:kern w:val="0"/>
                      <w:sz w:val="21"/>
                      <w:szCs w:val="21"/>
                      <w:u w:val="none"/>
                      <w:lang w:val="en-US" w:eastAsia="zh-CN" w:bidi="ar"/>
                    </w:rPr>
                    <w:t>印刷</w:t>
                  </w:r>
                </w:p>
              </w:tc>
            </w:tr>
            <w:tr w14:paraId="7EA2C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029FE8A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4</w:t>
                  </w:r>
                </w:p>
              </w:tc>
              <w:tc>
                <w:tcPr>
                  <w:tcW w:w="1089" w:type="pct"/>
                  <w:tcBorders>
                    <w:tl2br w:val="nil"/>
                    <w:tr2bl w:val="nil"/>
                  </w:tcBorders>
                  <w:shd w:val="clear" w:color="auto" w:fill="auto"/>
                  <w:vAlign w:val="center"/>
                </w:tcPr>
                <w:p w14:paraId="77F42590">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分切机</w:t>
                  </w:r>
                </w:p>
              </w:tc>
              <w:tc>
                <w:tcPr>
                  <w:tcW w:w="758" w:type="pct"/>
                  <w:tcBorders>
                    <w:tl2br w:val="nil"/>
                    <w:tr2bl w:val="nil"/>
                  </w:tcBorders>
                  <w:shd w:val="clear" w:color="auto" w:fill="auto"/>
                  <w:vAlign w:val="center"/>
                </w:tcPr>
                <w:p w14:paraId="2C2F1D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FQ-56</w:t>
                  </w:r>
                </w:p>
              </w:tc>
              <w:tc>
                <w:tcPr>
                  <w:tcW w:w="625" w:type="pct"/>
                  <w:tcBorders>
                    <w:tl2br w:val="nil"/>
                    <w:tr2bl w:val="nil"/>
                  </w:tcBorders>
                  <w:shd w:val="clear" w:color="auto" w:fill="auto"/>
                  <w:vAlign w:val="center"/>
                </w:tcPr>
                <w:p w14:paraId="313400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w:t>
                  </w:r>
                </w:p>
              </w:tc>
              <w:tc>
                <w:tcPr>
                  <w:tcW w:w="695" w:type="pct"/>
                  <w:tcBorders>
                    <w:tl2br w:val="nil"/>
                    <w:tr2bl w:val="nil"/>
                  </w:tcBorders>
                  <w:shd w:val="clear" w:color="auto" w:fill="auto"/>
                  <w:vAlign w:val="center"/>
                </w:tcPr>
                <w:p w14:paraId="19FB19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w:t>
                  </w:r>
                </w:p>
              </w:tc>
              <w:tc>
                <w:tcPr>
                  <w:tcW w:w="613" w:type="pct"/>
                  <w:tcBorders>
                    <w:tl2br w:val="nil"/>
                    <w:tr2bl w:val="nil"/>
                  </w:tcBorders>
                  <w:vAlign w:val="center"/>
                </w:tcPr>
                <w:p w14:paraId="1B406756">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-1</w:t>
                  </w:r>
                </w:p>
              </w:tc>
              <w:tc>
                <w:tcPr>
                  <w:tcW w:w="877" w:type="pct"/>
                  <w:tcBorders>
                    <w:tl2br w:val="nil"/>
                    <w:tr2bl w:val="nil"/>
                  </w:tcBorders>
                  <w:vAlign w:val="center"/>
                </w:tcPr>
                <w:p w14:paraId="0A36AC6C">
                  <w:pPr>
                    <w:keepNext w:val="0"/>
                    <w:keepLines w:val="0"/>
                    <w:widowControl/>
                    <w:suppressLineNumbers w:val="0"/>
                    <w:jc w:val="center"/>
                    <w:textAlignment w:val="center"/>
                    <w:rPr>
                      <w:rFonts w:hint="eastAsia" w:ascii="Times New Roman" w:hAnsi="Times New Roman" w:eastAsia="宋体" w:cs="Times New Roman"/>
                      <w:color w:val="auto"/>
                      <w:sz w:val="21"/>
                      <w:szCs w:val="21"/>
                      <w:shd w:val="clear" w:color="auto" w:fill="auto"/>
                      <w:lang w:val="en-US" w:eastAsia="zh-CN"/>
                    </w:rPr>
                  </w:pPr>
                  <w:r>
                    <w:rPr>
                      <w:rFonts w:hint="eastAsia" w:ascii="宋体" w:hAnsi="宋体" w:eastAsia="宋体" w:cs="宋体"/>
                      <w:i w:val="0"/>
                      <w:iCs w:val="0"/>
                      <w:color w:val="auto"/>
                      <w:kern w:val="0"/>
                      <w:sz w:val="21"/>
                      <w:szCs w:val="21"/>
                      <w:u w:val="none"/>
                      <w:lang w:val="en-US" w:eastAsia="zh-CN" w:bidi="ar"/>
                    </w:rPr>
                    <w:t>分切</w:t>
                  </w:r>
                </w:p>
              </w:tc>
            </w:tr>
            <w:tr w14:paraId="2A71E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2BAB87F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5</w:t>
                  </w:r>
                </w:p>
              </w:tc>
              <w:tc>
                <w:tcPr>
                  <w:tcW w:w="1089" w:type="pct"/>
                  <w:tcBorders>
                    <w:tl2br w:val="nil"/>
                    <w:tr2bl w:val="nil"/>
                  </w:tcBorders>
                  <w:shd w:val="clear" w:color="auto" w:fill="auto"/>
                  <w:vAlign w:val="center"/>
                </w:tcPr>
                <w:p w14:paraId="66CE67AA">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复卷机</w:t>
                  </w:r>
                </w:p>
              </w:tc>
              <w:tc>
                <w:tcPr>
                  <w:tcW w:w="758" w:type="pct"/>
                  <w:tcBorders>
                    <w:tl2br w:val="nil"/>
                    <w:tr2bl w:val="nil"/>
                  </w:tcBorders>
                  <w:shd w:val="clear" w:color="auto" w:fill="auto"/>
                  <w:vAlign w:val="center"/>
                </w:tcPr>
                <w:p w14:paraId="0D6F08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5" w:type="pct"/>
                  <w:tcBorders>
                    <w:tl2br w:val="nil"/>
                    <w:tr2bl w:val="nil"/>
                  </w:tcBorders>
                  <w:shd w:val="clear" w:color="auto" w:fill="auto"/>
                  <w:vAlign w:val="center"/>
                </w:tcPr>
                <w:p w14:paraId="61E1CA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695" w:type="pct"/>
                  <w:tcBorders>
                    <w:tl2br w:val="nil"/>
                    <w:tr2bl w:val="nil"/>
                  </w:tcBorders>
                  <w:shd w:val="clear" w:color="auto" w:fill="auto"/>
                  <w:vAlign w:val="center"/>
                </w:tcPr>
                <w:p w14:paraId="5D4859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613" w:type="pct"/>
                  <w:tcBorders>
                    <w:tl2br w:val="nil"/>
                    <w:tr2bl w:val="nil"/>
                  </w:tcBorders>
                  <w:vAlign w:val="center"/>
                </w:tcPr>
                <w:p w14:paraId="05B9DDDB">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-2</w:t>
                  </w:r>
                </w:p>
              </w:tc>
              <w:tc>
                <w:tcPr>
                  <w:tcW w:w="877" w:type="pct"/>
                  <w:tcBorders>
                    <w:tl2br w:val="nil"/>
                    <w:tr2bl w:val="nil"/>
                  </w:tcBorders>
                  <w:vAlign w:val="center"/>
                </w:tcPr>
                <w:p w14:paraId="176B95E3">
                  <w:pPr>
                    <w:keepNext w:val="0"/>
                    <w:keepLines w:val="0"/>
                    <w:widowControl/>
                    <w:suppressLineNumbers w:val="0"/>
                    <w:jc w:val="center"/>
                    <w:textAlignment w:val="center"/>
                    <w:rPr>
                      <w:rFonts w:hint="eastAsia" w:ascii="Times New Roman" w:hAnsi="Times New Roman" w:eastAsia="宋体" w:cs="Times New Roman"/>
                      <w:color w:val="auto"/>
                      <w:sz w:val="21"/>
                      <w:szCs w:val="21"/>
                      <w:shd w:val="clear" w:color="auto" w:fill="auto"/>
                      <w:lang w:val="en-US" w:eastAsia="zh-CN"/>
                    </w:rPr>
                  </w:pPr>
                  <w:r>
                    <w:rPr>
                      <w:rFonts w:hint="eastAsia" w:ascii="宋体" w:hAnsi="宋体" w:eastAsia="宋体" w:cs="宋体"/>
                      <w:i w:val="0"/>
                      <w:iCs w:val="0"/>
                      <w:color w:val="auto"/>
                      <w:kern w:val="0"/>
                      <w:sz w:val="21"/>
                      <w:szCs w:val="21"/>
                      <w:u w:val="none"/>
                      <w:lang w:val="en-US" w:eastAsia="zh-CN" w:bidi="ar"/>
                    </w:rPr>
                    <w:t>复卷</w:t>
                  </w:r>
                </w:p>
              </w:tc>
            </w:tr>
            <w:tr w14:paraId="05CF0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6E1BEE2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6</w:t>
                  </w:r>
                </w:p>
              </w:tc>
              <w:tc>
                <w:tcPr>
                  <w:tcW w:w="1089" w:type="pct"/>
                  <w:tcBorders>
                    <w:tl2br w:val="nil"/>
                    <w:tr2bl w:val="nil"/>
                  </w:tcBorders>
                  <w:shd w:val="clear" w:color="auto" w:fill="auto"/>
                  <w:vAlign w:val="center"/>
                </w:tcPr>
                <w:p w14:paraId="59ED0C0E">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烘干线</w:t>
                  </w:r>
                </w:p>
              </w:tc>
              <w:tc>
                <w:tcPr>
                  <w:tcW w:w="758" w:type="pct"/>
                  <w:tcBorders>
                    <w:tl2br w:val="nil"/>
                    <w:tr2bl w:val="nil"/>
                  </w:tcBorders>
                  <w:shd w:val="clear" w:color="auto" w:fill="auto"/>
                  <w:vAlign w:val="center"/>
                </w:tcPr>
                <w:p w14:paraId="5A0B6B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25" w:type="pct"/>
                  <w:tcBorders>
                    <w:tl2br w:val="nil"/>
                    <w:tr2bl w:val="nil"/>
                  </w:tcBorders>
                  <w:shd w:val="clear" w:color="auto" w:fill="auto"/>
                  <w:vAlign w:val="center"/>
                </w:tcPr>
                <w:p w14:paraId="2B8E4E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p>
              </w:tc>
              <w:tc>
                <w:tcPr>
                  <w:tcW w:w="695" w:type="pct"/>
                  <w:tcBorders>
                    <w:tl2br w:val="nil"/>
                    <w:tr2bl w:val="nil"/>
                  </w:tcBorders>
                  <w:shd w:val="clear" w:color="auto" w:fill="auto"/>
                  <w:vAlign w:val="center"/>
                </w:tcPr>
                <w:p w14:paraId="16BAE1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613" w:type="pct"/>
                  <w:tcBorders>
                    <w:tl2br w:val="nil"/>
                    <w:tr2bl w:val="nil"/>
                  </w:tcBorders>
                  <w:vAlign w:val="center"/>
                </w:tcPr>
                <w:p w14:paraId="74E132C3">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-3</w:t>
                  </w:r>
                </w:p>
              </w:tc>
              <w:tc>
                <w:tcPr>
                  <w:tcW w:w="877" w:type="pct"/>
                  <w:tcBorders>
                    <w:tl2br w:val="nil"/>
                    <w:tr2bl w:val="nil"/>
                  </w:tcBorders>
                  <w:vAlign w:val="center"/>
                </w:tcPr>
                <w:p w14:paraId="1E311F76">
                  <w:pPr>
                    <w:keepNext w:val="0"/>
                    <w:keepLines w:val="0"/>
                    <w:widowControl/>
                    <w:suppressLineNumbers w:val="0"/>
                    <w:jc w:val="center"/>
                    <w:textAlignment w:val="center"/>
                    <w:rPr>
                      <w:rFonts w:hint="eastAsia" w:ascii="Times New Roman" w:hAnsi="Times New Roman" w:eastAsia="宋体" w:cs="Times New Roman"/>
                      <w:color w:val="auto"/>
                      <w:sz w:val="21"/>
                      <w:szCs w:val="21"/>
                      <w:shd w:val="clear" w:color="auto" w:fill="auto"/>
                      <w:lang w:val="en-US" w:eastAsia="zh-CN"/>
                    </w:rPr>
                  </w:pPr>
                  <w:r>
                    <w:rPr>
                      <w:rFonts w:hint="eastAsia" w:ascii="宋体" w:hAnsi="宋体" w:eastAsia="宋体" w:cs="宋体"/>
                      <w:i w:val="0"/>
                      <w:iCs w:val="0"/>
                      <w:color w:val="auto"/>
                      <w:kern w:val="0"/>
                      <w:sz w:val="21"/>
                      <w:szCs w:val="21"/>
                      <w:u w:val="none"/>
                      <w:lang w:val="en-US" w:eastAsia="zh-CN" w:bidi="ar"/>
                    </w:rPr>
                    <w:t>烘干</w:t>
                  </w:r>
                </w:p>
              </w:tc>
            </w:tr>
            <w:tr w14:paraId="30537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4F1FD13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7</w:t>
                  </w:r>
                </w:p>
              </w:tc>
              <w:tc>
                <w:tcPr>
                  <w:tcW w:w="1089" w:type="pct"/>
                  <w:vMerge w:val="restart"/>
                  <w:tcBorders>
                    <w:tl2br w:val="nil"/>
                    <w:tr2bl w:val="nil"/>
                  </w:tcBorders>
                  <w:shd w:val="clear" w:color="auto" w:fill="auto"/>
                  <w:vAlign w:val="center"/>
                </w:tcPr>
                <w:p w14:paraId="65995121">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储胶罐</w:t>
                  </w:r>
                </w:p>
              </w:tc>
              <w:tc>
                <w:tcPr>
                  <w:tcW w:w="758" w:type="pct"/>
                  <w:tcBorders>
                    <w:tl2br w:val="nil"/>
                    <w:tr2bl w:val="nil"/>
                  </w:tcBorders>
                  <w:shd w:val="clear" w:color="auto" w:fill="auto"/>
                  <w:vAlign w:val="center"/>
                </w:tcPr>
                <w:p w14:paraId="2D5DF5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25t</w:t>
                  </w:r>
                </w:p>
              </w:tc>
              <w:tc>
                <w:tcPr>
                  <w:tcW w:w="625" w:type="pct"/>
                  <w:tcBorders>
                    <w:tl2br w:val="nil"/>
                    <w:tr2bl w:val="nil"/>
                  </w:tcBorders>
                  <w:shd w:val="clear" w:color="auto" w:fill="auto"/>
                  <w:vAlign w:val="center"/>
                </w:tcPr>
                <w:p w14:paraId="6510B9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695" w:type="pct"/>
                  <w:tcBorders>
                    <w:tl2br w:val="nil"/>
                    <w:tr2bl w:val="nil"/>
                  </w:tcBorders>
                  <w:shd w:val="clear" w:color="auto" w:fill="auto"/>
                  <w:vAlign w:val="center"/>
                </w:tcPr>
                <w:p w14:paraId="097AA4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613" w:type="pct"/>
                  <w:tcBorders>
                    <w:tl2br w:val="nil"/>
                    <w:tr2bl w:val="nil"/>
                  </w:tcBorders>
                  <w:vAlign w:val="center"/>
                </w:tcPr>
                <w:p w14:paraId="3255B609">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-2</w:t>
                  </w:r>
                </w:p>
              </w:tc>
              <w:tc>
                <w:tcPr>
                  <w:tcW w:w="877" w:type="pct"/>
                  <w:vMerge w:val="restart"/>
                  <w:tcBorders>
                    <w:tl2br w:val="nil"/>
                    <w:tr2bl w:val="nil"/>
                  </w:tcBorders>
                  <w:vAlign w:val="center"/>
                </w:tcPr>
                <w:p w14:paraId="57DF1F2D">
                  <w:pPr>
                    <w:keepNext w:val="0"/>
                    <w:keepLines w:val="0"/>
                    <w:widowControl/>
                    <w:suppressLineNumbers w:val="0"/>
                    <w:jc w:val="center"/>
                    <w:textAlignment w:val="center"/>
                    <w:rPr>
                      <w:rFonts w:hint="eastAsia" w:ascii="Times New Roman" w:hAnsi="Times New Roman" w:eastAsia="宋体" w:cs="Times New Roman"/>
                      <w:color w:val="auto"/>
                      <w:sz w:val="21"/>
                      <w:szCs w:val="21"/>
                      <w:shd w:val="clear" w:color="auto" w:fill="auto"/>
                      <w:lang w:val="en-US" w:eastAsia="zh-CN"/>
                    </w:rPr>
                  </w:pPr>
                  <w:r>
                    <w:rPr>
                      <w:rFonts w:hint="eastAsia" w:ascii="宋体" w:hAnsi="宋体" w:eastAsia="宋体" w:cs="宋体"/>
                      <w:i w:val="0"/>
                      <w:iCs w:val="0"/>
                      <w:color w:val="auto"/>
                      <w:kern w:val="0"/>
                      <w:sz w:val="21"/>
                      <w:szCs w:val="21"/>
                      <w:u w:val="none"/>
                      <w:lang w:val="en-US" w:eastAsia="zh-CN" w:bidi="ar"/>
                    </w:rPr>
                    <w:t>储胶</w:t>
                  </w:r>
                </w:p>
              </w:tc>
            </w:tr>
            <w:tr w14:paraId="19BE2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22ACA3B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8</w:t>
                  </w:r>
                </w:p>
              </w:tc>
              <w:tc>
                <w:tcPr>
                  <w:tcW w:w="1089" w:type="pct"/>
                  <w:vMerge w:val="continue"/>
                  <w:tcBorders>
                    <w:tl2br w:val="nil"/>
                    <w:tr2bl w:val="nil"/>
                  </w:tcBorders>
                  <w:shd w:val="clear" w:color="auto" w:fill="auto"/>
                  <w:vAlign w:val="center"/>
                </w:tcPr>
                <w:p w14:paraId="7BE7CB4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758" w:type="pct"/>
                  <w:tcBorders>
                    <w:tl2br w:val="nil"/>
                    <w:tr2bl w:val="nil"/>
                  </w:tcBorders>
                  <w:shd w:val="clear" w:color="auto" w:fill="auto"/>
                  <w:vAlign w:val="center"/>
                </w:tcPr>
                <w:p w14:paraId="5FA284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3t</w:t>
                  </w:r>
                </w:p>
              </w:tc>
              <w:tc>
                <w:tcPr>
                  <w:tcW w:w="625" w:type="pct"/>
                  <w:tcBorders>
                    <w:tl2br w:val="nil"/>
                    <w:tr2bl w:val="nil"/>
                  </w:tcBorders>
                  <w:shd w:val="clear" w:color="auto" w:fill="auto"/>
                  <w:vAlign w:val="center"/>
                </w:tcPr>
                <w:p w14:paraId="38920F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695" w:type="pct"/>
                  <w:tcBorders>
                    <w:tl2br w:val="nil"/>
                    <w:tr2bl w:val="nil"/>
                  </w:tcBorders>
                  <w:shd w:val="clear" w:color="auto" w:fill="auto"/>
                  <w:vAlign w:val="center"/>
                </w:tcPr>
                <w:p w14:paraId="73165C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613" w:type="pct"/>
                  <w:tcBorders>
                    <w:tl2br w:val="nil"/>
                    <w:tr2bl w:val="nil"/>
                  </w:tcBorders>
                  <w:vAlign w:val="center"/>
                </w:tcPr>
                <w:p w14:paraId="2033ECCF">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-2</w:t>
                  </w:r>
                </w:p>
              </w:tc>
              <w:tc>
                <w:tcPr>
                  <w:tcW w:w="877" w:type="pct"/>
                  <w:vMerge w:val="continue"/>
                  <w:tcBorders>
                    <w:tl2br w:val="nil"/>
                    <w:tr2bl w:val="nil"/>
                  </w:tcBorders>
                  <w:vAlign w:val="center"/>
                </w:tcPr>
                <w:p w14:paraId="6FEA1026">
                  <w:pPr>
                    <w:keepNext w:val="0"/>
                    <w:keepLines w:val="0"/>
                    <w:widowControl/>
                    <w:suppressLineNumbers w:val="0"/>
                    <w:jc w:val="center"/>
                    <w:textAlignment w:val="center"/>
                    <w:rPr>
                      <w:rFonts w:hint="eastAsia" w:ascii="Times New Roman" w:hAnsi="Times New Roman" w:eastAsia="宋体" w:cs="Times New Roman"/>
                      <w:color w:val="auto"/>
                      <w:sz w:val="21"/>
                      <w:szCs w:val="21"/>
                      <w:shd w:val="clear" w:color="auto" w:fill="auto"/>
                      <w:lang w:val="en-US" w:eastAsia="zh-CN"/>
                    </w:rPr>
                  </w:pPr>
                </w:p>
              </w:tc>
            </w:tr>
            <w:tr w14:paraId="6E40F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75890D8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9</w:t>
                  </w:r>
                </w:p>
              </w:tc>
              <w:tc>
                <w:tcPr>
                  <w:tcW w:w="1089" w:type="pct"/>
                  <w:tcBorders>
                    <w:tl2br w:val="nil"/>
                    <w:tr2bl w:val="nil"/>
                  </w:tcBorders>
                  <w:shd w:val="clear" w:color="auto" w:fill="auto"/>
                  <w:vAlign w:val="center"/>
                </w:tcPr>
                <w:p w14:paraId="076FDA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混料机</w:t>
                  </w:r>
                </w:p>
              </w:tc>
              <w:tc>
                <w:tcPr>
                  <w:tcW w:w="758" w:type="pct"/>
                  <w:tcBorders>
                    <w:tl2br w:val="nil"/>
                    <w:tr2bl w:val="nil"/>
                  </w:tcBorders>
                  <w:shd w:val="clear" w:color="auto" w:fill="auto"/>
                  <w:vAlign w:val="center"/>
                </w:tcPr>
                <w:p w14:paraId="423E68B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L-50</w:t>
                  </w:r>
                </w:p>
              </w:tc>
              <w:tc>
                <w:tcPr>
                  <w:tcW w:w="625" w:type="pct"/>
                  <w:tcBorders>
                    <w:tl2br w:val="nil"/>
                    <w:tr2bl w:val="nil"/>
                  </w:tcBorders>
                  <w:shd w:val="clear" w:color="auto" w:fill="auto"/>
                  <w:vAlign w:val="center"/>
                </w:tcPr>
                <w:p w14:paraId="549DE1A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0</w:t>
                  </w:r>
                </w:p>
              </w:tc>
              <w:tc>
                <w:tcPr>
                  <w:tcW w:w="695" w:type="pct"/>
                  <w:tcBorders>
                    <w:tl2br w:val="nil"/>
                    <w:tr2bl w:val="nil"/>
                  </w:tcBorders>
                  <w:shd w:val="clear" w:color="auto" w:fill="auto"/>
                  <w:vAlign w:val="center"/>
                </w:tcPr>
                <w:p w14:paraId="105AAB8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613" w:type="pct"/>
                  <w:tcBorders>
                    <w:tl2br w:val="nil"/>
                    <w:tr2bl w:val="nil"/>
                  </w:tcBorders>
                  <w:vAlign w:val="center"/>
                </w:tcPr>
                <w:p w14:paraId="2F734B42">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877" w:type="pct"/>
                  <w:tcBorders>
                    <w:tl2br w:val="nil"/>
                    <w:tr2bl w:val="nil"/>
                  </w:tcBorders>
                  <w:vAlign w:val="center"/>
                </w:tcPr>
                <w:p w14:paraId="4AACFEAA">
                  <w:pPr>
                    <w:jc w:val="center"/>
                    <w:rPr>
                      <w:rFonts w:hint="default" w:ascii="Times New Roman" w:hAnsi="Times New Roman" w:eastAsia="宋体" w:cs="Times New Roman"/>
                      <w:b/>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混料</w:t>
                  </w:r>
                </w:p>
              </w:tc>
            </w:tr>
            <w:tr w14:paraId="4A18A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45D0E7D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10</w:t>
                  </w:r>
                </w:p>
              </w:tc>
              <w:tc>
                <w:tcPr>
                  <w:tcW w:w="1089" w:type="pct"/>
                  <w:tcBorders>
                    <w:tl2br w:val="nil"/>
                    <w:tr2bl w:val="nil"/>
                  </w:tcBorders>
                  <w:shd w:val="clear" w:color="auto" w:fill="auto"/>
                  <w:vAlign w:val="center"/>
                </w:tcPr>
                <w:p w14:paraId="48A784E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生物降解吹膜机组</w:t>
                  </w:r>
                </w:p>
              </w:tc>
              <w:tc>
                <w:tcPr>
                  <w:tcW w:w="758" w:type="pct"/>
                  <w:tcBorders>
                    <w:tl2br w:val="nil"/>
                    <w:tr2bl w:val="nil"/>
                  </w:tcBorders>
                  <w:shd w:val="clear" w:color="auto" w:fill="auto"/>
                  <w:vAlign w:val="center"/>
                </w:tcPr>
                <w:p w14:paraId="581656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MGF800</w:t>
                  </w:r>
                </w:p>
              </w:tc>
              <w:tc>
                <w:tcPr>
                  <w:tcW w:w="625" w:type="pct"/>
                  <w:tcBorders>
                    <w:tl2br w:val="nil"/>
                    <w:tr2bl w:val="nil"/>
                  </w:tcBorders>
                  <w:shd w:val="clear" w:color="auto" w:fill="auto"/>
                  <w:vAlign w:val="center"/>
                </w:tcPr>
                <w:p w14:paraId="00C2F5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70D3B7E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613" w:type="pct"/>
                  <w:tcBorders>
                    <w:tl2br w:val="nil"/>
                    <w:tr2bl w:val="nil"/>
                  </w:tcBorders>
                  <w:vAlign w:val="center"/>
                </w:tcPr>
                <w:p w14:paraId="5AA8C84B">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+12</w:t>
                  </w:r>
                </w:p>
              </w:tc>
              <w:tc>
                <w:tcPr>
                  <w:tcW w:w="877" w:type="pct"/>
                  <w:tcBorders>
                    <w:tl2br w:val="nil"/>
                    <w:tr2bl w:val="nil"/>
                  </w:tcBorders>
                  <w:vAlign w:val="center"/>
                </w:tcPr>
                <w:p w14:paraId="7C178C28">
                  <w:pPr>
                    <w:jc w:val="center"/>
                    <w:rPr>
                      <w:rFonts w:hint="default" w:ascii="Times New Roman" w:hAnsi="Times New Roman" w:eastAsia="宋体" w:cs="Times New Roman"/>
                      <w:color w:val="auto"/>
                      <w:sz w:val="21"/>
                      <w:szCs w:val="21"/>
                      <w:shd w:val="clear" w:color="auto" w:fill="auto"/>
                      <w:lang w:val="en-US"/>
                    </w:rPr>
                  </w:pPr>
                  <w:r>
                    <w:rPr>
                      <w:rFonts w:hint="eastAsia" w:ascii="Times New Roman" w:hAnsi="Times New Roman" w:eastAsia="宋体" w:cs="Times New Roman"/>
                      <w:color w:val="auto"/>
                      <w:sz w:val="21"/>
                      <w:szCs w:val="21"/>
                      <w:shd w:val="clear" w:color="auto" w:fill="auto"/>
                      <w:lang w:val="en-US" w:eastAsia="zh-CN"/>
                    </w:rPr>
                    <w:t>吹膜</w:t>
                  </w:r>
                </w:p>
              </w:tc>
            </w:tr>
            <w:tr w14:paraId="258B0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550987A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11</w:t>
                  </w:r>
                </w:p>
              </w:tc>
              <w:tc>
                <w:tcPr>
                  <w:tcW w:w="1089" w:type="pct"/>
                  <w:tcBorders>
                    <w:tl2br w:val="nil"/>
                    <w:tr2bl w:val="nil"/>
                  </w:tcBorders>
                  <w:shd w:val="clear" w:color="auto" w:fill="auto"/>
                  <w:vAlign w:val="center"/>
                </w:tcPr>
                <w:p w14:paraId="58BB744C">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复合机</w:t>
                  </w:r>
                </w:p>
              </w:tc>
              <w:tc>
                <w:tcPr>
                  <w:tcW w:w="758" w:type="pct"/>
                  <w:tcBorders>
                    <w:tl2br w:val="nil"/>
                    <w:tr2bl w:val="nil"/>
                  </w:tcBorders>
                  <w:shd w:val="clear" w:color="auto" w:fill="auto"/>
                  <w:vAlign w:val="center"/>
                </w:tcPr>
                <w:p w14:paraId="732270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25" w:type="pct"/>
                  <w:tcBorders>
                    <w:tl2br w:val="nil"/>
                    <w:tr2bl w:val="nil"/>
                  </w:tcBorders>
                  <w:shd w:val="clear" w:color="auto" w:fill="auto"/>
                  <w:vAlign w:val="center"/>
                </w:tcPr>
                <w:p w14:paraId="1A1335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3396A73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3</w:t>
                  </w:r>
                </w:p>
              </w:tc>
              <w:tc>
                <w:tcPr>
                  <w:tcW w:w="613" w:type="pct"/>
                  <w:tcBorders>
                    <w:tl2br w:val="nil"/>
                    <w:tr2bl w:val="nil"/>
                  </w:tcBorders>
                  <w:vAlign w:val="center"/>
                </w:tcPr>
                <w:p w14:paraId="0CB953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+3</w:t>
                  </w:r>
                </w:p>
              </w:tc>
              <w:tc>
                <w:tcPr>
                  <w:tcW w:w="877" w:type="pct"/>
                  <w:tcBorders>
                    <w:tl2br w:val="nil"/>
                    <w:tr2bl w:val="nil"/>
                  </w:tcBorders>
                  <w:vAlign w:val="center"/>
                </w:tcPr>
                <w:p w14:paraId="24DABA1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复合</w:t>
                  </w:r>
                </w:p>
              </w:tc>
            </w:tr>
            <w:tr w14:paraId="0FA4E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79AAE3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12</w:t>
                  </w:r>
                </w:p>
              </w:tc>
              <w:tc>
                <w:tcPr>
                  <w:tcW w:w="1089" w:type="pct"/>
                  <w:tcBorders>
                    <w:tl2br w:val="nil"/>
                    <w:tr2bl w:val="nil"/>
                  </w:tcBorders>
                  <w:shd w:val="clear" w:color="auto" w:fill="auto"/>
                  <w:vAlign w:val="center"/>
                </w:tcPr>
                <w:p w14:paraId="1B3FB3EC">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熟化箱</w:t>
                  </w:r>
                </w:p>
              </w:tc>
              <w:tc>
                <w:tcPr>
                  <w:tcW w:w="758" w:type="pct"/>
                  <w:tcBorders>
                    <w:tl2br w:val="nil"/>
                    <w:tr2bl w:val="nil"/>
                  </w:tcBorders>
                  <w:shd w:val="clear" w:color="auto" w:fill="auto"/>
                  <w:vAlign w:val="center"/>
                </w:tcPr>
                <w:p w14:paraId="3A28DBB3">
                  <w:pPr>
                    <w:spacing w:line="0" w:lineRule="atLeast"/>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625" w:type="pct"/>
                  <w:tcBorders>
                    <w:tl2br w:val="nil"/>
                    <w:tr2bl w:val="nil"/>
                  </w:tcBorders>
                  <w:shd w:val="clear" w:color="auto" w:fill="auto"/>
                  <w:vAlign w:val="center"/>
                </w:tcPr>
                <w:p w14:paraId="73B1FC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02E5401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4</w:t>
                  </w:r>
                </w:p>
              </w:tc>
              <w:tc>
                <w:tcPr>
                  <w:tcW w:w="613" w:type="pct"/>
                  <w:tcBorders>
                    <w:tl2br w:val="nil"/>
                    <w:tr2bl w:val="nil"/>
                  </w:tcBorders>
                  <w:vAlign w:val="center"/>
                </w:tcPr>
                <w:p w14:paraId="0D3AB02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+4</w:t>
                  </w:r>
                </w:p>
              </w:tc>
              <w:tc>
                <w:tcPr>
                  <w:tcW w:w="877" w:type="pct"/>
                  <w:tcBorders>
                    <w:tl2br w:val="nil"/>
                    <w:tr2bl w:val="nil"/>
                  </w:tcBorders>
                  <w:vAlign w:val="center"/>
                </w:tcPr>
                <w:p w14:paraId="114EF48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熟化</w:t>
                  </w:r>
                </w:p>
              </w:tc>
            </w:tr>
            <w:tr w14:paraId="4BB09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4649B40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13</w:t>
                  </w:r>
                </w:p>
              </w:tc>
              <w:tc>
                <w:tcPr>
                  <w:tcW w:w="1089" w:type="pct"/>
                  <w:tcBorders>
                    <w:tl2br w:val="nil"/>
                    <w:tr2bl w:val="nil"/>
                  </w:tcBorders>
                  <w:shd w:val="clear" w:color="auto" w:fill="auto"/>
                  <w:vAlign w:val="center"/>
                </w:tcPr>
                <w:p w14:paraId="1A2696E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制袋机组</w:t>
                  </w:r>
                </w:p>
              </w:tc>
              <w:tc>
                <w:tcPr>
                  <w:tcW w:w="758" w:type="pct"/>
                  <w:tcBorders>
                    <w:tl2br w:val="nil"/>
                    <w:tr2bl w:val="nil"/>
                  </w:tcBorders>
                  <w:shd w:val="clear" w:color="auto" w:fill="auto"/>
                  <w:vAlign w:val="center"/>
                </w:tcPr>
                <w:p w14:paraId="626C304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BXZD1000</w:t>
                  </w:r>
                </w:p>
              </w:tc>
              <w:tc>
                <w:tcPr>
                  <w:tcW w:w="625" w:type="pct"/>
                  <w:tcBorders>
                    <w:tl2br w:val="nil"/>
                    <w:tr2bl w:val="nil"/>
                  </w:tcBorders>
                  <w:shd w:val="clear" w:color="auto" w:fill="auto"/>
                  <w:vAlign w:val="center"/>
                </w:tcPr>
                <w:p w14:paraId="302D19C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vAlign w:val="center"/>
                </w:tcPr>
                <w:p w14:paraId="260C0A1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default" w:ascii="Times New Roman" w:hAnsi="Times New Roman" w:eastAsia="宋体" w:cs="Times New Roman"/>
                      <w:i w:val="0"/>
                      <w:iCs w:val="0"/>
                      <w:color w:val="auto"/>
                      <w:kern w:val="0"/>
                      <w:sz w:val="21"/>
                      <w:szCs w:val="21"/>
                      <w:u w:val="none"/>
                      <w:lang w:val="en-US" w:eastAsia="zh-CN" w:bidi="ar"/>
                    </w:rPr>
                    <w:t>10</w:t>
                  </w:r>
                </w:p>
              </w:tc>
              <w:tc>
                <w:tcPr>
                  <w:tcW w:w="613" w:type="pct"/>
                  <w:tcBorders>
                    <w:tl2br w:val="nil"/>
                    <w:tr2bl w:val="nil"/>
                  </w:tcBorders>
                  <w:vAlign w:val="center"/>
                </w:tcPr>
                <w:p w14:paraId="03EFA48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10</w:t>
                  </w:r>
                </w:p>
              </w:tc>
              <w:tc>
                <w:tcPr>
                  <w:tcW w:w="877" w:type="pct"/>
                  <w:tcBorders>
                    <w:tl2br w:val="nil"/>
                    <w:tr2bl w:val="nil"/>
                  </w:tcBorders>
                  <w:vAlign w:val="center"/>
                </w:tcPr>
                <w:p w14:paraId="603FF91F">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宋体" w:hAnsi="宋体" w:eastAsia="宋体" w:cs="宋体"/>
                      <w:i w:val="0"/>
                      <w:iCs w:val="0"/>
                      <w:color w:val="auto"/>
                      <w:kern w:val="0"/>
                      <w:sz w:val="21"/>
                      <w:szCs w:val="21"/>
                      <w:u w:val="none"/>
                      <w:lang w:val="en-US" w:eastAsia="zh-CN" w:bidi="ar"/>
                    </w:rPr>
                    <w:t>制袋</w:t>
                  </w:r>
                </w:p>
              </w:tc>
            </w:tr>
            <w:tr w14:paraId="6DB8D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294681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14</w:t>
                  </w:r>
                </w:p>
              </w:tc>
              <w:tc>
                <w:tcPr>
                  <w:tcW w:w="1089" w:type="pct"/>
                  <w:tcBorders>
                    <w:tl2br w:val="nil"/>
                    <w:tr2bl w:val="nil"/>
                  </w:tcBorders>
                  <w:shd w:val="clear" w:color="auto" w:fill="auto"/>
                  <w:vAlign w:val="center"/>
                </w:tcPr>
                <w:p w14:paraId="3A8EF00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封箱机</w:t>
                  </w:r>
                </w:p>
              </w:tc>
              <w:tc>
                <w:tcPr>
                  <w:tcW w:w="758" w:type="pct"/>
                  <w:tcBorders>
                    <w:tl2br w:val="nil"/>
                    <w:tr2bl w:val="nil"/>
                  </w:tcBorders>
                  <w:shd w:val="clear" w:color="auto" w:fill="auto"/>
                  <w:vAlign w:val="center"/>
                </w:tcPr>
                <w:p w14:paraId="69578C0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FXJ-3025S</w:t>
                  </w:r>
                </w:p>
              </w:tc>
              <w:tc>
                <w:tcPr>
                  <w:tcW w:w="625" w:type="pct"/>
                  <w:tcBorders>
                    <w:tl2br w:val="nil"/>
                    <w:tr2bl w:val="nil"/>
                  </w:tcBorders>
                  <w:shd w:val="clear" w:color="auto" w:fill="auto"/>
                  <w:vAlign w:val="center"/>
                </w:tcPr>
                <w:p w14:paraId="52C11E6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4C62D9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613" w:type="pct"/>
                  <w:tcBorders>
                    <w:tl2br w:val="nil"/>
                    <w:tr2bl w:val="nil"/>
                  </w:tcBorders>
                  <w:vAlign w:val="center"/>
                </w:tcPr>
                <w:p w14:paraId="431968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877" w:type="pct"/>
                  <w:vMerge w:val="restart"/>
                  <w:tcBorders>
                    <w:tl2br w:val="nil"/>
                    <w:tr2bl w:val="nil"/>
                  </w:tcBorders>
                  <w:vAlign w:val="center"/>
                </w:tcPr>
                <w:p w14:paraId="6A2AC710">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打包</w:t>
                  </w:r>
                </w:p>
              </w:tc>
            </w:tr>
            <w:tr w14:paraId="591354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4681A8B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15</w:t>
                  </w:r>
                </w:p>
              </w:tc>
              <w:tc>
                <w:tcPr>
                  <w:tcW w:w="1089" w:type="pct"/>
                  <w:tcBorders>
                    <w:tl2br w:val="nil"/>
                    <w:tr2bl w:val="nil"/>
                  </w:tcBorders>
                  <w:shd w:val="clear" w:color="auto" w:fill="auto"/>
                  <w:vAlign w:val="center"/>
                </w:tcPr>
                <w:p w14:paraId="60AF6E2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打包机</w:t>
                  </w:r>
                </w:p>
              </w:tc>
              <w:tc>
                <w:tcPr>
                  <w:tcW w:w="758" w:type="pct"/>
                  <w:tcBorders>
                    <w:tl2br w:val="nil"/>
                    <w:tr2bl w:val="nil"/>
                  </w:tcBorders>
                  <w:shd w:val="clear" w:color="auto" w:fill="auto"/>
                  <w:vAlign w:val="center"/>
                </w:tcPr>
                <w:p w14:paraId="4A1848C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GPA-501</w:t>
                  </w:r>
                </w:p>
              </w:tc>
              <w:tc>
                <w:tcPr>
                  <w:tcW w:w="625" w:type="pct"/>
                  <w:tcBorders>
                    <w:tl2br w:val="nil"/>
                    <w:tr2bl w:val="nil"/>
                  </w:tcBorders>
                  <w:shd w:val="clear" w:color="auto" w:fill="auto"/>
                  <w:vAlign w:val="center"/>
                </w:tcPr>
                <w:p w14:paraId="2B6F92F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76138D3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613" w:type="pct"/>
                  <w:tcBorders>
                    <w:tl2br w:val="nil"/>
                    <w:tr2bl w:val="nil"/>
                  </w:tcBorders>
                  <w:vAlign w:val="center"/>
                </w:tcPr>
                <w:p w14:paraId="2C66ED3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w:t>
                  </w:r>
                </w:p>
              </w:tc>
              <w:tc>
                <w:tcPr>
                  <w:tcW w:w="877" w:type="pct"/>
                  <w:vMerge w:val="continue"/>
                  <w:tcBorders>
                    <w:tl2br w:val="nil"/>
                    <w:tr2bl w:val="nil"/>
                  </w:tcBorders>
                  <w:vAlign w:val="center"/>
                </w:tcPr>
                <w:p w14:paraId="3A57C5EA">
                  <w:pPr>
                    <w:jc w:val="center"/>
                    <w:rPr>
                      <w:rFonts w:hint="default" w:ascii="Times New Roman" w:hAnsi="Times New Roman" w:eastAsia="宋体" w:cs="Times New Roman"/>
                      <w:color w:val="auto"/>
                      <w:sz w:val="21"/>
                      <w:szCs w:val="21"/>
                      <w:highlight w:val="none"/>
                      <w:shd w:val="clear" w:color="auto" w:fill="auto"/>
                      <w:lang w:val="en-US" w:eastAsia="zh-CN"/>
                    </w:rPr>
                  </w:pPr>
                </w:p>
              </w:tc>
            </w:tr>
            <w:tr w14:paraId="5369F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5054474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16</w:t>
                  </w:r>
                </w:p>
              </w:tc>
              <w:tc>
                <w:tcPr>
                  <w:tcW w:w="1089" w:type="pct"/>
                  <w:tcBorders>
                    <w:tl2br w:val="nil"/>
                    <w:tr2bl w:val="nil"/>
                  </w:tcBorders>
                  <w:shd w:val="clear" w:color="auto" w:fill="auto"/>
                  <w:vAlign w:val="center"/>
                </w:tcPr>
                <w:p w14:paraId="172823B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破碎机</w:t>
                  </w:r>
                </w:p>
              </w:tc>
              <w:tc>
                <w:tcPr>
                  <w:tcW w:w="758" w:type="pct"/>
                  <w:tcBorders>
                    <w:tl2br w:val="nil"/>
                    <w:tr2bl w:val="nil"/>
                  </w:tcBorders>
                  <w:shd w:val="clear" w:color="auto" w:fill="auto"/>
                  <w:vAlign w:val="center"/>
                </w:tcPr>
                <w:p w14:paraId="1517F8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625" w:type="pct"/>
                  <w:tcBorders>
                    <w:tl2br w:val="nil"/>
                    <w:tr2bl w:val="nil"/>
                  </w:tcBorders>
                  <w:shd w:val="clear" w:color="auto" w:fill="auto"/>
                  <w:vAlign w:val="center"/>
                </w:tcPr>
                <w:p w14:paraId="5255CD0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6B191A9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613" w:type="pct"/>
                  <w:tcBorders>
                    <w:tl2br w:val="nil"/>
                    <w:tr2bl w:val="nil"/>
                  </w:tcBorders>
                  <w:vAlign w:val="center"/>
                </w:tcPr>
                <w:p w14:paraId="2A0197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w:t>
                  </w:r>
                </w:p>
              </w:tc>
              <w:tc>
                <w:tcPr>
                  <w:tcW w:w="877" w:type="pct"/>
                  <w:tcBorders>
                    <w:tl2br w:val="nil"/>
                    <w:tr2bl w:val="nil"/>
                  </w:tcBorders>
                  <w:vAlign w:val="center"/>
                </w:tcPr>
                <w:p w14:paraId="62B455D4">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破碎</w:t>
                  </w:r>
                </w:p>
              </w:tc>
            </w:tr>
            <w:tr w14:paraId="20FED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0D18441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17</w:t>
                  </w:r>
                </w:p>
              </w:tc>
              <w:tc>
                <w:tcPr>
                  <w:tcW w:w="1089" w:type="pct"/>
                  <w:tcBorders>
                    <w:tl2br w:val="nil"/>
                    <w:tr2bl w:val="nil"/>
                  </w:tcBorders>
                  <w:shd w:val="clear" w:color="auto" w:fill="auto"/>
                  <w:vAlign w:val="center"/>
                </w:tcPr>
                <w:p w14:paraId="26719AEE">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拉力机</w:t>
                  </w:r>
                </w:p>
              </w:tc>
              <w:tc>
                <w:tcPr>
                  <w:tcW w:w="758" w:type="pct"/>
                  <w:tcBorders>
                    <w:tl2br w:val="nil"/>
                    <w:tr2bl w:val="nil"/>
                  </w:tcBorders>
                  <w:shd w:val="clear" w:color="auto" w:fill="auto"/>
                  <w:vAlign w:val="center"/>
                </w:tcPr>
                <w:p w14:paraId="1E5AB57A">
                  <w:pPr>
                    <w:spacing w:line="0" w:lineRule="atLeast"/>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QL-5E</w:t>
                  </w:r>
                </w:p>
              </w:tc>
              <w:tc>
                <w:tcPr>
                  <w:tcW w:w="625" w:type="pct"/>
                  <w:tcBorders>
                    <w:tl2br w:val="nil"/>
                    <w:tr2bl w:val="nil"/>
                  </w:tcBorders>
                  <w:shd w:val="clear" w:color="auto" w:fill="auto"/>
                  <w:vAlign w:val="center"/>
                </w:tcPr>
                <w:p w14:paraId="512716FF">
                  <w:pPr>
                    <w:spacing w:line="0" w:lineRule="atLeast"/>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08D0C29D">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613" w:type="pct"/>
                  <w:tcBorders>
                    <w:tl2br w:val="nil"/>
                    <w:tr2bl w:val="nil"/>
                  </w:tcBorders>
                  <w:vAlign w:val="center"/>
                </w:tcPr>
                <w:p w14:paraId="1D027971">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877" w:type="pct"/>
                  <w:vMerge w:val="restart"/>
                  <w:tcBorders>
                    <w:tl2br w:val="nil"/>
                    <w:tr2bl w:val="nil"/>
                  </w:tcBorders>
                  <w:vAlign w:val="center"/>
                </w:tcPr>
                <w:p w14:paraId="2BC90F74">
                  <w:pPr>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检验</w:t>
                  </w:r>
                </w:p>
              </w:tc>
            </w:tr>
            <w:tr w14:paraId="5A933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3C7FD2F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18</w:t>
                  </w:r>
                </w:p>
              </w:tc>
              <w:tc>
                <w:tcPr>
                  <w:tcW w:w="1089" w:type="pct"/>
                  <w:tcBorders>
                    <w:tl2br w:val="nil"/>
                    <w:tr2bl w:val="nil"/>
                  </w:tcBorders>
                  <w:shd w:val="clear" w:color="auto" w:fill="auto"/>
                  <w:vAlign w:val="center"/>
                </w:tcPr>
                <w:p w14:paraId="4A1072CA">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摆锤冲击测量仪</w:t>
                  </w:r>
                </w:p>
              </w:tc>
              <w:tc>
                <w:tcPr>
                  <w:tcW w:w="758" w:type="pct"/>
                  <w:tcBorders>
                    <w:tl2br w:val="nil"/>
                    <w:tr2bl w:val="nil"/>
                  </w:tcBorders>
                  <w:shd w:val="clear" w:color="auto" w:fill="auto"/>
                  <w:vAlign w:val="center"/>
                </w:tcPr>
                <w:p w14:paraId="34B7113F">
                  <w:pPr>
                    <w:spacing w:line="0" w:lineRule="atLeast"/>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GBG-B</w:t>
                  </w:r>
                </w:p>
              </w:tc>
              <w:tc>
                <w:tcPr>
                  <w:tcW w:w="625" w:type="pct"/>
                  <w:tcBorders>
                    <w:tl2br w:val="nil"/>
                    <w:tr2bl w:val="nil"/>
                  </w:tcBorders>
                  <w:shd w:val="clear" w:color="auto" w:fill="auto"/>
                  <w:vAlign w:val="center"/>
                </w:tcPr>
                <w:p w14:paraId="4EB8B574">
                  <w:pPr>
                    <w:spacing w:line="0" w:lineRule="atLeast"/>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531A354F">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613" w:type="pct"/>
                  <w:tcBorders>
                    <w:tl2br w:val="nil"/>
                    <w:tr2bl w:val="nil"/>
                  </w:tcBorders>
                  <w:vAlign w:val="center"/>
                </w:tcPr>
                <w:p w14:paraId="1A7F42EE">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877" w:type="pct"/>
                  <w:vMerge w:val="continue"/>
                  <w:tcBorders>
                    <w:tl2br w:val="nil"/>
                    <w:tr2bl w:val="nil"/>
                  </w:tcBorders>
                  <w:vAlign w:val="center"/>
                </w:tcPr>
                <w:p w14:paraId="4ACBC2A7">
                  <w:pPr>
                    <w:jc w:val="center"/>
                    <w:rPr>
                      <w:rFonts w:hint="eastAsia" w:ascii="Times New Roman" w:hAnsi="Times New Roman" w:eastAsia="宋体" w:cs="Times New Roman"/>
                      <w:color w:val="auto"/>
                      <w:kern w:val="2"/>
                      <w:sz w:val="21"/>
                      <w:szCs w:val="21"/>
                      <w:shd w:val="clear" w:color="auto" w:fill="auto"/>
                      <w:lang w:val="en-US" w:eastAsia="zh-CN" w:bidi="ar-SA"/>
                    </w:rPr>
                  </w:pPr>
                </w:p>
              </w:tc>
            </w:tr>
            <w:tr w14:paraId="165AB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281E002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19</w:t>
                  </w:r>
                </w:p>
              </w:tc>
              <w:tc>
                <w:tcPr>
                  <w:tcW w:w="1089" w:type="pct"/>
                  <w:tcBorders>
                    <w:tl2br w:val="nil"/>
                    <w:tr2bl w:val="nil"/>
                  </w:tcBorders>
                  <w:shd w:val="clear" w:color="auto" w:fill="auto"/>
                  <w:vAlign w:val="center"/>
                </w:tcPr>
                <w:p w14:paraId="5CE92FA9">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测厚仪</w:t>
                  </w:r>
                </w:p>
              </w:tc>
              <w:tc>
                <w:tcPr>
                  <w:tcW w:w="758" w:type="pct"/>
                  <w:tcBorders>
                    <w:tl2br w:val="nil"/>
                    <w:tr2bl w:val="nil"/>
                  </w:tcBorders>
                  <w:shd w:val="clear" w:color="auto" w:fill="auto"/>
                  <w:vAlign w:val="center"/>
                </w:tcPr>
                <w:p w14:paraId="3DE319DF">
                  <w:pPr>
                    <w:spacing w:line="0" w:lineRule="atLeast"/>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(0-25)mm</w:t>
                  </w:r>
                </w:p>
              </w:tc>
              <w:tc>
                <w:tcPr>
                  <w:tcW w:w="625" w:type="pct"/>
                  <w:tcBorders>
                    <w:tl2br w:val="nil"/>
                    <w:tr2bl w:val="nil"/>
                  </w:tcBorders>
                  <w:shd w:val="clear" w:color="auto" w:fill="auto"/>
                  <w:vAlign w:val="center"/>
                </w:tcPr>
                <w:p w14:paraId="43D8B69E">
                  <w:pPr>
                    <w:spacing w:line="0" w:lineRule="atLeast"/>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33A6D2EE">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613" w:type="pct"/>
                  <w:tcBorders>
                    <w:tl2br w:val="nil"/>
                    <w:tr2bl w:val="nil"/>
                  </w:tcBorders>
                  <w:vAlign w:val="center"/>
                </w:tcPr>
                <w:p w14:paraId="02165083">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877" w:type="pct"/>
                  <w:vMerge w:val="continue"/>
                  <w:tcBorders>
                    <w:tl2br w:val="nil"/>
                    <w:tr2bl w:val="nil"/>
                  </w:tcBorders>
                  <w:vAlign w:val="center"/>
                </w:tcPr>
                <w:p w14:paraId="65B10481">
                  <w:pPr>
                    <w:jc w:val="center"/>
                    <w:rPr>
                      <w:rFonts w:hint="eastAsia" w:ascii="Times New Roman" w:hAnsi="Times New Roman" w:eastAsia="宋体" w:cs="Times New Roman"/>
                      <w:color w:val="auto"/>
                      <w:kern w:val="2"/>
                      <w:sz w:val="21"/>
                      <w:szCs w:val="21"/>
                      <w:shd w:val="clear" w:color="auto" w:fill="auto"/>
                      <w:lang w:val="en-US" w:eastAsia="zh-CN" w:bidi="ar-SA"/>
                    </w:rPr>
                  </w:pPr>
                </w:p>
              </w:tc>
            </w:tr>
            <w:tr w14:paraId="0A910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7A4F1B2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20</w:t>
                  </w:r>
                </w:p>
              </w:tc>
              <w:tc>
                <w:tcPr>
                  <w:tcW w:w="1089" w:type="pct"/>
                  <w:tcBorders>
                    <w:tl2br w:val="nil"/>
                    <w:tr2bl w:val="nil"/>
                  </w:tcBorders>
                  <w:shd w:val="clear" w:color="auto" w:fill="auto"/>
                  <w:vAlign w:val="center"/>
                </w:tcPr>
                <w:p w14:paraId="73EA23B9">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钢直尺</w:t>
                  </w:r>
                </w:p>
              </w:tc>
              <w:tc>
                <w:tcPr>
                  <w:tcW w:w="758" w:type="pct"/>
                  <w:tcBorders>
                    <w:tl2br w:val="nil"/>
                    <w:tr2bl w:val="nil"/>
                  </w:tcBorders>
                  <w:shd w:val="clear" w:color="auto" w:fill="auto"/>
                  <w:vAlign w:val="center"/>
                </w:tcPr>
                <w:p w14:paraId="7BC41D59">
                  <w:pPr>
                    <w:spacing w:line="0" w:lineRule="atLeast"/>
                    <w:jc w:val="center"/>
                    <w:rPr>
                      <w:rFonts w:hint="default"/>
                      <w:color w:va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(0-1000)mm</w:t>
                  </w:r>
                </w:p>
              </w:tc>
              <w:tc>
                <w:tcPr>
                  <w:tcW w:w="625" w:type="pct"/>
                  <w:tcBorders>
                    <w:tl2br w:val="nil"/>
                    <w:tr2bl w:val="nil"/>
                  </w:tcBorders>
                  <w:shd w:val="clear" w:color="auto" w:fill="auto"/>
                  <w:vAlign w:val="center"/>
                </w:tcPr>
                <w:p w14:paraId="6F966944">
                  <w:pPr>
                    <w:spacing w:line="0" w:lineRule="atLeast"/>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2FC0989E">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613" w:type="pct"/>
                  <w:tcBorders>
                    <w:tl2br w:val="nil"/>
                    <w:tr2bl w:val="nil"/>
                  </w:tcBorders>
                  <w:vAlign w:val="center"/>
                </w:tcPr>
                <w:p w14:paraId="787A1F89">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877" w:type="pct"/>
                  <w:vMerge w:val="continue"/>
                  <w:tcBorders>
                    <w:tl2br w:val="nil"/>
                    <w:tr2bl w:val="nil"/>
                  </w:tcBorders>
                  <w:vAlign w:val="center"/>
                </w:tcPr>
                <w:p w14:paraId="5EE307C6">
                  <w:pPr>
                    <w:jc w:val="center"/>
                    <w:rPr>
                      <w:rFonts w:hint="eastAsia" w:ascii="Times New Roman" w:hAnsi="Times New Roman" w:eastAsia="宋体" w:cs="Times New Roman"/>
                      <w:color w:val="auto"/>
                      <w:kern w:val="2"/>
                      <w:sz w:val="21"/>
                      <w:szCs w:val="21"/>
                      <w:shd w:val="clear" w:color="auto" w:fill="auto"/>
                      <w:lang w:val="en-US" w:eastAsia="zh-CN" w:bidi="ar-SA"/>
                    </w:rPr>
                  </w:pPr>
                </w:p>
              </w:tc>
            </w:tr>
            <w:tr w14:paraId="08648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51D6BC7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21</w:t>
                  </w:r>
                </w:p>
              </w:tc>
              <w:tc>
                <w:tcPr>
                  <w:tcW w:w="1089" w:type="pct"/>
                  <w:tcBorders>
                    <w:tl2br w:val="nil"/>
                    <w:tr2bl w:val="nil"/>
                  </w:tcBorders>
                  <w:shd w:val="clear" w:color="auto" w:fill="auto"/>
                  <w:vAlign w:val="center"/>
                </w:tcPr>
                <w:p w14:paraId="10E0C5E9">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放大镜</w:t>
                  </w:r>
                </w:p>
              </w:tc>
              <w:tc>
                <w:tcPr>
                  <w:tcW w:w="758" w:type="pct"/>
                  <w:tcBorders>
                    <w:tl2br w:val="nil"/>
                    <w:tr2bl w:val="nil"/>
                  </w:tcBorders>
                  <w:shd w:val="clear" w:color="auto" w:fill="auto"/>
                  <w:vAlign w:val="center"/>
                </w:tcPr>
                <w:p w14:paraId="7E3B8452">
                  <w:pPr>
                    <w:spacing w:line="0" w:lineRule="atLeast"/>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11倍</w:t>
                  </w:r>
                </w:p>
              </w:tc>
              <w:tc>
                <w:tcPr>
                  <w:tcW w:w="625" w:type="pct"/>
                  <w:tcBorders>
                    <w:tl2br w:val="nil"/>
                    <w:tr2bl w:val="nil"/>
                  </w:tcBorders>
                  <w:shd w:val="clear" w:color="auto" w:fill="auto"/>
                  <w:vAlign w:val="center"/>
                </w:tcPr>
                <w:p w14:paraId="7DCE01DC">
                  <w:pPr>
                    <w:spacing w:line="0" w:lineRule="atLeast"/>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57DFE027">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613" w:type="pct"/>
                  <w:tcBorders>
                    <w:tl2br w:val="nil"/>
                    <w:tr2bl w:val="nil"/>
                  </w:tcBorders>
                  <w:vAlign w:val="center"/>
                </w:tcPr>
                <w:p w14:paraId="50F25F83">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877" w:type="pct"/>
                  <w:vMerge w:val="continue"/>
                  <w:tcBorders>
                    <w:tl2br w:val="nil"/>
                    <w:tr2bl w:val="nil"/>
                  </w:tcBorders>
                  <w:vAlign w:val="center"/>
                </w:tcPr>
                <w:p w14:paraId="476476ED">
                  <w:pPr>
                    <w:jc w:val="center"/>
                    <w:rPr>
                      <w:rFonts w:hint="eastAsia" w:ascii="Times New Roman" w:hAnsi="Times New Roman" w:eastAsia="宋体" w:cs="Times New Roman"/>
                      <w:color w:val="auto"/>
                      <w:kern w:val="2"/>
                      <w:sz w:val="21"/>
                      <w:szCs w:val="21"/>
                      <w:shd w:val="clear" w:color="auto" w:fill="auto"/>
                      <w:lang w:val="en-US" w:eastAsia="zh-CN" w:bidi="ar-SA"/>
                    </w:rPr>
                  </w:pPr>
                </w:p>
              </w:tc>
            </w:tr>
            <w:tr w14:paraId="261BB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3600DA2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22</w:t>
                  </w:r>
                </w:p>
              </w:tc>
              <w:tc>
                <w:tcPr>
                  <w:tcW w:w="1089" w:type="pct"/>
                  <w:tcBorders>
                    <w:tl2br w:val="nil"/>
                    <w:tr2bl w:val="nil"/>
                  </w:tcBorders>
                  <w:shd w:val="clear" w:color="auto" w:fill="auto"/>
                  <w:vAlign w:val="center"/>
                </w:tcPr>
                <w:p w14:paraId="0FAE613B">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砝码</w:t>
                  </w:r>
                </w:p>
              </w:tc>
              <w:tc>
                <w:tcPr>
                  <w:tcW w:w="758" w:type="pct"/>
                  <w:tcBorders>
                    <w:tl2br w:val="nil"/>
                    <w:tr2bl w:val="nil"/>
                  </w:tcBorders>
                  <w:shd w:val="clear" w:color="auto" w:fill="auto"/>
                  <w:vAlign w:val="center"/>
                </w:tcPr>
                <w:p w14:paraId="134F6E74">
                  <w:pPr>
                    <w:spacing w:line="0" w:lineRule="atLeast"/>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125kg</w:t>
                  </w:r>
                </w:p>
              </w:tc>
              <w:tc>
                <w:tcPr>
                  <w:tcW w:w="625" w:type="pct"/>
                  <w:tcBorders>
                    <w:tl2br w:val="nil"/>
                    <w:tr2bl w:val="nil"/>
                  </w:tcBorders>
                  <w:shd w:val="clear" w:color="auto" w:fill="auto"/>
                  <w:vAlign w:val="center"/>
                </w:tcPr>
                <w:p w14:paraId="0BD2F0A9">
                  <w:pPr>
                    <w:spacing w:line="0" w:lineRule="atLeast"/>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2552EFAD">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613" w:type="pct"/>
                  <w:tcBorders>
                    <w:tl2br w:val="nil"/>
                    <w:tr2bl w:val="nil"/>
                  </w:tcBorders>
                  <w:vAlign w:val="center"/>
                </w:tcPr>
                <w:p w14:paraId="3B6902B1">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877" w:type="pct"/>
                  <w:vMerge w:val="continue"/>
                  <w:tcBorders>
                    <w:tl2br w:val="nil"/>
                    <w:tr2bl w:val="nil"/>
                  </w:tcBorders>
                  <w:vAlign w:val="center"/>
                </w:tcPr>
                <w:p w14:paraId="0379BFE3">
                  <w:pPr>
                    <w:jc w:val="center"/>
                    <w:rPr>
                      <w:rFonts w:hint="eastAsia" w:ascii="Times New Roman" w:hAnsi="Times New Roman" w:eastAsia="宋体" w:cs="Times New Roman"/>
                      <w:color w:val="auto"/>
                      <w:kern w:val="2"/>
                      <w:sz w:val="21"/>
                      <w:szCs w:val="21"/>
                      <w:shd w:val="clear" w:color="auto" w:fill="auto"/>
                      <w:lang w:val="en-US" w:eastAsia="zh-CN" w:bidi="ar-SA"/>
                    </w:rPr>
                  </w:pPr>
                </w:p>
              </w:tc>
            </w:tr>
            <w:tr w14:paraId="2AF1D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024D84A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23</w:t>
                  </w:r>
                </w:p>
              </w:tc>
              <w:tc>
                <w:tcPr>
                  <w:tcW w:w="1089" w:type="pct"/>
                  <w:tcBorders>
                    <w:tl2br w:val="nil"/>
                    <w:tr2bl w:val="nil"/>
                  </w:tcBorders>
                  <w:shd w:val="clear" w:color="auto" w:fill="auto"/>
                  <w:vAlign w:val="center"/>
                </w:tcPr>
                <w:p w14:paraId="4D065521">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电子秤</w:t>
                  </w:r>
                </w:p>
              </w:tc>
              <w:tc>
                <w:tcPr>
                  <w:tcW w:w="758" w:type="pct"/>
                  <w:tcBorders>
                    <w:tl2br w:val="nil"/>
                    <w:tr2bl w:val="nil"/>
                  </w:tcBorders>
                  <w:shd w:val="clear" w:color="auto" w:fill="auto"/>
                  <w:vAlign w:val="center"/>
                </w:tcPr>
                <w:p w14:paraId="67FF42CB">
                  <w:pPr>
                    <w:spacing w:line="0" w:lineRule="atLeast"/>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TCS-1500</w:t>
                  </w:r>
                </w:p>
              </w:tc>
              <w:tc>
                <w:tcPr>
                  <w:tcW w:w="625" w:type="pct"/>
                  <w:tcBorders>
                    <w:tl2br w:val="nil"/>
                    <w:tr2bl w:val="nil"/>
                  </w:tcBorders>
                  <w:shd w:val="clear" w:color="auto" w:fill="auto"/>
                  <w:vAlign w:val="center"/>
                </w:tcPr>
                <w:p w14:paraId="6ECF48E4">
                  <w:pPr>
                    <w:spacing w:line="0" w:lineRule="atLeast"/>
                    <w:jc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shd w:val="clear" w:color="auto" w:fill="auto"/>
                  <w:vAlign w:val="center"/>
                </w:tcPr>
                <w:p w14:paraId="20B99991">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613" w:type="pct"/>
                  <w:tcBorders>
                    <w:tl2br w:val="nil"/>
                    <w:tr2bl w:val="nil"/>
                  </w:tcBorders>
                  <w:vAlign w:val="center"/>
                </w:tcPr>
                <w:p w14:paraId="4AD1FFBD">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+1</w:t>
                  </w:r>
                </w:p>
              </w:tc>
              <w:tc>
                <w:tcPr>
                  <w:tcW w:w="877" w:type="pct"/>
                  <w:vMerge w:val="continue"/>
                  <w:tcBorders>
                    <w:tl2br w:val="nil"/>
                    <w:tr2bl w:val="nil"/>
                  </w:tcBorders>
                  <w:vAlign w:val="center"/>
                </w:tcPr>
                <w:p w14:paraId="6CBECD98">
                  <w:pPr>
                    <w:jc w:val="center"/>
                    <w:rPr>
                      <w:rFonts w:hint="eastAsia" w:ascii="Times New Roman" w:hAnsi="Times New Roman" w:eastAsia="宋体" w:cs="Times New Roman"/>
                      <w:color w:val="auto"/>
                      <w:kern w:val="2"/>
                      <w:sz w:val="21"/>
                      <w:szCs w:val="21"/>
                      <w:shd w:val="clear" w:color="auto" w:fill="auto"/>
                      <w:lang w:val="en-US" w:eastAsia="zh-CN" w:bidi="ar-SA"/>
                    </w:rPr>
                  </w:pPr>
                </w:p>
              </w:tc>
            </w:tr>
            <w:tr w14:paraId="584865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Borders>
                    <w:tl2br w:val="nil"/>
                    <w:tr2bl w:val="nil"/>
                  </w:tcBorders>
                  <w:shd w:val="clear" w:color="auto" w:fill="auto"/>
                  <w:vAlign w:val="center"/>
                </w:tcPr>
                <w:p w14:paraId="23641B5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24</w:t>
                  </w:r>
                </w:p>
              </w:tc>
              <w:tc>
                <w:tcPr>
                  <w:tcW w:w="1089" w:type="pct"/>
                  <w:tcBorders>
                    <w:tl2br w:val="nil"/>
                    <w:tr2bl w:val="nil"/>
                  </w:tcBorders>
                  <w:shd w:val="clear" w:color="auto" w:fill="auto"/>
                  <w:vAlign w:val="center"/>
                </w:tcPr>
                <w:p w14:paraId="32C6797B">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eastAsia" w:ascii="Times New Roman" w:hAnsi="Times New Roman" w:eastAsia="宋体" w:cs="Times New Roman"/>
                      <w:bCs/>
                      <w:color w:val="auto"/>
                      <w:kern w:val="2"/>
                      <w:sz w:val="21"/>
                      <w:szCs w:val="21"/>
                      <w:highlight w:val="none"/>
                      <w:shd w:val="clear" w:color="auto" w:fill="auto"/>
                      <w:lang w:val="en-US" w:eastAsia="zh-CN" w:bidi="ar-SA"/>
                    </w:rPr>
                    <w:t>空压机</w:t>
                  </w:r>
                </w:p>
              </w:tc>
              <w:tc>
                <w:tcPr>
                  <w:tcW w:w="758" w:type="pct"/>
                  <w:tcBorders>
                    <w:tl2br w:val="nil"/>
                    <w:tr2bl w:val="nil"/>
                  </w:tcBorders>
                  <w:shd w:val="clear" w:color="auto" w:fill="auto"/>
                  <w:vAlign w:val="center"/>
                </w:tcPr>
                <w:p w14:paraId="4BCE7E6B">
                  <w:pPr>
                    <w:pStyle w:val="88"/>
                    <w:spacing w:line="65" w:lineRule="atLeast"/>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w:t>
                  </w:r>
                </w:p>
              </w:tc>
              <w:tc>
                <w:tcPr>
                  <w:tcW w:w="625" w:type="pct"/>
                  <w:tcBorders>
                    <w:tl2br w:val="nil"/>
                    <w:tr2bl w:val="nil"/>
                  </w:tcBorders>
                  <w:shd w:val="clear" w:color="auto" w:fill="auto"/>
                  <w:vAlign w:val="center"/>
                </w:tcPr>
                <w:p w14:paraId="17BA78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695" w:type="pct"/>
                  <w:tcBorders>
                    <w:tl2br w:val="nil"/>
                    <w:tr2bl w:val="nil"/>
                  </w:tcBorders>
                  <w:vAlign w:val="center"/>
                </w:tcPr>
                <w:p w14:paraId="431240B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kern w:val="2"/>
                      <w:sz w:val="21"/>
                      <w:szCs w:val="21"/>
                      <w:shd w:val="clear" w:color="auto" w:fill="auto"/>
                      <w:lang w:val="en-US" w:eastAsia="zh-CN" w:bidi="ar-SA"/>
                    </w:rPr>
                    <w:t>1</w:t>
                  </w:r>
                </w:p>
              </w:tc>
              <w:tc>
                <w:tcPr>
                  <w:tcW w:w="613" w:type="pct"/>
                  <w:tcBorders>
                    <w:tl2br w:val="nil"/>
                    <w:tr2bl w:val="nil"/>
                  </w:tcBorders>
                  <w:vAlign w:val="center"/>
                </w:tcPr>
                <w:p w14:paraId="7CFB156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kern w:val="2"/>
                      <w:sz w:val="21"/>
                      <w:szCs w:val="21"/>
                      <w:shd w:val="clear" w:color="auto" w:fill="auto"/>
                      <w:lang w:val="en-US" w:eastAsia="zh-CN" w:bidi="ar-SA"/>
                    </w:rPr>
                    <w:t>+</w:t>
                  </w:r>
                  <w:r>
                    <w:rPr>
                      <w:rFonts w:hint="default" w:ascii="Times New Roman" w:hAnsi="Times New Roman" w:eastAsia="宋体" w:cs="Times New Roman"/>
                      <w:color w:val="auto"/>
                      <w:kern w:val="2"/>
                      <w:sz w:val="21"/>
                      <w:szCs w:val="21"/>
                      <w:shd w:val="clear" w:color="auto" w:fill="auto"/>
                      <w:lang w:val="en-US" w:eastAsia="zh-CN" w:bidi="ar-SA"/>
                    </w:rPr>
                    <w:t>1</w:t>
                  </w:r>
                </w:p>
              </w:tc>
              <w:tc>
                <w:tcPr>
                  <w:tcW w:w="877" w:type="pct"/>
                  <w:tcBorders>
                    <w:tl2br w:val="nil"/>
                    <w:tr2bl w:val="nil"/>
                  </w:tcBorders>
                  <w:vAlign w:val="center"/>
                </w:tcPr>
                <w:p w14:paraId="58A21FF8">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公辅设备</w:t>
                  </w:r>
                </w:p>
              </w:tc>
            </w:tr>
          </w:tbl>
          <w:p w14:paraId="5078ECF0">
            <w:pPr>
              <w:pStyle w:val="46"/>
              <w:adjustRightInd w:val="0"/>
              <w:snapToGrid w:val="0"/>
              <w:ind w:firstLine="0" w:firstLineChars="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 w:val="0"/>
                <w:bCs/>
                <w:color w:val="auto"/>
                <w:szCs w:val="21"/>
                <w:highlight w:val="none"/>
              </w:rPr>
              <w:t>注：</w:t>
            </w:r>
            <w:r>
              <w:rPr>
                <w:rFonts w:hint="eastAsia" w:ascii="Times New Roman" w:hAnsi="Times New Roman" w:eastAsia="宋体" w:cs="Times New Roman"/>
                <w:b w:val="0"/>
                <w:bCs/>
                <w:color w:val="auto"/>
                <w:szCs w:val="21"/>
                <w:highlight w:val="none"/>
                <w:lang w:val="en-US" w:eastAsia="zh-CN"/>
              </w:rPr>
              <w:t>①</w:t>
            </w:r>
            <w:r>
              <w:rPr>
                <w:rFonts w:hint="default" w:ascii="Times New Roman" w:hAnsi="Times New Roman" w:eastAsia="宋体" w:cs="Times New Roman"/>
                <w:bCs/>
                <w:color w:val="auto"/>
                <w:szCs w:val="21"/>
                <w:highlight w:val="none"/>
              </w:rPr>
              <w:t>原有项目淘汰</w:t>
            </w:r>
            <w:r>
              <w:rPr>
                <w:rFonts w:hint="eastAsia" w:ascii="Times New Roman" w:hAnsi="Times New Roman" w:eastAsia="宋体" w:cs="Times New Roman"/>
                <w:bCs/>
                <w:color w:val="auto"/>
                <w:szCs w:val="21"/>
                <w:highlight w:val="none"/>
                <w:lang w:val="en-US" w:eastAsia="zh-CN"/>
              </w:rPr>
              <w:t>部分落后</w:t>
            </w:r>
            <w:r>
              <w:rPr>
                <w:rFonts w:hint="default" w:ascii="Times New Roman" w:hAnsi="Times New Roman" w:eastAsia="宋体" w:cs="Times New Roman"/>
                <w:bCs/>
                <w:color w:val="auto"/>
                <w:szCs w:val="21"/>
                <w:highlight w:val="none"/>
              </w:rPr>
              <w:t>设备，淘汰后的设备</w:t>
            </w:r>
            <w:r>
              <w:rPr>
                <w:rFonts w:hint="eastAsia" w:ascii="Times New Roman" w:hAnsi="Times New Roman" w:eastAsia="宋体" w:cs="Times New Roman"/>
                <w:bCs/>
                <w:color w:val="auto"/>
                <w:szCs w:val="21"/>
                <w:highlight w:val="none"/>
                <w:lang w:val="en-US" w:eastAsia="zh-CN"/>
              </w:rPr>
              <w:t>已</w:t>
            </w:r>
            <w:r>
              <w:rPr>
                <w:rFonts w:hint="default" w:ascii="Times New Roman" w:hAnsi="Times New Roman" w:eastAsia="宋体" w:cs="Times New Roman"/>
                <w:bCs/>
                <w:color w:val="auto"/>
                <w:szCs w:val="21"/>
                <w:highlight w:val="none"/>
              </w:rPr>
              <w:t>寻找有资质单位处置</w:t>
            </w:r>
            <w:r>
              <w:rPr>
                <w:rFonts w:hint="eastAsia" w:ascii="Times New Roman" w:hAnsi="Times New Roman" w:eastAsia="宋体" w:cs="Times New Roman"/>
                <w:bCs/>
                <w:color w:val="auto"/>
                <w:szCs w:val="21"/>
                <w:highlight w:val="none"/>
                <w:lang w:eastAsia="zh-CN"/>
              </w:rPr>
              <w:t>。</w:t>
            </w:r>
            <w:r>
              <w:rPr>
                <w:rFonts w:hint="default" w:ascii="Times New Roman" w:hAnsi="Times New Roman" w:eastAsia="宋体" w:cs="Times New Roman"/>
                <w:bCs/>
                <w:color w:val="auto"/>
                <w:szCs w:val="21"/>
                <w:highlight w:val="none"/>
              </w:rPr>
              <w:t>除淘汰设备外的其他设备均迁建至本项目车间继续使用，并根据企业发展</w:t>
            </w:r>
            <w:r>
              <w:rPr>
                <w:rFonts w:hint="eastAsia" w:ascii="Times New Roman" w:hAnsi="Times New Roman" w:eastAsia="宋体" w:cs="Times New Roman"/>
                <w:bCs/>
                <w:color w:val="auto"/>
                <w:szCs w:val="21"/>
                <w:highlight w:val="none"/>
                <w:lang w:val="en-US" w:eastAsia="zh-CN"/>
              </w:rPr>
              <w:t>替换及新</w:t>
            </w:r>
            <w:r>
              <w:rPr>
                <w:rFonts w:hint="default" w:ascii="Times New Roman" w:hAnsi="Times New Roman" w:eastAsia="宋体" w:cs="Times New Roman"/>
                <w:bCs/>
                <w:color w:val="auto"/>
                <w:szCs w:val="21"/>
                <w:highlight w:val="none"/>
              </w:rPr>
              <w:t>购置部分设备。</w:t>
            </w:r>
          </w:p>
          <w:p w14:paraId="209B813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②复合机替代淘汰的涂布机，熟化箱替代淘汰的烘干线，复卷机替代淘汰的打包机。</w:t>
            </w:r>
          </w:p>
          <w:p w14:paraId="3C638B3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4"/>
                <w:szCs w:val="22"/>
                <w:highlight w:val="none"/>
                <w:shd w:val="clear" w:color="auto" w:fill="auto"/>
                <w:lang w:val="en-US" w:eastAsia="zh-CN" w:bidi="ar-SA"/>
              </w:rPr>
              <w:t>本项目产能与关键设备匹配性分析：</w:t>
            </w:r>
          </w:p>
          <w:p w14:paraId="2738626D">
            <w:pPr>
              <w:spacing w:line="0" w:lineRule="atLeast"/>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b/>
                <w:color w:val="auto"/>
                <w:sz w:val="24"/>
                <w:highlight w:val="none"/>
                <w:shd w:val="clear" w:color="auto" w:fill="auto"/>
                <w:lang w:val="en-US" w:eastAsia="zh-CN"/>
              </w:rPr>
              <w:t>表2-3 本项目产能与关键设备匹配性分析一览表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6"/>
              <w:gridCol w:w="690"/>
              <w:gridCol w:w="732"/>
              <w:gridCol w:w="637"/>
              <w:gridCol w:w="893"/>
              <w:gridCol w:w="559"/>
              <w:gridCol w:w="775"/>
              <w:gridCol w:w="813"/>
              <w:gridCol w:w="2573"/>
            </w:tblGrid>
            <w:tr w14:paraId="16EB1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14:paraId="01199027">
                  <w:pPr>
                    <w:spacing w:line="0" w:lineRule="atLeast"/>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ascii="Times New Roman" w:hAnsi="Times New Roman" w:eastAsia="宋体" w:cs="Times New Roman"/>
                      <w:b/>
                      <w:bCs/>
                      <w:color w:val="auto"/>
                      <w:kern w:val="2"/>
                      <w:sz w:val="21"/>
                      <w:szCs w:val="21"/>
                      <w:shd w:val="clear" w:color="auto" w:fill="auto"/>
                      <w:lang w:val="en-US" w:eastAsia="zh-CN" w:bidi="ar-SA"/>
                    </w:rPr>
                    <w:t>生产工序</w:t>
                  </w:r>
                </w:p>
              </w:tc>
              <w:tc>
                <w:tcPr>
                  <w:tcW w:w="412" w:type="pct"/>
                  <w:noWrap w:val="0"/>
                  <w:vAlign w:val="center"/>
                </w:tcPr>
                <w:p w14:paraId="1EDFB31E">
                  <w:pPr>
                    <w:spacing w:line="0" w:lineRule="atLeast"/>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ascii="Times New Roman" w:hAnsi="Times New Roman" w:eastAsia="宋体" w:cs="Times New Roman"/>
                      <w:b/>
                      <w:bCs/>
                      <w:color w:val="auto"/>
                      <w:kern w:val="2"/>
                      <w:sz w:val="21"/>
                      <w:szCs w:val="21"/>
                      <w:shd w:val="clear" w:color="auto" w:fill="auto"/>
                      <w:lang w:val="en-US" w:eastAsia="zh-CN" w:bidi="ar-SA"/>
                    </w:rPr>
                    <w:t>设备名称</w:t>
                  </w:r>
                </w:p>
              </w:tc>
              <w:tc>
                <w:tcPr>
                  <w:tcW w:w="437" w:type="pct"/>
                  <w:noWrap w:val="0"/>
                  <w:vAlign w:val="center"/>
                </w:tcPr>
                <w:p w14:paraId="28A3A585">
                  <w:pPr>
                    <w:spacing w:line="0" w:lineRule="atLeast"/>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ascii="Times New Roman" w:hAnsi="Times New Roman" w:eastAsia="宋体" w:cs="Times New Roman"/>
                      <w:b/>
                      <w:bCs/>
                      <w:color w:val="auto"/>
                      <w:kern w:val="2"/>
                      <w:sz w:val="21"/>
                      <w:szCs w:val="21"/>
                      <w:shd w:val="clear" w:color="auto" w:fill="auto"/>
                      <w:lang w:val="en-US" w:eastAsia="zh-CN" w:bidi="ar-SA"/>
                    </w:rPr>
                    <w:t>规格参数</w:t>
                  </w:r>
                </w:p>
              </w:tc>
              <w:tc>
                <w:tcPr>
                  <w:tcW w:w="381" w:type="pct"/>
                  <w:noWrap w:val="0"/>
                  <w:vAlign w:val="center"/>
                </w:tcPr>
                <w:p w14:paraId="25595FB3">
                  <w:pPr>
                    <w:spacing w:line="0" w:lineRule="atLeast"/>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ascii="Times New Roman" w:hAnsi="Times New Roman" w:eastAsia="宋体" w:cs="Times New Roman"/>
                      <w:b/>
                      <w:bCs/>
                      <w:color w:val="auto"/>
                      <w:kern w:val="2"/>
                      <w:sz w:val="21"/>
                      <w:szCs w:val="21"/>
                      <w:shd w:val="clear" w:color="auto" w:fill="auto"/>
                      <w:lang w:val="en-US" w:eastAsia="zh-CN" w:bidi="ar-SA"/>
                    </w:rPr>
                    <w:t>设备数量</w:t>
                  </w:r>
                </w:p>
              </w:tc>
              <w:tc>
                <w:tcPr>
                  <w:tcW w:w="534" w:type="pct"/>
                  <w:noWrap w:val="0"/>
                  <w:vAlign w:val="center"/>
                </w:tcPr>
                <w:p w14:paraId="68386FE7">
                  <w:pPr>
                    <w:spacing w:line="0" w:lineRule="atLeast"/>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ascii="Times New Roman" w:hAnsi="Times New Roman" w:eastAsia="宋体" w:cs="Times New Roman"/>
                      <w:b/>
                      <w:bCs/>
                      <w:color w:val="auto"/>
                      <w:kern w:val="2"/>
                      <w:sz w:val="21"/>
                      <w:szCs w:val="21"/>
                      <w:shd w:val="clear" w:color="auto" w:fill="auto"/>
                      <w:lang w:val="en-US" w:eastAsia="zh-CN" w:bidi="ar-SA"/>
                    </w:rPr>
                    <w:t>单台生产能力</w:t>
                  </w:r>
                </w:p>
              </w:tc>
              <w:tc>
                <w:tcPr>
                  <w:tcW w:w="334" w:type="pct"/>
                  <w:noWrap w:val="0"/>
                  <w:vAlign w:val="center"/>
                </w:tcPr>
                <w:p w14:paraId="380E9875">
                  <w:pPr>
                    <w:spacing w:line="0" w:lineRule="atLeast"/>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ascii="Times New Roman" w:hAnsi="Times New Roman" w:eastAsia="宋体" w:cs="Times New Roman"/>
                      <w:b/>
                      <w:bCs/>
                      <w:color w:val="auto"/>
                      <w:kern w:val="2"/>
                      <w:sz w:val="21"/>
                      <w:szCs w:val="21"/>
                      <w:shd w:val="clear" w:color="auto" w:fill="auto"/>
                      <w:lang w:val="en-US" w:eastAsia="zh-CN" w:bidi="ar-SA"/>
                    </w:rPr>
                    <w:t>批次</w:t>
                  </w:r>
                </w:p>
              </w:tc>
              <w:tc>
                <w:tcPr>
                  <w:tcW w:w="463" w:type="pct"/>
                  <w:noWrap w:val="0"/>
                  <w:vAlign w:val="center"/>
                </w:tcPr>
                <w:p w14:paraId="6B87823D">
                  <w:pPr>
                    <w:spacing w:line="0" w:lineRule="atLeast"/>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ascii="Times New Roman" w:hAnsi="Times New Roman" w:eastAsia="宋体" w:cs="Times New Roman"/>
                      <w:b/>
                      <w:bCs/>
                      <w:color w:val="auto"/>
                      <w:kern w:val="2"/>
                      <w:sz w:val="21"/>
                      <w:szCs w:val="21"/>
                      <w:shd w:val="clear" w:color="auto" w:fill="auto"/>
                      <w:lang w:val="en-US" w:eastAsia="zh-CN" w:bidi="ar-SA"/>
                    </w:rPr>
                    <w:t>年工作天数</w:t>
                  </w:r>
                </w:p>
              </w:tc>
              <w:tc>
                <w:tcPr>
                  <w:tcW w:w="486" w:type="pct"/>
                  <w:noWrap w:val="0"/>
                  <w:vAlign w:val="center"/>
                </w:tcPr>
                <w:p w14:paraId="3BE893A9">
                  <w:pPr>
                    <w:spacing w:line="0" w:lineRule="atLeast"/>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ascii="Times New Roman" w:hAnsi="Times New Roman" w:eastAsia="宋体" w:cs="Times New Roman"/>
                      <w:b/>
                      <w:bCs/>
                      <w:color w:val="auto"/>
                      <w:kern w:val="2"/>
                      <w:sz w:val="21"/>
                      <w:szCs w:val="21"/>
                      <w:shd w:val="clear" w:color="auto" w:fill="auto"/>
                      <w:lang w:val="en-US" w:eastAsia="zh-CN" w:bidi="ar-SA"/>
                    </w:rPr>
                    <w:t>总生产能力</w:t>
                  </w:r>
                </w:p>
              </w:tc>
              <w:tc>
                <w:tcPr>
                  <w:tcW w:w="1539" w:type="pct"/>
                  <w:noWrap w:val="0"/>
                  <w:vAlign w:val="center"/>
                </w:tcPr>
                <w:p w14:paraId="23782BEE">
                  <w:pPr>
                    <w:spacing w:line="0" w:lineRule="atLeast"/>
                    <w:jc w:val="center"/>
                    <w:rPr>
                      <w:rFonts w:hint="eastAsia" w:ascii="Times New Roman" w:hAnsi="Times New Roman" w:eastAsia="宋体" w:cs="Times New Roman"/>
                      <w:b/>
                      <w:bCs/>
                      <w:color w:val="auto"/>
                      <w:kern w:val="2"/>
                      <w:sz w:val="21"/>
                      <w:szCs w:val="21"/>
                      <w:shd w:val="clear" w:color="auto" w:fill="auto"/>
                      <w:lang w:val="en-US" w:eastAsia="zh-CN" w:bidi="ar-SA"/>
                    </w:rPr>
                  </w:pPr>
                  <w:r>
                    <w:rPr>
                      <w:rFonts w:hint="eastAsia" w:ascii="Times New Roman" w:hAnsi="Times New Roman" w:eastAsia="宋体" w:cs="Times New Roman"/>
                      <w:b/>
                      <w:bCs/>
                      <w:color w:val="auto"/>
                      <w:kern w:val="2"/>
                      <w:sz w:val="21"/>
                      <w:szCs w:val="21"/>
                      <w:shd w:val="clear" w:color="auto" w:fill="auto"/>
                      <w:lang w:val="en-US" w:eastAsia="zh-CN" w:bidi="ar-SA"/>
                    </w:rPr>
                    <w:t>申报产能及匹配性分析</w:t>
                  </w:r>
                </w:p>
              </w:tc>
            </w:tr>
            <w:tr w14:paraId="3A234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0" w:type="pct"/>
                  <w:noWrap w:val="0"/>
                  <w:vAlign w:val="center"/>
                </w:tcPr>
                <w:p w14:paraId="6F7C15FE">
                  <w:pPr>
                    <w:spacing w:line="0" w:lineRule="atLeast"/>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制袋</w:t>
                  </w:r>
                </w:p>
              </w:tc>
              <w:tc>
                <w:tcPr>
                  <w:tcW w:w="412" w:type="pct"/>
                  <w:noWrap w:val="0"/>
                  <w:vAlign w:val="center"/>
                </w:tcPr>
                <w:p w14:paraId="06A24887">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制袋机组</w:t>
                  </w:r>
                </w:p>
              </w:tc>
              <w:tc>
                <w:tcPr>
                  <w:tcW w:w="437" w:type="pct"/>
                  <w:noWrap w:val="0"/>
                  <w:vAlign w:val="center"/>
                </w:tcPr>
                <w:p w14:paraId="34A49F46">
                  <w:pPr>
                    <w:spacing w:line="0" w:lineRule="atLeast"/>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BXZD1000</w:t>
                  </w:r>
                </w:p>
              </w:tc>
              <w:tc>
                <w:tcPr>
                  <w:tcW w:w="381" w:type="pct"/>
                  <w:noWrap w:val="0"/>
                  <w:vAlign w:val="center"/>
                </w:tcPr>
                <w:p w14:paraId="7AE7639B">
                  <w:pPr>
                    <w:spacing w:line="0" w:lineRule="atLeast"/>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10台</w:t>
                  </w:r>
                </w:p>
              </w:tc>
              <w:tc>
                <w:tcPr>
                  <w:tcW w:w="534" w:type="pct"/>
                  <w:noWrap w:val="0"/>
                  <w:vAlign w:val="center"/>
                </w:tcPr>
                <w:p w14:paraId="72E3E118">
                  <w:pPr>
                    <w:spacing w:line="0" w:lineRule="atLeast"/>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制袋能力0.1t/批</w:t>
                  </w:r>
                </w:p>
              </w:tc>
              <w:tc>
                <w:tcPr>
                  <w:tcW w:w="334" w:type="pct"/>
                  <w:noWrap w:val="0"/>
                  <w:vAlign w:val="center"/>
                </w:tcPr>
                <w:p w14:paraId="1DCAB392">
                  <w:pPr>
                    <w:spacing w:line="0" w:lineRule="atLeast"/>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7批/d</w:t>
                  </w:r>
                </w:p>
              </w:tc>
              <w:tc>
                <w:tcPr>
                  <w:tcW w:w="463" w:type="pct"/>
                  <w:noWrap w:val="0"/>
                  <w:vAlign w:val="center"/>
                </w:tcPr>
                <w:p w14:paraId="4D3A1E14">
                  <w:pPr>
                    <w:spacing w:line="0" w:lineRule="atLeast"/>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300d</w:t>
                  </w:r>
                </w:p>
              </w:tc>
              <w:tc>
                <w:tcPr>
                  <w:tcW w:w="486" w:type="pct"/>
                  <w:noWrap w:val="0"/>
                  <w:vAlign w:val="center"/>
                </w:tcPr>
                <w:p w14:paraId="1D0FCC04">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2100</w:t>
                  </w:r>
                </w:p>
                <w:p w14:paraId="68811638">
                  <w:pPr>
                    <w:spacing w:line="0" w:lineRule="atLeast"/>
                    <w:jc w:val="center"/>
                    <w:rPr>
                      <w:rFonts w:hint="eastAsia"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t/a</w:t>
                  </w:r>
                </w:p>
              </w:tc>
              <w:tc>
                <w:tcPr>
                  <w:tcW w:w="1539" w:type="pct"/>
                  <w:noWrap w:val="0"/>
                  <w:vAlign w:val="center"/>
                </w:tcPr>
                <w:p w14:paraId="74556968">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本项目塑料袋产能为2000t/a，占最大产能的95.2%，符合设备设计制袋能力要求</w:t>
                  </w:r>
                </w:p>
              </w:tc>
            </w:tr>
          </w:tbl>
          <w:p w14:paraId="091F197E">
            <w:pPr>
              <w:spacing w:line="360" w:lineRule="auto"/>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eastAsia="zh-CN"/>
              </w:rPr>
              <w:t>5</w:t>
            </w:r>
            <w:r>
              <w:rPr>
                <w:rFonts w:hint="default" w:ascii="Times New Roman" w:hAnsi="Times New Roman" w:eastAsia="宋体" w:cs="Times New Roman"/>
                <w:b/>
                <w:color w:val="auto"/>
                <w:sz w:val="24"/>
                <w:highlight w:val="none"/>
                <w:shd w:val="clear" w:color="auto" w:fill="auto"/>
                <w:lang w:val="en-US"/>
              </w:rPr>
              <w:t>、原辅材料</w:t>
            </w:r>
          </w:p>
          <w:p w14:paraId="1B9D5C8C">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lang w:val="en-US" w:eastAsia="zh-CN"/>
              </w:rPr>
              <w:t>（1）原辅料用量及成分</w:t>
            </w:r>
          </w:p>
          <w:p w14:paraId="634216F5">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本项目主要原辅材料见表2-</w:t>
            </w:r>
            <w:r>
              <w:rPr>
                <w:rFonts w:hint="eastAsia" w:ascii="Times New Roman" w:hAnsi="Times New Roman" w:eastAsia="宋体" w:cs="Times New Roman"/>
                <w:color w:val="auto"/>
                <w:sz w:val="24"/>
                <w:highlight w:val="none"/>
                <w:shd w:val="clear" w:color="auto" w:fill="auto"/>
                <w:lang w:val="en-US" w:eastAsia="zh-CN"/>
              </w:rPr>
              <w:t>4</w:t>
            </w:r>
            <w:r>
              <w:rPr>
                <w:rFonts w:hint="default" w:ascii="Times New Roman" w:hAnsi="Times New Roman" w:eastAsia="宋体" w:cs="Times New Roman"/>
                <w:color w:val="auto"/>
                <w:sz w:val="24"/>
                <w:highlight w:val="none"/>
                <w:shd w:val="clear" w:color="auto" w:fill="auto"/>
                <w:lang w:val="en-US"/>
              </w:rPr>
              <w:t>。</w:t>
            </w:r>
          </w:p>
          <w:p w14:paraId="360F08AB">
            <w:pPr>
              <w:jc w:val="center"/>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rPr>
              <w:t>表2-</w:t>
            </w:r>
            <w:r>
              <w:rPr>
                <w:rFonts w:hint="eastAsia" w:ascii="Times New Roman" w:hAnsi="Times New Roman" w:eastAsia="宋体" w:cs="Times New Roman"/>
                <w:b/>
                <w:color w:val="auto"/>
                <w:sz w:val="24"/>
                <w:highlight w:val="none"/>
                <w:shd w:val="clear" w:color="auto" w:fill="auto"/>
                <w:lang w:val="en-US" w:eastAsia="zh-CN"/>
              </w:rPr>
              <w:t>4</w:t>
            </w:r>
            <w:r>
              <w:rPr>
                <w:rFonts w:hint="default" w:ascii="Times New Roman" w:hAnsi="Times New Roman" w:eastAsia="宋体" w:cs="Times New Roman"/>
                <w:b/>
                <w:color w:val="auto"/>
                <w:sz w:val="24"/>
                <w:highlight w:val="none"/>
                <w:shd w:val="clear" w:color="auto" w:fill="auto"/>
                <w:lang w:val="en-US"/>
              </w:rPr>
              <w:t xml:space="preserve">  建设项目原辅料及资源能源消耗</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5"/>
              <w:gridCol w:w="442"/>
              <w:gridCol w:w="1195"/>
              <w:gridCol w:w="2310"/>
              <w:gridCol w:w="1064"/>
              <w:gridCol w:w="1043"/>
              <w:gridCol w:w="930"/>
              <w:gridCol w:w="989"/>
            </w:tblGrid>
            <w:tr w14:paraId="5360F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0" w:type="pct"/>
                  <w:vMerge w:val="restart"/>
                  <w:tcBorders>
                    <w:tl2br w:val="nil"/>
                    <w:tr2bl w:val="nil"/>
                  </w:tcBorders>
                  <w:vAlign w:val="center"/>
                </w:tcPr>
                <w:p w14:paraId="20880EE6">
                  <w:pPr>
                    <w:jc w:val="center"/>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eastAsia="zh-CN"/>
                    </w:rPr>
                    <w:t>序号</w:t>
                  </w:r>
                </w:p>
              </w:tc>
              <w:tc>
                <w:tcPr>
                  <w:tcW w:w="264" w:type="pct"/>
                  <w:vMerge w:val="restart"/>
                  <w:tcBorders>
                    <w:tl2br w:val="nil"/>
                    <w:tr2bl w:val="nil"/>
                  </w:tcBorders>
                  <w:vAlign w:val="center"/>
                </w:tcPr>
                <w:p w14:paraId="7DCB2ECC">
                  <w:pPr>
                    <w:jc w:val="center"/>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eastAsia="zh-CN"/>
                    </w:rPr>
                    <w:t>类型</w:t>
                  </w:r>
                </w:p>
              </w:tc>
              <w:tc>
                <w:tcPr>
                  <w:tcW w:w="714" w:type="pct"/>
                  <w:vMerge w:val="restart"/>
                  <w:tcBorders>
                    <w:tl2br w:val="nil"/>
                    <w:tr2bl w:val="nil"/>
                  </w:tcBorders>
                  <w:vAlign w:val="center"/>
                </w:tcPr>
                <w:p w14:paraId="5DA9CB63">
                  <w:pPr>
                    <w:jc w:val="center"/>
                    <w:rPr>
                      <w:rFonts w:hint="default" w:ascii="Times New Roman" w:hAnsi="Times New Roman" w:eastAsia="宋体" w:cs="Times New Roman"/>
                      <w:b/>
                      <w:color w:val="auto"/>
                      <w:sz w:val="21"/>
                      <w:szCs w:val="21"/>
                      <w:highlight w:val="none"/>
                      <w:shd w:val="clear" w:color="auto" w:fill="auto"/>
                      <w:lang w:val="en-US"/>
                    </w:rPr>
                  </w:pPr>
                  <w:r>
                    <w:rPr>
                      <w:rFonts w:hint="default" w:ascii="Times New Roman" w:hAnsi="Times New Roman" w:eastAsia="宋体" w:cs="Times New Roman"/>
                      <w:b/>
                      <w:color w:val="auto"/>
                      <w:sz w:val="21"/>
                      <w:szCs w:val="21"/>
                      <w:highlight w:val="none"/>
                      <w:shd w:val="clear" w:color="auto" w:fill="auto"/>
                      <w:lang w:val="en-US"/>
                    </w:rPr>
                    <w:t>名称</w:t>
                  </w:r>
                </w:p>
              </w:tc>
              <w:tc>
                <w:tcPr>
                  <w:tcW w:w="1381" w:type="pct"/>
                  <w:vMerge w:val="restart"/>
                  <w:tcBorders>
                    <w:tl2br w:val="nil"/>
                    <w:tr2bl w:val="nil"/>
                  </w:tcBorders>
                  <w:vAlign w:val="center"/>
                </w:tcPr>
                <w:p w14:paraId="19592CDF">
                  <w:pPr>
                    <w:jc w:val="center"/>
                    <w:rPr>
                      <w:rFonts w:hint="default" w:ascii="Times New Roman" w:hAnsi="Times New Roman" w:eastAsia="宋体" w:cs="Times New Roman"/>
                      <w:b/>
                      <w:color w:val="auto"/>
                      <w:sz w:val="21"/>
                      <w:szCs w:val="21"/>
                      <w:highlight w:val="none"/>
                      <w:shd w:val="clear" w:color="auto" w:fill="auto"/>
                      <w:lang w:val="en-US"/>
                    </w:rPr>
                  </w:pPr>
                  <w:r>
                    <w:rPr>
                      <w:rFonts w:hint="default" w:ascii="Times New Roman" w:hAnsi="Times New Roman" w:eastAsia="宋体" w:cs="Times New Roman"/>
                      <w:b/>
                      <w:color w:val="auto"/>
                      <w:sz w:val="21"/>
                      <w:szCs w:val="21"/>
                      <w:highlight w:val="none"/>
                      <w:shd w:val="clear" w:color="auto" w:fill="auto"/>
                      <w:lang w:val="en-US"/>
                    </w:rPr>
                    <w:t>重要组分、规格及指标</w:t>
                  </w:r>
                </w:p>
              </w:tc>
              <w:tc>
                <w:tcPr>
                  <w:tcW w:w="1816" w:type="pct"/>
                  <w:gridSpan w:val="3"/>
                  <w:tcBorders>
                    <w:tl2br w:val="nil"/>
                    <w:tr2bl w:val="nil"/>
                  </w:tcBorders>
                  <w:vAlign w:val="center"/>
                </w:tcPr>
                <w:p w14:paraId="18374A48">
                  <w:pPr>
                    <w:jc w:val="center"/>
                    <w:rPr>
                      <w:rFonts w:hint="eastAsia"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rPr>
                    <w:t>年耗量</w:t>
                  </w:r>
                  <w:r>
                    <w:rPr>
                      <w:rFonts w:hint="eastAsia" w:ascii="Times New Roman" w:hAnsi="Times New Roman" w:eastAsia="宋体" w:cs="Times New Roman"/>
                      <w:b/>
                      <w:color w:val="auto"/>
                      <w:sz w:val="21"/>
                      <w:szCs w:val="21"/>
                      <w:highlight w:val="none"/>
                      <w:shd w:val="clear" w:color="auto" w:fill="auto"/>
                      <w:lang w:val="en-US" w:eastAsia="zh-CN"/>
                    </w:rPr>
                    <w:t>（t）</w:t>
                  </w:r>
                </w:p>
              </w:tc>
              <w:tc>
                <w:tcPr>
                  <w:tcW w:w="591" w:type="pct"/>
                  <w:vMerge w:val="restart"/>
                  <w:tcBorders>
                    <w:tl2br w:val="nil"/>
                    <w:tr2bl w:val="nil"/>
                  </w:tcBorders>
                  <w:vAlign w:val="center"/>
                </w:tcPr>
                <w:p w14:paraId="467CA9BD">
                  <w:pPr>
                    <w:jc w:val="center"/>
                    <w:rPr>
                      <w:rFonts w:hint="default" w:ascii="Times New Roman" w:hAnsi="Times New Roman" w:eastAsia="宋体" w:cs="Times New Roman"/>
                      <w:b/>
                      <w:color w:val="auto"/>
                      <w:sz w:val="21"/>
                      <w:szCs w:val="21"/>
                      <w:highlight w:val="none"/>
                      <w:shd w:val="clear" w:color="auto" w:fill="auto"/>
                      <w:lang w:val="en-US"/>
                    </w:rPr>
                  </w:pPr>
                  <w:r>
                    <w:rPr>
                      <w:rFonts w:hint="default" w:ascii="Times New Roman" w:hAnsi="Times New Roman" w:eastAsia="宋体" w:cs="Times New Roman"/>
                      <w:b/>
                      <w:color w:val="auto"/>
                      <w:sz w:val="21"/>
                      <w:szCs w:val="21"/>
                      <w:highlight w:val="none"/>
                      <w:shd w:val="clear" w:color="auto" w:fill="auto"/>
                      <w:lang w:val="en-US"/>
                    </w:rPr>
                    <w:t>最大储存量</w:t>
                  </w:r>
                </w:p>
              </w:tc>
            </w:tr>
            <w:tr w14:paraId="42643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30" w:type="pct"/>
                  <w:vMerge w:val="continue"/>
                  <w:tcBorders>
                    <w:tl2br w:val="nil"/>
                    <w:tr2bl w:val="nil"/>
                  </w:tcBorders>
                  <w:vAlign w:val="center"/>
                </w:tcPr>
                <w:p w14:paraId="6186C584">
                  <w:pPr>
                    <w:jc w:val="center"/>
                    <w:rPr>
                      <w:color w:val="auto"/>
                    </w:rPr>
                  </w:pPr>
                </w:p>
              </w:tc>
              <w:tc>
                <w:tcPr>
                  <w:tcW w:w="264" w:type="pct"/>
                  <w:vMerge w:val="continue"/>
                  <w:tcBorders>
                    <w:tl2br w:val="nil"/>
                    <w:tr2bl w:val="nil"/>
                  </w:tcBorders>
                  <w:vAlign w:val="center"/>
                </w:tcPr>
                <w:p w14:paraId="31BE0A40">
                  <w:pPr>
                    <w:jc w:val="center"/>
                    <w:rPr>
                      <w:color w:val="auto"/>
                    </w:rPr>
                  </w:pPr>
                </w:p>
              </w:tc>
              <w:tc>
                <w:tcPr>
                  <w:tcW w:w="714" w:type="pct"/>
                  <w:vMerge w:val="continue"/>
                  <w:tcBorders>
                    <w:tl2br w:val="nil"/>
                    <w:tr2bl w:val="nil"/>
                  </w:tcBorders>
                  <w:vAlign w:val="center"/>
                </w:tcPr>
                <w:p w14:paraId="6AD05D6D">
                  <w:pPr>
                    <w:jc w:val="center"/>
                    <w:rPr>
                      <w:color w:val="auto"/>
                    </w:rPr>
                  </w:pPr>
                </w:p>
              </w:tc>
              <w:tc>
                <w:tcPr>
                  <w:tcW w:w="1381" w:type="pct"/>
                  <w:vMerge w:val="continue"/>
                  <w:tcBorders>
                    <w:tl2br w:val="nil"/>
                    <w:tr2bl w:val="nil"/>
                  </w:tcBorders>
                  <w:vAlign w:val="center"/>
                </w:tcPr>
                <w:p w14:paraId="08ADFC19">
                  <w:pPr>
                    <w:jc w:val="center"/>
                    <w:rPr>
                      <w:color w:val="auto"/>
                    </w:rPr>
                  </w:pPr>
                </w:p>
              </w:tc>
              <w:tc>
                <w:tcPr>
                  <w:tcW w:w="636" w:type="pct"/>
                  <w:tcBorders>
                    <w:tl2br w:val="nil"/>
                    <w:tr2bl w:val="nil"/>
                  </w:tcBorders>
                  <w:vAlign w:val="center"/>
                </w:tcPr>
                <w:p w14:paraId="329E7850">
                  <w:pPr>
                    <w:jc w:val="center"/>
                    <w:rPr>
                      <w:rFonts w:hint="default" w:ascii="Times New Roman" w:hAnsi="Times New Roman" w:eastAsia="宋体" w:cs="Times New Roman"/>
                      <w:b/>
                      <w:color w:val="auto"/>
                      <w:sz w:val="21"/>
                      <w:szCs w:val="21"/>
                      <w:highlight w:val="none"/>
                      <w:shd w:val="clear" w:color="auto" w:fill="auto"/>
                      <w:lang w:val="en-US"/>
                    </w:rPr>
                  </w:pPr>
                  <w:r>
                    <w:rPr>
                      <w:rFonts w:hint="eastAsia" w:ascii="Times New Roman" w:hAnsi="Times New Roman" w:eastAsia="宋体" w:cs="Times New Roman"/>
                      <w:b/>
                      <w:color w:val="auto"/>
                      <w:sz w:val="21"/>
                      <w:szCs w:val="21"/>
                      <w:highlight w:val="none"/>
                      <w:shd w:val="clear" w:color="auto" w:fill="auto"/>
                      <w:lang w:val="en-US" w:eastAsia="zh-CN"/>
                    </w:rPr>
                    <w:t>搬迁前</w:t>
                  </w:r>
                </w:p>
              </w:tc>
              <w:tc>
                <w:tcPr>
                  <w:tcW w:w="623" w:type="pct"/>
                  <w:tcBorders>
                    <w:tl2br w:val="nil"/>
                    <w:tr2bl w:val="nil"/>
                  </w:tcBorders>
                  <w:vAlign w:val="center"/>
                </w:tcPr>
                <w:p w14:paraId="2C735D86">
                  <w:pPr>
                    <w:jc w:val="center"/>
                    <w:rPr>
                      <w:rFonts w:hint="default" w:ascii="Times New Roman" w:hAnsi="Times New Roman" w:eastAsia="宋体" w:cs="Times New Roman"/>
                      <w:b/>
                      <w:color w:val="auto"/>
                      <w:sz w:val="21"/>
                      <w:szCs w:val="21"/>
                      <w:highlight w:val="none"/>
                      <w:shd w:val="clear" w:color="auto" w:fill="auto"/>
                      <w:lang w:val="en-US"/>
                    </w:rPr>
                  </w:pPr>
                  <w:r>
                    <w:rPr>
                      <w:rFonts w:hint="eastAsia" w:ascii="Times New Roman" w:hAnsi="Times New Roman" w:eastAsia="宋体" w:cs="Times New Roman"/>
                      <w:b/>
                      <w:color w:val="auto"/>
                      <w:sz w:val="21"/>
                      <w:szCs w:val="21"/>
                      <w:highlight w:val="none"/>
                      <w:shd w:val="clear" w:color="auto" w:fill="auto"/>
                      <w:lang w:val="en-US" w:eastAsia="zh-CN"/>
                    </w:rPr>
                    <w:t>搬迁后</w:t>
                  </w:r>
                </w:p>
              </w:tc>
              <w:tc>
                <w:tcPr>
                  <w:tcW w:w="556" w:type="pct"/>
                  <w:tcBorders>
                    <w:tl2br w:val="nil"/>
                    <w:tr2bl w:val="nil"/>
                  </w:tcBorders>
                  <w:vAlign w:val="center"/>
                </w:tcPr>
                <w:p w14:paraId="39E9522D">
                  <w:pPr>
                    <w:jc w:val="center"/>
                    <w:rPr>
                      <w:rFonts w:hint="default" w:ascii="Times New Roman" w:hAnsi="Times New Roman" w:eastAsia="宋体" w:cs="Times New Roman"/>
                      <w:b/>
                      <w:color w:val="auto"/>
                      <w:sz w:val="21"/>
                      <w:szCs w:val="21"/>
                      <w:highlight w:val="none"/>
                      <w:shd w:val="clear" w:color="auto" w:fill="auto"/>
                      <w:lang w:val="en-US"/>
                    </w:rPr>
                  </w:pPr>
                  <w:r>
                    <w:rPr>
                      <w:rFonts w:hint="eastAsia" w:ascii="Times New Roman" w:hAnsi="Times New Roman" w:eastAsia="宋体" w:cs="Times New Roman"/>
                      <w:b/>
                      <w:color w:val="auto"/>
                      <w:sz w:val="21"/>
                      <w:szCs w:val="21"/>
                      <w:highlight w:val="none"/>
                      <w:shd w:val="clear" w:color="auto" w:fill="auto"/>
                      <w:lang w:val="en-US" w:eastAsia="zh-CN"/>
                    </w:rPr>
                    <w:t>变化量</w:t>
                  </w:r>
                </w:p>
              </w:tc>
              <w:tc>
                <w:tcPr>
                  <w:tcW w:w="591" w:type="pct"/>
                  <w:vMerge w:val="continue"/>
                  <w:tcBorders>
                    <w:tl2br w:val="nil"/>
                    <w:tr2bl w:val="nil"/>
                  </w:tcBorders>
                  <w:vAlign w:val="center"/>
                </w:tcPr>
                <w:p w14:paraId="1D2FC95C">
                  <w:pPr>
                    <w:jc w:val="center"/>
                    <w:rPr>
                      <w:rFonts w:hint="default" w:ascii="Times New Roman" w:hAnsi="Times New Roman" w:eastAsia="宋体" w:cs="Times New Roman"/>
                      <w:b/>
                      <w:color w:val="auto"/>
                      <w:sz w:val="21"/>
                      <w:szCs w:val="21"/>
                      <w:highlight w:val="none"/>
                      <w:shd w:val="clear" w:color="auto" w:fill="auto"/>
                      <w:lang w:val="en-US"/>
                    </w:rPr>
                  </w:pPr>
                </w:p>
              </w:tc>
            </w:tr>
            <w:tr w14:paraId="51872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7B981443">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default" w:ascii="Times New Roman" w:hAnsi="Times New Roman" w:eastAsia="宋体" w:cs="Times New Roman"/>
                      <w:i w:val="0"/>
                      <w:iCs w:val="0"/>
                      <w:color w:val="auto"/>
                      <w:kern w:val="0"/>
                      <w:sz w:val="20"/>
                      <w:szCs w:val="20"/>
                      <w:highlight w:val="none"/>
                      <w:u w:val="none"/>
                      <w:shd w:val="clear" w:color="auto" w:fill="auto"/>
                      <w:lang w:val="en-US" w:eastAsia="zh-CN" w:bidi="ar"/>
                    </w:rPr>
                    <w:t>1</w:t>
                  </w:r>
                </w:p>
              </w:tc>
              <w:tc>
                <w:tcPr>
                  <w:tcW w:w="264" w:type="pct"/>
                  <w:vMerge w:val="restart"/>
                  <w:tcBorders>
                    <w:tl2br w:val="nil"/>
                    <w:tr2bl w:val="nil"/>
                  </w:tcBorders>
                  <w:vAlign w:val="center"/>
                </w:tcPr>
                <w:p w14:paraId="4D5111DB">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原料</w:t>
                  </w:r>
                </w:p>
              </w:tc>
              <w:tc>
                <w:tcPr>
                  <w:tcW w:w="714" w:type="pct"/>
                  <w:tcBorders>
                    <w:tl2br w:val="nil"/>
                    <w:tr2bl w:val="nil"/>
                  </w:tcBorders>
                  <w:vAlign w:val="center"/>
                </w:tcPr>
                <w:p w14:paraId="1C7749DD">
                  <w:pPr>
                    <w:pStyle w:val="8"/>
                    <w:bidi w:val="0"/>
                    <w:ind w:left="0" w:lef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LDPE粒子</w:t>
                  </w:r>
                </w:p>
              </w:tc>
              <w:tc>
                <w:tcPr>
                  <w:tcW w:w="1381" w:type="pct"/>
                  <w:tcBorders>
                    <w:tl2br w:val="nil"/>
                    <w:tr2bl w:val="nil"/>
                  </w:tcBorders>
                  <w:vAlign w:val="center"/>
                </w:tcPr>
                <w:p w14:paraId="391966CF">
                  <w:pPr>
                    <w:pStyle w:val="8"/>
                    <w:bidi w:val="0"/>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Φ2-</w:t>
                  </w:r>
                  <w:r>
                    <w:rPr>
                      <w:rFonts w:hint="eastAsia" w:ascii="Times New Roman" w:hAnsi="Times New Roman" w:eastAsia="宋体" w:cs="Times New Roman"/>
                      <w:color w:val="auto"/>
                      <w:sz w:val="21"/>
                      <w:szCs w:val="21"/>
                      <w:highlight w:val="none"/>
                      <w:shd w:val="clear" w:color="auto" w:fill="auto"/>
                      <w:lang w:val="en-US" w:eastAsia="zh-CN"/>
                    </w:rPr>
                    <w:t>5</w:t>
                  </w:r>
                  <w:r>
                    <w:rPr>
                      <w:rFonts w:hint="default" w:ascii="Times New Roman" w:hAnsi="Times New Roman" w:eastAsia="宋体" w:cs="Times New Roman"/>
                      <w:color w:val="auto"/>
                      <w:sz w:val="21"/>
                      <w:szCs w:val="21"/>
                      <w:highlight w:val="none"/>
                      <w:shd w:val="clear" w:color="auto" w:fill="auto"/>
                      <w:lang w:val="en-US" w:eastAsia="zh-CN"/>
                    </w:rPr>
                    <w:t>mm</w:t>
                  </w:r>
                  <w:r>
                    <w:rPr>
                      <w:rFonts w:hint="eastAsia" w:ascii="Times New Roman" w:hAnsi="Times New Roman" w:eastAsia="宋体" w:cs="Times New Roman"/>
                      <w:color w:val="auto"/>
                      <w:sz w:val="21"/>
                      <w:szCs w:val="21"/>
                      <w:highlight w:val="none"/>
                      <w:shd w:val="clear" w:color="auto" w:fill="auto"/>
                      <w:lang w:val="en-US" w:eastAsia="zh-CN"/>
                    </w:rPr>
                    <w:t xml:space="preserve"> </w:t>
                  </w:r>
                  <w:r>
                    <w:rPr>
                      <w:rFonts w:hint="default" w:ascii="Times New Roman" w:hAnsi="Times New Roman" w:eastAsia="宋体" w:cs="Times New Roman"/>
                      <w:color w:val="auto"/>
                      <w:sz w:val="21"/>
                      <w:szCs w:val="21"/>
                      <w:highlight w:val="none"/>
                      <w:shd w:val="clear" w:color="auto" w:fill="auto"/>
                      <w:lang w:val="en-US" w:eastAsia="zh-CN"/>
                    </w:rPr>
                    <w:t>LDPE7042</w:t>
                  </w:r>
                  <w:r>
                    <w:rPr>
                      <w:rFonts w:hint="eastAsia" w:ascii="Times New Roman" w:hAnsi="Times New Roman" w:eastAsia="宋体" w:cs="Times New Roman"/>
                      <w:color w:val="auto"/>
                      <w:sz w:val="21"/>
                      <w:szCs w:val="21"/>
                      <w:highlight w:val="none"/>
                      <w:shd w:val="clear" w:color="auto" w:fill="auto"/>
                      <w:lang w:val="en-US" w:eastAsia="zh-CN"/>
                    </w:rPr>
                    <w:t>粒子，</w:t>
                  </w:r>
                  <w:r>
                    <w:rPr>
                      <w:rFonts w:hint="default" w:ascii="Times New Roman" w:hAnsi="Times New Roman" w:eastAsia="宋体" w:cs="Times New Roman"/>
                      <w:bCs/>
                      <w:color w:val="auto"/>
                      <w:szCs w:val="21"/>
                      <w:shd w:val="clear" w:color="auto" w:fill="auto"/>
                      <w:lang w:val="en-US" w:eastAsia="zh-CN"/>
                    </w:rPr>
                    <w:t>2</w:t>
                  </w:r>
                  <w:r>
                    <w:rPr>
                      <w:rFonts w:hint="eastAsia" w:ascii="Times New Roman" w:hAnsi="Times New Roman" w:eastAsia="宋体" w:cs="Times New Roman"/>
                      <w:bCs/>
                      <w:color w:val="auto"/>
                      <w:szCs w:val="21"/>
                      <w:shd w:val="clear" w:color="auto" w:fill="auto"/>
                      <w:lang w:val="en-US" w:eastAsia="zh-CN"/>
                    </w:rPr>
                    <w:t>5</w:t>
                  </w:r>
                  <w:r>
                    <w:rPr>
                      <w:rFonts w:hint="default" w:ascii="Times New Roman" w:hAnsi="Times New Roman" w:eastAsia="宋体" w:cs="Times New Roman"/>
                      <w:bCs/>
                      <w:color w:val="auto"/>
                      <w:szCs w:val="21"/>
                      <w:shd w:val="clear" w:color="auto" w:fill="auto"/>
                      <w:lang w:val="en-US" w:eastAsia="zh-CN"/>
                    </w:rPr>
                    <w:t>kg/</w:t>
                  </w:r>
                  <w:r>
                    <w:rPr>
                      <w:rFonts w:hint="eastAsia" w:ascii="Times New Roman" w:hAnsi="Times New Roman" w:eastAsia="宋体" w:cs="Times New Roman"/>
                      <w:bCs/>
                      <w:color w:val="auto"/>
                      <w:szCs w:val="21"/>
                      <w:shd w:val="clear" w:color="auto" w:fill="auto"/>
                      <w:lang w:val="en-US" w:eastAsia="zh-CN"/>
                    </w:rPr>
                    <w:t>袋</w:t>
                  </w:r>
                </w:p>
              </w:tc>
              <w:tc>
                <w:tcPr>
                  <w:tcW w:w="636" w:type="pct"/>
                  <w:tcBorders>
                    <w:tl2br w:val="nil"/>
                    <w:tr2bl w:val="nil"/>
                  </w:tcBorders>
                  <w:vAlign w:val="center"/>
                </w:tcPr>
                <w:p w14:paraId="3939848A">
                  <w:pPr>
                    <w:pStyle w:val="8"/>
                    <w:bidi w:val="0"/>
                    <w:ind w:left="0" w:lef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w:t>
                  </w:r>
                </w:p>
              </w:tc>
              <w:tc>
                <w:tcPr>
                  <w:tcW w:w="623" w:type="pct"/>
                  <w:tcBorders>
                    <w:tl2br w:val="nil"/>
                    <w:tr2bl w:val="nil"/>
                  </w:tcBorders>
                  <w:shd w:val="clear" w:color="auto" w:fill="auto"/>
                  <w:vAlign w:val="center"/>
                </w:tcPr>
                <w:p w14:paraId="16B769DF">
                  <w:pPr>
                    <w:pStyle w:val="8"/>
                    <w:bidi w:val="0"/>
                    <w:ind w:left="0" w:lef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1000</w:t>
                  </w:r>
                </w:p>
              </w:tc>
              <w:tc>
                <w:tcPr>
                  <w:tcW w:w="556" w:type="pct"/>
                  <w:tcBorders>
                    <w:tl2br w:val="nil"/>
                    <w:tr2bl w:val="nil"/>
                  </w:tcBorders>
                  <w:vAlign w:val="center"/>
                </w:tcPr>
                <w:p w14:paraId="40B2C2FD">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591" w:type="pct"/>
                  <w:tcBorders>
                    <w:tl2br w:val="nil"/>
                    <w:tr2bl w:val="nil"/>
                  </w:tcBorders>
                  <w:vAlign w:val="center"/>
                </w:tcPr>
                <w:p w14:paraId="52D992E3">
                  <w:pPr>
                    <w:pStyle w:val="8"/>
                    <w:bidi w:val="0"/>
                    <w:ind w:left="0" w:lef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lang w:val="en-US" w:eastAsia="zh-CN"/>
                    </w:rPr>
                    <w:t>300t</w:t>
                  </w:r>
                </w:p>
              </w:tc>
            </w:tr>
            <w:tr w14:paraId="01EE3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7DC239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0"/>
                      <w:szCs w:val="20"/>
                      <w:highlight w:val="none"/>
                      <w:u w:val="none"/>
                      <w:shd w:val="clear" w:color="auto" w:fill="auto"/>
                      <w:lang w:val="en-US" w:eastAsia="zh-CN" w:bidi="ar"/>
                    </w:rPr>
                    <w:t>2</w:t>
                  </w:r>
                </w:p>
              </w:tc>
              <w:tc>
                <w:tcPr>
                  <w:tcW w:w="264" w:type="pct"/>
                  <w:vMerge w:val="continue"/>
                  <w:tcBorders>
                    <w:tl2br w:val="nil"/>
                    <w:tr2bl w:val="nil"/>
                  </w:tcBorders>
                  <w:vAlign w:val="center"/>
                </w:tcPr>
                <w:p w14:paraId="14CAA6BD">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vAlign w:val="center"/>
                </w:tcPr>
                <w:p w14:paraId="34BFE21F">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色母粒</w:t>
                  </w:r>
                </w:p>
              </w:tc>
              <w:tc>
                <w:tcPr>
                  <w:tcW w:w="1381" w:type="pct"/>
                  <w:tcBorders>
                    <w:tl2br w:val="nil"/>
                    <w:tr2bl w:val="nil"/>
                  </w:tcBorders>
                  <w:vAlign w:val="center"/>
                </w:tcPr>
                <w:p w14:paraId="7CE0556F">
                  <w:pPr>
                    <w:pStyle w:val="8"/>
                    <w:bidi w:val="0"/>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Φ2-4mm</w:t>
                  </w:r>
                  <w:r>
                    <w:rPr>
                      <w:rFonts w:hint="eastAsia" w:ascii="Times New Roman" w:hAnsi="Times New Roman" w:eastAsia="宋体" w:cs="Times New Roman"/>
                      <w:color w:val="auto"/>
                      <w:sz w:val="21"/>
                      <w:szCs w:val="21"/>
                      <w:highlight w:val="none"/>
                      <w:shd w:val="clear" w:color="auto" w:fill="auto"/>
                      <w:lang w:val="en-US" w:eastAsia="zh-CN"/>
                    </w:rPr>
                    <w:t>白色</w:t>
                  </w:r>
                  <w:r>
                    <w:rPr>
                      <w:rFonts w:hint="default" w:ascii="Times New Roman" w:hAnsi="Times New Roman" w:eastAsia="宋体" w:cs="Times New Roman"/>
                      <w:color w:val="auto"/>
                      <w:sz w:val="21"/>
                      <w:szCs w:val="21"/>
                      <w:highlight w:val="none"/>
                      <w:shd w:val="clear" w:color="auto" w:fill="auto"/>
                      <w:lang w:val="en-US" w:eastAsia="zh-CN"/>
                    </w:rPr>
                    <w:t>粒子</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bCs/>
                      <w:color w:val="auto"/>
                      <w:szCs w:val="21"/>
                      <w:shd w:val="clear" w:color="auto" w:fill="auto"/>
                      <w:lang w:val="en-US" w:eastAsia="zh-CN"/>
                    </w:rPr>
                    <w:t>2</w:t>
                  </w:r>
                  <w:r>
                    <w:rPr>
                      <w:rFonts w:hint="eastAsia" w:ascii="Times New Roman" w:hAnsi="Times New Roman" w:eastAsia="宋体" w:cs="Times New Roman"/>
                      <w:bCs/>
                      <w:color w:val="auto"/>
                      <w:szCs w:val="21"/>
                      <w:shd w:val="clear" w:color="auto" w:fill="auto"/>
                      <w:lang w:val="en-US" w:eastAsia="zh-CN"/>
                    </w:rPr>
                    <w:t>5</w:t>
                  </w:r>
                  <w:r>
                    <w:rPr>
                      <w:rFonts w:hint="default" w:ascii="Times New Roman" w:hAnsi="Times New Roman" w:eastAsia="宋体" w:cs="Times New Roman"/>
                      <w:bCs/>
                      <w:color w:val="auto"/>
                      <w:szCs w:val="21"/>
                      <w:shd w:val="clear" w:color="auto" w:fill="auto"/>
                      <w:lang w:val="en-US" w:eastAsia="zh-CN"/>
                    </w:rPr>
                    <w:t>kg/</w:t>
                  </w:r>
                  <w:r>
                    <w:rPr>
                      <w:rFonts w:hint="eastAsia" w:ascii="Times New Roman" w:hAnsi="Times New Roman" w:eastAsia="宋体" w:cs="Times New Roman"/>
                      <w:bCs/>
                      <w:color w:val="auto"/>
                      <w:szCs w:val="21"/>
                      <w:shd w:val="clear" w:color="auto" w:fill="auto"/>
                      <w:lang w:val="en-US" w:eastAsia="zh-CN"/>
                    </w:rPr>
                    <w:t>袋</w:t>
                  </w:r>
                </w:p>
              </w:tc>
              <w:tc>
                <w:tcPr>
                  <w:tcW w:w="636" w:type="pct"/>
                  <w:tcBorders>
                    <w:tl2br w:val="nil"/>
                    <w:tr2bl w:val="nil"/>
                  </w:tcBorders>
                  <w:vAlign w:val="center"/>
                </w:tcPr>
                <w:p w14:paraId="58698D7C">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623" w:type="pct"/>
                  <w:tcBorders>
                    <w:tl2br w:val="nil"/>
                    <w:tr2bl w:val="nil"/>
                  </w:tcBorders>
                  <w:shd w:val="clear" w:color="auto" w:fill="auto"/>
                  <w:vAlign w:val="center"/>
                </w:tcPr>
                <w:p w14:paraId="6AED274B">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0.5</w:t>
                  </w:r>
                </w:p>
              </w:tc>
              <w:tc>
                <w:tcPr>
                  <w:tcW w:w="556" w:type="pct"/>
                  <w:tcBorders>
                    <w:tl2br w:val="nil"/>
                    <w:tr2bl w:val="nil"/>
                  </w:tcBorders>
                  <w:vAlign w:val="center"/>
                </w:tcPr>
                <w:p w14:paraId="5EFD71F0">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591" w:type="pct"/>
                  <w:tcBorders>
                    <w:tl2br w:val="nil"/>
                    <w:tr2bl w:val="nil"/>
                  </w:tcBorders>
                  <w:vAlign w:val="center"/>
                </w:tcPr>
                <w:p w14:paraId="50333054">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0.2t</w:t>
                  </w:r>
                </w:p>
              </w:tc>
            </w:tr>
            <w:tr w14:paraId="6CA1C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3D3B6541">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default" w:ascii="Times New Roman" w:hAnsi="Times New Roman" w:eastAsia="宋体" w:cs="Times New Roman"/>
                      <w:i w:val="0"/>
                      <w:iCs w:val="0"/>
                      <w:color w:val="auto"/>
                      <w:kern w:val="0"/>
                      <w:sz w:val="20"/>
                      <w:szCs w:val="20"/>
                      <w:highlight w:val="none"/>
                      <w:u w:val="none"/>
                      <w:shd w:val="clear" w:color="auto" w:fill="auto"/>
                      <w:lang w:val="en-US" w:eastAsia="zh-CN" w:bidi="ar"/>
                    </w:rPr>
                    <w:t>3</w:t>
                  </w:r>
                </w:p>
              </w:tc>
              <w:tc>
                <w:tcPr>
                  <w:tcW w:w="264" w:type="pct"/>
                  <w:vMerge w:val="continue"/>
                  <w:tcBorders>
                    <w:tl2br w:val="nil"/>
                    <w:tr2bl w:val="nil"/>
                  </w:tcBorders>
                  <w:vAlign w:val="center"/>
                </w:tcPr>
                <w:p w14:paraId="7C8567E5">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vAlign w:val="center"/>
                </w:tcPr>
                <w:p w14:paraId="2F68A2B2">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PET外购膜</w:t>
                  </w:r>
                </w:p>
              </w:tc>
              <w:tc>
                <w:tcPr>
                  <w:tcW w:w="1381" w:type="pct"/>
                  <w:tcBorders>
                    <w:tl2br w:val="nil"/>
                    <w:tr2bl w:val="nil"/>
                  </w:tcBorders>
                  <w:vAlign w:val="center"/>
                </w:tcPr>
                <w:p w14:paraId="7652A26B">
                  <w:pPr>
                    <w:pStyle w:val="8"/>
                    <w:bidi w:val="0"/>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PET，1000*0.24m/卷</w:t>
                  </w:r>
                </w:p>
              </w:tc>
              <w:tc>
                <w:tcPr>
                  <w:tcW w:w="636" w:type="pct"/>
                  <w:tcBorders>
                    <w:tl2br w:val="nil"/>
                    <w:tr2bl w:val="nil"/>
                  </w:tcBorders>
                  <w:vAlign w:val="center"/>
                </w:tcPr>
                <w:p w14:paraId="3F7210BF">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623" w:type="pct"/>
                  <w:tcBorders>
                    <w:tl2br w:val="nil"/>
                    <w:tr2bl w:val="nil"/>
                  </w:tcBorders>
                  <w:shd w:val="clear" w:color="auto" w:fill="auto"/>
                  <w:vAlign w:val="center"/>
                </w:tcPr>
                <w:p w14:paraId="296A5CD7">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500</w:t>
                  </w:r>
                </w:p>
              </w:tc>
              <w:tc>
                <w:tcPr>
                  <w:tcW w:w="556" w:type="pct"/>
                  <w:tcBorders>
                    <w:tl2br w:val="nil"/>
                    <w:tr2bl w:val="nil"/>
                  </w:tcBorders>
                  <w:vAlign w:val="center"/>
                </w:tcPr>
                <w:p w14:paraId="51E6AB0B">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591" w:type="pct"/>
                  <w:tcBorders>
                    <w:tl2br w:val="nil"/>
                    <w:tr2bl w:val="nil"/>
                  </w:tcBorders>
                  <w:vAlign w:val="center"/>
                </w:tcPr>
                <w:p w14:paraId="2F1E8645">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5t</w:t>
                  </w:r>
                </w:p>
              </w:tc>
            </w:tr>
            <w:tr w14:paraId="188BD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3EBD365F">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default" w:ascii="Times New Roman" w:hAnsi="Times New Roman" w:eastAsia="宋体" w:cs="Times New Roman"/>
                      <w:i w:val="0"/>
                      <w:iCs w:val="0"/>
                      <w:color w:val="auto"/>
                      <w:kern w:val="0"/>
                      <w:sz w:val="20"/>
                      <w:szCs w:val="20"/>
                      <w:highlight w:val="none"/>
                      <w:u w:val="none"/>
                      <w:shd w:val="clear" w:color="auto" w:fill="auto"/>
                      <w:lang w:val="en-US" w:eastAsia="zh-CN" w:bidi="ar"/>
                    </w:rPr>
                    <w:t>4</w:t>
                  </w:r>
                </w:p>
              </w:tc>
              <w:tc>
                <w:tcPr>
                  <w:tcW w:w="264" w:type="pct"/>
                  <w:vMerge w:val="continue"/>
                  <w:tcBorders>
                    <w:tl2br w:val="nil"/>
                    <w:tr2bl w:val="nil"/>
                  </w:tcBorders>
                  <w:vAlign w:val="center"/>
                </w:tcPr>
                <w:p w14:paraId="72D83118">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vAlign w:val="center"/>
                </w:tcPr>
                <w:p w14:paraId="64122EB2">
                  <w:pPr>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BOPP外购膜</w:t>
                  </w:r>
                </w:p>
              </w:tc>
              <w:tc>
                <w:tcPr>
                  <w:tcW w:w="1381" w:type="pct"/>
                  <w:tcBorders>
                    <w:tl2br w:val="nil"/>
                    <w:tr2bl w:val="nil"/>
                  </w:tcBorders>
                  <w:vAlign w:val="center"/>
                </w:tcPr>
                <w:p w14:paraId="65F01A85">
                  <w:pPr>
                    <w:pStyle w:val="8"/>
                    <w:bidi w:val="0"/>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BOPP，1000*0.24m/卷</w:t>
                  </w:r>
                </w:p>
              </w:tc>
              <w:tc>
                <w:tcPr>
                  <w:tcW w:w="636" w:type="pct"/>
                  <w:tcBorders>
                    <w:tl2br w:val="nil"/>
                    <w:tr2bl w:val="nil"/>
                  </w:tcBorders>
                  <w:vAlign w:val="center"/>
                </w:tcPr>
                <w:p w14:paraId="156BB209">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3000</w:t>
                  </w:r>
                </w:p>
              </w:tc>
              <w:tc>
                <w:tcPr>
                  <w:tcW w:w="623" w:type="pct"/>
                  <w:tcBorders>
                    <w:tl2br w:val="nil"/>
                    <w:tr2bl w:val="nil"/>
                  </w:tcBorders>
                  <w:shd w:val="clear" w:color="auto" w:fill="auto"/>
                  <w:vAlign w:val="center"/>
                </w:tcPr>
                <w:p w14:paraId="16AFD752">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500</w:t>
                  </w:r>
                </w:p>
              </w:tc>
              <w:tc>
                <w:tcPr>
                  <w:tcW w:w="556" w:type="pct"/>
                  <w:tcBorders>
                    <w:tl2br w:val="nil"/>
                    <w:tr2bl w:val="nil"/>
                  </w:tcBorders>
                  <w:vAlign w:val="center"/>
                </w:tcPr>
                <w:p w14:paraId="7A2BE15A">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-2500</w:t>
                  </w:r>
                </w:p>
              </w:tc>
              <w:tc>
                <w:tcPr>
                  <w:tcW w:w="591" w:type="pct"/>
                  <w:tcBorders>
                    <w:tl2br w:val="nil"/>
                    <w:tr2bl w:val="nil"/>
                  </w:tcBorders>
                  <w:vAlign w:val="center"/>
                </w:tcPr>
                <w:p w14:paraId="03E37FAD">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5t</w:t>
                  </w:r>
                </w:p>
              </w:tc>
            </w:tr>
            <w:tr w14:paraId="343FD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75FBC8EA">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default" w:ascii="Times New Roman" w:hAnsi="Times New Roman" w:eastAsia="宋体" w:cs="Times New Roman"/>
                      <w:i w:val="0"/>
                      <w:iCs w:val="0"/>
                      <w:color w:val="auto"/>
                      <w:kern w:val="0"/>
                      <w:sz w:val="20"/>
                      <w:szCs w:val="20"/>
                      <w:highlight w:val="none"/>
                      <w:u w:val="none"/>
                      <w:shd w:val="clear" w:color="auto" w:fill="auto"/>
                      <w:lang w:val="en-US" w:eastAsia="zh-CN" w:bidi="ar"/>
                    </w:rPr>
                    <w:t>5</w:t>
                  </w:r>
                </w:p>
              </w:tc>
              <w:tc>
                <w:tcPr>
                  <w:tcW w:w="264" w:type="pct"/>
                  <w:vMerge w:val="restart"/>
                  <w:tcBorders>
                    <w:tl2br w:val="nil"/>
                    <w:tr2bl w:val="nil"/>
                  </w:tcBorders>
                  <w:vAlign w:val="center"/>
                </w:tcPr>
                <w:p w14:paraId="1C57CBDC">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辅料</w:t>
                  </w:r>
                </w:p>
              </w:tc>
              <w:tc>
                <w:tcPr>
                  <w:tcW w:w="714" w:type="pct"/>
                  <w:tcBorders>
                    <w:tl2br w:val="nil"/>
                    <w:tr2bl w:val="nil"/>
                  </w:tcBorders>
                  <w:vAlign w:val="center"/>
                </w:tcPr>
                <w:p w14:paraId="5707FDA5">
                  <w:pPr>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胶水</w:t>
                  </w:r>
                </w:p>
              </w:tc>
              <w:tc>
                <w:tcPr>
                  <w:tcW w:w="1381" w:type="pct"/>
                  <w:tcBorders>
                    <w:tl2br w:val="nil"/>
                    <w:tr2bl w:val="nil"/>
                  </w:tcBorders>
                  <w:vAlign w:val="center"/>
                </w:tcPr>
                <w:p w14:paraId="323BB637">
                  <w:pPr>
                    <w:pStyle w:val="8"/>
                    <w:bidi w:val="0"/>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丙烯酸压敏胶</w:t>
                  </w:r>
                </w:p>
              </w:tc>
              <w:tc>
                <w:tcPr>
                  <w:tcW w:w="636" w:type="pct"/>
                  <w:tcBorders>
                    <w:tl2br w:val="nil"/>
                    <w:tr2bl w:val="nil"/>
                  </w:tcBorders>
                  <w:vAlign w:val="center"/>
                </w:tcPr>
                <w:p w14:paraId="1A693EB3">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1500</w:t>
                  </w:r>
                </w:p>
              </w:tc>
              <w:tc>
                <w:tcPr>
                  <w:tcW w:w="623" w:type="pct"/>
                  <w:tcBorders>
                    <w:tl2br w:val="nil"/>
                    <w:tr2bl w:val="nil"/>
                  </w:tcBorders>
                  <w:shd w:val="clear" w:color="auto" w:fill="auto"/>
                  <w:vAlign w:val="center"/>
                </w:tcPr>
                <w:p w14:paraId="25500F76">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556" w:type="pct"/>
                  <w:tcBorders>
                    <w:tl2br w:val="nil"/>
                    <w:tr2bl w:val="nil"/>
                  </w:tcBorders>
                  <w:vAlign w:val="center"/>
                </w:tcPr>
                <w:p w14:paraId="5EAB19C9">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-1500</w:t>
                  </w:r>
                </w:p>
              </w:tc>
              <w:tc>
                <w:tcPr>
                  <w:tcW w:w="591" w:type="pct"/>
                  <w:tcBorders>
                    <w:tl2br w:val="nil"/>
                    <w:tr2bl w:val="nil"/>
                  </w:tcBorders>
                  <w:vAlign w:val="center"/>
                </w:tcPr>
                <w:p w14:paraId="5518E66C">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214DE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46CD05B5">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eastAsia" w:ascii="Times New Roman" w:hAnsi="Times New Roman" w:eastAsia="宋体" w:cs="Times New Roman"/>
                      <w:color w:val="auto"/>
                      <w:kern w:val="2"/>
                      <w:sz w:val="20"/>
                      <w:szCs w:val="20"/>
                      <w:highlight w:val="none"/>
                      <w:shd w:val="clear" w:color="auto" w:fill="auto"/>
                      <w:lang w:val="en-US" w:eastAsia="zh-CN" w:bidi="ar-SA"/>
                    </w:rPr>
                    <w:t>6</w:t>
                  </w:r>
                </w:p>
              </w:tc>
              <w:tc>
                <w:tcPr>
                  <w:tcW w:w="264" w:type="pct"/>
                  <w:vMerge w:val="continue"/>
                  <w:tcBorders>
                    <w:tl2br w:val="nil"/>
                    <w:tr2bl w:val="nil"/>
                  </w:tcBorders>
                  <w:vAlign w:val="center"/>
                </w:tcPr>
                <w:p w14:paraId="6121F9F5">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vAlign w:val="center"/>
                </w:tcPr>
                <w:p w14:paraId="55FA7C01">
                  <w:pPr>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颜料</w:t>
                  </w:r>
                </w:p>
              </w:tc>
              <w:tc>
                <w:tcPr>
                  <w:tcW w:w="1381" w:type="pct"/>
                  <w:tcBorders>
                    <w:tl2br w:val="nil"/>
                    <w:tr2bl w:val="nil"/>
                  </w:tcBorders>
                  <w:vAlign w:val="center"/>
                </w:tcPr>
                <w:p w14:paraId="50232F0E">
                  <w:pPr>
                    <w:pStyle w:val="8"/>
                    <w:bidi w:val="0"/>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636" w:type="pct"/>
                  <w:tcBorders>
                    <w:tl2br w:val="nil"/>
                    <w:tr2bl w:val="nil"/>
                  </w:tcBorders>
                  <w:vAlign w:val="center"/>
                </w:tcPr>
                <w:p w14:paraId="0282CAD2">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8</w:t>
                  </w:r>
                </w:p>
              </w:tc>
              <w:tc>
                <w:tcPr>
                  <w:tcW w:w="623" w:type="pct"/>
                  <w:tcBorders>
                    <w:tl2br w:val="nil"/>
                    <w:tr2bl w:val="nil"/>
                  </w:tcBorders>
                  <w:shd w:val="clear" w:color="auto" w:fill="auto"/>
                  <w:vAlign w:val="center"/>
                </w:tcPr>
                <w:p w14:paraId="26722717">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556" w:type="pct"/>
                  <w:tcBorders>
                    <w:tl2br w:val="nil"/>
                    <w:tr2bl w:val="nil"/>
                  </w:tcBorders>
                  <w:vAlign w:val="center"/>
                </w:tcPr>
                <w:p w14:paraId="56662E8D">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-8</w:t>
                  </w:r>
                </w:p>
              </w:tc>
              <w:tc>
                <w:tcPr>
                  <w:tcW w:w="591" w:type="pct"/>
                  <w:tcBorders>
                    <w:tl2br w:val="nil"/>
                    <w:tr2bl w:val="nil"/>
                  </w:tcBorders>
                  <w:vAlign w:val="center"/>
                </w:tcPr>
                <w:p w14:paraId="0C19D9D8">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7B18A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52493DCE">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default" w:ascii="Times New Roman" w:hAnsi="Times New Roman" w:eastAsia="宋体" w:cs="Times New Roman"/>
                      <w:i w:val="0"/>
                      <w:iCs w:val="0"/>
                      <w:color w:val="auto"/>
                      <w:kern w:val="0"/>
                      <w:sz w:val="20"/>
                      <w:szCs w:val="20"/>
                      <w:highlight w:val="none"/>
                      <w:u w:val="none"/>
                      <w:shd w:val="clear" w:color="auto" w:fill="auto"/>
                      <w:lang w:val="en-US" w:eastAsia="zh-CN" w:bidi="ar"/>
                    </w:rPr>
                    <w:t>7</w:t>
                  </w:r>
                </w:p>
              </w:tc>
              <w:tc>
                <w:tcPr>
                  <w:tcW w:w="264" w:type="pct"/>
                  <w:vMerge w:val="continue"/>
                  <w:tcBorders>
                    <w:tl2br w:val="nil"/>
                    <w:tr2bl w:val="nil"/>
                  </w:tcBorders>
                  <w:vAlign w:val="center"/>
                </w:tcPr>
                <w:p w14:paraId="03E601FA">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vAlign w:val="center"/>
                </w:tcPr>
                <w:p w14:paraId="7FB9650F">
                  <w:pPr>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丙烯酸树脂</w:t>
                  </w:r>
                </w:p>
              </w:tc>
              <w:tc>
                <w:tcPr>
                  <w:tcW w:w="1381" w:type="pct"/>
                  <w:tcBorders>
                    <w:tl2br w:val="nil"/>
                    <w:tr2bl w:val="nil"/>
                  </w:tcBorders>
                  <w:vAlign w:val="center"/>
                </w:tcPr>
                <w:p w14:paraId="2DE6DAEA">
                  <w:pPr>
                    <w:pStyle w:val="8"/>
                    <w:bidi w:val="0"/>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636" w:type="pct"/>
                  <w:tcBorders>
                    <w:tl2br w:val="nil"/>
                    <w:tr2bl w:val="nil"/>
                  </w:tcBorders>
                  <w:vAlign w:val="center"/>
                </w:tcPr>
                <w:p w14:paraId="5AB5F5BD">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50</w:t>
                  </w:r>
                </w:p>
              </w:tc>
              <w:tc>
                <w:tcPr>
                  <w:tcW w:w="623" w:type="pct"/>
                  <w:tcBorders>
                    <w:tl2br w:val="nil"/>
                    <w:tr2bl w:val="nil"/>
                  </w:tcBorders>
                  <w:shd w:val="clear" w:color="auto" w:fill="auto"/>
                  <w:vAlign w:val="center"/>
                </w:tcPr>
                <w:p w14:paraId="64EA4626">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556" w:type="pct"/>
                  <w:tcBorders>
                    <w:tl2br w:val="nil"/>
                    <w:tr2bl w:val="nil"/>
                  </w:tcBorders>
                  <w:vAlign w:val="center"/>
                </w:tcPr>
                <w:p w14:paraId="7674DC00">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-50</w:t>
                  </w:r>
                </w:p>
              </w:tc>
              <w:tc>
                <w:tcPr>
                  <w:tcW w:w="591" w:type="pct"/>
                  <w:tcBorders>
                    <w:tl2br w:val="nil"/>
                    <w:tr2bl w:val="nil"/>
                  </w:tcBorders>
                  <w:vAlign w:val="center"/>
                </w:tcPr>
                <w:p w14:paraId="2462ED59">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16CF1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275B880E">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default" w:ascii="Times New Roman" w:hAnsi="Times New Roman" w:eastAsia="宋体" w:cs="Times New Roman"/>
                      <w:i w:val="0"/>
                      <w:iCs w:val="0"/>
                      <w:color w:val="auto"/>
                      <w:kern w:val="0"/>
                      <w:sz w:val="20"/>
                      <w:szCs w:val="20"/>
                      <w:highlight w:val="none"/>
                      <w:u w:val="none"/>
                      <w:shd w:val="clear" w:color="auto" w:fill="auto"/>
                      <w:lang w:val="en-US" w:eastAsia="zh-CN" w:bidi="ar"/>
                    </w:rPr>
                    <w:t>8</w:t>
                  </w:r>
                </w:p>
              </w:tc>
              <w:tc>
                <w:tcPr>
                  <w:tcW w:w="264" w:type="pct"/>
                  <w:vMerge w:val="continue"/>
                  <w:tcBorders>
                    <w:tl2br w:val="nil"/>
                    <w:tr2bl w:val="nil"/>
                  </w:tcBorders>
                  <w:vAlign w:val="center"/>
                </w:tcPr>
                <w:p w14:paraId="165B936C">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vAlign w:val="center"/>
                </w:tcPr>
                <w:p w14:paraId="20609AB6">
                  <w:pPr>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助剂</w:t>
                  </w:r>
                </w:p>
              </w:tc>
              <w:tc>
                <w:tcPr>
                  <w:tcW w:w="1381" w:type="pct"/>
                  <w:tcBorders>
                    <w:tl2br w:val="nil"/>
                    <w:tr2bl w:val="nil"/>
                  </w:tcBorders>
                  <w:vAlign w:val="center"/>
                </w:tcPr>
                <w:p w14:paraId="682EDF32">
                  <w:pPr>
                    <w:pStyle w:val="8"/>
                    <w:bidi w:val="0"/>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636" w:type="pct"/>
                  <w:tcBorders>
                    <w:tl2br w:val="nil"/>
                    <w:tr2bl w:val="nil"/>
                  </w:tcBorders>
                  <w:vAlign w:val="center"/>
                </w:tcPr>
                <w:p w14:paraId="21C66E23">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0.18</w:t>
                  </w:r>
                </w:p>
              </w:tc>
              <w:tc>
                <w:tcPr>
                  <w:tcW w:w="623" w:type="pct"/>
                  <w:tcBorders>
                    <w:tl2br w:val="nil"/>
                    <w:tr2bl w:val="nil"/>
                  </w:tcBorders>
                  <w:shd w:val="clear" w:color="auto" w:fill="auto"/>
                  <w:vAlign w:val="center"/>
                </w:tcPr>
                <w:p w14:paraId="0488CFD1">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556" w:type="pct"/>
                  <w:tcBorders>
                    <w:tl2br w:val="nil"/>
                    <w:tr2bl w:val="nil"/>
                  </w:tcBorders>
                  <w:vAlign w:val="center"/>
                </w:tcPr>
                <w:p w14:paraId="1E9946BD">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-0.18</w:t>
                  </w:r>
                </w:p>
              </w:tc>
              <w:tc>
                <w:tcPr>
                  <w:tcW w:w="591" w:type="pct"/>
                  <w:tcBorders>
                    <w:tl2br w:val="nil"/>
                    <w:tr2bl w:val="nil"/>
                  </w:tcBorders>
                  <w:vAlign w:val="center"/>
                </w:tcPr>
                <w:p w14:paraId="429BFAB1">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64A0B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534B0487">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eastAsia" w:ascii="Times New Roman" w:hAnsi="Times New Roman" w:eastAsia="宋体" w:cs="Times New Roman"/>
                      <w:i w:val="0"/>
                      <w:iCs w:val="0"/>
                      <w:color w:val="auto"/>
                      <w:kern w:val="0"/>
                      <w:sz w:val="20"/>
                      <w:szCs w:val="20"/>
                      <w:highlight w:val="none"/>
                      <w:u w:val="none"/>
                      <w:shd w:val="clear" w:color="auto" w:fill="auto"/>
                      <w:lang w:val="en-US" w:eastAsia="zh-CN" w:bidi="ar"/>
                    </w:rPr>
                    <w:t>9</w:t>
                  </w:r>
                </w:p>
              </w:tc>
              <w:tc>
                <w:tcPr>
                  <w:tcW w:w="264" w:type="pct"/>
                  <w:vMerge w:val="continue"/>
                  <w:tcBorders>
                    <w:tl2br w:val="nil"/>
                    <w:tr2bl w:val="nil"/>
                  </w:tcBorders>
                  <w:vAlign w:val="center"/>
                </w:tcPr>
                <w:p w14:paraId="4D1C337E">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vAlign w:val="center"/>
                </w:tcPr>
                <w:p w14:paraId="281BAB4F">
                  <w:pPr>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纸筒</w:t>
                  </w:r>
                </w:p>
              </w:tc>
              <w:tc>
                <w:tcPr>
                  <w:tcW w:w="1381" w:type="pct"/>
                  <w:tcBorders>
                    <w:tl2br w:val="nil"/>
                    <w:tr2bl w:val="nil"/>
                  </w:tcBorders>
                  <w:vAlign w:val="center"/>
                </w:tcPr>
                <w:p w14:paraId="6039181B">
                  <w:pPr>
                    <w:pStyle w:val="8"/>
                    <w:bidi w:val="0"/>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636" w:type="pct"/>
                  <w:tcBorders>
                    <w:tl2br w:val="nil"/>
                    <w:tr2bl w:val="nil"/>
                  </w:tcBorders>
                  <w:vAlign w:val="center"/>
                </w:tcPr>
                <w:p w14:paraId="7EB0E6CF">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w:t>
                  </w:r>
                </w:p>
              </w:tc>
              <w:tc>
                <w:tcPr>
                  <w:tcW w:w="623" w:type="pct"/>
                  <w:tcBorders>
                    <w:tl2br w:val="nil"/>
                    <w:tr2bl w:val="nil"/>
                  </w:tcBorders>
                  <w:shd w:val="clear" w:color="auto" w:fill="auto"/>
                  <w:vAlign w:val="center"/>
                </w:tcPr>
                <w:p w14:paraId="75CE6775">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556" w:type="pct"/>
                  <w:tcBorders>
                    <w:tl2br w:val="nil"/>
                    <w:tr2bl w:val="nil"/>
                  </w:tcBorders>
                  <w:vAlign w:val="center"/>
                </w:tcPr>
                <w:p w14:paraId="529775F0">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w:t>
                  </w:r>
                </w:p>
              </w:tc>
              <w:tc>
                <w:tcPr>
                  <w:tcW w:w="591" w:type="pct"/>
                  <w:tcBorders>
                    <w:tl2br w:val="nil"/>
                    <w:tr2bl w:val="nil"/>
                  </w:tcBorders>
                  <w:vAlign w:val="center"/>
                </w:tcPr>
                <w:p w14:paraId="209F8075">
                  <w:pPr>
                    <w:pStyle w:val="8"/>
                    <w:bidi w:val="0"/>
                    <w:ind w:left="0" w:leftChars="0" w:firstLine="0" w:firstLineChars="0"/>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r>
            <w:tr w14:paraId="3034D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2A9C0740">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eastAsia" w:ascii="Times New Roman" w:hAnsi="Times New Roman" w:eastAsia="宋体" w:cs="Times New Roman"/>
                      <w:color w:val="auto"/>
                      <w:kern w:val="2"/>
                      <w:sz w:val="20"/>
                      <w:szCs w:val="20"/>
                      <w:highlight w:val="none"/>
                      <w:shd w:val="clear" w:color="auto" w:fill="auto"/>
                      <w:lang w:val="en-US" w:eastAsia="zh-CN" w:bidi="ar-SA"/>
                    </w:rPr>
                    <w:t>10</w:t>
                  </w:r>
                </w:p>
              </w:tc>
              <w:tc>
                <w:tcPr>
                  <w:tcW w:w="264" w:type="pct"/>
                  <w:vMerge w:val="continue"/>
                  <w:tcBorders>
                    <w:tl2br w:val="nil"/>
                    <w:tr2bl w:val="nil"/>
                  </w:tcBorders>
                  <w:vAlign w:val="center"/>
                </w:tcPr>
                <w:p w14:paraId="2967503C">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shd w:val="clear" w:color="auto" w:fill="auto"/>
                  <w:vAlign w:val="center"/>
                </w:tcPr>
                <w:p w14:paraId="46A1BC0C">
                  <w:pPr>
                    <w:widowControl/>
                    <w:jc w:val="center"/>
                    <w:textAlignment w:val="center"/>
                    <w:rPr>
                      <w:rFonts w:hint="default" w:ascii="Times New Roman" w:hAnsi="Times New Roman" w:eastAsia="宋体" w:cs="Times New Roman"/>
                      <w:bCs/>
                      <w:color w:val="auto"/>
                      <w:kern w:val="2"/>
                      <w:sz w:val="21"/>
                      <w:szCs w:val="21"/>
                      <w:shd w:val="clear" w:color="auto" w:fill="auto"/>
                      <w:lang w:val="en-US" w:eastAsia="zh-CN" w:bidi="ar-SA"/>
                    </w:rPr>
                  </w:pPr>
                  <w:r>
                    <w:rPr>
                      <w:rFonts w:hint="eastAsia" w:ascii="Times New Roman" w:hAnsi="Times New Roman" w:eastAsia="宋体" w:cs="Times New Roman"/>
                      <w:bCs/>
                      <w:color w:val="auto"/>
                      <w:szCs w:val="21"/>
                      <w:shd w:val="clear" w:color="auto" w:fill="auto"/>
                      <w:lang w:val="en-US" w:eastAsia="zh-CN"/>
                    </w:rPr>
                    <w:t>水性油墨</w:t>
                  </w:r>
                </w:p>
              </w:tc>
              <w:tc>
                <w:tcPr>
                  <w:tcW w:w="1381" w:type="pct"/>
                  <w:tcBorders>
                    <w:tl2br w:val="nil"/>
                    <w:tr2bl w:val="nil"/>
                  </w:tcBorders>
                  <w:shd w:val="clear" w:color="auto" w:fill="auto"/>
                  <w:vAlign w:val="center"/>
                </w:tcPr>
                <w:p w14:paraId="7FCC58E5">
                  <w:pPr>
                    <w:widowControl/>
                    <w:jc w:val="center"/>
                    <w:textAlignment w:val="center"/>
                    <w:rPr>
                      <w:rFonts w:hint="default" w:ascii="Times New Roman" w:hAnsi="Times New Roman" w:eastAsia="宋体" w:cs="Times New Roman"/>
                      <w:bCs/>
                      <w:color w:val="auto"/>
                      <w:kern w:val="2"/>
                      <w:sz w:val="21"/>
                      <w:szCs w:val="21"/>
                      <w:shd w:val="clear" w:color="auto" w:fill="auto"/>
                      <w:lang w:val="en-US" w:eastAsia="zh-CN" w:bidi="ar-SA"/>
                    </w:rPr>
                  </w:pPr>
                  <w:r>
                    <w:rPr>
                      <w:rFonts w:hint="eastAsia" w:ascii="Times New Roman" w:hAnsi="Times New Roman" w:eastAsia="宋体" w:cs="Times New Roman"/>
                      <w:color w:val="auto"/>
                      <w:kern w:val="0"/>
                      <w:szCs w:val="21"/>
                      <w:shd w:val="clear" w:color="auto" w:fill="auto"/>
                      <w:lang w:val="en-US" w:eastAsia="zh-CN"/>
                    </w:rPr>
                    <w:t>水性树脂40%、水性分散剂3%、水性有机红颜料4%、水性有机黄颜料4%、水性有机蓝颜料4%、水性有机白颜料4%、水性有机黑颜料4%、水性蜡粉1%、水15%</w:t>
                  </w:r>
                  <w:r>
                    <w:rPr>
                      <w:rFonts w:hint="default" w:ascii="Times New Roman" w:hAnsi="Times New Roman" w:eastAsia="宋体" w:cs="Times New Roman"/>
                      <w:bCs/>
                      <w:color w:val="auto"/>
                      <w:szCs w:val="21"/>
                      <w:shd w:val="clear" w:color="auto" w:fill="auto"/>
                      <w:lang w:val="en-US" w:eastAsia="zh-CN"/>
                    </w:rPr>
                    <w:t>，2</w:t>
                  </w:r>
                  <w:r>
                    <w:rPr>
                      <w:rFonts w:hint="eastAsia" w:ascii="Times New Roman" w:hAnsi="Times New Roman" w:eastAsia="宋体" w:cs="Times New Roman"/>
                      <w:bCs/>
                      <w:color w:val="auto"/>
                      <w:szCs w:val="21"/>
                      <w:shd w:val="clear" w:color="auto" w:fill="auto"/>
                      <w:lang w:val="en-US" w:eastAsia="zh-CN"/>
                    </w:rPr>
                    <w:t>5</w:t>
                  </w:r>
                  <w:r>
                    <w:rPr>
                      <w:rFonts w:hint="default" w:ascii="Times New Roman" w:hAnsi="Times New Roman" w:eastAsia="宋体" w:cs="Times New Roman"/>
                      <w:bCs/>
                      <w:color w:val="auto"/>
                      <w:szCs w:val="21"/>
                      <w:shd w:val="clear" w:color="auto" w:fill="auto"/>
                      <w:lang w:val="en-US" w:eastAsia="zh-CN"/>
                    </w:rPr>
                    <w:t>kg/桶</w:t>
                  </w:r>
                </w:p>
              </w:tc>
              <w:tc>
                <w:tcPr>
                  <w:tcW w:w="636" w:type="pct"/>
                  <w:tcBorders>
                    <w:tl2br w:val="nil"/>
                    <w:tr2bl w:val="nil"/>
                  </w:tcBorders>
                  <w:shd w:val="clear" w:color="auto" w:fill="auto"/>
                  <w:vAlign w:val="center"/>
                </w:tcPr>
                <w:p w14:paraId="2F6B4609">
                  <w:pPr>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w:t>
                  </w:r>
                </w:p>
              </w:tc>
              <w:tc>
                <w:tcPr>
                  <w:tcW w:w="623" w:type="pct"/>
                  <w:tcBorders>
                    <w:tl2br w:val="nil"/>
                    <w:tr2bl w:val="nil"/>
                  </w:tcBorders>
                  <w:shd w:val="clear" w:color="auto" w:fill="auto"/>
                  <w:vAlign w:val="center"/>
                </w:tcPr>
                <w:p w14:paraId="68F50E6A">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5</w:t>
                  </w:r>
                </w:p>
              </w:tc>
              <w:tc>
                <w:tcPr>
                  <w:tcW w:w="556" w:type="pct"/>
                  <w:tcBorders>
                    <w:tl2br w:val="nil"/>
                    <w:tr2bl w:val="nil"/>
                  </w:tcBorders>
                  <w:shd w:val="clear" w:color="auto" w:fill="auto"/>
                  <w:vAlign w:val="center"/>
                </w:tcPr>
                <w:p w14:paraId="055DC454">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+5</w:t>
                  </w:r>
                </w:p>
              </w:tc>
              <w:tc>
                <w:tcPr>
                  <w:tcW w:w="591" w:type="pct"/>
                  <w:tcBorders>
                    <w:tl2br w:val="nil"/>
                    <w:tr2bl w:val="nil"/>
                  </w:tcBorders>
                  <w:shd w:val="clear" w:color="auto" w:fill="auto"/>
                  <w:vAlign w:val="center"/>
                </w:tcPr>
                <w:p w14:paraId="36EAF958">
                  <w:pPr>
                    <w:pStyle w:val="8"/>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1</w:t>
                  </w:r>
                  <w:r>
                    <w:rPr>
                      <w:rFonts w:hint="default" w:ascii="Times New Roman" w:hAnsi="Times New Roman" w:eastAsia="宋体" w:cs="Times New Roman"/>
                      <w:color w:val="auto"/>
                      <w:highlight w:val="none"/>
                      <w:shd w:val="clear" w:color="auto" w:fill="auto"/>
                      <w:lang w:val="en-US" w:eastAsia="zh-CN"/>
                    </w:rPr>
                    <w:t>t</w:t>
                  </w:r>
                </w:p>
              </w:tc>
            </w:tr>
            <w:tr w14:paraId="424A2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1B4B7325">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eastAsia" w:ascii="Times New Roman" w:hAnsi="Times New Roman" w:eastAsia="宋体" w:cs="Times New Roman"/>
                      <w:color w:val="auto"/>
                      <w:kern w:val="2"/>
                      <w:sz w:val="20"/>
                      <w:szCs w:val="20"/>
                      <w:highlight w:val="none"/>
                      <w:shd w:val="clear" w:color="auto" w:fill="auto"/>
                      <w:lang w:val="en-US" w:eastAsia="zh-CN" w:bidi="ar-SA"/>
                    </w:rPr>
                    <w:t>11</w:t>
                  </w:r>
                </w:p>
              </w:tc>
              <w:tc>
                <w:tcPr>
                  <w:tcW w:w="264" w:type="pct"/>
                  <w:vMerge w:val="continue"/>
                  <w:tcBorders>
                    <w:tl2br w:val="nil"/>
                    <w:tr2bl w:val="nil"/>
                  </w:tcBorders>
                  <w:vAlign w:val="center"/>
                </w:tcPr>
                <w:p w14:paraId="70EDD7CD">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shd w:val="clear" w:color="auto" w:fill="auto"/>
                  <w:vAlign w:val="center"/>
                </w:tcPr>
                <w:p w14:paraId="71B4360A">
                  <w:pPr>
                    <w:pStyle w:val="8"/>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kern w:val="2"/>
                      <w:sz w:val="21"/>
                      <w:szCs w:val="22"/>
                      <w:highlight w:val="none"/>
                      <w:shd w:val="clear" w:color="auto" w:fill="auto"/>
                      <w:lang w:val="en-US" w:eastAsia="zh-CN" w:bidi="ar-SA"/>
                    </w:rPr>
                    <w:t>油性油墨</w:t>
                  </w:r>
                </w:p>
              </w:tc>
              <w:tc>
                <w:tcPr>
                  <w:tcW w:w="1381" w:type="pct"/>
                  <w:tcBorders>
                    <w:tl2br w:val="nil"/>
                    <w:tr2bl w:val="nil"/>
                  </w:tcBorders>
                  <w:shd w:val="clear" w:color="auto" w:fill="auto"/>
                  <w:vAlign w:val="center"/>
                </w:tcPr>
                <w:p w14:paraId="38290F7A">
                  <w:pPr>
                    <w:pStyle w:val="8"/>
                    <w:bidi w:val="0"/>
                    <w:ind w:left="0" w:lef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炭黑10~12%、颜料黄8~10%、颜料蓝10~12%、颜料红8~12%、钛白粉30~35%、聚氨酯树脂30~35%、聚乙烯-乙酸酯2~4%、异丙醇6~8%、乙酸乙酯5~10%、乙酸正丙酯10~15%、乙酸正丁酯2~5%</w:t>
                  </w:r>
                  <w:r>
                    <w:rPr>
                      <w:rFonts w:hint="default" w:ascii="Times New Roman" w:hAnsi="Times New Roman" w:eastAsia="宋体" w:cs="Times New Roman"/>
                      <w:bCs/>
                      <w:color w:val="auto"/>
                      <w:szCs w:val="21"/>
                      <w:shd w:val="clear" w:color="auto" w:fill="auto"/>
                      <w:lang w:val="en-US" w:eastAsia="zh-CN"/>
                    </w:rPr>
                    <w:t>，2</w:t>
                  </w:r>
                  <w:r>
                    <w:rPr>
                      <w:rFonts w:hint="eastAsia" w:ascii="Times New Roman" w:hAnsi="Times New Roman" w:eastAsia="宋体" w:cs="Times New Roman"/>
                      <w:bCs/>
                      <w:color w:val="auto"/>
                      <w:szCs w:val="21"/>
                      <w:shd w:val="clear" w:color="auto" w:fill="auto"/>
                      <w:lang w:val="en-US" w:eastAsia="zh-CN"/>
                    </w:rPr>
                    <w:t>5</w:t>
                  </w:r>
                  <w:r>
                    <w:rPr>
                      <w:rFonts w:hint="default" w:ascii="Times New Roman" w:hAnsi="Times New Roman" w:eastAsia="宋体" w:cs="Times New Roman"/>
                      <w:bCs/>
                      <w:color w:val="auto"/>
                      <w:szCs w:val="21"/>
                      <w:shd w:val="clear" w:color="auto" w:fill="auto"/>
                      <w:lang w:val="en-US" w:eastAsia="zh-CN"/>
                    </w:rPr>
                    <w:t>kg/桶</w:t>
                  </w:r>
                </w:p>
              </w:tc>
              <w:tc>
                <w:tcPr>
                  <w:tcW w:w="636" w:type="pct"/>
                  <w:tcBorders>
                    <w:tl2br w:val="nil"/>
                    <w:tr2bl w:val="nil"/>
                  </w:tcBorders>
                  <w:shd w:val="clear" w:color="auto" w:fill="auto"/>
                  <w:vAlign w:val="center"/>
                </w:tcPr>
                <w:p w14:paraId="46DB4D09">
                  <w:pPr>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w:t>
                  </w:r>
                </w:p>
              </w:tc>
              <w:tc>
                <w:tcPr>
                  <w:tcW w:w="623" w:type="pct"/>
                  <w:tcBorders>
                    <w:tl2br w:val="nil"/>
                    <w:tr2bl w:val="nil"/>
                  </w:tcBorders>
                  <w:shd w:val="clear" w:color="auto" w:fill="auto"/>
                  <w:vAlign w:val="center"/>
                </w:tcPr>
                <w:p w14:paraId="62219D84">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0.5</w:t>
                  </w:r>
                </w:p>
              </w:tc>
              <w:tc>
                <w:tcPr>
                  <w:tcW w:w="556" w:type="pct"/>
                  <w:tcBorders>
                    <w:tl2br w:val="nil"/>
                    <w:tr2bl w:val="nil"/>
                  </w:tcBorders>
                  <w:shd w:val="clear" w:color="auto" w:fill="auto"/>
                  <w:vAlign w:val="center"/>
                </w:tcPr>
                <w:p w14:paraId="26EBC7D1">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+0.5</w:t>
                  </w:r>
                </w:p>
              </w:tc>
              <w:tc>
                <w:tcPr>
                  <w:tcW w:w="591" w:type="pct"/>
                  <w:tcBorders>
                    <w:tl2br w:val="nil"/>
                    <w:tr2bl w:val="nil"/>
                  </w:tcBorders>
                  <w:shd w:val="clear" w:color="auto" w:fill="auto"/>
                  <w:vAlign w:val="center"/>
                </w:tcPr>
                <w:p w14:paraId="108B12BA">
                  <w:pPr>
                    <w:pStyle w:val="8"/>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0.25</w:t>
                  </w:r>
                  <w:r>
                    <w:rPr>
                      <w:rFonts w:hint="default" w:ascii="Times New Roman" w:hAnsi="Times New Roman" w:eastAsia="宋体" w:cs="Times New Roman"/>
                      <w:color w:val="auto"/>
                      <w:highlight w:val="none"/>
                      <w:shd w:val="clear" w:color="auto" w:fill="auto"/>
                      <w:lang w:val="en-US" w:eastAsia="zh-CN"/>
                    </w:rPr>
                    <w:t>t</w:t>
                  </w:r>
                </w:p>
              </w:tc>
            </w:tr>
            <w:tr w14:paraId="350F0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33DCBA8C">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eastAsia" w:ascii="Times New Roman" w:hAnsi="Times New Roman" w:eastAsia="宋体" w:cs="Times New Roman"/>
                      <w:color w:val="auto"/>
                      <w:kern w:val="2"/>
                      <w:sz w:val="20"/>
                      <w:szCs w:val="20"/>
                      <w:highlight w:val="none"/>
                      <w:shd w:val="clear" w:color="auto" w:fill="auto"/>
                      <w:lang w:val="en-US" w:eastAsia="zh-CN" w:bidi="ar-SA"/>
                    </w:rPr>
                    <w:t>12</w:t>
                  </w:r>
                </w:p>
              </w:tc>
              <w:tc>
                <w:tcPr>
                  <w:tcW w:w="264" w:type="pct"/>
                  <w:vMerge w:val="continue"/>
                  <w:tcBorders>
                    <w:tl2br w:val="nil"/>
                    <w:tr2bl w:val="nil"/>
                  </w:tcBorders>
                  <w:vAlign w:val="center"/>
                </w:tcPr>
                <w:p w14:paraId="410C8DE0">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shd w:val="clear" w:color="auto" w:fill="auto"/>
                  <w:vAlign w:val="center"/>
                </w:tcPr>
                <w:p w14:paraId="4CA9AC64">
                  <w:pPr>
                    <w:pStyle w:val="8"/>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kern w:val="2"/>
                      <w:sz w:val="21"/>
                      <w:szCs w:val="22"/>
                      <w:highlight w:val="none"/>
                      <w:shd w:val="clear" w:color="auto" w:fill="auto"/>
                      <w:lang w:val="en-US" w:eastAsia="zh-CN" w:bidi="ar-SA"/>
                    </w:rPr>
                    <w:t>乙酸乙酯</w:t>
                  </w:r>
                </w:p>
              </w:tc>
              <w:tc>
                <w:tcPr>
                  <w:tcW w:w="1381" w:type="pct"/>
                  <w:tcBorders>
                    <w:tl2br w:val="nil"/>
                    <w:tr2bl w:val="nil"/>
                  </w:tcBorders>
                  <w:shd w:val="clear" w:color="auto" w:fill="auto"/>
                  <w:vAlign w:val="center"/>
                </w:tcPr>
                <w:p w14:paraId="63C42718">
                  <w:pPr>
                    <w:pStyle w:val="8"/>
                    <w:bidi w:val="0"/>
                    <w:ind w:left="0" w:lef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2"/>
                      <w:highlight w:val="none"/>
                      <w:shd w:val="clear" w:color="auto" w:fill="auto"/>
                      <w:lang w:val="en-US" w:eastAsia="zh-CN" w:bidi="ar-SA"/>
                    </w:rPr>
                    <w:t>乙酸乙酯100%，200kg/桶</w:t>
                  </w:r>
                </w:p>
              </w:tc>
              <w:tc>
                <w:tcPr>
                  <w:tcW w:w="636" w:type="pct"/>
                  <w:tcBorders>
                    <w:tl2br w:val="nil"/>
                    <w:tr2bl w:val="nil"/>
                  </w:tcBorders>
                  <w:shd w:val="clear" w:color="auto" w:fill="auto"/>
                  <w:vAlign w:val="center"/>
                </w:tcPr>
                <w:p w14:paraId="6AF3A113">
                  <w:pPr>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623" w:type="pct"/>
                  <w:tcBorders>
                    <w:tl2br w:val="nil"/>
                    <w:tr2bl w:val="nil"/>
                  </w:tcBorders>
                  <w:shd w:val="clear" w:color="auto" w:fill="auto"/>
                  <w:vAlign w:val="center"/>
                </w:tcPr>
                <w:p w14:paraId="3E9A40B7">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0.7</w:t>
                  </w:r>
                </w:p>
              </w:tc>
              <w:tc>
                <w:tcPr>
                  <w:tcW w:w="556" w:type="pct"/>
                  <w:tcBorders>
                    <w:tl2br w:val="nil"/>
                    <w:tr2bl w:val="nil"/>
                  </w:tcBorders>
                  <w:shd w:val="clear" w:color="auto" w:fill="auto"/>
                  <w:vAlign w:val="center"/>
                </w:tcPr>
                <w:p w14:paraId="200CB45F">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+0.7</w:t>
                  </w:r>
                </w:p>
              </w:tc>
              <w:tc>
                <w:tcPr>
                  <w:tcW w:w="591" w:type="pct"/>
                  <w:tcBorders>
                    <w:tl2br w:val="nil"/>
                    <w:tr2bl w:val="nil"/>
                  </w:tcBorders>
                  <w:shd w:val="clear" w:color="auto" w:fill="auto"/>
                  <w:vAlign w:val="center"/>
                </w:tcPr>
                <w:p w14:paraId="61B9899C">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0.4t</w:t>
                  </w:r>
                </w:p>
              </w:tc>
            </w:tr>
            <w:tr w14:paraId="25BE6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0DF1EC7D">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eastAsia" w:ascii="Times New Roman" w:hAnsi="Times New Roman" w:eastAsia="宋体" w:cs="Times New Roman"/>
                      <w:color w:val="auto"/>
                      <w:kern w:val="2"/>
                      <w:sz w:val="20"/>
                      <w:szCs w:val="20"/>
                      <w:highlight w:val="none"/>
                      <w:shd w:val="clear" w:color="auto" w:fill="auto"/>
                      <w:lang w:val="en-US" w:eastAsia="zh-CN" w:bidi="ar-SA"/>
                    </w:rPr>
                    <w:t>13</w:t>
                  </w:r>
                </w:p>
              </w:tc>
              <w:tc>
                <w:tcPr>
                  <w:tcW w:w="264" w:type="pct"/>
                  <w:vMerge w:val="continue"/>
                  <w:tcBorders>
                    <w:tl2br w:val="nil"/>
                    <w:tr2bl w:val="nil"/>
                  </w:tcBorders>
                  <w:vAlign w:val="center"/>
                </w:tcPr>
                <w:p w14:paraId="1CADBFAA">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shd w:val="clear" w:color="auto" w:fill="auto"/>
                  <w:vAlign w:val="center"/>
                </w:tcPr>
                <w:p w14:paraId="0E129BD8">
                  <w:pPr>
                    <w:pStyle w:val="8"/>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双组份无溶剂聚氨酯粘合剂</w:t>
                  </w:r>
                </w:p>
              </w:tc>
              <w:tc>
                <w:tcPr>
                  <w:tcW w:w="1381" w:type="pct"/>
                  <w:tcBorders>
                    <w:tl2br w:val="nil"/>
                    <w:tr2bl w:val="nil"/>
                  </w:tcBorders>
                  <w:shd w:val="clear" w:color="auto" w:fill="auto"/>
                  <w:vAlign w:val="center"/>
                </w:tcPr>
                <w:p w14:paraId="07D13F63">
                  <w:pPr>
                    <w:pStyle w:val="8"/>
                    <w:bidi w:val="0"/>
                    <w:ind w:left="0" w:lef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六亚甲基二异氰酸酯30~60%、聚酯多元醇30~40%、聚醚多元醇10~30%，</w:t>
                  </w:r>
                  <w:r>
                    <w:rPr>
                      <w:rFonts w:hint="eastAsia" w:ascii="Times New Roman" w:hAnsi="Times New Roman" w:eastAsia="宋体" w:cs="Times New Roman"/>
                      <w:bCs/>
                      <w:color w:val="auto"/>
                      <w:szCs w:val="21"/>
                      <w:shd w:val="clear" w:color="auto" w:fill="auto"/>
                      <w:lang w:val="en-US" w:eastAsia="zh-CN"/>
                    </w:rPr>
                    <w:t>200</w:t>
                  </w:r>
                  <w:r>
                    <w:rPr>
                      <w:rFonts w:hint="default" w:ascii="Times New Roman" w:hAnsi="Times New Roman" w:eastAsia="宋体" w:cs="Times New Roman"/>
                      <w:bCs/>
                      <w:color w:val="auto"/>
                      <w:szCs w:val="21"/>
                      <w:shd w:val="clear" w:color="auto" w:fill="auto"/>
                      <w:lang w:val="en-US" w:eastAsia="zh-CN"/>
                    </w:rPr>
                    <w:t>kg/桶</w:t>
                  </w:r>
                </w:p>
              </w:tc>
              <w:tc>
                <w:tcPr>
                  <w:tcW w:w="636" w:type="pct"/>
                  <w:tcBorders>
                    <w:tl2br w:val="nil"/>
                    <w:tr2bl w:val="nil"/>
                  </w:tcBorders>
                  <w:shd w:val="clear" w:color="auto" w:fill="auto"/>
                  <w:vAlign w:val="center"/>
                </w:tcPr>
                <w:p w14:paraId="3055EB48">
                  <w:pPr>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w:t>
                  </w:r>
                </w:p>
              </w:tc>
              <w:tc>
                <w:tcPr>
                  <w:tcW w:w="623" w:type="pct"/>
                  <w:tcBorders>
                    <w:tl2br w:val="nil"/>
                    <w:tr2bl w:val="nil"/>
                  </w:tcBorders>
                  <w:shd w:val="clear" w:color="auto" w:fill="auto"/>
                  <w:vAlign w:val="center"/>
                </w:tcPr>
                <w:p w14:paraId="0307E167">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10</w:t>
                  </w:r>
                </w:p>
              </w:tc>
              <w:tc>
                <w:tcPr>
                  <w:tcW w:w="556" w:type="pct"/>
                  <w:tcBorders>
                    <w:tl2br w:val="nil"/>
                    <w:tr2bl w:val="nil"/>
                  </w:tcBorders>
                  <w:shd w:val="clear" w:color="auto" w:fill="auto"/>
                  <w:vAlign w:val="center"/>
                </w:tcPr>
                <w:p w14:paraId="0F47CB09">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+10</w:t>
                  </w:r>
                </w:p>
              </w:tc>
              <w:tc>
                <w:tcPr>
                  <w:tcW w:w="591" w:type="pct"/>
                  <w:tcBorders>
                    <w:tl2br w:val="nil"/>
                    <w:tr2bl w:val="nil"/>
                  </w:tcBorders>
                  <w:shd w:val="clear" w:color="auto" w:fill="auto"/>
                  <w:vAlign w:val="center"/>
                </w:tcPr>
                <w:p w14:paraId="488A3F18">
                  <w:pPr>
                    <w:pStyle w:val="8"/>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4</w:t>
                  </w:r>
                  <w:r>
                    <w:rPr>
                      <w:rFonts w:hint="default" w:ascii="Times New Roman" w:hAnsi="Times New Roman" w:eastAsia="宋体" w:cs="Times New Roman"/>
                      <w:color w:val="auto"/>
                      <w:highlight w:val="none"/>
                      <w:shd w:val="clear" w:color="auto" w:fill="auto"/>
                      <w:lang w:val="en-US" w:eastAsia="zh-CN"/>
                    </w:rPr>
                    <w:t>t</w:t>
                  </w:r>
                </w:p>
              </w:tc>
            </w:tr>
            <w:tr w14:paraId="43092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0" w:type="pct"/>
                  <w:tcBorders>
                    <w:tl2br w:val="nil"/>
                    <w:tr2bl w:val="nil"/>
                  </w:tcBorders>
                  <w:shd w:val="clear" w:color="auto" w:fill="auto"/>
                  <w:vAlign w:val="center"/>
                </w:tcPr>
                <w:p w14:paraId="381803EE">
                  <w:pPr>
                    <w:keepNext w:val="0"/>
                    <w:keepLines w:val="0"/>
                    <w:widowControl/>
                    <w:suppressLineNumbers w:val="0"/>
                    <w:jc w:val="center"/>
                    <w:textAlignment w:val="center"/>
                    <w:rPr>
                      <w:rFonts w:hint="default" w:ascii="Times New Roman" w:hAnsi="Times New Roman" w:eastAsia="宋体" w:cs="Times New Roman"/>
                      <w:color w:val="auto"/>
                      <w:kern w:val="2"/>
                      <w:sz w:val="20"/>
                      <w:szCs w:val="20"/>
                      <w:highlight w:val="none"/>
                      <w:shd w:val="clear" w:color="auto" w:fill="auto"/>
                      <w:lang w:val="en-US" w:eastAsia="zh-CN" w:bidi="ar-SA"/>
                    </w:rPr>
                  </w:pPr>
                  <w:r>
                    <w:rPr>
                      <w:rFonts w:hint="eastAsia" w:ascii="Times New Roman" w:hAnsi="Times New Roman" w:eastAsia="宋体" w:cs="Times New Roman"/>
                      <w:color w:val="auto"/>
                      <w:kern w:val="2"/>
                      <w:sz w:val="20"/>
                      <w:szCs w:val="20"/>
                      <w:highlight w:val="none"/>
                      <w:shd w:val="clear" w:color="auto" w:fill="auto"/>
                      <w:lang w:val="en-US" w:eastAsia="zh-CN" w:bidi="ar-SA"/>
                    </w:rPr>
                    <w:t>14</w:t>
                  </w:r>
                </w:p>
              </w:tc>
              <w:tc>
                <w:tcPr>
                  <w:tcW w:w="264" w:type="pct"/>
                  <w:vMerge w:val="continue"/>
                  <w:tcBorders>
                    <w:tl2br w:val="nil"/>
                    <w:tr2bl w:val="nil"/>
                  </w:tcBorders>
                  <w:vAlign w:val="center"/>
                </w:tcPr>
                <w:p w14:paraId="753EB29C">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p>
              </w:tc>
              <w:tc>
                <w:tcPr>
                  <w:tcW w:w="714" w:type="pct"/>
                  <w:tcBorders>
                    <w:tl2br w:val="nil"/>
                    <w:tr2bl w:val="nil"/>
                  </w:tcBorders>
                  <w:shd w:val="clear" w:color="auto" w:fill="auto"/>
                  <w:vAlign w:val="center"/>
                </w:tcPr>
                <w:p w14:paraId="5EB49BDE">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黄油</w:t>
                  </w:r>
                </w:p>
              </w:tc>
              <w:tc>
                <w:tcPr>
                  <w:tcW w:w="1381" w:type="pct"/>
                  <w:tcBorders>
                    <w:tl2br w:val="nil"/>
                    <w:tr2bl w:val="nil"/>
                  </w:tcBorders>
                  <w:shd w:val="clear" w:color="auto" w:fill="auto"/>
                  <w:vAlign w:val="center"/>
                </w:tcPr>
                <w:p w14:paraId="186E8BAA">
                  <w:pPr>
                    <w:pStyle w:val="8"/>
                    <w:bidi w:val="0"/>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lang w:val="en-US" w:eastAsia="zh-CN"/>
                    </w:rPr>
                    <w:t>含有高度精炼矿物油和添加剂组成的润滑脂</w:t>
                  </w:r>
                  <w:r>
                    <w:rPr>
                      <w:rFonts w:hint="eastAsia" w:ascii="Times New Roman" w:hAnsi="Times New Roman" w:eastAsia="宋体" w:cs="Times New Roman"/>
                      <w:color w:val="auto"/>
                      <w:sz w:val="21"/>
                      <w:szCs w:val="21"/>
                      <w:highlight w:val="none"/>
                      <w:lang w:val="en-US" w:eastAsia="zh-CN"/>
                    </w:rPr>
                    <w:t>，15kg/桶</w:t>
                  </w:r>
                </w:p>
              </w:tc>
              <w:tc>
                <w:tcPr>
                  <w:tcW w:w="636" w:type="pct"/>
                  <w:tcBorders>
                    <w:tl2br w:val="nil"/>
                    <w:tr2bl w:val="nil"/>
                  </w:tcBorders>
                  <w:shd w:val="clear" w:color="auto" w:fill="auto"/>
                  <w:vAlign w:val="center"/>
                </w:tcPr>
                <w:p w14:paraId="3A5DE4D7">
                  <w:pPr>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w:t>
                  </w:r>
                </w:p>
              </w:tc>
              <w:tc>
                <w:tcPr>
                  <w:tcW w:w="623" w:type="pct"/>
                  <w:tcBorders>
                    <w:tl2br w:val="nil"/>
                    <w:tr2bl w:val="nil"/>
                  </w:tcBorders>
                  <w:shd w:val="clear" w:color="auto" w:fill="auto"/>
                  <w:vAlign w:val="center"/>
                </w:tcPr>
                <w:p w14:paraId="76AA78AD">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0.002</w:t>
                  </w:r>
                </w:p>
              </w:tc>
              <w:tc>
                <w:tcPr>
                  <w:tcW w:w="556" w:type="pct"/>
                  <w:tcBorders>
                    <w:tl2br w:val="nil"/>
                    <w:tr2bl w:val="nil"/>
                  </w:tcBorders>
                  <w:shd w:val="clear" w:color="auto" w:fill="auto"/>
                  <w:vAlign w:val="center"/>
                </w:tcPr>
                <w:p w14:paraId="3CFBF6EB">
                  <w:pPr>
                    <w:pStyle w:val="8"/>
                    <w:bidi w:val="0"/>
                    <w:ind w:left="0" w:leftChars="0" w:firstLine="0" w:firstLineChars="0"/>
                    <w:jc w:val="center"/>
                    <w:rPr>
                      <w:rFonts w:hint="eastAsia"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+0.002</w:t>
                  </w:r>
                </w:p>
              </w:tc>
              <w:tc>
                <w:tcPr>
                  <w:tcW w:w="591" w:type="pct"/>
                  <w:tcBorders>
                    <w:tl2br w:val="nil"/>
                    <w:tr2bl w:val="nil"/>
                  </w:tcBorders>
                  <w:shd w:val="clear" w:color="auto" w:fill="auto"/>
                  <w:vAlign w:val="center"/>
                </w:tcPr>
                <w:p w14:paraId="586AECD1">
                  <w:pPr>
                    <w:pStyle w:val="8"/>
                    <w:bidi w:val="0"/>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0.015</w:t>
                  </w:r>
                  <w:r>
                    <w:rPr>
                      <w:rFonts w:hint="default" w:ascii="Times New Roman" w:hAnsi="Times New Roman" w:eastAsia="宋体" w:cs="Times New Roman"/>
                      <w:color w:val="auto"/>
                      <w:highlight w:val="none"/>
                      <w:shd w:val="clear" w:color="auto" w:fill="auto"/>
                      <w:lang w:val="en-US" w:eastAsia="zh-CN"/>
                    </w:rPr>
                    <w:t>t</w:t>
                  </w:r>
                </w:p>
              </w:tc>
            </w:tr>
          </w:tbl>
          <w:p w14:paraId="255EFF37">
            <w:pPr>
              <w:jc w:val="left"/>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eastAsia" w:ascii="Times New Roman" w:hAnsi="Times New Roman" w:eastAsia="宋体" w:cs="Times New Roman"/>
                <w:bCs/>
                <w:color w:val="auto"/>
                <w:kern w:val="2"/>
                <w:sz w:val="21"/>
                <w:szCs w:val="21"/>
                <w:highlight w:val="none"/>
                <w:shd w:val="clear" w:color="auto" w:fill="auto"/>
                <w:lang w:val="en-US" w:eastAsia="zh-CN" w:bidi="ar-SA"/>
              </w:rPr>
              <w:t>注：①本项目使用塑料粒子均为新料。</w:t>
            </w:r>
          </w:p>
          <w:p w14:paraId="5724FFB7">
            <w:pPr>
              <w:ind w:firstLine="420" w:firstLineChars="200"/>
              <w:jc w:val="left"/>
              <w:rPr>
                <w:rFonts w:hint="eastAsia" w:ascii="Times New Roman" w:hAnsi="Times New Roman" w:eastAsia="宋体" w:cs="Times New Roman"/>
                <w:bCs/>
                <w:color w:val="auto"/>
                <w:szCs w:val="21"/>
                <w:highlight w:val="none"/>
                <w:shd w:val="clear" w:color="auto" w:fill="auto"/>
                <w:lang w:eastAsia="zh-CN"/>
              </w:rPr>
            </w:pPr>
            <w:r>
              <w:rPr>
                <w:rFonts w:hint="eastAsia" w:ascii="Times New Roman" w:hAnsi="Times New Roman" w:eastAsia="宋体" w:cs="Times New Roman"/>
                <w:bCs/>
                <w:color w:val="auto"/>
                <w:kern w:val="2"/>
                <w:sz w:val="21"/>
                <w:szCs w:val="21"/>
                <w:highlight w:val="none"/>
                <w:shd w:val="clear" w:color="auto" w:fill="auto"/>
                <w:lang w:val="en-US" w:eastAsia="zh-CN" w:bidi="ar-SA"/>
              </w:rPr>
              <w:t>②乙酸乙酯</w:t>
            </w:r>
            <w:r>
              <w:rPr>
                <w:rFonts w:hint="eastAsia" w:ascii="Times New Roman" w:hAnsi="Times New Roman" w:eastAsia="宋体" w:cs="Times New Roman"/>
                <w:bCs/>
                <w:color w:val="auto"/>
                <w:szCs w:val="21"/>
                <w:highlight w:val="none"/>
                <w:shd w:val="clear" w:color="auto" w:fill="auto"/>
              </w:rPr>
              <w:t>用作稀释剂和清洗剂</w:t>
            </w:r>
            <w:r>
              <w:rPr>
                <w:rFonts w:hint="eastAsia" w:ascii="Times New Roman" w:hAnsi="Times New Roman" w:eastAsia="宋体" w:cs="Times New Roman"/>
                <w:bCs/>
                <w:color w:val="auto"/>
                <w:szCs w:val="21"/>
                <w:highlight w:val="none"/>
                <w:shd w:val="clear" w:color="auto" w:fill="auto"/>
                <w:lang w:eastAsia="zh-CN"/>
              </w:rPr>
              <w:t>。</w:t>
            </w:r>
          </w:p>
          <w:p w14:paraId="33722900">
            <w:pPr>
              <w:ind w:firstLine="420" w:firstLineChars="200"/>
              <w:jc w:val="left"/>
              <w:rPr>
                <w:rFonts w:hint="eastAsia" w:ascii="Times New Roman" w:hAnsi="Times New Roman" w:eastAsia="宋体" w:cs="Times New Roman"/>
                <w:bCs/>
                <w:color w:val="auto"/>
                <w:kern w:val="2"/>
                <w:sz w:val="21"/>
                <w:szCs w:val="21"/>
                <w:highlight w:val="none"/>
                <w:shd w:val="clear" w:color="auto" w:fill="auto"/>
                <w:lang w:val="en-US" w:eastAsia="zh-CN" w:bidi="ar-SA"/>
              </w:rPr>
            </w:pPr>
            <w:r>
              <w:rPr>
                <w:rFonts w:hint="eastAsia" w:ascii="Times New Roman" w:hAnsi="Times New Roman" w:eastAsia="宋体" w:cs="Times New Roman"/>
                <w:bCs/>
                <w:color w:val="auto"/>
                <w:szCs w:val="21"/>
                <w:highlight w:val="none"/>
                <w:shd w:val="clear" w:color="auto" w:fill="auto"/>
                <w:lang w:val="en-US" w:eastAsia="zh-CN"/>
              </w:rPr>
              <w:t>③</w:t>
            </w:r>
            <w:r>
              <w:rPr>
                <w:rFonts w:hint="eastAsia" w:ascii="Times New Roman" w:hAnsi="Times New Roman" w:eastAsia="宋体" w:cs="Times New Roman"/>
                <w:bCs/>
                <w:color w:val="auto"/>
                <w:szCs w:val="21"/>
                <w:highlight w:val="none"/>
                <w:shd w:val="clear" w:color="auto" w:fill="auto"/>
              </w:rPr>
              <w:t>双组份无溶剂聚氨酯粘合剂由A组份和B组份</w:t>
            </w:r>
            <w:r>
              <w:rPr>
                <w:rFonts w:hint="eastAsia" w:ascii="Times New Roman" w:hAnsi="Times New Roman" w:eastAsia="宋体" w:cs="Times New Roman"/>
                <w:bCs/>
                <w:color w:val="auto"/>
                <w:szCs w:val="21"/>
                <w:highlight w:val="none"/>
                <w:shd w:val="clear" w:color="auto" w:fill="auto"/>
                <w:lang w:val="en-US" w:eastAsia="zh-CN"/>
              </w:rPr>
              <w:t>两种化学组份组成</w:t>
            </w:r>
            <w:r>
              <w:rPr>
                <w:rFonts w:hint="eastAsia" w:ascii="Times New Roman" w:hAnsi="Times New Roman" w:eastAsia="宋体" w:cs="Times New Roman"/>
                <w:bCs/>
                <w:color w:val="auto"/>
                <w:szCs w:val="21"/>
                <w:highlight w:val="none"/>
                <w:shd w:val="clear" w:color="auto" w:fill="auto"/>
              </w:rPr>
              <w:t>，A组份的主要成分为六亚甲基二异氰酸酯和聚醚多元醇，B组份的主要成分为聚酯多元醇和聚醚多元醇</w:t>
            </w:r>
            <w:r>
              <w:rPr>
                <w:rFonts w:hint="eastAsia" w:ascii="Times New Roman" w:hAnsi="Times New Roman" w:eastAsia="宋体" w:cs="Times New Roman"/>
                <w:bCs/>
                <w:color w:val="auto"/>
                <w:szCs w:val="21"/>
                <w:highlight w:val="none"/>
                <w:shd w:val="clear" w:color="auto" w:fill="auto"/>
                <w:lang w:eastAsia="zh-CN"/>
              </w:rPr>
              <w:t>，</w:t>
            </w:r>
            <w:r>
              <w:rPr>
                <w:rFonts w:hint="eastAsia" w:ascii="Times New Roman" w:hAnsi="Times New Roman" w:eastAsia="宋体" w:cs="Times New Roman"/>
                <w:bCs/>
                <w:color w:val="auto"/>
                <w:szCs w:val="21"/>
                <w:highlight w:val="none"/>
                <w:shd w:val="clear" w:color="auto" w:fill="auto"/>
              </w:rPr>
              <w:t>A</w:t>
            </w:r>
            <w:r>
              <w:rPr>
                <w:rFonts w:hint="eastAsia" w:ascii="Times New Roman" w:hAnsi="Times New Roman" w:eastAsia="宋体" w:cs="Times New Roman"/>
                <w:bCs/>
                <w:color w:val="auto"/>
                <w:szCs w:val="21"/>
                <w:highlight w:val="none"/>
                <w:shd w:val="clear" w:color="auto" w:fill="auto"/>
                <w:lang w:val="en-US" w:eastAsia="zh-CN"/>
              </w:rPr>
              <w:t>组份和</w:t>
            </w:r>
            <w:r>
              <w:rPr>
                <w:rFonts w:hint="eastAsia" w:ascii="Times New Roman" w:hAnsi="Times New Roman" w:eastAsia="宋体" w:cs="Times New Roman"/>
                <w:bCs/>
                <w:color w:val="auto"/>
                <w:szCs w:val="21"/>
                <w:highlight w:val="none"/>
                <w:shd w:val="clear" w:color="auto" w:fill="auto"/>
              </w:rPr>
              <w:t>B</w:t>
            </w:r>
            <w:r>
              <w:rPr>
                <w:rFonts w:hint="eastAsia" w:ascii="Times New Roman" w:hAnsi="Times New Roman" w:eastAsia="宋体" w:cs="Times New Roman"/>
                <w:bCs/>
                <w:color w:val="auto"/>
                <w:szCs w:val="21"/>
                <w:highlight w:val="none"/>
                <w:shd w:val="clear" w:color="auto" w:fill="auto"/>
                <w:lang w:val="en-US" w:eastAsia="zh-CN"/>
              </w:rPr>
              <w:t>组份的具体成份</w:t>
            </w:r>
            <w:r>
              <w:rPr>
                <w:rFonts w:hint="eastAsia" w:ascii="Times New Roman" w:hAnsi="Times New Roman" w:eastAsia="宋体" w:cs="Times New Roman"/>
                <w:bCs/>
                <w:color w:val="auto"/>
                <w:szCs w:val="21"/>
                <w:highlight w:val="none"/>
                <w:shd w:val="clear" w:color="auto" w:fill="auto"/>
              </w:rPr>
              <w:t>含量为商业机密</w:t>
            </w:r>
            <w:r>
              <w:rPr>
                <w:rFonts w:hint="eastAsia" w:ascii="Times New Roman" w:hAnsi="Times New Roman" w:eastAsia="宋体" w:cs="Times New Roman"/>
                <w:bCs/>
                <w:color w:val="auto"/>
                <w:szCs w:val="21"/>
                <w:highlight w:val="none"/>
                <w:shd w:val="clear" w:color="auto" w:fill="auto"/>
                <w:lang w:eastAsia="zh-CN"/>
              </w:rPr>
              <w:t>，</w:t>
            </w:r>
            <w:r>
              <w:rPr>
                <w:rFonts w:hint="eastAsia" w:ascii="Times New Roman" w:hAnsi="Times New Roman" w:eastAsia="宋体" w:cs="Times New Roman"/>
                <w:bCs/>
                <w:color w:val="auto"/>
                <w:szCs w:val="21"/>
                <w:highlight w:val="none"/>
                <w:shd w:val="clear" w:color="auto" w:fill="auto"/>
                <w:lang w:val="en-US" w:eastAsia="zh-CN"/>
              </w:rPr>
              <w:t>供应商无法提供</w:t>
            </w:r>
            <w:r>
              <w:rPr>
                <w:rFonts w:hint="eastAsia" w:ascii="Times New Roman" w:hAnsi="Times New Roman" w:eastAsia="宋体" w:cs="Times New Roman"/>
                <w:bCs/>
                <w:color w:val="auto"/>
                <w:szCs w:val="21"/>
                <w:highlight w:val="none"/>
                <w:shd w:val="clear" w:color="auto" w:fill="auto"/>
                <w:lang w:eastAsia="zh-CN"/>
              </w:rPr>
              <w:t>。</w:t>
            </w:r>
          </w:p>
          <w:p w14:paraId="49E81A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rPr>
              <w:t>表2-</w:t>
            </w:r>
            <w:r>
              <w:rPr>
                <w:rFonts w:hint="eastAsia" w:ascii="Times New Roman" w:hAnsi="Times New Roman" w:eastAsia="宋体" w:cs="Times New Roman"/>
                <w:b/>
                <w:color w:val="auto"/>
                <w:sz w:val="24"/>
                <w:highlight w:val="none"/>
                <w:shd w:val="clear" w:color="auto" w:fill="auto"/>
                <w:lang w:val="en-US" w:eastAsia="zh-CN"/>
              </w:rPr>
              <w:t>5</w:t>
            </w:r>
            <w:r>
              <w:rPr>
                <w:rFonts w:hint="default" w:ascii="Times New Roman" w:hAnsi="Times New Roman" w:eastAsia="宋体" w:cs="Times New Roman"/>
                <w:b/>
                <w:color w:val="auto"/>
                <w:sz w:val="24"/>
                <w:highlight w:val="none"/>
                <w:shd w:val="clear" w:color="auto" w:fill="auto"/>
                <w:lang w:val="en-US"/>
              </w:rPr>
              <w:t xml:space="preserve">  主要原辅料理化性质</w:t>
            </w:r>
          </w:p>
          <w:tbl>
            <w:tblPr>
              <w:tblStyle w:val="2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1"/>
              <w:gridCol w:w="3983"/>
              <w:gridCol w:w="1594"/>
              <w:gridCol w:w="1850"/>
            </w:tblGrid>
            <w:tr w14:paraId="186015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tcMar>
                    <w:top w:w="0" w:type="dxa"/>
                    <w:left w:w="0" w:type="dxa"/>
                    <w:bottom w:w="0" w:type="dxa"/>
                    <w:right w:w="0" w:type="dxa"/>
                  </w:tcMar>
                  <w:vAlign w:val="center"/>
                </w:tcPr>
                <w:p w14:paraId="1F5F96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shd w:val="clear" w:color="auto" w:fill="auto"/>
                      <w:lang w:val="en-US"/>
                    </w:rPr>
                  </w:pPr>
                  <w:r>
                    <w:rPr>
                      <w:rFonts w:hint="default" w:ascii="Times New Roman" w:hAnsi="Times New Roman" w:eastAsia="宋体" w:cs="Times New Roman"/>
                      <w:b/>
                      <w:color w:val="auto"/>
                      <w:kern w:val="0"/>
                      <w:sz w:val="21"/>
                      <w:szCs w:val="21"/>
                      <w:highlight w:val="none"/>
                      <w:shd w:val="clear" w:color="auto" w:fill="auto"/>
                      <w:lang w:val="en-US"/>
                    </w:rPr>
                    <w:t>名称</w:t>
                  </w:r>
                </w:p>
              </w:tc>
              <w:tc>
                <w:tcPr>
                  <w:tcW w:w="2382" w:type="pct"/>
                  <w:tcBorders>
                    <w:tl2br w:val="nil"/>
                    <w:tr2bl w:val="nil"/>
                  </w:tcBorders>
                  <w:tcMar>
                    <w:top w:w="0" w:type="dxa"/>
                    <w:left w:w="0" w:type="dxa"/>
                    <w:bottom w:w="0" w:type="dxa"/>
                    <w:right w:w="0" w:type="dxa"/>
                  </w:tcMar>
                  <w:vAlign w:val="center"/>
                </w:tcPr>
                <w:p w14:paraId="0812BF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shd w:val="clear" w:color="auto" w:fill="auto"/>
                      <w:lang w:val="en-US"/>
                    </w:rPr>
                  </w:pPr>
                  <w:r>
                    <w:rPr>
                      <w:rFonts w:hint="default" w:ascii="Times New Roman" w:hAnsi="Times New Roman" w:eastAsia="宋体" w:cs="Times New Roman"/>
                      <w:b/>
                      <w:color w:val="auto"/>
                      <w:kern w:val="0"/>
                      <w:sz w:val="21"/>
                      <w:szCs w:val="21"/>
                      <w:highlight w:val="none"/>
                      <w:shd w:val="clear" w:color="auto" w:fill="auto"/>
                      <w:lang w:val="en-US"/>
                    </w:rPr>
                    <w:t>理化性质</w:t>
                  </w:r>
                </w:p>
              </w:tc>
              <w:tc>
                <w:tcPr>
                  <w:tcW w:w="953" w:type="pct"/>
                  <w:tcBorders>
                    <w:tl2br w:val="nil"/>
                    <w:tr2bl w:val="nil"/>
                  </w:tcBorders>
                  <w:tcMar>
                    <w:top w:w="0" w:type="dxa"/>
                    <w:left w:w="0" w:type="dxa"/>
                    <w:bottom w:w="0" w:type="dxa"/>
                    <w:right w:w="0" w:type="dxa"/>
                  </w:tcMar>
                  <w:vAlign w:val="center"/>
                </w:tcPr>
                <w:p w14:paraId="58F84B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shd w:val="clear" w:color="auto" w:fill="auto"/>
                      <w:lang w:val="en-US"/>
                    </w:rPr>
                  </w:pPr>
                  <w:r>
                    <w:rPr>
                      <w:rFonts w:hint="default" w:ascii="Times New Roman" w:hAnsi="Times New Roman" w:eastAsia="宋体" w:cs="Times New Roman"/>
                      <w:b/>
                      <w:color w:val="auto"/>
                      <w:kern w:val="0"/>
                      <w:sz w:val="21"/>
                      <w:szCs w:val="21"/>
                      <w:highlight w:val="none"/>
                      <w:shd w:val="clear" w:color="auto" w:fill="auto"/>
                      <w:lang w:val="en-US"/>
                    </w:rPr>
                    <w:t>燃爆性/</w:t>
                  </w:r>
                </w:p>
                <w:p w14:paraId="26DC67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shd w:val="clear" w:color="auto" w:fill="auto"/>
                      <w:lang w:val="en-US"/>
                    </w:rPr>
                  </w:pPr>
                  <w:r>
                    <w:rPr>
                      <w:rFonts w:hint="default" w:ascii="Times New Roman" w:hAnsi="Times New Roman" w:eastAsia="宋体" w:cs="Times New Roman"/>
                      <w:b/>
                      <w:color w:val="auto"/>
                      <w:kern w:val="0"/>
                      <w:sz w:val="21"/>
                      <w:szCs w:val="21"/>
                      <w:highlight w:val="none"/>
                      <w:shd w:val="clear" w:color="auto" w:fill="auto"/>
                      <w:lang w:val="en-US"/>
                    </w:rPr>
                    <w:t>放射性</w:t>
                  </w:r>
                </w:p>
              </w:tc>
              <w:tc>
                <w:tcPr>
                  <w:tcW w:w="1106" w:type="pct"/>
                  <w:tcBorders>
                    <w:tl2br w:val="nil"/>
                    <w:tr2bl w:val="nil"/>
                  </w:tcBorders>
                  <w:tcMar>
                    <w:top w:w="0" w:type="dxa"/>
                    <w:left w:w="0" w:type="dxa"/>
                    <w:bottom w:w="0" w:type="dxa"/>
                    <w:right w:w="0" w:type="dxa"/>
                  </w:tcMar>
                  <w:vAlign w:val="center"/>
                </w:tcPr>
                <w:p w14:paraId="4BE3B3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shd w:val="clear" w:color="auto" w:fill="auto"/>
                      <w:lang w:val="en-US"/>
                    </w:rPr>
                  </w:pPr>
                  <w:r>
                    <w:rPr>
                      <w:rFonts w:hint="default" w:ascii="Times New Roman" w:hAnsi="Times New Roman" w:eastAsia="宋体" w:cs="Times New Roman"/>
                      <w:b/>
                      <w:color w:val="auto"/>
                      <w:kern w:val="0"/>
                      <w:sz w:val="21"/>
                      <w:szCs w:val="21"/>
                      <w:highlight w:val="none"/>
                      <w:shd w:val="clear" w:color="auto" w:fill="auto"/>
                      <w:lang w:val="en-US"/>
                    </w:rPr>
                    <w:t>毒性毒理/</w:t>
                  </w:r>
                </w:p>
                <w:p w14:paraId="64D2A6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kern w:val="0"/>
                      <w:sz w:val="21"/>
                      <w:szCs w:val="21"/>
                      <w:highlight w:val="none"/>
                      <w:shd w:val="clear" w:color="auto" w:fill="auto"/>
                      <w:lang w:val="en-US"/>
                    </w:rPr>
                  </w:pPr>
                  <w:r>
                    <w:rPr>
                      <w:rFonts w:hint="default" w:ascii="Times New Roman" w:hAnsi="Times New Roman" w:eastAsia="宋体" w:cs="Times New Roman"/>
                      <w:b/>
                      <w:color w:val="auto"/>
                      <w:kern w:val="0"/>
                      <w:sz w:val="21"/>
                      <w:szCs w:val="21"/>
                      <w:highlight w:val="none"/>
                      <w:shd w:val="clear" w:color="auto" w:fill="auto"/>
                      <w:lang w:val="en-US"/>
                    </w:rPr>
                    <w:t>危险特性</w:t>
                  </w:r>
                </w:p>
              </w:tc>
            </w:tr>
            <w:tr w14:paraId="186315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3FC23DD7">
                  <w:pPr>
                    <w:pStyle w:val="78"/>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低</w:t>
                  </w:r>
                  <w:r>
                    <w:rPr>
                      <w:rFonts w:hint="default" w:ascii="Times New Roman" w:hAnsi="Times New Roman" w:eastAsia="宋体" w:cs="Times New Roman"/>
                      <w:color w:val="auto"/>
                      <w:sz w:val="21"/>
                      <w:szCs w:val="21"/>
                    </w:rPr>
                    <w:t>密度聚乙烯</w:t>
                  </w: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vertAlign w:val="subscript"/>
                    </w:rPr>
                    <w:t>n</w:t>
                  </w:r>
                </w:p>
              </w:tc>
              <w:tc>
                <w:tcPr>
                  <w:tcW w:w="2382" w:type="pct"/>
                  <w:tcBorders>
                    <w:tl2br w:val="nil"/>
                    <w:tr2bl w:val="nil"/>
                  </w:tcBorders>
                  <w:shd w:val="clear" w:color="auto" w:fill="auto"/>
                  <w:tcMar>
                    <w:top w:w="0" w:type="dxa"/>
                    <w:left w:w="0" w:type="dxa"/>
                    <w:bottom w:w="0" w:type="dxa"/>
                    <w:right w:w="0" w:type="dxa"/>
                  </w:tcMar>
                  <w:vAlign w:val="center"/>
                </w:tcPr>
                <w:p w14:paraId="0E1895EF">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Style w:val="99"/>
                      <w:rFonts w:hint="default" w:ascii="Times New Roman" w:hAnsi="Times New Roman" w:eastAsia="宋体" w:cs="Times New Roman"/>
                      <w:color w:val="auto"/>
                      <w:sz w:val="21"/>
                      <w:szCs w:val="21"/>
                      <w:highlight w:val="none"/>
                    </w:rPr>
                    <w:t>简称</w:t>
                  </w:r>
                  <w:r>
                    <w:rPr>
                      <w:rStyle w:val="99"/>
                      <w:rFonts w:hint="default" w:ascii="Times New Roman" w:hAnsi="Times New Roman" w:eastAsia="宋体" w:cs="Times New Roman"/>
                      <w:color w:val="auto"/>
                      <w:sz w:val="21"/>
                      <w:szCs w:val="21"/>
                      <w:highlight w:val="none"/>
                      <w:lang w:eastAsia="zh-CN"/>
                    </w:rPr>
                    <w:t>：</w:t>
                  </w:r>
                  <w:r>
                    <w:rPr>
                      <w:rStyle w:val="99"/>
                      <w:rFonts w:hint="default" w:ascii="Times New Roman" w:hAnsi="Times New Roman" w:eastAsia="宋体" w:cs="Times New Roman"/>
                      <w:color w:val="auto"/>
                      <w:sz w:val="21"/>
                      <w:szCs w:val="21"/>
                      <w:highlight w:val="none"/>
                      <w:lang w:val="en-US" w:eastAsia="zh-CN"/>
                    </w:rPr>
                    <w:t>L</w:t>
                  </w:r>
                  <w:r>
                    <w:rPr>
                      <w:rStyle w:val="99"/>
                      <w:rFonts w:hint="default" w:ascii="Times New Roman" w:hAnsi="Times New Roman" w:eastAsia="宋体" w:cs="Times New Roman"/>
                      <w:color w:val="auto"/>
                      <w:sz w:val="21"/>
                      <w:szCs w:val="21"/>
                      <w:highlight w:val="none"/>
                    </w:rPr>
                    <w:t>DPE，</w:t>
                  </w:r>
                  <w:r>
                    <w:rPr>
                      <w:rStyle w:val="100"/>
                      <w:rFonts w:hint="default" w:ascii="Times New Roman" w:hAnsi="Times New Roman" w:eastAsia="宋体" w:cs="Times New Roman"/>
                      <w:color w:val="auto"/>
                      <w:sz w:val="21"/>
                      <w:szCs w:val="21"/>
                      <w:highlight w:val="none"/>
                    </w:rPr>
                    <w:t>CAS</w:t>
                  </w:r>
                  <w:r>
                    <w:rPr>
                      <w:rStyle w:val="99"/>
                      <w:rFonts w:hint="default" w:ascii="Times New Roman" w:hAnsi="Times New Roman" w:eastAsia="宋体" w:cs="Times New Roman"/>
                      <w:color w:val="auto"/>
                      <w:sz w:val="21"/>
                      <w:szCs w:val="21"/>
                      <w:highlight w:val="none"/>
                    </w:rPr>
                    <w:t>号</w:t>
                  </w:r>
                  <w:r>
                    <w:rPr>
                      <w:rStyle w:val="100"/>
                      <w:rFonts w:hint="default" w:ascii="Times New Roman" w:hAnsi="Times New Roman" w:eastAsia="宋体" w:cs="Times New Roman"/>
                      <w:color w:val="auto"/>
                      <w:sz w:val="21"/>
                      <w:szCs w:val="21"/>
                      <w:highlight w:val="none"/>
                    </w:rPr>
                    <w:t>:9002-88-4</w:t>
                  </w:r>
                  <w:r>
                    <w:rPr>
                      <w:rStyle w:val="99"/>
                      <w:rFonts w:hint="default" w:ascii="Times New Roman" w:hAnsi="Times New Roman" w:eastAsia="宋体" w:cs="Times New Roman"/>
                      <w:color w:val="auto"/>
                      <w:sz w:val="21"/>
                      <w:szCs w:val="21"/>
                      <w:highlight w:val="none"/>
                    </w:rPr>
                    <w:t>，熔点：1</w:t>
                  </w:r>
                  <w:r>
                    <w:rPr>
                      <w:rStyle w:val="99"/>
                      <w:rFonts w:hint="default" w:ascii="Times New Roman" w:hAnsi="Times New Roman" w:cs="Times New Roman"/>
                      <w:color w:val="auto"/>
                      <w:sz w:val="21"/>
                      <w:szCs w:val="21"/>
                      <w:highlight w:val="none"/>
                      <w:lang w:val="en-US" w:eastAsia="zh-CN"/>
                    </w:rPr>
                    <w:t>10</w:t>
                  </w:r>
                  <w:r>
                    <w:rPr>
                      <w:rStyle w:val="99"/>
                      <w:rFonts w:hint="default" w:ascii="Times New Roman" w:hAnsi="Times New Roman" w:eastAsia="宋体" w:cs="Times New Roman"/>
                      <w:color w:val="auto"/>
                      <w:sz w:val="21"/>
                      <w:szCs w:val="21"/>
                      <w:highlight w:val="none"/>
                    </w:rPr>
                    <w:t>至1</w:t>
                  </w:r>
                  <w:r>
                    <w:rPr>
                      <w:rStyle w:val="99"/>
                      <w:rFonts w:hint="default" w:ascii="Times New Roman" w:hAnsi="Times New Roman" w:cs="Times New Roman"/>
                      <w:color w:val="auto"/>
                      <w:sz w:val="21"/>
                      <w:szCs w:val="21"/>
                      <w:highlight w:val="none"/>
                      <w:lang w:val="en-US" w:eastAsia="zh-CN"/>
                    </w:rPr>
                    <w:t>2</w:t>
                  </w:r>
                  <w:r>
                    <w:rPr>
                      <w:rStyle w:val="99"/>
                      <w:rFonts w:hint="default" w:ascii="Times New Roman" w:hAnsi="Times New Roman" w:eastAsia="宋体" w:cs="Times New Roman"/>
                      <w:color w:val="auto"/>
                      <w:sz w:val="21"/>
                      <w:szCs w:val="21"/>
                      <w:highlight w:val="none"/>
                    </w:rPr>
                    <w:t>5°C</w:t>
                  </w:r>
                  <w:r>
                    <w:rPr>
                      <w:rStyle w:val="99"/>
                      <w:rFonts w:hint="default" w:ascii="Times New Roman" w:hAnsi="Times New Roman" w:eastAsia="宋体" w:cs="Times New Roman"/>
                      <w:color w:val="auto"/>
                      <w:sz w:val="21"/>
                      <w:szCs w:val="21"/>
                      <w:highlight w:val="none"/>
                      <w:lang w:eastAsia="zh-CN"/>
                    </w:rPr>
                    <w:t>，</w:t>
                  </w:r>
                  <w:r>
                    <w:rPr>
                      <w:rStyle w:val="99"/>
                      <w:rFonts w:hint="default" w:ascii="Times New Roman" w:hAnsi="Times New Roman" w:eastAsia="宋体" w:cs="Times New Roman"/>
                      <w:color w:val="auto"/>
                      <w:sz w:val="21"/>
                      <w:szCs w:val="21"/>
                      <w:highlight w:val="none"/>
                    </w:rPr>
                    <w:t>密度：0.91</w:t>
                  </w:r>
                  <w:r>
                    <w:rPr>
                      <w:rStyle w:val="99"/>
                      <w:rFonts w:hint="default" w:ascii="Times New Roman" w:hAnsi="Times New Roman" w:cs="Times New Roman"/>
                      <w:color w:val="auto"/>
                      <w:sz w:val="21"/>
                      <w:szCs w:val="21"/>
                      <w:highlight w:val="none"/>
                      <w:lang w:val="en-US" w:eastAsia="zh-CN"/>
                    </w:rPr>
                    <w:t>8</w:t>
                  </w:r>
                  <w:r>
                    <w:rPr>
                      <w:rStyle w:val="99"/>
                      <w:rFonts w:hint="default" w:ascii="Times New Roman" w:hAnsi="Times New Roman" w:eastAsia="宋体" w:cs="Times New Roman"/>
                      <w:color w:val="auto"/>
                      <w:sz w:val="21"/>
                      <w:szCs w:val="21"/>
                      <w:highlight w:val="none"/>
                    </w:rPr>
                    <w:t>–0.9</w:t>
                  </w:r>
                  <w:r>
                    <w:rPr>
                      <w:rStyle w:val="99"/>
                      <w:rFonts w:hint="default" w:ascii="Times New Roman" w:hAnsi="Times New Roman" w:cs="Times New Roman"/>
                      <w:color w:val="auto"/>
                      <w:sz w:val="21"/>
                      <w:szCs w:val="21"/>
                      <w:highlight w:val="none"/>
                      <w:lang w:val="en-US" w:eastAsia="zh-CN"/>
                    </w:rPr>
                    <w:t>3</w:t>
                  </w:r>
                  <w:r>
                    <w:rPr>
                      <w:rStyle w:val="99"/>
                      <w:rFonts w:hint="default" w:ascii="Times New Roman" w:hAnsi="Times New Roman" w:eastAsia="宋体" w:cs="Times New Roman"/>
                      <w:color w:val="auto"/>
                      <w:sz w:val="21"/>
                      <w:szCs w:val="21"/>
                      <w:highlight w:val="none"/>
                      <w:lang w:val="en-US" w:eastAsia="zh-CN"/>
                    </w:rPr>
                    <w:t>5</w:t>
                  </w:r>
                  <w:r>
                    <w:rPr>
                      <w:rStyle w:val="99"/>
                      <w:rFonts w:hint="default" w:ascii="Times New Roman" w:hAnsi="Times New Roman" w:eastAsia="宋体" w:cs="Times New Roman"/>
                      <w:color w:val="auto"/>
                      <w:sz w:val="21"/>
                      <w:szCs w:val="21"/>
                      <w:highlight w:val="none"/>
                    </w:rPr>
                    <w:t>克/</w:t>
                  </w:r>
                  <w:r>
                    <w:rPr>
                      <w:rStyle w:val="99"/>
                      <w:rFonts w:hint="default" w:ascii="Times New Roman" w:hAnsi="Times New Roman" w:eastAsia="宋体" w:cs="Times New Roman"/>
                      <w:color w:val="auto"/>
                      <w:sz w:val="21"/>
                      <w:szCs w:val="21"/>
                      <w:highlight w:val="none"/>
                      <w:lang w:val="en-US" w:eastAsia="zh-CN"/>
                    </w:rPr>
                    <w:t>ml</w:t>
                  </w:r>
                  <w:r>
                    <w:rPr>
                      <w:rStyle w:val="99"/>
                      <w:rFonts w:hint="default" w:ascii="Times New Roman" w:hAnsi="Times New Roman" w:eastAsia="宋体" w:cs="Times New Roman"/>
                      <w:color w:val="auto"/>
                      <w:sz w:val="21"/>
                      <w:szCs w:val="21"/>
                      <w:highlight w:val="none"/>
                      <w:lang w:eastAsia="zh-CN"/>
                    </w:rPr>
                    <w:t>，</w:t>
                  </w:r>
                  <w:r>
                    <w:rPr>
                      <w:rStyle w:val="99"/>
                      <w:rFonts w:hint="default" w:ascii="Times New Roman" w:hAnsi="Times New Roman" w:eastAsia="宋体" w:cs="Times New Roman"/>
                      <w:color w:val="auto"/>
                      <w:sz w:val="21"/>
                      <w:szCs w:val="21"/>
                      <w:highlight w:val="none"/>
                    </w:rPr>
                    <w:t>耐化学性：对醇、稀碱和酸具有良好的耐受性</w:t>
                  </w:r>
                  <w:r>
                    <w:rPr>
                      <w:rStyle w:val="99"/>
                      <w:rFonts w:hint="default" w:ascii="Times New Roman" w:hAnsi="Times New Roman" w:eastAsia="宋体" w:cs="Times New Roman"/>
                      <w:color w:val="auto"/>
                      <w:sz w:val="21"/>
                      <w:szCs w:val="21"/>
                      <w:highlight w:val="none"/>
                      <w:lang w:eastAsia="zh-CN"/>
                    </w:rPr>
                    <w:t>，</w:t>
                  </w:r>
                  <w:r>
                    <w:rPr>
                      <w:rStyle w:val="99"/>
                      <w:rFonts w:hint="default" w:ascii="Times New Roman" w:hAnsi="Times New Roman" w:eastAsia="宋体" w:cs="Times New Roman"/>
                      <w:color w:val="auto"/>
                      <w:sz w:val="21"/>
                      <w:szCs w:val="21"/>
                      <w:highlight w:val="none"/>
                    </w:rPr>
                    <w:t>对脂肪族和芳香烃、矿物油、氧化剂和卤代烃的抵抗力有限</w:t>
                  </w:r>
                  <w:r>
                    <w:rPr>
                      <w:rStyle w:val="99"/>
                      <w:rFonts w:hint="default" w:ascii="Times New Roman" w:hAnsi="Times New Roman" w:eastAsia="宋体" w:cs="Times New Roman"/>
                      <w:color w:val="auto"/>
                      <w:sz w:val="21"/>
                      <w:szCs w:val="21"/>
                      <w:highlight w:val="none"/>
                      <w:lang w:eastAsia="zh-CN"/>
                    </w:rPr>
                    <w:t>，</w:t>
                  </w:r>
                  <w:r>
                    <w:rPr>
                      <w:rStyle w:val="99"/>
                      <w:rFonts w:hint="default" w:ascii="Times New Roman" w:hAnsi="Times New Roman" w:eastAsia="宋体" w:cs="Times New Roman"/>
                      <w:color w:val="auto"/>
                      <w:sz w:val="21"/>
                      <w:szCs w:val="21"/>
                      <w:highlight w:val="none"/>
                    </w:rPr>
                    <w:t>耐温连续可达80°C，短时间耐95°C。</w:t>
                  </w:r>
                  <w:r>
                    <w:rPr>
                      <w:rStyle w:val="99"/>
                      <w:rFonts w:hint="default" w:ascii="Times New Roman" w:hAnsi="Times New Roman" w:eastAsia="宋体" w:cs="Times New Roman"/>
                      <w:color w:val="auto"/>
                      <w:sz w:val="21"/>
                      <w:szCs w:val="21"/>
                      <w:highlight w:val="none"/>
                      <w:lang w:val="en-US" w:eastAsia="zh-CN"/>
                    </w:rPr>
                    <w:t>L</w:t>
                  </w:r>
                  <w:r>
                    <w:rPr>
                      <w:rStyle w:val="99"/>
                      <w:rFonts w:hint="eastAsia" w:ascii="Times New Roman" w:hAnsi="Times New Roman" w:cs="Times New Roman"/>
                      <w:color w:val="auto"/>
                      <w:sz w:val="21"/>
                      <w:szCs w:val="21"/>
                      <w:highlight w:val="none"/>
                      <w:lang w:val="en-US" w:eastAsia="zh-CN"/>
                    </w:rPr>
                    <w:t>L</w:t>
                  </w:r>
                  <w:r>
                    <w:rPr>
                      <w:rStyle w:val="99"/>
                      <w:rFonts w:hint="default" w:ascii="Times New Roman" w:hAnsi="Times New Roman" w:eastAsia="宋体" w:cs="Times New Roman"/>
                      <w:color w:val="auto"/>
                      <w:sz w:val="21"/>
                      <w:szCs w:val="21"/>
                      <w:highlight w:val="none"/>
                      <w:lang w:val="en-US" w:eastAsia="zh-CN"/>
                    </w:rPr>
                    <w:t>DPE为</w:t>
                  </w:r>
                  <w:r>
                    <w:rPr>
                      <w:rStyle w:val="99"/>
                      <w:rFonts w:hint="default" w:ascii="Times New Roman" w:hAnsi="Times New Roman" w:eastAsia="宋体" w:cs="Times New Roman"/>
                      <w:color w:val="auto"/>
                      <w:sz w:val="21"/>
                      <w:szCs w:val="21"/>
                      <w:highlight w:val="none"/>
                    </w:rPr>
                    <w:t>低成本聚合物，具有良好的加工性能</w:t>
                  </w:r>
                  <w:r>
                    <w:rPr>
                      <w:rStyle w:val="99"/>
                      <w:rFonts w:hint="default" w:ascii="Times New Roman" w:hAnsi="Times New Roman" w:eastAsia="宋体" w:cs="Times New Roman"/>
                      <w:color w:val="auto"/>
                      <w:sz w:val="21"/>
                      <w:szCs w:val="21"/>
                      <w:highlight w:val="none"/>
                      <w:lang w:eastAsia="zh-CN"/>
                    </w:rPr>
                    <w:t>，</w:t>
                  </w:r>
                  <w:r>
                    <w:rPr>
                      <w:rStyle w:val="99"/>
                      <w:rFonts w:hint="default" w:ascii="Times New Roman" w:hAnsi="Times New Roman" w:eastAsia="宋体" w:cs="Times New Roman"/>
                      <w:color w:val="auto"/>
                      <w:sz w:val="21"/>
                      <w:szCs w:val="21"/>
                      <w:highlight w:val="none"/>
                    </w:rPr>
                    <w:t>低温冲击强度高，耐候性好</w:t>
                  </w:r>
                  <w:r>
                    <w:rPr>
                      <w:rStyle w:val="99"/>
                      <w:rFonts w:hint="default" w:ascii="Times New Roman" w:hAnsi="Times New Roman" w:eastAsia="宋体" w:cs="Times New Roman"/>
                      <w:color w:val="auto"/>
                      <w:sz w:val="21"/>
                      <w:szCs w:val="21"/>
                      <w:highlight w:val="none"/>
                      <w:lang w:eastAsia="zh-CN"/>
                    </w:rPr>
                    <w:t>，</w:t>
                  </w:r>
                  <w:r>
                    <w:rPr>
                      <w:rStyle w:val="99"/>
                      <w:rFonts w:hint="default" w:ascii="Times New Roman" w:hAnsi="Times New Roman" w:eastAsia="宋体" w:cs="Times New Roman"/>
                      <w:color w:val="auto"/>
                      <w:sz w:val="21"/>
                      <w:szCs w:val="21"/>
                      <w:highlight w:val="none"/>
                      <w:lang w:val="en-US" w:eastAsia="zh-CN"/>
                    </w:rPr>
                    <w:t>具有</w:t>
                  </w:r>
                  <w:r>
                    <w:rPr>
                      <w:rStyle w:val="99"/>
                      <w:rFonts w:hint="default" w:ascii="Times New Roman" w:hAnsi="Times New Roman" w:eastAsia="宋体" w:cs="Times New Roman"/>
                      <w:color w:val="auto"/>
                      <w:sz w:val="21"/>
                      <w:szCs w:val="21"/>
                      <w:highlight w:val="none"/>
                    </w:rPr>
                    <w:t>优异的电绝缘性能</w:t>
                  </w:r>
                </w:p>
              </w:tc>
              <w:tc>
                <w:tcPr>
                  <w:tcW w:w="953" w:type="pct"/>
                  <w:tcBorders>
                    <w:tl2br w:val="nil"/>
                    <w:tr2bl w:val="nil"/>
                  </w:tcBorders>
                  <w:shd w:val="clear" w:color="auto" w:fill="auto"/>
                  <w:tcMar>
                    <w:top w:w="0" w:type="dxa"/>
                    <w:left w:w="0" w:type="dxa"/>
                    <w:bottom w:w="0" w:type="dxa"/>
                    <w:right w:w="0" w:type="dxa"/>
                  </w:tcMar>
                  <w:vAlign w:val="center"/>
                </w:tcPr>
                <w:p w14:paraId="156F6C3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易</w:t>
                  </w:r>
                  <w:r>
                    <w:rPr>
                      <w:rFonts w:hint="default" w:ascii="Times New Roman" w:hAnsi="Times New Roman" w:eastAsia="宋体" w:cs="Times New Roman"/>
                      <w:color w:val="auto"/>
                      <w:sz w:val="21"/>
                      <w:szCs w:val="21"/>
                      <w:highlight w:val="none"/>
                    </w:rPr>
                    <w:t>燃</w:t>
                  </w:r>
                </w:p>
              </w:tc>
              <w:tc>
                <w:tcPr>
                  <w:tcW w:w="1106" w:type="pct"/>
                  <w:tcBorders>
                    <w:tl2br w:val="nil"/>
                    <w:tr2bl w:val="nil"/>
                  </w:tcBorders>
                  <w:shd w:val="clear" w:color="auto" w:fill="auto"/>
                  <w:tcMar>
                    <w:top w:w="0" w:type="dxa"/>
                    <w:left w:w="0" w:type="dxa"/>
                    <w:bottom w:w="0" w:type="dxa"/>
                    <w:right w:w="0" w:type="dxa"/>
                  </w:tcMar>
                  <w:vAlign w:val="center"/>
                </w:tcPr>
                <w:p w14:paraId="6D068BE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无毒</w:t>
                  </w:r>
                </w:p>
              </w:tc>
            </w:tr>
            <w:tr w14:paraId="57254A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7A824F04">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水性油墨</w:t>
                  </w:r>
                </w:p>
              </w:tc>
              <w:tc>
                <w:tcPr>
                  <w:tcW w:w="2382" w:type="pct"/>
                  <w:tcBorders>
                    <w:tl2br w:val="nil"/>
                    <w:tr2bl w:val="nil"/>
                  </w:tcBorders>
                  <w:shd w:val="clear" w:color="auto" w:fill="auto"/>
                  <w:tcMar>
                    <w:top w:w="0" w:type="dxa"/>
                    <w:left w:w="0" w:type="dxa"/>
                    <w:bottom w:w="0" w:type="dxa"/>
                    <w:right w:w="0" w:type="dxa"/>
                  </w:tcMar>
                  <w:vAlign w:val="center"/>
                </w:tcPr>
                <w:p w14:paraId="246E99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外观</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液体</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颜色</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多种颜色</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气味</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奶香味</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气味阈值</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微酸</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pH</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8</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熔点/凝固点</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 xml:space="preserve"> 无相关详细资料</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沸点/沸程</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100℃</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闪点: 100℃</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蒸发速率</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无相关详细资料</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易燃性（固体、气体）</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不适用</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爆炸限值下限</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上限</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无相关详细资料</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蒸气压: 无相关详细资料</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蒸气密度</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无相关详细资料</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密度: 0.98 g/cm</w:t>
                  </w:r>
                  <w:r>
                    <w:rPr>
                      <w:rFonts w:hint="default" w:ascii="Times New Roman" w:hAnsi="Times New Roman" w:eastAsia="宋体" w:cs="Times New Roman"/>
                      <w:color w:val="auto"/>
                      <w:kern w:val="2"/>
                      <w:sz w:val="21"/>
                      <w:szCs w:val="21"/>
                      <w:highlight w:val="none"/>
                      <w:shd w:val="clear" w:color="auto" w:fill="auto"/>
                      <w:vertAlign w:val="superscript"/>
                      <w:lang w:val="en-US" w:eastAsia="zh-CN" w:bidi="ar-SA"/>
                    </w:rPr>
                    <w:t>3</w:t>
                  </w:r>
                </w:p>
              </w:tc>
              <w:tc>
                <w:tcPr>
                  <w:tcW w:w="953" w:type="pct"/>
                  <w:tcBorders>
                    <w:tl2br w:val="nil"/>
                    <w:tr2bl w:val="nil"/>
                  </w:tcBorders>
                  <w:shd w:val="clear" w:color="auto" w:fill="auto"/>
                  <w:tcMar>
                    <w:top w:w="0" w:type="dxa"/>
                    <w:left w:w="0" w:type="dxa"/>
                    <w:bottom w:w="0" w:type="dxa"/>
                    <w:right w:w="0" w:type="dxa"/>
                  </w:tcMar>
                  <w:vAlign w:val="center"/>
                </w:tcPr>
                <w:p w14:paraId="0C6D5F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不燃</w:t>
                  </w:r>
                </w:p>
              </w:tc>
              <w:tc>
                <w:tcPr>
                  <w:tcW w:w="1106" w:type="pct"/>
                  <w:tcBorders>
                    <w:tl2br w:val="nil"/>
                    <w:tr2bl w:val="nil"/>
                  </w:tcBorders>
                  <w:shd w:val="clear" w:color="auto" w:fill="auto"/>
                  <w:tcMar>
                    <w:top w:w="0" w:type="dxa"/>
                    <w:left w:w="0" w:type="dxa"/>
                    <w:bottom w:w="0" w:type="dxa"/>
                    <w:right w:w="0" w:type="dxa"/>
                  </w:tcMar>
                  <w:vAlign w:val="center"/>
                </w:tcPr>
                <w:p w14:paraId="422BC9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无资料</w:t>
                  </w:r>
                </w:p>
              </w:tc>
            </w:tr>
            <w:tr w14:paraId="3282B2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6F14E688">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油性油墨</w:t>
                  </w:r>
                </w:p>
              </w:tc>
              <w:tc>
                <w:tcPr>
                  <w:tcW w:w="2382" w:type="pct"/>
                  <w:tcBorders>
                    <w:tl2br w:val="nil"/>
                    <w:tr2bl w:val="nil"/>
                  </w:tcBorders>
                  <w:shd w:val="clear" w:color="auto" w:fill="auto"/>
                  <w:tcMar>
                    <w:top w:w="0" w:type="dxa"/>
                    <w:left w:w="0" w:type="dxa"/>
                    <w:bottom w:w="0" w:type="dxa"/>
                    <w:right w:w="0" w:type="dxa"/>
                  </w:tcMar>
                  <w:vAlign w:val="center"/>
                </w:tcPr>
                <w:p w14:paraId="0A08C5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沸点 (℃)：70.2 ℃</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饱和蒸汽压 (kPa)：13.33 /(27℃)</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相对密度(空气=1)：3.34</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自然温度 (℃)：426</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临界压力 (MPa)：3.83</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相对密度(水=1)：0.90</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爆炸上限(v/v)：11.5</w:t>
                  </w:r>
                </w:p>
                <w:p w14:paraId="6BA79A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爆炸下限(v/v)：2.0</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闪点 (℃)：-4℃(13 ℃开杯)</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临界温度(℃)：250.1℃</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溶解性：微溶于水，溶于丁酮、氯仿、醇、醚等多数有机溶剂</w:t>
                  </w:r>
                </w:p>
              </w:tc>
              <w:tc>
                <w:tcPr>
                  <w:tcW w:w="953" w:type="pct"/>
                  <w:tcBorders>
                    <w:tl2br w:val="nil"/>
                    <w:tr2bl w:val="nil"/>
                  </w:tcBorders>
                  <w:shd w:val="clear" w:color="auto" w:fill="auto"/>
                  <w:tcMar>
                    <w:top w:w="0" w:type="dxa"/>
                    <w:left w:w="0" w:type="dxa"/>
                    <w:bottom w:w="0" w:type="dxa"/>
                    <w:right w:w="0" w:type="dxa"/>
                  </w:tcMar>
                  <w:vAlign w:val="center"/>
                </w:tcPr>
                <w:p w14:paraId="65201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lang w:val="en-US" w:eastAsia="zh-CN"/>
                    </w:rPr>
                    <w:t>易</w:t>
                  </w:r>
                  <w:r>
                    <w:rPr>
                      <w:rFonts w:hint="default" w:ascii="Times New Roman" w:hAnsi="Times New Roman" w:eastAsia="宋体" w:cs="Times New Roman"/>
                      <w:color w:val="auto"/>
                      <w:sz w:val="21"/>
                      <w:szCs w:val="21"/>
                      <w:highlight w:val="none"/>
                    </w:rPr>
                    <w:t>燃</w:t>
                  </w:r>
                </w:p>
              </w:tc>
              <w:tc>
                <w:tcPr>
                  <w:tcW w:w="1106" w:type="pct"/>
                  <w:tcBorders>
                    <w:tl2br w:val="nil"/>
                    <w:tr2bl w:val="nil"/>
                  </w:tcBorders>
                  <w:shd w:val="clear" w:color="auto" w:fill="auto"/>
                  <w:tcMar>
                    <w:top w:w="0" w:type="dxa"/>
                    <w:left w:w="0" w:type="dxa"/>
                    <w:bottom w:w="0" w:type="dxa"/>
                    <w:right w:w="0" w:type="dxa"/>
                  </w:tcMar>
                  <w:vAlign w:val="center"/>
                </w:tcPr>
                <w:p w14:paraId="5B37E7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LD</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5620mg/kg (大鼠经口)；4940mg/kg (兔经口) 。LC</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5760mg/m</w:t>
                  </w:r>
                  <w:r>
                    <w:rPr>
                      <w:rFonts w:hint="default" w:ascii="Times New Roman" w:hAnsi="Times New Roman" w:eastAsia="宋体" w:cs="Times New Roman"/>
                      <w:color w:val="auto"/>
                      <w:kern w:val="2"/>
                      <w:sz w:val="21"/>
                      <w:szCs w:val="21"/>
                      <w:highlight w:val="none"/>
                      <w:shd w:val="clear" w:color="auto" w:fill="auto"/>
                      <w:vertAlign w:val="superscript"/>
                      <w:lang w:val="en-US" w:eastAsia="zh-CN" w:bidi="ar-SA"/>
                    </w:rPr>
                    <w:t>3</w:t>
                  </w:r>
                  <w:r>
                    <w:rPr>
                      <w:rFonts w:hint="default" w:ascii="Times New Roman" w:hAnsi="Times New Roman" w:eastAsia="宋体" w:cs="Times New Roman"/>
                      <w:color w:val="auto"/>
                      <w:kern w:val="2"/>
                      <w:sz w:val="21"/>
                      <w:szCs w:val="21"/>
                      <w:highlight w:val="none"/>
                      <w:shd w:val="clear" w:color="auto" w:fill="auto"/>
                      <w:lang w:val="en-US" w:eastAsia="zh-CN" w:bidi="ar-SA"/>
                    </w:rPr>
                    <w:t>，8小时</w:t>
                  </w:r>
                </w:p>
                <w:p w14:paraId="1C789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大鼠吸入</w:t>
                  </w: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r>
            <w:tr w14:paraId="12883F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1610E9A4">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SA"/>
                    </w:rPr>
                    <w:t>乙酸乙酯</w:t>
                  </w:r>
                </w:p>
              </w:tc>
              <w:tc>
                <w:tcPr>
                  <w:tcW w:w="2382" w:type="pct"/>
                  <w:tcBorders>
                    <w:tl2br w:val="nil"/>
                    <w:tr2bl w:val="nil"/>
                  </w:tcBorders>
                  <w:shd w:val="clear" w:color="auto" w:fill="auto"/>
                  <w:tcMar>
                    <w:top w:w="0" w:type="dxa"/>
                    <w:left w:w="0" w:type="dxa"/>
                    <w:bottom w:w="0" w:type="dxa"/>
                    <w:right w:w="0" w:type="dxa"/>
                  </w:tcMar>
                  <w:vAlign w:val="center"/>
                </w:tcPr>
                <w:p w14:paraId="2C7542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分子式：C</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8</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2</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分子量：88.10</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外观与性状：无色澄清液体，有芳香气味，易挥发。</w:t>
                  </w:r>
                </w:p>
                <w:p w14:paraId="330422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熔点℃：-83.6</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沸点℃：7</w:t>
                  </w:r>
                  <w:r>
                    <w:rPr>
                      <w:rFonts w:hint="eastAsia" w:ascii="Times New Roman" w:hAnsi="Times New Roman" w:eastAsia="宋体" w:cs="Times New Roman"/>
                      <w:color w:val="auto"/>
                      <w:sz w:val="21"/>
                      <w:szCs w:val="21"/>
                      <w:lang w:eastAsia="zh-CN"/>
                    </w:rPr>
                    <w:t>7</w:t>
                  </w: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相对密度</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：0.90</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相对密度</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空气=1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：3.04</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饱和蒸气压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kPa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：13.33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27℃</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闪点</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溶解性：微溶于水，溶于醇、酮、醚、氯仿等有机溶剂。</w:t>
                  </w:r>
                </w:p>
              </w:tc>
              <w:tc>
                <w:tcPr>
                  <w:tcW w:w="953" w:type="pct"/>
                  <w:tcBorders>
                    <w:tl2br w:val="nil"/>
                    <w:tr2bl w:val="nil"/>
                  </w:tcBorders>
                  <w:shd w:val="clear" w:color="auto" w:fill="auto"/>
                  <w:tcMar>
                    <w:top w:w="0" w:type="dxa"/>
                    <w:left w:w="0" w:type="dxa"/>
                    <w:bottom w:w="0" w:type="dxa"/>
                    <w:right w:w="0" w:type="dxa"/>
                  </w:tcMar>
                  <w:vAlign w:val="center"/>
                </w:tcPr>
                <w:p w14:paraId="7EEA6F4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易燃，其蒸气与空气可形成爆炸性混合物。遇明火、高热能引起燃烧爆炸。与氧化剂接触会猛烈反应。</w:t>
                  </w:r>
                </w:p>
              </w:tc>
              <w:tc>
                <w:tcPr>
                  <w:tcW w:w="1106" w:type="pct"/>
                  <w:tcBorders>
                    <w:tl2br w:val="nil"/>
                    <w:tr2bl w:val="nil"/>
                  </w:tcBorders>
                  <w:shd w:val="clear" w:color="auto" w:fill="auto"/>
                  <w:tcMar>
                    <w:top w:w="0" w:type="dxa"/>
                    <w:left w:w="0" w:type="dxa"/>
                    <w:bottom w:w="0" w:type="dxa"/>
                    <w:right w:w="0" w:type="dxa"/>
                  </w:tcMar>
                  <w:vAlign w:val="center"/>
                </w:tcPr>
                <w:p w14:paraId="0ADF351E">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LD</w:t>
                  </w:r>
                  <w:r>
                    <w:rPr>
                      <w:rFonts w:hint="default" w:ascii="Times New Roman" w:hAnsi="Times New Roman" w:eastAsia="宋体" w:cs="Times New Roman"/>
                      <w:color w:val="auto"/>
                      <w:sz w:val="21"/>
                      <w:szCs w:val="21"/>
                      <w:vertAlign w:val="subscript"/>
                    </w:rPr>
                    <w:t>50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27</w:t>
                  </w:r>
                  <w:r>
                    <w:rPr>
                      <w:rFonts w:hint="default" w:ascii="Times New Roman" w:hAnsi="Times New Roman" w:eastAsia="宋体" w:cs="Times New Roman"/>
                      <w:color w:val="auto"/>
                      <w:sz w:val="21"/>
                      <w:szCs w:val="21"/>
                    </w:rPr>
                    <w:t>40 mg/kg</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兔经</w:t>
                  </w:r>
                  <w:r>
                    <w:rPr>
                      <w:rFonts w:hint="eastAsia" w:ascii="Times New Roman" w:hAnsi="Times New Roman" w:eastAsia="宋体" w:cs="Times New Roman"/>
                      <w:color w:val="auto"/>
                      <w:sz w:val="21"/>
                      <w:szCs w:val="21"/>
                      <w:lang w:val="en-US" w:eastAsia="zh-CN"/>
                    </w:rPr>
                    <w:t>皮</w:t>
                  </w:r>
                  <w:r>
                    <w:rPr>
                      <w:rFonts w:hint="default" w:ascii="Times New Roman" w:hAnsi="Times New Roman" w:eastAsia="宋体" w:cs="Times New Roman"/>
                      <w:color w:val="auto"/>
                      <w:sz w:val="21"/>
                      <w:szCs w:val="21"/>
                      <w:lang w:eastAsia="zh-CN"/>
                    </w:rPr>
                    <w:t>）</w:t>
                  </w:r>
                </w:p>
              </w:tc>
            </w:tr>
            <w:tr w14:paraId="66D16C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32C01289">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双组份无溶剂聚氨酯粘合剂</w:t>
                  </w:r>
                </w:p>
              </w:tc>
              <w:tc>
                <w:tcPr>
                  <w:tcW w:w="2382" w:type="pct"/>
                  <w:tcBorders>
                    <w:tl2br w:val="nil"/>
                    <w:tr2bl w:val="nil"/>
                  </w:tcBorders>
                  <w:shd w:val="clear" w:color="auto" w:fill="auto"/>
                  <w:tcMar>
                    <w:top w:w="0" w:type="dxa"/>
                    <w:left w:w="0" w:type="dxa"/>
                    <w:bottom w:w="0" w:type="dxa"/>
                    <w:right w:w="0" w:type="dxa"/>
                  </w:tcMar>
                  <w:vAlign w:val="center"/>
                </w:tcPr>
                <w:p w14:paraId="1BE5F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外观与性状：淡黄色至浅棕红色透明粘稠液体</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闪点（℃）：200℃</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相对密度（水=1）： 1.05-1.35</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易燃性：非易燃</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溶解性：溶于甲苯、丙酮、乙酸乙酯及醚类溶剂。</w:t>
                  </w:r>
                </w:p>
              </w:tc>
              <w:tc>
                <w:tcPr>
                  <w:tcW w:w="953" w:type="pct"/>
                  <w:tcBorders>
                    <w:tl2br w:val="nil"/>
                    <w:tr2bl w:val="nil"/>
                  </w:tcBorders>
                  <w:shd w:val="clear" w:color="auto" w:fill="auto"/>
                  <w:tcMar>
                    <w:top w:w="0" w:type="dxa"/>
                    <w:left w:w="0" w:type="dxa"/>
                    <w:bottom w:w="0" w:type="dxa"/>
                    <w:right w:w="0" w:type="dxa"/>
                  </w:tcMar>
                  <w:vAlign w:val="center"/>
                </w:tcPr>
                <w:p w14:paraId="2EAF47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可燃</w:t>
                  </w:r>
                </w:p>
              </w:tc>
              <w:tc>
                <w:tcPr>
                  <w:tcW w:w="1106" w:type="pct"/>
                  <w:tcBorders>
                    <w:tl2br w:val="nil"/>
                    <w:tr2bl w:val="nil"/>
                  </w:tcBorders>
                  <w:shd w:val="clear" w:color="auto" w:fill="auto"/>
                  <w:tcMar>
                    <w:top w:w="0" w:type="dxa"/>
                    <w:left w:w="0" w:type="dxa"/>
                    <w:bottom w:w="0" w:type="dxa"/>
                    <w:right w:w="0" w:type="dxa"/>
                  </w:tcMar>
                  <w:vAlign w:val="center"/>
                </w:tcPr>
                <w:p w14:paraId="5F10D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LD</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default" w:ascii="Times New Roman" w:hAnsi="Times New Roman" w:eastAsia="宋体" w:cs="Times New Roman"/>
                      <w:color w:val="auto"/>
                      <w:kern w:val="2"/>
                      <w:sz w:val="21"/>
                      <w:szCs w:val="21"/>
                      <w:highlight w:val="none"/>
                      <w:shd w:val="clear" w:color="auto" w:fill="auto"/>
                      <w:lang w:val="en-US" w:eastAsia="zh-CN" w:bidi="ar-SA"/>
                    </w:rPr>
                    <w:t>:</w:t>
                  </w:r>
                  <w:r>
                    <w:rPr>
                      <w:rFonts w:hint="eastAsia" w:ascii="Times New Roman" w:hAnsi="Times New Roman" w:eastAsia="宋体" w:cs="Times New Roman"/>
                      <w:color w:val="auto"/>
                      <w:kern w:val="2"/>
                      <w:sz w:val="21"/>
                      <w:szCs w:val="21"/>
                      <w:highlight w:val="none"/>
                      <w:shd w:val="clear" w:color="auto" w:fill="auto"/>
                      <w:lang w:val="en-US" w:eastAsia="zh-CN" w:bidi="ar-SA"/>
                    </w:rPr>
                    <w:t>582</w:t>
                  </w:r>
                  <w:r>
                    <w:rPr>
                      <w:rFonts w:hint="default" w:ascii="Times New Roman" w:hAnsi="Times New Roman" w:eastAsia="宋体" w:cs="Times New Roman"/>
                      <w:color w:val="auto"/>
                      <w:kern w:val="2"/>
                      <w:sz w:val="21"/>
                      <w:szCs w:val="21"/>
                      <w:highlight w:val="none"/>
                      <w:shd w:val="clear" w:color="auto" w:fill="auto"/>
                      <w:lang w:val="en-US" w:eastAsia="zh-CN" w:bidi="ar-SA"/>
                    </w:rPr>
                    <w:t>0mg/kg（大鼠经口）</w:t>
                  </w:r>
                  <w:r>
                    <w:rPr>
                      <w:rFonts w:hint="eastAsia" w:ascii="Times New Roman" w:hAnsi="Times New Roman" w:eastAsia="宋体" w:cs="Times New Roman"/>
                      <w:color w:val="auto"/>
                      <w:kern w:val="2"/>
                      <w:sz w:val="21"/>
                      <w:szCs w:val="21"/>
                      <w:highlight w:val="none"/>
                      <w:shd w:val="clear" w:color="auto" w:fill="auto"/>
                      <w:lang w:val="en-US" w:eastAsia="zh-CN" w:bidi="ar-SA"/>
                    </w:rPr>
                    <w:t>；5240mg</w:t>
                  </w:r>
                  <w:r>
                    <w:rPr>
                      <w:rFonts w:hint="default" w:ascii="Times New Roman" w:hAnsi="Times New Roman" w:eastAsia="宋体" w:cs="Times New Roman"/>
                      <w:color w:val="auto"/>
                      <w:kern w:val="2"/>
                      <w:sz w:val="21"/>
                      <w:szCs w:val="21"/>
                      <w:highlight w:val="none"/>
                      <w:shd w:val="clear" w:color="auto" w:fill="auto"/>
                      <w:lang w:val="en-US" w:eastAsia="zh-CN" w:bidi="ar-SA"/>
                    </w:rPr>
                    <w:t>/kg（兔经皮）</w:t>
                  </w:r>
                  <w:r>
                    <w:rPr>
                      <w:rFonts w:hint="eastAsia" w:ascii="Times New Roman" w:hAnsi="Times New Roman" w:eastAsia="宋体" w:cs="Times New Roman"/>
                      <w:color w:val="auto"/>
                      <w:kern w:val="2"/>
                      <w:sz w:val="21"/>
                      <w:szCs w:val="21"/>
                      <w:highlight w:val="none"/>
                      <w:shd w:val="clear" w:color="auto" w:fill="auto"/>
                      <w:lang w:val="en-US" w:eastAsia="zh-CN" w:bidi="ar-SA"/>
                    </w:rPr>
                    <w:t>。</w:t>
                  </w:r>
                </w:p>
                <w:p w14:paraId="32C055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L</w:t>
                  </w:r>
                  <w:r>
                    <w:rPr>
                      <w:rFonts w:hint="eastAsia" w:ascii="Times New Roman" w:hAnsi="Times New Roman" w:eastAsia="宋体" w:cs="Times New Roman"/>
                      <w:color w:val="auto"/>
                      <w:kern w:val="2"/>
                      <w:sz w:val="21"/>
                      <w:szCs w:val="21"/>
                      <w:highlight w:val="none"/>
                      <w:shd w:val="clear" w:color="auto" w:fill="auto"/>
                      <w:lang w:val="en-US" w:eastAsia="zh-CN" w:bidi="ar-SA"/>
                    </w:rPr>
                    <w:t>C</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default" w:ascii="Times New Roman" w:hAnsi="Times New Roman" w:eastAsia="宋体" w:cs="Times New Roman"/>
                      <w:color w:val="auto"/>
                      <w:kern w:val="2"/>
                      <w:sz w:val="21"/>
                      <w:szCs w:val="21"/>
                      <w:highlight w:val="none"/>
                      <w:shd w:val="clear" w:color="auto" w:fill="auto"/>
                      <w:lang w:val="en-US" w:eastAsia="zh-CN" w:bidi="ar-SA"/>
                    </w:rPr>
                    <w:t>:</w:t>
                  </w:r>
                  <w:r>
                    <w:rPr>
                      <w:rFonts w:hint="eastAsia" w:ascii="Times New Roman" w:hAnsi="Times New Roman" w:eastAsia="宋体" w:cs="Times New Roman"/>
                      <w:color w:val="auto"/>
                      <w:kern w:val="2"/>
                      <w:sz w:val="21"/>
                      <w:szCs w:val="21"/>
                      <w:highlight w:val="none"/>
                      <w:shd w:val="clear" w:color="auto" w:fill="auto"/>
                      <w:lang w:val="en-US" w:eastAsia="zh-CN" w:bidi="ar-SA"/>
                    </w:rPr>
                    <w:t>596</w:t>
                  </w:r>
                  <w:r>
                    <w:rPr>
                      <w:rFonts w:hint="default" w:ascii="Times New Roman" w:hAnsi="Times New Roman" w:eastAsia="宋体" w:cs="Times New Roman"/>
                      <w:color w:val="auto"/>
                      <w:kern w:val="2"/>
                      <w:sz w:val="21"/>
                      <w:szCs w:val="21"/>
                      <w:highlight w:val="none"/>
                      <w:shd w:val="clear" w:color="auto" w:fill="auto"/>
                      <w:lang w:val="en-US" w:eastAsia="zh-CN" w:bidi="ar-SA"/>
                    </w:rPr>
                    <w:t>0mg/</w:t>
                  </w:r>
                  <w:r>
                    <w:rPr>
                      <w:rFonts w:hint="eastAsia" w:ascii="Times New Roman" w:hAnsi="Times New Roman" w:eastAsia="宋体" w:cs="Times New Roman"/>
                      <w:color w:val="auto"/>
                      <w:kern w:val="2"/>
                      <w:sz w:val="21"/>
                      <w:szCs w:val="21"/>
                      <w:highlight w:val="none"/>
                      <w:shd w:val="clear" w:color="auto" w:fill="auto"/>
                      <w:lang w:val="en-US" w:eastAsia="zh-CN" w:bidi="ar-SA"/>
                    </w:rPr>
                    <w:t>m</w:t>
                  </w:r>
                  <w:r>
                    <w:rPr>
                      <w:rFonts w:hint="eastAsia" w:ascii="Times New Roman" w:hAnsi="Times New Roman" w:eastAsia="宋体" w:cs="Times New Roman"/>
                      <w:color w:val="auto"/>
                      <w:kern w:val="2"/>
                      <w:sz w:val="21"/>
                      <w:szCs w:val="21"/>
                      <w:highlight w:val="none"/>
                      <w:shd w:val="clear" w:color="auto" w:fill="auto"/>
                      <w:vertAlign w:val="superscript"/>
                      <w:lang w:val="en-US" w:eastAsia="zh-CN" w:bidi="ar-SA"/>
                    </w:rPr>
                    <w:t>3</w:t>
                  </w:r>
                  <w:r>
                    <w:rPr>
                      <w:rFonts w:hint="eastAsia" w:ascii="Times New Roman" w:hAnsi="Times New Roman" w:eastAsia="宋体" w:cs="Times New Roman"/>
                      <w:color w:val="auto"/>
                      <w:kern w:val="2"/>
                      <w:sz w:val="21"/>
                      <w:szCs w:val="21"/>
                      <w:highlight w:val="none"/>
                      <w:shd w:val="clear" w:color="auto" w:fill="auto"/>
                      <w:lang w:val="en-US" w:eastAsia="zh-CN" w:bidi="ar-SA"/>
                    </w:rPr>
                    <w:t xml:space="preserve"> 8小时</w:t>
                  </w:r>
                  <w:r>
                    <w:rPr>
                      <w:rFonts w:hint="default" w:ascii="Times New Roman" w:hAnsi="Times New Roman" w:eastAsia="宋体" w:cs="Times New Roman"/>
                      <w:color w:val="auto"/>
                      <w:kern w:val="2"/>
                      <w:sz w:val="21"/>
                      <w:szCs w:val="21"/>
                      <w:highlight w:val="none"/>
                      <w:shd w:val="clear" w:color="auto" w:fill="auto"/>
                      <w:lang w:val="en-US" w:eastAsia="zh-CN" w:bidi="ar-SA"/>
                    </w:rPr>
                    <w:t>（</w:t>
                  </w:r>
                  <w:r>
                    <w:rPr>
                      <w:rFonts w:hint="eastAsia" w:ascii="Times New Roman" w:hAnsi="Times New Roman" w:eastAsia="宋体" w:cs="Times New Roman"/>
                      <w:color w:val="auto"/>
                      <w:kern w:val="2"/>
                      <w:sz w:val="21"/>
                      <w:szCs w:val="21"/>
                      <w:highlight w:val="none"/>
                      <w:shd w:val="clear" w:color="auto" w:fill="auto"/>
                      <w:lang w:val="en-US" w:eastAsia="zh-CN" w:bidi="ar-SA"/>
                    </w:rPr>
                    <w:t>大鼠吸入</w:t>
                  </w:r>
                  <w:r>
                    <w:rPr>
                      <w:rFonts w:hint="default" w:ascii="Times New Roman" w:hAnsi="Times New Roman" w:eastAsia="宋体" w:cs="Times New Roman"/>
                      <w:color w:val="auto"/>
                      <w:kern w:val="2"/>
                      <w:sz w:val="21"/>
                      <w:szCs w:val="21"/>
                      <w:highlight w:val="none"/>
                      <w:shd w:val="clear" w:color="auto" w:fill="auto"/>
                      <w:lang w:val="en-US" w:eastAsia="zh-CN" w:bidi="ar-SA"/>
                    </w:rPr>
                    <w:t>）</w:t>
                  </w:r>
                </w:p>
              </w:tc>
            </w:tr>
            <w:tr w14:paraId="5168F5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5473C04C">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kern w:val="2"/>
                      <w:sz w:val="21"/>
                      <w:szCs w:val="21"/>
                      <w:highlight w:val="none"/>
                      <w:shd w:val="clear" w:color="auto" w:fill="auto"/>
                      <w:lang w:val="en-US" w:eastAsia="zh-CN" w:bidi="ar-SA"/>
                    </w:rPr>
                    <w:t>六亚甲基二异氰酸酯</w:t>
                  </w:r>
                </w:p>
              </w:tc>
              <w:tc>
                <w:tcPr>
                  <w:tcW w:w="2382" w:type="pct"/>
                  <w:tcBorders>
                    <w:tl2br w:val="nil"/>
                    <w:tr2bl w:val="nil"/>
                  </w:tcBorders>
                  <w:shd w:val="clear" w:color="auto" w:fill="auto"/>
                  <w:tcMar>
                    <w:top w:w="0" w:type="dxa"/>
                    <w:left w:w="0" w:type="dxa"/>
                    <w:bottom w:w="0" w:type="dxa"/>
                    <w:right w:w="0" w:type="dxa"/>
                  </w:tcMar>
                  <w:vAlign w:val="center"/>
                </w:tcPr>
                <w:p w14:paraId="5DF8E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rPr>
                    <w:t>外观</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无色至淡黄色透明液体</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气味</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ab/>
                  </w:r>
                  <w:r>
                    <w:rPr>
                      <w:rFonts w:hint="default" w:ascii="Times New Roman" w:hAnsi="Times New Roman" w:eastAsia="宋体" w:cs="Times New Roman"/>
                      <w:color w:val="auto"/>
                      <w:szCs w:val="21"/>
                      <w:highlight w:val="none"/>
                      <w:shd w:val="clear" w:color="auto" w:fill="auto"/>
                    </w:rPr>
                    <w:t>刺激性气味（类似辛辣、苦杏仁味）</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沸点（常压）</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255°C（分解前沸腾）</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熔点</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-67°C</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密度（20°C）</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1.05 g/cm³（比水略重）</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蒸气压（20°C）</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0.05 mmHg（挥发性较低）</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闪点（闭杯）</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130°C（可燃但不易燃）</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自燃温度</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&gt; 400°C</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溶解度</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难溶于水（与水反应），易溶于丙酮、甲苯、氯仿等有机溶剂</w:t>
                  </w:r>
                </w:p>
              </w:tc>
              <w:tc>
                <w:tcPr>
                  <w:tcW w:w="953" w:type="pct"/>
                  <w:tcBorders>
                    <w:tl2br w:val="nil"/>
                    <w:tr2bl w:val="nil"/>
                  </w:tcBorders>
                  <w:shd w:val="clear" w:color="auto" w:fill="auto"/>
                  <w:tcMar>
                    <w:top w:w="0" w:type="dxa"/>
                    <w:left w:w="0" w:type="dxa"/>
                    <w:bottom w:w="0" w:type="dxa"/>
                    <w:right w:w="0" w:type="dxa"/>
                  </w:tcMar>
                  <w:vAlign w:val="center"/>
                </w:tcPr>
                <w:p w14:paraId="4EF67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可</w:t>
                  </w:r>
                  <w:r>
                    <w:rPr>
                      <w:rFonts w:hint="default" w:ascii="Times New Roman" w:hAnsi="Times New Roman" w:eastAsia="宋体" w:cs="Times New Roman"/>
                      <w:color w:val="auto"/>
                      <w:sz w:val="21"/>
                      <w:szCs w:val="21"/>
                      <w:highlight w:val="none"/>
                      <w:shd w:val="clear" w:color="auto" w:fill="auto"/>
                      <w:lang w:val="en-US" w:eastAsia="zh-CN"/>
                    </w:rPr>
                    <w:t>燃</w:t>
                  </w:r>
                </w:p>
              </w:tc>
              <w:tc>
                <w:tcPr>
                  <w:tcW w:w="1106" w:type="pct"/>
                  <w:tcBorders>
                    <w:tl2br w:val="nil"/>
                    <w:tr2bl w:val="nil"/>
                  </w:tcBorders>
                  <w:shd w:val="clear" w:color="auto" w:fill="auto"/>
                  <w:tcMar>
                    <w:top w:w="0" w:type="dxa"/>
                    <w:left w:w="0" w:type="dxa"/>
                    <w:bottom w:w="0" w:type="dxa"/>
                    <w:right w:w="0" w:type="dxa"/>
                  </w:tcMar>
                  <w:vAlign w:val="center"/>
                </w:tcPr>
                <w:p w14:paraId="3C6827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LC</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default" w:ascii="Times New Roman" w:hAnsi="Times New Roman" w:eastAsia="宋体" w:cs="Times New Roman"/>
                      <w:color w:val="auto"/>
                      <w:kern w:val="2"/>
                      <w:sz w:val="21"/>
                      <w:szCs w:val="21"/>
                      <w:highlight w:val="none"/>
                      <w:shd w:val="clear" w:color="auto" w:fill="auto"/>
                      <w:lang w:val="en-US" w:eastAsia="zh-CN" w:bidi="ar-SA"/>
                    </w:rPr>
                    <w:t>:</w:t>
                  </w:r>
                  <w:r>
                    <w:rPr>
                      <w:rFonts w:hint="eastAsia" w:ascii="Times New Roman" w:hAnsi="Times New Roman" w:eastAsia="宋体" w:cs="Times New Roman"/>
                      <w:color w:val="auto"/>
                      <w:kern w:val="2"/>
                      <w:sz w:val="21"/>
                      <w:szCs w:val="21"/>
                      <w:highlight w:val="none"/>
                      <w:shd w:val="clear" w:color="auto" w:fill="auto"/>
                      <w:lang w:val="en-US" w:eastAsia="zh-CN" w:bidi="ar-SA"/>
                    </w:rPr>
                    <w:t>0.15mg/L（大鼠吸入）</w:t>
                  </w:r>
                  <w:r>
                    <w:rPr>
                      <w:rFonts w:hint="default" w:ascii="Times New Roman" w:hAnsi="Times New Roman" w:eastAsia="宋体" w:cs="Times New Roman"/>
                      <w:color w:val="auto"/>
                      <w:kern w:val="2"/>
                      <w:sz w:val="21"/>
                      <w:szCs w:val="21"/>
                      <w:highlight w:val="none"/>
                      <w:shd w:val="clear" w:color="auto" w:fill="auto"/>
                      <w:lang w:val="en-US" w:eastAsia="zh-CN" w:bidi="ar-SA"/>
                    </w:rPr>
                    <w:t>。LD</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default" w:ascii="Times New Roman" w:hAnsi="Times New Roman" w:eastAsia="宋体" w:cs="Times New Roman"/>
                      <w:color w:val="auto"/>
                      <w:kern w:val="2"/>
                      <w:sz w:val="21"/>
                      <w:szCs w:val="21"/>
                      <w:highlight w:val="none"/>
                      <w:shd w:val="clear" w:color="auto" w:fill="auto"/>
                      <w:lang w:val="en-US" w:eastAsia="zh-CN" w:bidi="ar-SA"/>
                    </w:rPr>
                    <w:t>:</w:t>
                  </w:r>
                  <w:r>
                    <w:rPr>
                      <w:rFonts w:hint="eastAsia" w:ascii="Times New Roman" w:hAnsi="Times New Roman" w:eastAsia="宋体" w:cs="Times New Roman"/>
                      <w:color w:val="auto"/>
                      <w:kern w:val="2"/>
                      <w:sz w:val="21"/>
                      <w:szCs w:val="21"/>
                      <w:highlight w:val="none"/>
                      <w:shd w:val="clear" w:color="auto" w:fill="auto"/>
                      <w:lang w:val="en-US" w:eastAsia="zh-CN" w:bidi="ar-SA"/>
                    </w:rPr>
                    <w:t>710m</w:t>
                  </w:r>
                  <w:r>
                    <w:rPr>
                      <w:rFonts w:hint="default" w:ascii="Times New Roman" w:hAnsi="Times New Roman" w:eastAsia="宋体" w:cs="Times New Roman"/>
                      <w:color w:val="auto"/>
                      <w:kern w:val="2"/>
                      <w:sz w:val="21"/>
                      <w:szCs w:val="21"/>
                      <w:highlight w:val="none"/>
                      <w:shd w:val="clear" w:color="auto" w:fill="auto"/>
                      <w:lang w:val="en-US" w:eastAsia="zh-CN" w:bidi="ar-SA"/>
                    </w:rPr>
                    <w:t>g/kg（</w:t>
                  </w:r>
                  <w:r>
                    <w:rPr>
                      <w:rFonts w:hint="eastAsia" w:ascii="Times New Roman" w:hAnsi="Times New Roman" w:eastAsia="宋体" w:cs="Times New Roman"/>
                      <w:color w:val="auto"/>
                      <w:kern w:val="2"/>
                      <w:sz w:val="21"/>
                      <w:szCs w:val="21"/>
                      <w:highlight w:val="none"/>
                      <w:shd w:val="clear" w:color="auto" w:fill="auto"/>
                      <w:lang w:val="en-US" w:eastAsia="zh-CN" w:bidi="ar-SA"/>
                    </w:rPr>
                    <w:t>大鼠经口</w:t>
                  </w:r>
                  <w:r>
                    <w:rPr>
                      <w:rFonts w:hint="default" w:ascii="Times New Roman" w:hAnsi="Times New Roman" w:eastAsia="宋体" w:cs="Times New Roman"/>
                      <w:color w:val="auto"/>
                      <w:kern w:val="2"/>
                      <w:sz w:val="21"/>
                      <w:szCs w:val="21"/>
                      <w:highlight w:val="none"/>
                      <w:shd w:val="clear" w:color="auto" w:fill="auto"/>
                      <w:lang w:val="en-US" w:eastAsia="zh-CN" w:bidi="ar-SA"/>
                    </w:rPr>
                    <w:t>）</w:t>
                  </w:r>
                </w:p>
              </w:tc>
            </w:tr>
            <w:tr w14:paraId="1968BB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0A4C0FF6">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聚乙烯-乙酸酯</w:t>
                  </w:r>
                </w:p>
              </w:tc>
              <w:tc>
                <w:tcPr>
                  <w:tcW w:w="2382" w:type="pct"/>
                  <w:tcBorders>
                    <w:tl2br w:val="nil"/>
                    <w:tr2bl w:val="nil"/>
                  </w:tcBorders>
                  <w:shd w:val="clear" w:color="auto" w:fill="auto"/>
                  <w:tcMar>
                    <w:top w:w="0" w:type="dxa"/>
                    <w:left w:w="0" w:type="dxa"/>
                    <w:bottom w:w="0" w:type="dxa"/>
                    <w:right w:w="0" w:type="dxa"/>
                  </w:tcMar>
                  <w:vAlign w:val="center"/>
                </w:tcPr>
                <w:p w14:paraId="59BC7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外观：通常为半透明至白色颗粒或固体（取决于VA含量）。低VA含量（&lt;10%）类似LDPE（低密度聚乙烯），高VA含量（&gt;40%）呈橡胶态。密度：0.92–0.95 g/cm³（比水轻）。熔点：VA含量低（&lt;10%）：~100–110°C（接近LDPE）。VA含量高（&gt;40%）：无明确熔点（弹性体特性）。溶解性：不溶于水，溶于热芳烃（如甲苯）、氯化烃（如氯仿）。VA含量越高，极性溶剂（如丙酮）溶解性越强</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机械性能：高VA含量：柔韧性、弹性好（用于鞋底、密封材料）。低VA含量：刚性较高（用于包装膜）。耐化学性：耐酸、碱、盐溶液，但高VA含量易被极性溶剂溶胀。热稳定性：分解温度：&gt;200°C（释放乙酸、烯烃等气体）。光稳定性：需添加抗UV剂（如炭黑）以防户外老化</w:t>
                  </w:r>
                </w:p>
              </w:tc>
              <w:tc>
                <w:tcPr>
                  <w:tcW w:w="953" w:type="pct"/>
                  <w:tcBorders>
                    <w:tl2br w:val="nil"/>
                    <w:tr2bl w:val="nil"/>
                  </w:tcBorders>
                  <w:shd w:val="clear" w:color="auto" w:fill="auto"/>
                  <w:tcMar>
                    <w:top w:w="0" w:type="dxa"/>
                    <w:left w:w="0" w:type="dxa"/>
                    <w:bottom w:w="0" w:type="dxa"/>
                    <w:right w:w="0" w:type="dxa"/>
                  </w:tcMar>
                  <w:vAlign w:val="center"/>
                </w:tcPr>
                <w:p w14:paraId="2754E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可燃</w:t>
                  </w:r>
                </w:p>
              </w:tc>
              <w:tc>
                <w:tcPr>
                  <w:tcW w:w="1106" w:type="pct"/>
                  <w:tcBorders>
                    <w:tl2br w:val="nil"/>
                    <w:tr2bl w:val="nil"/>
                  </w:tcBorders>
                  <w:shd w:val="clear" w:color="auto" w:fill="auto"/>
                  <w:tcMar>
                    <w:top w:w="0" w:type="dxa"/>
                    <w:left w:w="0" w:type="dxa"/>
                    <w:bottom w:w="0" w:type="dxa"/>
                    <w:right w:w="0" w:type="dxa"/>
                  </w:tcMar>
                  <w:vAlign w:val="center"/>
                </w:tcPr>
                <w:p w14:paraId="7B264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LD</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eastAsia" w:ascii="Times New Roman" w:hAnsi="Times New Roman" w:eastAsia="宋体" w:cs="Times New Roman"/>
                      <w:color w:val="auto"/>
                      <w:kern w:val="2"/>
                      <w:sz w:val="21"/>
                      <w:szCs w:val="21"/>
                      <w:highlight w:val="none"/>
                      <w:shd w:val="clear" w:color="auto" w:fill="auto"/>
                      <w:lang w:val="en-US" w:eastAsia="zh-CN" w:bidi="ar-SA"/>
                    </w:rPr>
                    <w:t>＞200</w:t>
                  </w:r>
                  <w:r>
                    <w:rPr>
                      <w:rFonts w:hint="default" w:ascii="Times New Roman" w:hAnsi="Times New Roman" w:eastAsia="宋体" w:cs="Times New Roman"/>
                      <w:color w:val="auto"/>
                      <w:kern w:val="2"/>
                      <w:sz w:val="21"/>
                      <w:szCs w:val="21"/>
                      <w:highlight w:val="none"/>
                      <w:shd w:val="clear" w:color="auto" w:fill="auto"/>
                      <w:lang w:val="en-US" w:eastAsia="zh-CN" w:bidi="ar-SA"/>
                    </w:rPr>
                    <w:t>0mg/kg (大鼠经口)</w:t>
                  </w:r>
                </w:p>
              </w:tc>
            </w:tr>
            <w:tr w14:paraId="3FB3E0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20BE8E6E">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异丙醇</w:t>
                  </w:r>
                </w:p>
              </w:tc>
              <w:tc>
                <w:tcPr>
                  <w:tcW w:w="2382" w:type="pct"/>
                  <w:tcBorders>
                    <w:tl2br w:val="nil"/>
                    <w:tr2bl w:val="nil"/>
                  </w:tcBorders>
                  <w:shd w:val="clear" w:color="auto" w:fill="auto"/>
                  <w:tcMar>
                    <w:top w:w="0" w:type="dxa"/>
                    <w:left w:w="0" w:type="dxa"/>
                    <w:bottom w:w="0" w:type="dxa"/>
                    <w:right w:w="0" w:type="dxa"/>
                  </w:tcMar>
                  <w:vAlign w:val="center"/>
                </w:tcPr>
                <w:p w14:paraId="2BA39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外观：无色透明液体，带有轻微刺激性气味（类似乙醇和丙酮的混合气味）。沸点：82.6°C（比乙醇高，更易挥发）。熔点：-89.5°C（低温下仍为液体）。密度：0.785 g/cm³（比水轻）。溶解性：与水、乙醇、乙醚、氯仿等混溶。可溶解油脂、树脂、部分塑料（如PS、PVC）。挥发性：易挥发，蒸气密度 &gt; 空气（易在低处积聚）。闪点：12°C（闭杯），属易燃液体（NFPA易燃性等级：3）</w:t>
                  </w:r>
                </w:p>
              </w:tc>
              <w:tc>
                <w:tcPr>
                  <w:tcW w:w="953" w:type="pct"/>
                  <w:tcBorders>
                    <w:tl2br w:val="nil"/>
                    <w:tr2bl w:val="nil"/>
                  </w:tcBorders>
                  <w:shd w:val="clear" w:color="auto" w:fill="auto"/>
                  <w:tcMar>
                    <w:top w:w="0" w:type="dxa"/>
                    <w:left w:w="0" w:type="dxa"/>
                    <w:bottom w:w="0" w:type="dxa"/>
                    <w:right w:w="0" w:type="dxa"/>
                  </w:tcMar>
                  <w:vAlign w:val="center"/>
                </w:tcPr>
                <w:p w14:paraId="7D4512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易燃</w:t>
                  </w:r>
                </w:p>
              </w:tc>
              <w:tc>
                <w:tcPr>
                  <w:tcW w:w="1106" w:type="pct"/>
                  <w:tcBorders>
                    <w:tl2br w:val="nil"/>
                    <w:tr2bl w:val="nil"/>
                  </w:tcBorders>
                  <w:shd w:val="clear" w:color="auto" w:fill="auto"/>
                  <w:tcMar>
                    <w:top w:w="0" w:type="dxa"/>
                    <w:left w:w="0" w:type="dxa"/>
                    <w:bottom w:w="0" w:type="dxa"/>
                    <w:right w:w="0" w:type="dxa"/>
                  </w:tcMar>
                  <w:vAlign w:val="center"/>
                </w:tcPr>
                <w:p w14:paraId="1D295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LC</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default" w:ascii="Times New Roman" w:hAnsi="Times New Roman" w:eastAsia="宋体" w:cs="Times New Roman"/>
                      <w:color w:val="auto"/>
                      <w:kern w:val="2"/>
                      <w:sz w:val="21"/>
                      <w:szCs w:val="21"/>
                      <w:highlight w:val="none"/>
                      <w:shd w:val="clear" w:color="auto" w:fill="auto"/>
                      <w:lang w:val="en-US" w:eastAsia="zh-CN" w:bidi="ar-SA"/>
                    </w:rPr>
                    <w:t>（大鼠</w:t>
                  </w:r>
                  <w:r>
                    <w:rPr>
                      <w:rFonts w:hint="eastAsia" w:ascii="Times New Roman" w:hAnsi="Times New Roman" w:eastAsia="宋体" w:cs="Times New Roman"/>
                      <w:color w:val="auto"/>
                      <w:kern w:val="2"/>
                      <w:sz w:val="21"/>
                      <w:szCs w:val="21"/>
                      <w:highlight w:val="none"/>
                      <w:shd w:val="clear" w:color="auto" w:fill="auto"/>
                      <w:lang w:val="en-US" w:eastAsia="zh-CN" w:bidi="ar-SA"/>
                    </w:rPr>
                    <w:t>吸入</w:t>
                  </w:r>
                  <w:r>
                    <w:rPr>
                      <w:rFonts w:hint="default" w:ascii="Times New Roman" w:hAnsi="Times New Roman" w:eastAsia="宋体" w:cs="Times New Roman"/>
                      <w:color w:val="auto"/>
                      <w:kern w:val="2"/>
                      <w:sz w:val="21"/>
                      <w:szCs w:val="21"/>
                      <w:highlight w:val="none"/>
                      <w:shd w:val="clear" w:color="auto" w:fill="auto"/>
                      <w:lang w:val="en-US" w:eastAsia="zh-CN" w:bidi="ar-SA"/>
                    </w:rPr>
                    <w:t>，4h）：~16000 ppm</w:t>
                  </w:r>
                  <w:r>
                    <w:rPr>
                      <w:rFonts w:hint="eastAsia" w:ascii="Times New Roman" w:hAnsi="Times New Roman" w:eastAsia="宋体" w:cs="Times New Roman"/>
                      <w:color w:val="auto"/>
                      <w:kern w:val="2"/>
                      <w:sz w:val="21"/>
                      <w:szCs w:val="21"/>
                      <w:highlight w:val="none"/>
                      <w:shd w:val="clear" w:color="auto" w:fill="auto"/>
                      <w:lang w:val="en-US" w:eastAsia="zh-CN" w:bidi="ar-SA"/>
                    </w:rPr>
                    <w:t>；LD</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eastAsia" w:ascii="Times New Roman" w:hAnsi="Times New Roman" w:eastAsia="宋体" w:cs="Times New Roman"/>
                      <w:color w:val="auto"/>
                      <w:kern w:val="2"/>
                      <w:sz w:val="21"/>
                      <w:szCs w:val="21"/>
                      <w:highlight w:val="none"/>
                      <w:shd w:val="clear" w:color="auto" w:fill="auto"/>
                      <w:lang w:val="en-US" w:eastAsia="zh-CN" w:bidi="ar-SA"/>
                    </w:rPr>
                    <w:t>（大鼠口服）：~5000 mg/kg</w:t>
                  </w:r>
                </w:p>
              </w:tc>
            </w:tr>
            <w:tr w14:paraId="0ED6D4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0647B386">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乙酸正丙酯</w:t>
                  </w:r>
                </w:p>
              </w:tc>
              <w:tc>
                <w:tcPr>
                  <w:tcW w:w="2382" w:type="pct"/>
                  <w:tcBorders>
                    <w:tl2br w:val="nil"/>
                    <w:tr2bl w:val="nil"/>
                  </w:tcBorders>
                  <w:shd w:val="clear" w:color="auto" w:fill="auto"/>
                  <w:tcMar>
                    <w:top w:w="0" w:type="dxa"/>
                    <w:left w:w="0" w:type="dxa"/>
                    <w:bottom w:w="0" w:type="dxa"/>
                    <w:right w:w="0" w:type="dxa"/>
                  </w:tcMar>
                  <w:vAlign w:val="center"/>
                </w:tcPr>
                <w:p w14:paraId="17416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外观：无色透明液体，具有水果香味（类似梨或香蕉）。沸点：101.6°C（适中挥发性）熔点：-95°C（低温仍为液体）。密度：0.887 g/cm³（比水轻）。溶解性：易溶于乙醇、乙醚、丙酮等有机溶剂。微溶于水（约1.5 g/100 mL，20°C）。挥发性：蒸气密度 &gt; 空气（易在低处积聚）。闪点：14°C（闭杯），属易燃液体（NFPA 易燃性等级：3）。水解反应：在酸/碱催化下缓慢水解为正丙醇和乙酸。氧化性：可燃烧，完全燃烧产物为CO₂和水。稳定性：常温稳定，但长期储存可能聚合（需添加阻聚剂如对苯二酚）</w:t>
                  </w:r>
                </w:p>
              </w:tc>
              <w:tc>
                <w:tcPr>
                  <w:tcW w:w="953" w:type="pct"/>
                  <w:tcBorders>
                    <w:tl2br w:val="nil"/>
                    <w:tr2bl w:val="nil"/>
                  </w:tcBorders>
                  <w:shd w:val="clear" w:color="auto" w:fill="auto"/>
                  <w:tcMar>
                    <w:top w:w="0" w:type="dxa"/>
                    <w:left w:w="0" w:type="dxa"/>
                    <w:bottom w:w="0" w:type="dxa"/>
                    <w:right w:w="0" w:type="dxa"/>
                  </w:tcMar>
                  <w:vAlign w:val="center"/>
                </w:tcPr>
                <w:p w14:paraId="2D38C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易燃</w:t>
                  </w:r>
                </w:p>
              </w:tc>
              <w:tc>
                <w:tcPr>
                  <w:tcW w:w="1106" w:type="pct"/>
                  <w:tcBorders>
                    <w:tl2br w:val="nil"/>
                    <w:tr2bl w:val="nil"/>
                  </w:tcBorders>
                  <w:shd w:val="clear" w:color="auto" w:fill="auto"/>
                  <w:tcMar>
                    <w:top w:w="0" w:type="dxa"/>
                    <w:left w:w="0" w:type="dxa"/>
                    <w:bottom w:w="0" w:type="dxa"/>
                    <w:right w:w="0" w:type="dxa"/>
                  </w:tcMar>
                  <w:vAlign w:val="center"/>
                </w:tcPr>
                <w:p w14:paraId="0D16C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LC</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default" w:ascii="Times New Roman" w:hAnsi="Times New Roman" w:eastAsia="宋体" w:cs="Times New Roman"/>
                      <w:color w:val="auto"/>
                      <w:kern w:val="2"/>
                      <w:sz w:val="21"/>
                      <w:szCs w:val="21"/>
                      <w:highlight w:val="none"/>
                      <w:shd w:val="clear" w:color="auto" w:fill="auto"/>
                      <w:lang w:val="en-US" w:eastAsia="zh-CN" w:bidi="ar-SA"/>
                    </w:rPr>
                    <w:t>（大鼠</w:t>
                  </w:r>
                  <w:r>
                    <w:rPr>
                      <w:rFonts w:hint="eastAsia" w:ascii="Times New Roman" w:hAnsi="Times New Roman" w:eastAsia="宋体" w:cs="Times New Roman"/>
                      <w:color w:val="auto"/>
                      <w:kern w:val="2"/>
                      <w:sz w:val="21"/>
                      <w:szCs w:val="21"/>
                      <w:highlight w:val="none"/>
                      <w:shd w:val="clear" w:color="auto" w:fill="auto"/>
                      <w:lang w:val="en-US" w:eastAsia="zh-CN" w:bidi="ar-SA"/>
                    </w:rPr>
                    <w:t>吸入</w:t>
                  </w:r>
                  <w:r>
                    <w:rPr>
                      <w:rFonts w:hint="default" w:ascii="Times New Roman" w:hAnsi="Times New Roman" w:eastAsia="宋体" w:cs="Times New Roman"/>
                      <w:color w:val="auto"/>
                      <w:kern w:val="2"/>
                      <w:sz w:val="21"/>
                      <w:szCs w:val="21"/>
                      <w:highlight w:val="none"/>
                      <w:shd w:val="clear" w:color="auto" w:fill="auto"/>
                      <w:lang w:val="en-US" w:eastAsia="zh-CN" w:bidi="ar-SA"/>
                    </w:rPr>
                    <w:t>，4h）：~</w:t>
                  </w:r>
                  <w:r>
                    <w:rPr>
                      <w:rFonts w:hint="eastAsia" w:ascii="Times New Roman" w:hAnsi="Times New Roman" w:eastAsia="宋体" w:cs="Times New Roman"/>
                      <w:color w:val="auto"/>
                      <w:kern w:val="2"/>
                      <w:sz w:val="21"/>
                      <w:szCs w:val="21"/>
                      <w:highlight w:val="none"/>
                      <w:shd w:val="clear" w:color="auto" w:fill="auto"/>
                      <w:lang w:val="en-US" w:eastAsia="zh-CN" w:bidi="ar-SA"/>
                    </w:rPr>
                    <w:t>8</w:t>
                  </w:r>
                  <w:r>
                    <w:rPr>
                      <w:rFonts w:hint="default" w:ascii="Times New Roman" w:hAnsi="Times New Roman" w:eastAsia="宋体" w:cs="Times New Roman"/>
                      <w:color w:val="auto"/>
                      <w:kern w:val="2"/>
                      <w:sz w:val="21"/>
                      <w:szCs w:val="21"/>
                      <w:highlight w:val="none"/>
                      <w:shd w:val="clear" w:color="auto" w:fill="auto"/>
                      <w:lang w:val="en-US" w:eastAsia="zh-CN" w:bidi="ar-SA"/>
                    </w:rPr>
                    <w:t>000 ppm</w:t>
                  </w:r>
                  <w:r>
                    <w:rPr>
                      <w:rFonts w:hint="eastAsia" w:ascii="Times New Roman" w:hAnsi="Times New Roman" w:eastAsia="宋体" w:cs="Times New Roman"/>
                      <w:color w:val="auto"/>
                      <w:kern w:val="2"/>
                      <w:sz w:val="21"/>
                      <w:szCs w:val="21"/>
                      <w:highlight w:val="none"/>
                      <w:shd w:val="clear" w:color="auto" w:fill="auto"/>
                      <w:lang w:val="en-US" w:eastAsia="zh-CN" w:bidi="ar-SA"/>
                    </w:rPr>
                    <w:t>；LD</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eastAsia" w:ascii="Times New Roman" w:hAnsi="Times New Roman" w:eastAsia="宋体" w:cs="Times New Roman"/>
                      <w:color w:val="auto"/>
                      <w:kern w:val="2"/>
                      <w:sz w:val="21"/>
                      <w:szCs w:val="21"/>
                      <w:highlight w:val="none"/>
                      <w:shd w:val="clear" w:color="auto" w:fill="auto"/>
                      <w:lang w:val="en-US" w:eastAsia="zh-CN" w:bidi="ar-SA"/>
                    </w:rPr>
                    <w:t>（大鼠口服）：~9000 mg/kg</w:t>
                  </w:r>
                </w:p>
              </w:tc>
            </w:tr>
            <w:tr w14:paraId="5C9953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36418AA1">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乙酸正丁酯</w:t>
                  </w:r>
                </w:p>
              </w:tc>
              <w:tc>
                <w:tcPr>
                  <w:tcW w:w="2382" w:type="pct"/>
                  <w:tcBorders>
                    <w:tl2br w:val="nil"/>
                    <w:tr2bl w:val="nil"/>
                  </w:tcBorders>
                  <w:shd w:val="clear" w:color="auto" w:fill="auto"/>
                  <w:tcMar>
                    <w:top w:w="0" w:type="dxa"/>
                    <w:left w:w="0" w:type="dxa"/>
                    <w:bottom w:w="0" w:type="dxa"/>
                    <w:right w:w="0" w:type="dxa"/>
                  </w:tcMar>
                  <w:vAlign w:val="center"/>
                </w:tcPr>
                <w:p w14:paraId="67A2F6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外观：无色透明液体，具有水果香味（类似香蕉或梨）。沸点：126.1°C（挥发性适中）熔点：-78°C（低温仍为液体）。密度：0.882 g/cm³（比水轻）。溶解性：易溶于乙醇、乙醚、丙酮、苯等有机溶剂。微溶于水（约0.7 g/100 mL，20°C）。挥发性：蒸气密度 &gt; 空气（易在低处积聚）。闪点：22°C（闭杯），属易燃液体（NFPA 易燃性等级：3）。水解反应：在酸/碱催化下缓慢水解为正丁醇和乙酸。氧化性：可燃烧，完全燃烧产物为CO₂和水。稳定性：常温稳定，但长期暴露于空气可能氧化（需密封储存）</w:t>
                  </w:r>
                </w:p>
              </w:tc>
              <w:tc>
                <w:tcPr>
                  <w:tcW w:w="953" w:type="pct"/>
                  <w:tcBorders>
                    <w:tl2br w:val="nil"/>
                    <w:tr2bl w:val="nil"/>
                  </w:tcBorders>
                  <w:shd w:val="clear" w:color="auto" w:fill="auto"/>
                  <w:tcMar>
                    <w:top w:w="0" w:type="dxa"/>
                    <w:left w:w="0" w:type="dxa"/>
                    <w:bottom w:w="0" w:type="dxa"/>
                    <w:right w:w="0" w:type="dxa"/>
                  </w:tcMar>
                  <w:vAlign w:val="center"/>
                </w:tcPr>
                <w:p w14:paraId="64F759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易燃</w:t>
                  </w:r>
                </w:p>
              </w:tc>
              <w:tc>
                <w:tcPr>
                  <w:tcW w:w="1106" w:type="pct"/>
                  <w:tcBorders>
                    <w:tl2br w:val="nil"/>
                    <w:tr2bl w:val="nil"/>
                  </w:tcBorders>
                  <w:shd w:val="clear" w:color="auto" w:fill="auto"/>
                  <w:tcMar>
                    <w:top w:w="0" w:type="dxa"/>
                    <w:left w:w="0" w:type="dxa"/>
                    <w:bottom w:w="0" w:type="dxa"/>
                    <w:right w:w="0" w:type="dxa"/>
                  </w:tcMar>
                  <w:vAlign w:val="center"/>
                </w:tcPr>
                <w:p w14:paraId="046B1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LC</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default" w:ascii="Times New Roman" w:hAnsi="Times New Roman" w:eastAsia="宋体" w:cs="Times New Roman"/>
                      <w:color w:val="auto"/>
                      <w:kern w:val="2"/>
                      <w:sz w:val="21"/>
                      <w:szCs w:val="21"/>
                      <w:highlight w:val="none"/>
                      <w:shd w:val="clear" w:color="auto" w:fill="auto"/>
                      <w:lang w:val="en-US" w:eastAsia="zh-CN" w:bidi="ar-SA"/>
                    </w:rPr>
                    <w:t>（大鼠</w:t>
                  </w:r>
                  <w:r>
                    <w:rPr>
                      <w:rFonts w:hint="eastAsia" w:ascii="Times New Roman" w:hAnsi="Times New Roman" w:eastAsia="宋体" w:cs="Times New Roman"/>
                      <w:color w:val="auto"/>
                      <w:kern w:val="2"/>
                      <w:sz w:val="21"/>
                      <w:szCs w:val="21"/>
                      <w:highlight w:val="none"/>
                      <w:shd w:val="clear" w:color="auto" w:fill="auto"/>
                      <w:lang w:val="en-US" w:eastAsia="zh-CN" w:bidi="ar-SA"/>
                    </w:rPr>
                    <w:t>吸入</w:t>
                  </w:r>
                  <w:r>
                    <w:rPr>
                      <w:rFonts w:hint="default" w:ascii="Times New Roman" w:hAnsi="Times New Roman" w:eastAsia="宋体" w:cs="Times New Roman"/>
                      <w:color w:val="auto"/>
                      <w:kern w:val="2"/>
                      <w:sz w:val="21"/>
                      <w:szCs w:val="21"/>
                      <w:highlight w:val="none"/>
                      <w:shd w:val="clear" w:color="auto" w:fill="auto"/>
                      <w:lang w:val="en-US" w:eastAsia="zh-CN" w:bidi="ar-SA"/>
                    </w:rPr>
                    <w:t>，4h）：~</w:t>
                  </w:r>
                  <w:r>
                    <w:rPr>
                      <w:rFonts w:hint="eastAsia" w:ascii="Times New Roman" w:hAnsi="Times New Roman" w:eastAsia="宋体" w:cs="Times New Roman"/>
                      <w:color w:val="auto"/>
                      <w:kern w:val="2"/>
                      <w:sz w:val="21"/>
                      <w:szCs w:val="21"/>
                      <w:highlight w:val="none"/>
                      <w:shd w:val="clear" w:color="auto" w:fill="auto"/>
                      <w:lang w:val="en-US" w:eastAsia="zh-CN" w:bidi="ar-SA"/>
                    </w:rPr>
                    <w:t>4</w:t>
                  </w:r>
                  <w:r>
                    <w:rPr>
                      <w:rFonts w:hint="default" w:ascii="Times New Roman" w:hAnsi="Times New Roman" w:eastAsia="宋体" w:cs="Times New Roman"/>
                      <w:color w:val="auto"/>
                      <w:kern w:val="2"/>
                      <w:sz w:val="21"/>
                      <w:szCs w:val="21"/>
                      <w:highlight w:val="none"/>
                      <w:shd w:val="clear" w:color="auto" w:fill="auto"/>
                      <w:lang w:val="en-US" w:eastAsia="zh-CN" w:bidi="ar-SA"/>
                    </w:rPr>
                    <w:t>000 ppm</w:t>
                  </w:r>
                  <w:r>
                    <w:rPr>
                      <w:rFonts w:hint="eastAsia" w:ascii="Times New Roman" w:hAnsi="Times New Roman" w:eastAsia="宋体" w:cs="Times New Roman"/>
                      <w:color w:val="auto"/>
                      <w:kern w:val="2"/>
                      <w:sz w:val="21"/>
                      <w:szCs w:val="21"/>
                      <w:highlight w:val="none"/>
                      <w:shd w:val="clear" w:color="auto" w:fill="auto"/>
                      <w:lang w:val="en-US" w:eastAsia="zh-CN" w:bidi="ar-SA"/>
                    </w:rPr>
                    <w:t>；LD</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eastAsia" w:ascii="Times New Roman" w:hAnsi="Times New Roman" w:eastAsia="宋体" w:cs="Times New Roman"/>
                      <w:color w:val="auto"/>
                      <w:kern w:val="2"/>
                      <w:sz w:val="21"/>
                      <w:szCs w:val="21"/>
                      <w:highlight w:val="none"/>
                      <w:shd w:val="clear" w:color="auto" w:fill="auto"/>
                      <w:lang w:val="en-US" w:eastAsia="zh-CN" w:bidi="ar-SA"/>
                    </w:rPr>
                    <w:t>（大鼠口服）：~13000 mg/kg</w:t>
                  </w:r>
                </w:p>
              </w:tc>
            </w:tr>
            <w:tr w14:paraId="19E5E3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6" w:type="pct"/>
                  <w:tcBorders>
                    <w:tl2br w:val="nil"/>
                    <w:tr2bl w:val="nil"/>
                  </w:tcBorders>
                  <w:shd w:val="clear" w:color="auto" w:fill="auto"/>
                  <w:tcMar>
                    <w:top w:w="0" w:type="dxa"/>
                    <w:left w:w="0" w:type="dxa"/>
                    <w:bottom w:w="0" w:type="dxa"/>
                    <w:right w:w="0" w:type="dxa"/>
                  </w:tcMar>
                  <w:vAlign w:val="center"/>
                </w:tcPr>
                <w:p w14:paraId="43BA1909">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聚酯多元醇</w:t>
                  </w:r>
                </w:p>
              </w:tc>
              <w:tc>
                <w:tcPr>
                  <w:tcW w:w="2382" w:type="pct"/>
                  <w:tcBorders>
                    <w:tl2br w:val="nil"/>
                    <w:tr2bl w:val="nil"/>
                  </w:tcBorders>
                  <w:shd w:val="clear" w:color="auto" w:fill="auto"/>
                  <w:tcMar>
                    <w:top w:w="0" w:type="dxa"/>
                    <w:left w:w="0" w:type="dxa"/>
                    <w:bottom w:w="0" w:type="dxa"/>
                    <w:right w:w="0" w:type="dxa"/>
                  </w:tcMar>
                  <w:vAlign w:val="center"/>
                </w:tcPr>
                <w:p w14:paraId="0A34D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外观：通常为无色至淡黄色粘稠液体或低熔点固体（取决于分子量）。溶解性：易溶于极性有机溶剂（如丙酮、DMF、THF）。不溶于水（部分低分子量品种可能微溶）。粘度：随分子量增加而升高（通常500–5000 mPa·s，25°C）。密度：1.0–1.2 g/cm³（略高于水）。沸点/熔点：低分子量（&lt;1000 Da）液态，沸点较高（&gt;200°C）。高分子量（&gt;2000 Da）：可能为蜡状固体，熔点50–100°C。</w:t>
                  </w:r>
                </w:p>
              </w:tc>
              <w:tc>
                <w:tcPr>
                  <w:tcW w:w="953" w:type="pct"/>
                  <w:tcBorders>
                    <w:tl2br w:val="nil"/>
                    <w:tr2bl w:val="nil"/>
                  </w:tcBorders>
                  <w:shd w:val="clear" w:color="auto" w:fill="auto"/>
                  <w:tcMar>
                    <w:top w:w="0" w:type="dxa"/>
                    <w:left w:w="0" w:type="dxa"/>
                    <w:bottom w:w="0" w:type="dxa"/>
                    <w:right w:w="0" w:type="dxa"/>
                  </w:tcMar>
                  <w:vAlign w:val="center"/>
                </w:tcPr>
                <w:p w14:paraId="16CD1D2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可</w:t>
                  </w:r>
                  <w:r>
                    <w:rPr>
                      <w:rFonts w:hint="default" w:ascii="Times New Roman" w:hAnsi="Times New Roman" w:eastAsia="宋体" w:cs="Times New Roman"/>
                      <w:color w:val="auto"/>
                      <w:sz w:val="21"/>
                      <w:szCs w:val="21"/>
                      <w:highlight w:val="none"/>
                      <w:shd w:val="clear" w:color="auto" w:fill="auto"/>
                      <w:lang w:val="en-US" w:eastAsia="zh-CN"/>
                    </w:rPr>
                    <w:t>燃</w:t>
                  </w:r>
                </w:p>
              </w:tc>
              <w:tc>
                <w:tcPr>
                  <w:tcW w:w="1106" w:type="pct"/>
                  <w:tcBorders>
                    <w:tl2br w:val="nil"/>
                    <w:tr2bl w:val="nil"/>
                  </w:tcBorders>
                  <w:shd w:val="clear" w:color="auto" w:fill="auto"/>
                  <w:tcMar>
                    <w:top w:w="0" w:type="dxa"/>
                    <w:left w:w="0" w:type="dxa"/>
                    <w:bottom w:w="0" w:type="dxa"/>
                    <w:right w:w="0" w:type="dxa"/>
                  </w:tcMar>
                  <w:vAlign w:val="center"/>
                </w:tcPr>
                <w:p w14:paraId="45FD35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无资料</w:t>
                  </w:r>
                </w:p>
              </w:tc>
            </w:tr>
            <w:tr w14:paraId="46C61A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556" w:type="pct"/>
                  <w:tcBorders>
                    <w:tl2br w:val="nil"/>
                    <w:tr2bl w:val="nil"/>
                  </w:tcBorders>
                  <w:shd w:val="clear" w:color="auto" w:fill="auto"/>
                  <w:tcMar>
                    <w:top w:w="0" w:type="dxa"/>
                    <w:left w:w="0" w:type="dxa"/>
                    <w:bottom w:w="0" w:type="dxa"/>
                    <w:right w:w="0" w:type="dxa"/>
                  </w:tcMar>
                  <w:vAlign w:val="center"/>
                </w:tcPr>
                <w:p w14:paraId="0514C4D5">
                  <w:pPr>
                    <w:keepNext w:val="0"/>
                    <w:keepLines w:val="0"/>
                    <w:pageBreakBefore w:val="0"/>
                    <w:widowControl w:val="0"/>
                    <w:tabs>
                      <w:tab w:val="left" w:pos="2746"/>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聚醚多元醇</w:t>
                  </w:r>
                </w:p>
              </w:tc>
              <w:tc>
                <w:tcPr>
                  <w:tcW w:w="2382" w:type="pct"/>
                  <w:tcBorders>
                    <w:tl2br w:val="nil"/>
                    <w:tr2bl w:val="nil"/>
                  </w:tcBorders>
                  <w:shd w:val="clear" w:color="auto" w:fill="auto"/>
                  <w:tcMar>
                    <w:top w:w="0" w:type="dxa"/>
                    <w:left w:w="0" w:type="dxa"/>
                    <w:bottom w:w="0" w:type="dxa"/>
                    <w:right w:w="0" w:type="dxa"/>
                  </w:tcMar>
                  <w:vAlign w:val="center"/>
                </w:tcPr>
                <w:p w14:paraId="46F1FC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外</w:t>
                  </w:r>
                  <w:r>
                    <w:rPr>
                      <w:rFonts w:hint="default" w:ascii="Times New Roman" w:hAnsi="Times New Roman" w:eastAsia="宋体" w:cs="Times New Roman"/>
                      <w:color w:val="auto"/>
                      <w:sz w:val="21"/>
                      <w:szCs w:val="21"/>
                      <w:highlight w:val="none"/>
                      <w:shd w:val="clear" w:color="auto" w:fill="auto"/>
                      <w:lang w:val="en-US" w:eastAsia="zh-CN"/>
                    </w:rPr>
                    <w:t>观</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无色透明液体</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羟值</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(mgKOH/g):33.5~36.5</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色度（APHA）</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≤50</w:t>
                  </w:r>
                </w:p>
                <w:p w14:paraId="56D06A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水（%）</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≤0.05</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粘度</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750-950</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pH</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5.0-7.0</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密度（g/cm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1.6</w:t>
                  </w:r>
                </w:p>
              </w:tc>
              <w:tc>
                <w:tcPr>
                  <w:tcW w:w="953" w:type="pct"/>
                  <w:tcBorders>
                    <w:tl2br w:val="nil"/>
                    <w:tr2bl w:val="nil"/>
                  </w:tcBorders>
                  <w:shd w:val="clear" w:color="auto" w:fill="auto"/>
                  <w:tcMar>
                    <w:top w:w="0" w:type="dxa"/>
                    <w:left w:w="0" w:type="dxa"/>
                    <w:bottom w:w="0" w:type="dxa"/>
                    <w:right w:w="0" w:type="dxa"/>
                  </w:tcMar>
                  <w:vAlign w:val="center"/>
                </w:tcPr>
                <w:p w14:paraId="680008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可</w:t>
                  </w:r>
                  <w:r>
                    <w:rPr>
                      <w:rFonts w:hint="default" w:ascii="Times New Roman" w:hAnsi="Times New Roman" w:eastAsia="宋体" w:cs="Times New Roman"/>
                      <w:color w:val="auto"/>
                      <w:sz w:val="21"/>
                      <w:szCs w:val="21"/>
                      <w:highlight w:val="none"/>
                      <w:shd w:val="clear" w:color="auto" w:fill="auto"/>
                      <w:lang w:val="en-US" w:eastAsia="zh-CN"/>
                    </w:rPr>
                    <w:t>燃</w:t>
                  </w:r>
                </w:p>
              </w:tc>
              <w:tc>
                <w:tcPr>
                  <w:tcW w:w="1106" w:type="pct"/>
                  <w:tcBorders>
                    <w:tl2br w:val="nil"/>
                    <w:tr2bl w:val="nil"/>
                  </w:tcBorders>
                  <w:shd w:val="clear" w:color="auto" w:fill="auto"/>
                  <w:tcMar>
                    <w:top w:w="0" w:type="dxa"/>
                    <w:left w:w="0" w:type="dxa"/>
                    <w:bottom w:w="0" w:type="dxa"/>
                    <w:right w:w="0" w:type="dxa"/>
                  </w:tcMar>
                  <w:vAlign w:val="center"/>
                </w:tcPr>
                <w:p w14:paraId="427E3B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无资料</w:t>
                  </w:r>
                </w:p>
              </w:tc>
            </w:tr>
            <w:tr w14:paraId="742BA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56" w:type="pct"/>
                  <w:tcBorders>
                    <w:tl2br w:val="nil"/>
                    <w:tr2bl w:val="nil"/>
                  </w:tcBorders>
                  <w:shd w:val="clear" w:color="auto" w:fill="auto"/>
                  <w:tcMar>
                    <w:top w:w="0" w:type="dxa"/>
                    <w:left w:w="0" w:type="dxa"/>
                    <w:bottom w:w="0" w:type="dxa"/>
                    <w:right w:w="0" w:type="dxa"/>
                  </w:tcMar>
                  <w:vAlign w:val="center"/>
                </w:tcPr>
                <w:p w14:paraId="4A8835F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lang w:val="en-US" w:eastAsia="zh-CN"/>
                    </w:rPr>
                    <w:t>黄油</w:t>
                  </w:r>
                </w:p>
              </w:tc>
              <w:tc>
                <w:tcPr>
                  <w:tcW w:w="2382" w:type="pct"/>
                  <w:tcBorders>
                    <w:tl2br w:val="nil"/>
                    <w:tr2bl w:val="nil"/>
                  </w:tcBorders>
                  <w:shd w:val="clear" w:color="auto" w:fill="auto"/>
                  <w:tcMar>
                    <w:top w:w="0" w:type="dxa"/>
                    <w:left w:w="0" w:type="dxa"/>
                    <w:bottom w:w="0" w:type="dxa"/>
                    <w:right w:w="0" w:type="dxa"/>
                  </w:tcMar>
                  <w:vAlign w:val="center"/>
                </w:tcPr>
                <w:p w14:paraId="3023A99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lang w:val="en-US" w:eastAsia="zh-CN" w:bidi="ar-SA"/>
                    </w:rPr>
                    <w:t>黄色、室温下为半流体。闪点(℃)大于150℃(基于矿物油的)，燃烧上下极限典型:1-10%v/v(基于矿物油的)，蒸汽密度(空气-1)大于1，密度近于 900kg/m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953" w:type="pct"/>
                  <w:tcBorders>
                    <w:tl2br w:val="nil"/>
                    <w:tr2bl w:val="nil"/>
                  </w:tcBorders>
                  <w:shd w:val="clear" w:color="auto" w:fill="auto"/>
                  <w:tcMar>
                    <w:top w:w="0" w:type="dxa"/>
                    <w:left w:w="0" w:type="dxa"/>
                    <w:bottom w:w="0" w:type="dxa"/>
                    <w:right w:w="0" w:type="dxa"/>
                  </w:tcMar>
                  <w:vAlign w:val="center"/>
                </w:tcPr>
                <w:p w14:paraId="147F50D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rPr>
                    <w:t>可燃</w:t>
                  </w:r>
                </w:p>
              </w:tc>
              <w:tc>
                <w:tcPr>
                  <w:tcW w:w="1106" w:type="pct"/>
                  <w:tcBorders>
                    <w:tl2br w:val="nil"/>
                    <w:tr2bl w:val="nil"/>
                  </w:tcBorders>
                  <w:shd w:val="clear" w:color="auto" w:fill="auto"/>
                  <w:tcMar>
                    <w:top w:w="0" w:type="dxa"/>
                    <w:left w:w="0" w:type="dxa"/>
                    <w:bottom w:w="0" w:type="dxa"/>
                    <w:right w:w="0" w:type="dxa"/>
                  </w:tcMar>
                  <w:vAlign w:val="center"/>
                </w:tcPr>
                <w:p w14:paraId="231C8A3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rPr>
                    <w:t>/</w:t>
                  </w:r>
                </w:p>
              </w:tc>
            </w:tr>
          </w:tbl>
          <w:p w14:paraId="377D81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2</w:t>
            </w:r>
            <w:r>
              <w:rPr>
                <w:rFonts w:hint="default" w:ascii="Times New Roman" w:hAnsi="Times New Roman" w:eastAsia="宋体" w:cs="Times New Roman"/>
                <w:b w:val="0"/>
                <w:bCs/>
                <w:color w:val="auto"/>
                <w:sz w:val="24"/>
                <w:highlight w:val="none"/>
                <w:shd w:val="clear" w:color="auto" w:fill="auto"/>
                <w:lang w:val="en-US" w:eastAsia="zh-CN"/>
              </w:rPr>
              <w:t>）VOCs平衡</w:t>
            </w:r>
          </w:p>
          <w:p w14:paraId="5E0803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highlight w:val="none"/>
                <w:shd w:val="clear" w:color="auto" w:fill="auto"/>
                <w:lang w:val="en-US" w:eastAsia="zh-CN"/>
              </w:rPr>
            </w:pPr>
            <w:r>
              <w:rPr>
                <w:rFonts w:hint="eastAsia" w:ascii="Times New Roman" w:hAnsi="Times New Roman" w:eastAsia="宋体" w:cs="Times New Roman"/>
                <w:b w:val="0"/>
                <w:bCs/>
                <w:color w:val="auto"/>
                <w:sz w:val="24"/>
                <w:highlight w:val="none"/>
                <w:shd w:val="clear" w:color="auto" w:fill="auto"/>
                <w:lang w:val="en-US" w:eastAsia="zh-CN"/>
              </w:rPr>
              <w:t>①</w:t>
            </w:r>
            <w:r>
              <w:rPr>
                <w:rFonts w:hint="eastAsia" w:ascii="Times New Roman" w:hAnsi="Times New Roman" w:eastAsia="宋体" w:cs="Times New Roman"/>
                <w:bCs/>
                <w:color w:val="auto"/>
                <w:sz w:val="24"/>
                <w:highlight w:val="none"/>
                <w:shd w:val="clear" w:color="auto" w:fill="auto"/>
              </w:rPr>
              <w:t>VOCs含量分析</w:t>
            </w:r>
          </w:p>
          <w:p w14:paraId="0E3A6B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本项目</w:t>
            </w:r>
            <w:r>
              <w:rPr>
                <w:rFonts w:hint="eastAsia" w:ascii="Times New Roman" w:hAnsi="Times New Roman" w:eastAsia="宋体" w:cs="Times New Roman"/>
                <w:b w:val="0"/>
                <w:bCs/>
                <w:color w:val="auto"/>
                <w:sz w:val="24"/>
                <w:lang w:val="en-US" w:eastAsia="zh-CN"/>
              </w:rPr>
              <w:t>产生</w:t>
            </w:r>
            <w:r>
              <w:rPr>
                <w:rFonts w:hint="default" w:ascii="Times New Roman" w:hAnsi="Times New Roman" w:eastAsia="宋体" w:cs="Times New Roman"/>
                <w:b w:val="0"/>
                <w:bCs/>
                <w:color w:val="auto"/>
                <w:sz w:val="24"/>
                <w:lang w:val="en-US" w:eastAsia="zh-CN"/>
              </w:rPr>
              <w:t>VOCs物料主要包括：</w:t>
            </w:r>
            <w:r>
              <w:rPr>
                <w:rFonts w:hint="eastAsia" w:ascii="Times New Roman" w:hAnsi="Times New Roman" w:eastAsia="宋体" w:cs="Times New Roman"/>
                <w:b w:val="0"/>
                <w:bCs/>
                <w:color w:val="auto"/>
                <w:sz w:val="24"/>
                <w:lang w:val="en-US" w:eastAsia="zh-CN"/>
              </w:rPr>
              <w:t>LDPE粒子、PE膜、PET膜、BOPP膜、</w:t>
            </w:r>
            <w:r>
              <w:rPr>
                <w:rFonts w:hint="default" w:ascii="Times New Roman" w:hAnsi="Times New Roman" w:eastAsia="宋体" w:cs="Times New Roman"/>
                <w:bCs/>
                <w:color w:val="auto"/>
                <w:sz w:val="24"/>
              </w:rPr>
              <w:t>水性油墨</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油性油墨</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乙酸乙酯</w:t>
            </w:r>
            <w:r>
              <w:rPr>
                <w:rFonts w:hint="eastAsia" w:ascii="Times New Roman" w:hAnsi="Times New Roman" w:eastAsia="宋体" w:cs="Times New Roman"/>
                <w:bCs/>
                <w:color w:val="auto"/>
                <w:sz w:val="24"/>
                <w:lang w:val="en-US" w:eastAsia="zh-CN"/>
              </w:rPr>
              <w:t>和</w:t>
            </w:r>
            <w:r>
              <w:rPr>
                <w:rFonts w:hint="eastAsia" w:ascii="Times New Roman" w:hAnsi="Times New Roman" w:eastAsia="宋体" w:cs="Times New Roman"/>
                <w:bCs/>
                <w:color w:val="auto"/>
                <w:sz w:val="24"/>
                <w:lang w:eastAsia="zh-CN"/>
              </w:rPr>
              <w:t>双组份无溶剂聚氨酯粘合剂</w:t>
            </w:r>
            <w:r>
              <w:rPr>
                <w:rFonts w:hint="default" w:ascii="Times New Roman" w:hAnsi="Times New Roman" w:eastAsia="宋体" w:cs="Times New Roman"/>
                <w:b w:val="0"/>
                <w:bCs/>
                <w:color w:val="auto"/>
                <w:sz w:val="24"/>
                <w:lang w:val="en-US" w:eastAsia="zh-CN"/>
              </w:rPr>
              <w:t>；生产过程中，各原料VOCs产生</w:t>
            </w:r>
            <w:r>
              <w:rPr>
                <w:rFonts w:hint="eastAsia" w:ascii="Times New Roman" w:hAnsi="Times New Roman" w:eastAsia="宋体" w:cs="Times New Roman"/>
                <w:b w:val="0"/>
                <w:bCs/>
                <w:color w:val="auto"/>
                <w:sz w:val="24"/>
                <w:lang w:val="en-US" w:eastAsia="zh-CN"/>
              </w:rPr>
              <w:t>及排放</w:t>
            </w:r>
            <w:r>
              <w:rPr>
                <w:rFonts w:hint="default" w:ascii="Times New Roman" w:hAnsi="Times New Roman" w:eastAsia="宋体" w:cs="Times New Roman"/>
                <w:b w:val="0"/>
                <w:bCs/>
                <w:color w:val="auto"/>
                <w:sz w:val="24"/>
                <w:lang w:val="en-US" w:eastAsia="zh-CN"/>
              </w:rPr>
              <w:t>情况见表2-</w:t>
            </w:r>
            <w:r>
              <w:rPr>
                <w:rFonts w:hint="eastAsia" w:ascii="Times New Roman" w:hAnsi="Times New Roman" w:eastAsia="宋体" w:cs="Times New Roman"/>
                <w:b w:val="0"/>
                <w:bCs/>
                <w:color w:val="auto"/>
                <w:sz w:val="24"/>
                <w:lang w:val="en-US" w:eastAsia="zh-CN"/>
              </w:rPr>
              <w:t>6</w:t>
            </w:r>
            <w:r>
              <w:rPr>
                <w:rFonts w:hint="default" w:ascii="Times New Roman" w:hAnsi="Times New Roman" w:eastAsia="宋体" w:cs="Times New Roman"/>
                <w:b w:val="0"/>
                <w:bCs/>
                <w:color w:val="auto"/>
                <w:sz w:val="24"/>
                <w:lang w:val="en-US" w:eastAsia="zh-CN"/>
              </w:rPr>
              <w:t>。</w:t>
            </w:r>
          </w:p>
          <w:p w14:paraId="2CDE12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表2-</w:t>
            </w:r>
            <w:r>
              <w:rPr>
                <w:rFonts w:hint="eastAsia"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lang w:val="en-US" w:eastAsia="zh-CN"/>
              </w:rPr>
              <w:t xml:space="preserve">  物料VOCs产生</w:t>
            </w:r>
            <w:r>
              <w:rPr>
                <w:rFonts w:hint="eastAsia" w:ascii="Times New Roman" w:hAnsi="Times New Roman" w:eastAsia="宋体" w:cs="Times New Roman"/>
                <w:b/>
                <w:color w:val="auto"/>
                <w:sz w:val="24"/>
                <w:lang w:val="en-US" w:eastAsia="zh-CN"/>
              </w:rPr>
              <w:t>及排放</w:t>
            </w:r>
            <w:r>
              <w:rPr>
                <w:rFonts w:hint="default" w:ascii="Times New Roman" w:hAnsi="Times New Roman" w:eastAsia="宋体" w:cs="Times New Roman"/>
                <w:b/>
                <w:color w:val="auto"/>
                <w:sz w:val="24"/>
                <w:lang w:val="en-US" w:eastAsia="zh-CN"/>
              </w:rPr>
              <w:t>情况</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109"/>
              <w:gridCol w:w="1100"/>
              <w:gridCol w:w="1402"/>
              <w:gridCol w:w="1700"/>
              <w:gridCol w:w="474"/>
              <w:gridCol w:w="531"/>
              <w:gridCol w:w="1283"/>
            </w:tblGrid>
            <w:tr w14:paraId="26ACE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30" w:type="pct"/>
                  <w:gridSpan w:val="5"/>
                  <w:tcBorders>
                    <w:tl2br w:val="nil"/>
                    <w:tr2bl w:val="nil"/>
                  </w:tcBorders>
                  <w:shd w:val="clear" w:color="auto" w:fill="auto"/>
                  <w:vAlign w:val="center"/>
                </w:tcPr>
                <w:p w14:paraId="171388CF">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入方</w:t>
                  </w:r>
                </w:p>
              </w:tc>
              <w:tc>
                <w:tcPr>
                  <w:tcW w:w="1369" w:type="pct"/>
                  <w:gridSpan w:val="3"/>
                  <w:tcBorders>
                    <w:tl2br w:val="nil"/>
                    <w:tr2bl w:val="nil"/>
                  </w:tcBorders>
                  <w:shd w:val="clear" w:color="auto" w:fill="auto"/>
                  <w:vAlign w:val="center"/>
                </w:tcPr>
                <w:p w14:paraId="126D8E2B">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出方</w:t>
                  </w:r>
                </w:p>
              </w:tc>
            </w:tr>
            <w:tr w14:paraId="44639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260F58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生产工序</w:t>
                  </w:r>
                </w:p>
              </w:tc>
              <w:tc>
                <w:tcPr>
                  <w:tcW w:w="663" w:type="pct"/>
                  <w:tcBorders>
                    <w:tl2br w:val="nil"/>
                    <w:tr2bl w:val="nil"/>
                  </w:tcBorders>
                  <w:vAlign w:val="center"/>
                </w:tcPr>
                <w:p w14:paraId="12752C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原料名称</w:t>
                  </w:r>
                </w:p>
              </w:tc>
              <w:tc>
                <w:tcPr>
                  <w:tcW w:w="658" w:type="pct"/>
                  <w:tcBorders>
                    <w:tl2br w:val="nil"/>
                    <w:tr2bl w:val="nil"/>
                  </w:tcBorders>
                  <w:vAlign w:val="center"/>
                </w:tcPr>
                <w:p w14:paraId="0DDD6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原料用量</w:t>
                  </w:r>
                </w:p>
              </w:tc>
              <w:tc>
                <w:tcPr>
                  <w:tcW w:w="839" w:type="pct"/>
                  <w:tcBorders>
                    <w:tl2br w:val="nil"/>
                    <w:tr2bl w:val="nil"/>
                  </w:tcBorders>
                  <w:shd w:val="clear" w:color="auto" w:fill="auto"/>
                  <w:vAlign w:val="center"/>
                </w:tcPr>
                <w:p w14:paraId="51A01475">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含量成分</w:t>
                  </w:r>
                </w:p>
              </w:tc>
              <w:tc>
                <w:tcPr>
                  <w:tcW w:w="1017" w:type="pct"/>
                  <w:tcBorders>
                    <w:tl2br w:val="nil"/>
                    <w:tr2bl w:val="nil"/>
                  </w:tcBorders>
                  <w:shd w:val="clear" w:color="auto" w:fill="auto"/>
                  <w:vAlign w:val="center"/>
                </w:tcPr>
                <w:p w14:paraId="3299BDC5">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含VOCs量（t）</w:t>
                  </w:r>
                </w:p>
              </w:tc>
              <w:tc>
                <w:tcPr>
                  <w:tcW w:w="601" w:type="pct"/>
                  <w:gridSpan w:val="2"/>
                  <w:tcBorders>
                    <w:tl2br w:val="nil"/>
                    <w:tr2bl w:val="nil"/>
                  </w:tcBorders>
                  <w:shd w:val="clear" w:color="auto" w:fill="auto"/>
                  <w:vAlign w:val="center"/>
                </w:tcPr>
                <w:p w14:paraId="058C08F3">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去向</w:t>
                  </w:r>
                </w:p>
              </w:tc>
              <w:tc>
                <w:tcPr>
                  <w:tcW w:w="767" w:type="pct"/>
                  <w:tcBorders>
                    <w:tl2br w:val="nil"/>
                    <w:tr2bl w:val="nil"/>
                  </w:tcBorders>
                  <w:shd w:val="clear" w:color="auto" w:fill="auto"/>
                  <w:vAlign w:val="center"/>
                </w:tcPr>
                <w:p w14:paraId="5D2600DB">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含VOCs量（t）</w:t>
                  </w:r>
                </w:p>
              </w:tc>
            </w:tr>
            <w:tr w14:paraId="4F6E3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69FF98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 xml:space="preserve">吹膜 </w:t>
                  </w:r>
                </w:p>
              </w:tc>
              <w:tc>
                <w:tcPr>
                  <w:tcW w:w="663" w:type="pct"/>
                  <w:tcBorders>
                    <w:tl2br w:val="nil"/>
                    <w:tr2bl w:val="nil"/>
                  </w:tcBorders>
                  <w:vAlign w:val="center"/>
                </w:tcPr>
                <w:p w14:paraId="753F87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LDPE粒子</w:t>
                  </w:r>
                </w:p>
              </w:tc>
              <w:tc>
                <w:tcPr>
                  <w:tcW w:w="658" w:type="pct"/>
                  <w:tcBorders>
                    <w:tl2br w:val="nil"/>
                    <w:tr2bl w:val="nil"/>
                  </w:tcBorders>
                  <w:vAlign w:val="center"/>
                </w:tcPr>
                <w:p w14:paraId="208948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1000t</w:t>
                  </w:r>
                </w:p>
              </w:tc>
              <w:tc>
                <w:tcPr>
                  <w:tcW w:w="839" w:type="pct"/>
                  <w:tcBorders>
                    <w:tl2br w:val="nil"/>
                    <w:tr2bl w:val="nil"/>
                  </w:tcBorders>
                  <w:shd w:val="clear" w:color="auto" w:fill="auto"/>
                  <w:vAlign w:val="center"/>
                </w:tcPr>
                <w:p w14:paraId="33785C2A">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0.35kg/t原料</w:t>
                  </w:r>
                </w:p>
              </w:tc>
              <w:tc>
                <w:tcPr>
                  <w:tcW w:w="1017" w:type="pct"/>
                  <w:tcBorders>
                    <w:tl2br w:val="nil"/>
                    <w:tr2bl w:val="nil"/>
                  </w:tcBorders>
                  <w:shd w:val="clear" w:color="auto" w:fill="auto"/>
                  <w:vAlign w:val="center"/>
                </w:tcPr>
                <w:p w14:paraId="5E127B74">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0.35</w:t>
                  </w:r>
                </w:p>
              </w:tc>
              <w:tc>
                <w:tcPr>
                  <w:tcW w:w="283" w:type="pct"/>
                  <w:vMerge w:val="restart"/>
                  <w:tcBorders>
                    <w:tl2br w:val="nil"/>
                    <w:tr2bl w:val="nil"/>
                  </w:tcBorders>
                  <w:shd w:val="clear" w:color="auto" w:fill="auto"/>
                  <w:vAlign w:val="center"/>
                </w:tcPr>
                <w:p w14:paraId="74E8C656">
                  <w:pPr>
                    <w:pStyle w:val="5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废气</w:t>
                  </w:r>
                </w:p>
              </w:tc>
              <w:tc>
                <w:tcPr>
                  <w:tcW w:w="317" w:type="pct"/>
                  <w:vMerge w:val="restart"/>
                  <w:tcBorders>
                    <w:tl2br w:val="nil"/>
                    <w:tr2bl w:val="nil"/>
                  </w:tcBorders>
                  <w:shd w:val="clear" w:color="auto" w:fill="auto"/>
                  <w:vAlign w:val="center"/>
                </w:tcPr>
                <w:p w14:paraId="76E282FF">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有组织</w:t>
                  </w:r>
                </w:p>
              </w:tc>
              <w:tc>
                <w:tcPr>
                  <w:tcW w:w="767" w:type="pct"/>
                  <w:vMerge w:val="restart"/>
                  <w:tcBorders>
                    <w:tl2br w:val="nil"/>
                    <w:tr2bl w:val="nil"/>
                  </w:tcBorders>
                  <w:shd w:val="clear" w:color="auto" w:fill="auto"/>
                  <w:vAlign w:val="center"/>
                </w:tcPr>
                <w:p w14:paraId="7FF76B10">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0.1118</w:t>
                  </w:r>
                </w:p>
              </w:tc>
            </w:tr>
            <w:tr w14:paraId="05EB6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52" w:type="pct"/>
                  <w:vMerge w:val="restart"/>
                  <w:tcBorders>
                    <w:tl2br w:val="nil"/>
                    <w:tr2bl w:val="nil"/>
                  </w:tcBorders>
                  <w:vAlign w:val="center"/>
                </w:tcPr>
                <w:p w14:paraId="5956C9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调墨、印刷</w:t>
                  </w:r>
                </w:p>
              </w:tc>
              <w:tc>
                <w:tcPr>
                  <w:tcW w:w="663" w:type="pct"/>
                  <w:tcBorders>
                    <w:tl2br w:val="nil"/>
                    <w:tr2bl w:val="nil"/>
                  </w:tcBorders>
                  <w:vAlign w:val="center"/>
                </w:tcPr>
                <w:p w14:paraId="1C0988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水性油墨</w:t>
                  </w:r>
                </w:p>
              </w:tc>
              <w:tc>
                <w:tcPr>
                  <w:tcW w:w="658" w:type="pct"/>
                  <w:tcBorders>
                    <w:tl2br w:val="nil"/>
                    <w:tr2bl w:val="nil"/>
                  </w:tcBorders>
                  <w:vAlign w:val="center"/>
                </w:tcPr>
                <w:p w14:paraId="5A03C9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r>
                    <w:rPr>
                      <w:rFonts w:hint="default" w:ascii="Times New Roman" w:hAnsi="Times New Roman" w:eastAsia="宋体" w:cs="Times New Roman"/>
                      <w:b w:val="0"/>
                      <w:bCs w:val="0"/>
                      <w:color w:val="auto"/>
                      <w:sz w:val="21"/>
                      <w:szCs w:val="21"/>
                      <w:highlight w:val="none"/>
                      <w:lang w:val="en-US" w:eastAsia="zh-CN"/>
                    </w:rPr>
                    <w:t>t</w:t>
                  </w:r>
                </w:p>
              </w:tc>
              <w:tc>
                <w:tcPr>
                  <w:tcW w:w="839" w:type="pct"/>
                  <w:tcBorders>
                    <w:tl2br w:val="nil"/>
                    <w:tr2bl w:val="nil"/>
                  </w:tcBorders>
                  <w:vAlign w:val="center"/>
                </w:tcPr>
                <w:p w14:paraId="5766E1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7.8%</w:t>
                  </w:r>
                </w:p>
              </w:tc>
              <w:tc>
                <w:tcPr>
                  <w:tcW w:w="1017" w:type="pct"/>
                  <w:tcBorders>
                    <w:tl2br w:val="nil"/>
                    <w:tr2bl w:val="nil"/>
                  </w:tcBorders>
                  <w:vAlign w:val="center"/>
                </w:tcPr>
                <w:p w14:paraId="5E8CA0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0.39</w:t>
                  </w:r>
                </w:p>
              </w:tc>
              <w:tc>
                <w:tcPr>
                  <w:tcW w:w="283" w:type="pct"/>
                  <w:vMerge w:val="continue"/>
                  <w:tcBorders>
                    <w:tl2br w:val="nil"/>
                    <w:tr2bl w:val="nil"/>
                  </w:tcBorders>
                  <w:shd w:val="clear" w:color="auto" w:fill="auto"/>
                  <w:vAlign w:val="center"/>
                </w:tcPr>
                <w:p w14:paraId="4F6C46B9">
                  <w:pPr>
                    <w:pStyle w:val="5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4"/>
                      <w:sz w:val="21"/>
                      <w:szCs w:val="21"/>
                      <w:highlight w:val="none"/>
                      <w:lang w:val="en-US" w:eastAsia="zh-CN" w:bidi="ar-SA"/>
                    </w:rPr>
                  </w:pPr>
                </w:p>
              </w:tc>
              <w:tc>
                <w:tcPr>
                  <w:tcW w:w="317" w:type="pct"/>
                  <w:vMerge w:val="continue"/>
                  <w:tcBorders>
                    <w:tl2br w:val="nil"/>
                    <w:tr2bl w:val="nil"/>
                  </w:tcBorders>
                  <w:shd w:val="clear" w:color="auto" w:fill="auto"/>
                  <w:vAlign w:val="center"/>
                </w:tcPr>
                <w:p w14:paraId="651621D4">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767" w:type="pct"/>
                  <w:vMerge w:val="continue"/>
                  <w:tcBorders>
                    <w:tl2br w:val="nil"/>
                    <w:tr2bl w:val="nil"/>
                  </w:tcBorders>
                  <w:shd w:val="clear" w:color="auto" w:fill="auto"/>
                  <w:vAlign w:val="center"/>
                </w:tcPr>
                <w:p w14:paraId="083DC24D">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44"/>
                      <w:sz w:val="21"/>
                      <w:szCs w:val="21"/>
                      <w:highlight w:val="none"/>
                      <w:lang w:val="en-US" w:eastAsia="zh-CN" w:bidi="ar-SA"/>
                    </w:rPr>
                  </w:pPr>
                </w:p>
              </w:tc>
            </w:tr>
            <w:tr w14:paraId="4B549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52" w:type="pct"/>
                  <w:vMerge w:val="continue"/>
                  <w:tcBorders>
                    <w:tl2br w:val="nil"/>
                    <w:tr2bl w:val="nil"/>
                  </w:tcBorders>
                  <w:vAlign w:val="center"/>
                </w:tcPr>
                <w:p w14:paraId="065BD9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3" w:type="pct"/>
                  <w:tcBorders>
                    <w:tl2br w:val="nil"/>
                    <w:tr2bl w:val="nil"/>
                  </w:tcBorders>
                  <w:vAlign w:val="center"/>
                </w:tcPr>
                <w:p w14:paraId="55077F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油性油墨</w:t>
                  </w:r>
                </w:p>
              </w:tc>
              <w:tc>
                <w:tcPr>
                  <w:tcW w:w="658" w:type="pct"/>
                  <w:tcBorders>
                    <w:tl2br w:val="nil"/>
                    <w:tr2bl w:val="nil"/>
                  </w:tcBorders>
                  <w:vAlign w:val="center"/>
                </w:tcPr>
                <w:p w14:paraId="2FFAA2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0.5</w:t>
                  </w:r>
                  <w:r>
                    <w:rPr>
                      <w:rFonts w:hint="default" w:ascii="Times New Roman" w:hAnsi="Times New Roman" w:eastAsia="宋体" w:cs="Times New Roman"/>
                      <w:b w:val="0"/>
                      <w:bCs w:val="0"/>
                      <w:color w:val="auto"/>
                      <w:sz w:val="21"/>
                      <w:szCs w:val="21"/>
                      <w:highlight w:val="none"/>
                      <w:lang w:val="en-US" w:eastAsia="zh-CN"/>
                    </w:rPr>
                    <w:t>t</w:t>
                  </w:r>
                </w:p>
              </w:tc>
              <w:tc>
                <w:tcPr>
                  <w:tcW w:w="839" w:type="pct"/>
                  <w:tcBorders>
                    <w:tl2br w:val="nil"/>
                    <w:tr2bl w:val="nil"/>
                  </w:tcBorders>
                  <w:vAlign w:val="center"/>
                </w:tcPr>
                <w:p w14:paraId="6B26F2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40%</w:t>
                  </w:r>
                </w:p>
              </w:tc>
              <w:tc>
                <w:tcPr>
                  <w:tcW w:w="1017" w:type="pct"/>
                  <w:tcBorders>
                    <w:tl2br w:val="nil"/>
                    <w:tr2bl w:val="nil"/>
                  </w:tcBorders>
                  <w:vAlign w:val="center"/>
                </w:tcPr>
                <w:p w14:paraId="06BB77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0.2</w:t>
                  </w:r>
                </w:p>
              </w:tc>
              <w:tc>
                <w:tcPr>
                  <w:tcW w:w="283" w:type="pct"/>
                  <w:vMerge w:val="continue"/>
                  <w:tcBorders>
                    <w:tl2br w:val="nil"/>
                    <w:tr2bl w:val="nil"/>
                  </w:tcBorders>
                  <w:shd w:val="clear" w:color="auto" w:fill="auto"/>
                  <w:vAlign w:val="center"/>
                </w:tcPr>
                <w:p w14:paraId="78FD7385">
                  <w:pPr>
                    <w:pStyle w:val="5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17" w:type="pct"/>
                  <w:vMerge w:val="continue"/>
                  <w:tcBorders>
                    <w:tl2br w:val="nil"/>
                    <w:tr2bl w:val="nil"/>
                  </w:tcBorders>
                  <w:shd w:val="clear" w:color="auto" w:fill="auto"/>
                  <w:vAlign w:val="center"/>
                </w:tcPr>
                <w:p w14:paraId="26BF908D">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767" w:type="pct"/>
                  <w:vMerge w:val="continue"/>
                  <w:tcBorders>
                    <w:tl2br w:val="nil"/>
                    <w:tr2bl w:val="nil"/>
                  </w:tcBorders>
                  <w:shd w:val="clear" w:color="auto" w:fill="auto"/>
                  <w:vAlign w:val="center"/>
                </w:tcPr>
                <w:p w14:paraId="545245A8">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bCs w:val="0"/>
                      <w:color w:val="auto"/>
                      <w:kern w:val="44"/>
                      <w:sz w:val="21"/>
                      <w:szCs w:val="21"/>
                      <w:highlight w:val="none"/>
                      <w:lang w:val="en-US" w:eastAsia="zh-CN" w:bidi="ar-SA"/>
                    </w:rPr>
                  </w:pPr>
                </w:p>
              </w:tc>
            </w:tr>
            <w:tr w14:paraId="28F36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52" w:type="pct"/>
                  <w:vMerge w:val="continue"/>
                  <w:tcBorders>
                    <w:tl2br w:val="nil"/>
                    <w:tr2bl w:val="nil"/>
                  </w:tcBorders>
                  <w:vAlign w:val="center"/>
                </w:tcPr>
                <w:p w14:paraId="1D2643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63" w:type="pct"/>
                  <w:tcBorders>
                    <w:tl2br w:val="nil"/>
                    <w:tr2bl w:val="nil"/>
                  </w:tcBorders>
                  <w:vAlign w:val="center"/>
                </w:tcPr>
                <w:p w14:paraId="4D36C2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乙酸乙酯</w:t>
                  </w:r>
                </w:p>
              </w:tc>
              <w:tc>
                <w:tcPr>
                  <w:tcW w:w="658" w:type="pct"/>
                  <w:tcBorders>
                    <w:tl2br w:val="nil"/>
                    <w:tr2bl w:val="nil"/>
                  </w:tcBorders>
                  <w:vAlign w:val="center"/>
                </w:tcPr>
                <w:p w14:paraId="21F084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0.5</w:t>
                  </w:r>
                  <w:r>
                    <w:rPr>
                      <w:rFonts w:hint="default" w:ascii="Times New Roman" w:hAnsi="Times New Roman" w:eastAsia="宋体" w:cs="Times New Roman"/>
                      <w:b w:val="0"/>
                      <w:bCs w:val="0"/>
                      <w:color w:val="auto"/>
                      <w:sz w:val="21"/>
                      <w:szCs w:val="21"/>
                      <w:highlight w:val="none"/>
                      <w:lang w:val="en-US" w:eastAsia="zh-CN"/>
                    </w:rPr>
                    <w:t>t</w:t>
                  </w:r>
                </w:p>
              </w:tc>
              <w:tc>
                <w:tcPr>
                  <w:tcW w:w="839" w:type="pct"/>
                  <w:tcBorders>
                    <w:tl2br w:val="nil"/>
                    <w:tr2bl w:val="nil"/>
                  </w:tcBorders>
                  <w:vAlign w:val="center"/>
                </w:tcPr>
                <w:p w14:paraId="59EC75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789g/L，</w:t>
                  </w:r>
                  <w:r>
                    <w:rPr>
                      <w:rFonts w:hint="eastAsia" w:ascii="Times New Roman" w:hAnsi="Times New Roman" w:eastAsia="宋体" w:cs="Times New Roman"/>
                      <w:color w:val="auto"/>
                      <w:kern w:val="2"/>
                      <w:sz w:val="21"/>
                      <w:szCs w:val="21"/>
                      <w:highlight w:val="none"/>
                      <w:shd w:val="clear"/>
                      <w:lang w:val="en-US" w:eastAsia="zh-CN"/>
                    </w:rPr>
                    <w:t>密度为3.04g/cm</w:t>
                  </w:r>
                  <w:r>
                    <w:rPr>
                      <w:rFonts w:hint="eastAsia" w:ascii="Times New Roman" w:hAnsi="Times New Roman" w:eastAsia="宋体" w:cs="Times New Roman"/>
                      <w:color w:val="auto"/>
                      <w:kern w:val="2"/>
                      <w:sz w:val="21"/>
                      <w:szCs w:val="21"/>
                      <w:highlight w:val="none"/>
                      <w:shd w:val="clear"/>
                      <w:vertAlign w:val="superscript"/>
                      <w:lang w:val="en-US" w:eastAsia="zh-CN"/>
                    </w:rPr>
                    <w:t>3</w:t>
                  </w:r>
                </w:p>
              </w:tc>
              <w:tc>
                <w:tcPr>
                  <w:tcW w:w="1017" w:type="pct"/>
                  <w:tcBorders>
                    <w:tl2br w:val="nil"/>
                    <w:tr2bl w:val="nil"/>
                  </w:tcBorders>
                  <w:vAlign w:val="center"/>
                </w:tcPr>
                <w:p w14:paraId="02706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0.13</w:t>
                  </w:r>
                </w:p>
              </w:tc>
              <w:tc>
                <w:tcPr>
                  <w:tcW w:w="283" w:type="pct"/>
                  <w:vMerge w:val="continue"/>
                  <w:tcBorders>
                    <w:tl2br w:val="nil"/>
                    <w:tr2bl w:val="nil"/>
                  </w:tcBorders>
                  <w:shd w:val="clear" w:color="auto" w:fill="auto"/>
                  <w:vAlign w:val="center"/>
                </w:tcPr>
                <w:p w14:paraId="0DEBA349">
                  <w:pPr>
                    <w:pStyle w:val="5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17" w:type="pct"/>
                  <w:vMerge w:val="restart"/>
                  <w:tcBorders>
                    <w:tl2br w:val="nil"/>
                    <w:tr2bl w:val="nil"/>
                  </w:tcBorders>
                  <w:shd w:val="clear" w:color="auto" w:fill="auto"/>
                  <w:vAlign w:val="center"/>
                </w:tcPr>
                <w:p w14:paraId="4679A6FB">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无组织</w:t>
                  </w:r>
                </w:p>
              </w:tc>
              <w:tc>
                <w:tcPr>
                  <w:tcW w:w="767" w:type="pct"/>
                  <w:vMerge w:val="restart"/>
                  <w:tcBorders>
                    <w:tl2br w:val="nil"/>
                    <w:tr2bl w:val="nil"/>
                  </w:tcBorders>
                  <w:shd w:val="clear" w:color="auto" w:fill="auto"/>
                  <w:vAlign w:val="center"/>
                </w:tcPr>
                <w:p w14:paraId="2B2C29BD">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kern w:val="44"/>
                      <w:sz w:val="21"/>
                      <w:szCs w:val="21"/>
                      <w:highlight w:val="none"/>
                      <w:lang w:val="en-US" w:eastAsia="zh-CN" w:bidi="ar-SA"/>
                    </w:rPr>
                    <w:t>0.0793</w:t>
                  </w:r>
                </w:p>
              </w:tc>
            </w:tr>
            <w:tr w14:paraId="60753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452" w:type="pct"/>
                  <w:tcBorders>
                    <w:tl2br w:val="nil"/>
                    <w:tr2bl w:val="nil"/>
                  </w:tcBorders>
                  <w:vAlign w:val="center"/>
                </w:tcPr>
                <w:p w14:paraId="1C90BC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复合、熟化</w:t>
                  </w:r>
                </w:p>
              </w:tc>
              <w:tc>
                <w:tcPr>
                  <w:tcW w:w="663" w:type="pct"/>
                  <w:tcBorders>
                    <w:tl2br w:val="nil"/>
                    <w:tr2bl w:val="nil"/>
                  </w:tcBorders>
                  <w:vAlign w:val="center"/>
                </w:tcPr>
                <w:p w14:paraId="79467F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Cs w:val="21"/>
                      <w:highlight w:val="none"/>
                      <w:lang w:eastAsia="zh-CN"/>
                    </w:rPr>
                    <w:t>双组份无溶剂聚氨酯粘合剂</w:t>
                  </w:r>
                </w:p>
              </w:tc>
              <w:tc>
                <w:tcPr>
                  <w:tcW w:w="658" w:type="pct"/>
                  <w:tcBorders>
                    <w:tl2br w:val="nil"/>
                    <w:tr2bl w:val="nil"/>
                  </w:tcBorders>
                  <w:vAlign w:val="center"/>
                </w:tcPr>
                <w:p w14:paraId="4F21DF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10t</w:t>
                  </w:r>
                </w:p>
              </w:tc>
              <w:tc>
                <w:tcPr>
                  <w:tcW w:w="839" w:type="pct"/>
                  <w:tcBorders>
                    <w:tl2br w:val="nil"/>
                    <w:tr2bl w:val="nil"/>
                  </w:tcBorders>
                  <w:vAlign w:val="center"/>
                </w:tcPr>
                <w:p w14:paraId="667B73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g/kg</w:t>
                  </w:r>
                </w:p>
              </w:tc>
              <w:tc>
                <w:tcPr>
                  <w:tcW w:w="1017" w:type="pct"/>
                  <w:tcBorders>
                    <w:tl2br w:val="nil"/>
                    <w:tr2bl w:val="nil"/>
                  </w:tcBorders>
                  <w:vAlign w:val="center"/>
                </w:tcPr>
                <w:p w14:paraId="3E1C02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0.04</w:t>
                  </w:r>
                </w:p>
              </w:tc>
              <w:tc>
                <w:tcPr>
                  <w:tcW w:w="283" w:type="pct"/>
                  <w:vMerge w:val="continue"/>
                  <w:tcBorders>
                    <w:tl2br w:val="nil"/>
                    <w:tr2bl w:val="nil"/>
                  </w:tcBorders>
                  <w:shd w:val="clear" w:color="auto" w:fill="auto"/>
                  <w:vAlign w:val="center"/>
                </w:tcPr>
                <w:p w14:paraId="19778EDF">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317" w:type="pct"/>
                  <w:vMerge w:val="continue"/>
                  <w:tcBorders>
                    <w:tl2br w:val="nil"/>
                    <w:tr2bl w:val="nil"/>
                  </w:tcBorders>
                  <w:shd w:val="clear" w:color="auto" w:fill="auto"/>
                  <w:vAlign w:val="center"/>
                </w:tcPr>
                <w:p w14:paraId="27002712">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767" w:type="pct"/>
                  <w:vMerge w:val="continue"/>
                  <w:tcBorders>
                    <w:tl2br w:val="nil"/>
                    <w:tr2bl w:val="nil"/>
                  </w:tcBorders>
                  <w:shd w:val="clear" w:color="auto" w:fill="auto"/>
                  <w:vAlign w:val="center"/>
                </w:tcPr>
                <w:p w14:paraId="5878C758">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44"/>
                      <w:sz w:val="21"/>
                      <w:szCs w:val="21"/>
                      <w:highlight w:val="none"/>
                      <w:lang w:val="en-US" w:eastAsia="zh-CN" w:bidi="ar-SA"/>
                    </w:rPr>
                  </w:pPr>
                </w:p>
              </w:tc>
            </w:tr>
            <w:tr w14:paraId="7B657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52" w:type="pct"/>
                  <w:tcBorders>
                    <w:tl2br w:val="nil"/>
                    <w:tr2bl w:val="nil"/>
                  </w:tcBorders>
                  <w:vAlign w:val="center"/>
                </w:tcPr>
                <w:p w14:paraId="7327EE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制袋</w:t>
                  </w:r>
                </w:p>
              </w:tc>
              <w:tc>
                <w:tcPr>
                  <w:tcW w:w="663" w:type="pct"/>
                  <w:tcBorders>
                    <w:tl2br w:val="nil"/>
                    <w:tr2bl w:val="nil"/>
                  </w:tcBorders>
                  <w:vAlign w:val="center"/>
                </w:tcPr>
                <w:p w14:paraId="6E3D6D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PE膜、PET膜、BOPP膜</w:t>
                  </w:r>
                </w:p>
              </w:tc>
              <w:tc>
                <w:tcPr>
                  <w:tcW w:w="658" w:type="pct"/>
                  <w:tcBorders>
                    <w:tl2br w:val="nil"/>
                    <w:tr2bl w:val="nil"/>
                  </w:tcBorders>
                  <w:vAlign w:val="center"/>
                </w:tcPr>
                <w:p w14:paraId="70F63D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r>
                    <w:rPr>
                      <w:rFonts w:hint="default" w:ascii="Times New Roman" w:hAnsi="Times New Roman" w:eastAsia="宋体" w:cs="Times New Roman"/>
                      <w:b w:val="0"/>
                      <w:bCs w:val="0"/>
                      <w:color w:val="auto"/>
                      <w:sz w:val="21"/>
                      <w:szCs w:val="21"/>
                      <w:highlight w:val="none"/>
                      <w:lang w:val="en-US" w:eastAsia="zh-CN"/>
                    </w:rPr>
                    <w:t>0t</w:t>
                  </w:r>
                  <w:r>
                    <w:rPr>
                      <w:rFonts w:hint="eastAsia" w:ascii="Times New Roman" w:hAnsi="Times New Roman" w:eastAsia="宋体" w:cs="Times New Roman"/>
                      <w:b w:val="0"/>
                      <w:bCs w:val="0"/>
                      <w:color w:val="auto"/>
                      <w:sz w:val="21"/>
                      <w:szCs w:val="21"/>
                      <w:highlight w:val="none"/>
                      <w:lang w:val="en-US" w:eastAsia="zh-CN"/>
                    </w:rPr>
                    <w:t>（占总用量的5%）</w:t>
                  </w:r>
                </w:p>
              </w:tc>
              <w:tc>
                <w:tcPr>
                  <w:tcW w:w="839" w:type="pct"/>
                  <w:tcBorders>
                    <w:tl2br w:val="nil"/>
                    <w:tr2bl w:val="nil"/>
                  </w:tcBorders>
                  <w:vAlign w:val="center"/>
                </w:tcPr>
                <w:p w14:paraId="15E7D9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0.35kg/t原料</w:t>
                  </w:r>
                </w:p>
              </w:tc>
              <w:tc>
                <w:tcPr>
                  <w:tcW w:w="1017" w:type="pct"/>
                  <w:tcBorders>
                    <w:tl2br w:val="nil"/>
                    <w:tr2bl w:val="nil"/>
                  </w:tcBorders>
                  <w:vAlign w:val="center"/>
                </w:tcPr>
                <w:p w14:paraId="7B026B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0.035</w:t>
                  </w:r>
                </w:p>
              </w:tc>
              <w:tc>
                <w:tcPr>
                  <w:tcW w:w="601" w:type="pct"/>
                  <w:gridSpan w:val="2"/>
                  <w:vMerge w:val="restart"/>
                  <w:tcBorders>
                    <w:tl2br w:val="nil"/>
                    <w:tr2bl w:val="nil"/>
                  </w:tcBorders>
                  <w:shd w:val="clear" w:color="auto" w:fill="auto"/>
                  <w:vAlign w:val="center"/>
                </w:tcPr>
                <w:p w14:paraId="2FE02B55">
                  <w:pPr>
                    <w:pStyle w:val="5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危废</w:t>
                  </w:r>
                  <w:r>
                    <w:rPr>
                      <w:rFonts w:hint="eastAsia" w:ascii="Times New Roman" w:hAnsi="Times New Roman" w:eastAsia="宋体" w:cs="Times New Roman"/>
                      <w:b w:val="0"/>
                      <w:bCs w:val="0"/>
                      <w:color w:val="auto"/>
                      <w:sz w:val="21"/>
                      <w:szCs w:val="21"/>
                      <w:highlight w:val="none"/>
                      <w:lang w:val="en-US" w:eastAsia="zh-CN"/>
                    </w:rPr>
                    <w:t>：进入废活性炭</w:t>
                  </w:r>
                </w:p>
              </w:tc>
              <w:tc>
                <w:tcPr>
                  <w:tcW w:w="767" w:type="pct"/>
                  <w:vMerge w:val="restart"/>
                  <w:tcBorders>
                    <w:tl2br w:val="nil"/>
                    <w:tr2bl w:val="nil"/>
                  </w:tcBorders>
                  <w:shd w:val="clear" w:color="auto" w:fill="auto"/>
                  <w:vAlign w:val="center"/>
                </w:tcPr>
                <w:p w14:paraId="077ABB7E">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kern w:val="44"/>
                      <w:sz w:val="21"/>
                      <w:szCs w:val="21"/>
                      <w:highlight w:val="none"/>
                      <w:lang w:val="en-US" w:eastAsia="zh-CN" w:bidi="ar-SA"/>
                    </w:rPr>
                    <w:t>1.0059</w:t>
                  </w:r>
                </w:p>
              </w:tc>
            </w:tr>
            <w:tr w14:paraId="410DA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52" w:type="pct"/>
                  <w:tcBorders>
                    <w:tl2br w:val="nil"/>
                    <w:tr2bl w:val="nil"/>
                  </w:tcBorders>
                  <w:vAlign w:val="center"/>
                </w:tcPr>
                <w:p w14:paraId="2E1009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清洗</w:t>
                  </w:r>
                </w:p>
              </w:tc>
              <w:tc>
                <w:tcPr>
                  <w:tcW w:w="663" w:type="pct"/>
                  <w:tcBorders>
                    <w:tl2br w:val="nil"/>
                    <w:tr2bl w:val="nil"/>
                  </w:tcBorders>
                  <w:vAlign w:val="center"/>
                </w:tcPr>
                <w:p w14:paraId="05508A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乙酸乙酯</w:t>
                  </w:r>
                </w:p>
              </w:tc>
              <w:tc>
                <w:tcPr>
                  <w:tcW w:w="658" w:type="pct"/>
                  <w:tcBorders>
                    <w:tl2br w:val="nil"/>
                    <w:tr2bl w:val="nil"/>
                  </w:tcBorders>
                  <w:vAlign w:val="center"/>
                </w:tcPr>
                <w:p w14:paraId="5C25C2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0.2</w:t>
                  </w:r>
                  <w:r>
                    <w:rPr>
                      <w:rFonts w:hint="default" w:ascii="Times New Roman" w:hAnsi="Times New Roman" w:eastAsia="宋体" w:cs="Times New Roman"/>
                      <w:b w:val="0"/>
                      <w:bCs w:val="0"/>
                      <w:color w:val="auto"/>
                      <w:sz w:val="21"/>
                      <w:szCs w:val="21"/>
                      <w:highlight w:val="none"/>
                      <w:lang w:val="en-US" w:eastAsia="zh-CN"/>
                    </w:rPr>
                    <w:t>t</w:t>
                  </w:r>
                </w:p>
              </w:tc>
              <w:tc>
                <w:tcPr>
                  <w:tcW w:w="839" w:type="pct"/>
                  <w:tcBorders>
                    <w:tl2br w:val="nil"/>
                    <w:tr2bl w:val="nil"/>
                  </w:tcBorders>
                  <w:vAlign w:val="center"/>
                </w:tcPr>
                <w:p w14:paraId="085B4D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789g/L，</w:t>
                  </w:r>
                  <w:r>
                    <w:rPr>
                      <w:rFonts w:hint="eastAsia" w:ascii="Times New Roman" w:hAnsi="Times New Roman" w:eastAsia="宋体" w:cs="Times New Roman"/>
                      <w:color w:val="auto"/>
                      <w:kern w:val="2"/>
                      <w:sz w:val="21"/>
                      <w:szCs w:val="21"/>
                      <w:highlight w:val="none"/>
                      <w:shd w:val="clear"/>
                      <w:lang w:val="en-US" w:eastAsia="zh-CN"/>
                    </w:rPr>
                    <w:t>密度为3.04g/cm</w:t>
                  </w:r>
                  <w:r>
                    <w:rPr>
                      <w:rFonts w:hint="eastAsia" w:ascii="Times New Roman" w:hAnsi="Times New Roman" w:eastAsia="宋体" w:cs="Times New Roman"/>
                      <w:color w:val="auto"/>
                      <w:kern w:val="2"/>
                      <w:sz w:val="21"/>
                      <w:szCs w:val="21"/>
                      <w:highlight w:val="none"/>
                      <w:shd w:val="clear"/>
                      <w:vertAlign w:val="superscript"/>
                      <w:lang w:val="en-US" w:eastAsia="zh-CN"/>
                    </w:rPr>
                    <w:t>3</w:t>
                  </w:r>
                </w:p>
              </w:tc>
              <w:tc>
                <w:tcPr>
                  <w:tcW w:w="1017" w:type="pct"/>
                  <w:tcBorders>
                    <w:tl2br w:val="nil"/>
                    <w:tr2bl w:val="nil"/>
                  </w:tcBorders>
                  <w:vAlign w:val="center"/>
                </w:tcPr>
                <w:p w14:paraId="23024E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0.052</w:t>
                  </w:r>
                </w:p>
              </w:tc>
              <w:tc>
                <w:tcPr>
                  <w:tcW w:w="601" w:type="pct"/>
                  <w:gridSpan w:val="2"/>
                  <w:vMerge w:val="continue"/>
                  <w:tcBorders>
                    <w:tl2br w:val="nil"/>
                    <w:tr2bl w:val="nil"/>
                  </w:tcBorders>
                  <w:shd w:val="clear" w:color="auto" w:fill="auto"/>
                  <w:vAlign w:val="center"/>
                </w:tcPr>
                <w:p w14:paraId="517E0278">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767" w:type="pct"/>
                  <w:vMerge w:val="continue"/>
                  <w:tcBorders>
                    <w:tl2br w:val="nil"/>
                    <w:tr2bl w:val="nil"/>
                  </w:tcBorders>
                  <w:shd w:val="clear" w:color="auto" w:fill="auto"/>
                  <w:vAlign w:val="center"/>
                </w:tcPr>
                <w:p w14:paraId="5BFE11AF">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24"/>
                      <w:sz w:val="21"/>
                      <w:szCs w:val="21"/>
                      <w:highlight w:val="none"/>
                      <w:lang w:val="en-US" w:eastAsia="zh-CN" w:bidi="ar-SA"/>
                    </w:rPr>
                  </w:pPr>
                </w:p>
              </w:tc>
            </w:tr>
            <w:tr w14:paraId="0C307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2C12F5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合计</w:t>
                  </w:r>
                </w:p>
              </w:tc>
              <w:tc>
                <w:tcPr>
                  <w:tcW w:w="2160" w:type="pct"/>
                  <w:gridSpan w:val="3"/>
                  <w:tcBorders>
                    <w:tl2br w:val="nil"/>
                    <w:tr2bl w:val="nil"/>
                  </w:tcBorders>
                  <w:vAlign w:val="center"/>
                </w:tcPr>
                <w:p w14:paraId="45B223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017" w:type="pct"/>
                  <w:tcBorders>
                    <w:tl2br w:val="nil"/>
                    <w:tr2bl w:val="nil"/>
                  </w:tcBorders>
                  <w:vAlign w:val="center"/>
                </w:tcPr>
                <w:p w14:paraId="4D6892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1.197</w:t>
                  </w:r>
                </w:p>
              </w:tc>
              <w:tc>
                <w:tcPr>
                  <w:tcW w:w="601" w:type="pct"/>
                  <w:gridSpan w:val="2"/>
                  <w:tcBorders>
                    <w:tl2br w:val="nil"/>
                    <w:tr2bl w:val="nil"/>
                  </w:tcBorders>
                  <w:shd w:val="clear" w:color="auto" w:fill="auto"/>
                  <w:vAlign w:val="center"/>
                </w:tcPr>
                <w:p w14:paraId="7F8F6F5C">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767" w:type="pct"/>
                  <w:tcBorders>
                    <w:tl2br w:val="nil"/>
                    <w:tr2bl w:val="nil"/>
                  </w:tcBorders>
                  <w:shd w:val="clear" w:color="auto" w:fill="auto"/>
                  <w:vAlign w:val="center"/>
                </w:tcPr>
                <w:p w14:paraId="14CEEFDD">
                  <w:pPr>
                    <w:pStyle w:val="5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val="0"/>
                      <w:color w:val="auto"/>
                      <w:kern w:val="44"/>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1.197</w:t>
                  </w:r>
                </w:p>
              </w:tc>
            </w:tr>
          </w:tbl>
          <w:p w14:paraId="66F414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eastAsia" w:ascii="Times New Roman" w:hAnsi="Times New Roman" w:eastAsia="宋体" w:cs="Times New Roman"/>
                <w:b w:val="0"/>
                <w:bCs/>
                <w:color w:val="auto"/>
                <w:sz w:val="24"/>
                <w:highlight w:val="none"/>
                <w:shd w:val="clear" w:color="auto" w:fill="auto"/>
                <w:lang w:val="en-US" w:eastAsia="zh-CN"/>
              </w:rPr>
              <w:t>②VOCs平衡</w:t>
            </w:r>
          </w:p>
          <w:p w14:paraId="1450BB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本项目生产过程中其VOCs</w:t>
            </w:r>
            <w:r>
              <w:rPr>
                <w:rFonts w:hint="eastAsia" w:ascii="Times New Roman" w:hAnsi="Times New Roman" w:eastAsia="宋体" w:cs="Times New Roman"/>
                <w:b w:val="0"/>
                <w:bCs/>
                <w:color w:val="auto"/>
                <w:sz w:val="24"/>
                <w:highlight w:val="none"/>
                <w:shd w:val="clear" w:color="auto" w:fill="auto"/>
                <w:lang w:val="en-US" w:eastAsia="zh-CN"/>
              </w:rPr>
              <w:t>平衡</w:t>
            </w:r>
            <w:r>
              <w:rPr>
                <w:rFonts w:hint="default" w:ascii="Times New Roman" w:hAnsi="Times New Roman" w:eastAsia="宋体" w:cs="Times New Roman"/>
                <w:b w:val="0"/>
                <w:bCs/>
                <w:color w:val="auto"/>
                <w:sz w:val="24"/>
                <w:highlight w:val="none"/>
                <w:shd w:val="clear" w:color="auto" w:fill="auto"/>
                <w:lang w:val="en-US" w:eastAsia="zh-CN"/>
              </w:rPr>
              <w:t>见</w:t>
            </w:r>
            <w:r>
              <w:rPr>
                <w:rFonts w:hint="eastAsia" w:ascii="Times New Roman" w:hAnsi="Times New Roman" w:eastAsia="宋体" w:cs="Times New Roman"/>
                <w:b w:val="0"/>
                <w:bCs/>
                <w:color w:val="auto"/>
                <w:sz w:val="24"/>
                <w:highlight w:val="none"/>
                <w:shd w:val="clear" w:color="auto" w:fill="auto"/>
                <w:lang w:val="en-US" w:eastAsia="zh-CN"/>
              </w:rPr>
              <w:t>图</w:t>
            </w:r>
            <w:r>
              <w:rPr>
                <w:rFonts w:hint="default" w:ascii="Times New Roman" w:hAnsi="Times New Roman" w:eastAsia="宋体" w:cs="Times New Roman"/>
                <w:b w:val="0"/>
                <w:bCs/>
                <w:color w:val="auto"/>
                <w:sz w:val="24"/>
                <w:highlight w:val="none"/>
                <w:shd w:val="clear" w:color="auto" w:fill="auto"/>
                <w:lang w:val="en-US" w:eastAsia="zh-CN"/>
              </w:rPr>
              <w:t>2-</w:t>
            </w:r>
            <w:r>
              <w:rPr>
                <w:rFonts w:hint="eastAsia" w:ascii="Times New Roman" w:hAnsi="Times New Roman" w:eastAsia="宋体" w:cs="Times New Roman"/>
                <w:b w:val="0"/>
                <w:bCs/>
                <w:color w:val="auto"/>
                <w:sz w:val="24"/>
                <w:highlight w:val="none"/>
                <w:shd w:val="clear" w:color="auto" w:fill="auto"/>
                <w:lang w:val="en-US" w:eastAsia="zh-CN"/>
              </w:rPr>
              <w:t>1</w:t>
            </w:r>
            <w:r>
              <w:rPr>
                <w:rFonts w:hint="default" w:ascii="Times New Roman" w:hAnsi="Times New Roman" w:eastAsia="宋体" w:cs="Times New Roman"/>
                <w:b w:val="0"/>
                <w:bCs/>
                <w:color w:val="auto"/>
                <w:sz w:val="24"/>
                <w:highlight w:val="none"/>
                <w:shd w:val="clear" w:color="auto" w:fill="auto"/>
                <w:lang w:val="en-US" w:eastAsia="zh-CN"/>
              </w:rPr>
              <w:t>。</w:t>
            </w:r>
          </w:p>
          <w:p w14:paraId="0957A0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shd w:val="clear" w:color="auto" w:fill="auto"/>
                <w:lang w:val="en-US" w:eastAsia="zh-CN"/>
              </w:rPr>
            </w:pPr>
            <w:r>
              <w:rPr>
                <w:rFonts w:hint="default" w:ascii="Times New Roman" w:hAnsi="Times New Roman" w:eastAsia="宋体" w:cs="Times New Roman"/>
                <w:b/>
                <w:color w:val="auto"/>
                <w:sz w:val="24"/>
                <w:highlight w:val="none"/>
                <w:shd w:val="clear" w:color="auto" w:fill="auto"/>
                <w:lang w:val="en-US" w:eastAsia="zh-CN"/>
              </w:rPr>
              <w:drawing>
                <wp:inline distT="0" distB="0" distL="114300" distR="114300">
                  <wp:extent cx="4116070" cy="7101840"/>
                  <wp:effectExtent l="0" t="0" r="0" b="0"/>
                  <wp:docPr id="3" name="ECB019B1-382A-4266-B25C-5B523AA43C14-1" descr="C:/Users/29147/AppData/Local/Temp/wps.MKpMI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29147/AppData/Local/Temp/wps.MKpMIfwps"/>
                          <pic:cNvPicPr>
                            <a:picLocks noChangeAspect="1"/>
                          </pic:cNvPicPr>
                        </pic:nvPicPr>
                        <pic:blipFill>
                          <a:blip r:embed="rId13"/>
                          <a:stretch>
                            <a:fillRect/>
                          </a:stretch>
                        </pic:blipFill>
                        <pic:spPr>
                          <a:xfrm>
                            <a:off x="0" y="0"/>
                            <a:ext cx="4116070" cy="7101840"/>
                          </a:xfrm>
                          <a:prstGeom prst="rect">
                            <a:avLst/>
                          </a:prstGeom>
                        </pic:spPr>
                      </pic:pic>
                    </a:graphicData>
                  </a:graphic>
                </wp:inline>
              </w:drawing>
            </w:r>
            <w:r>
              <w:rPr>
                <w:rFonts w:hint="eastAsia" w:ascii="Times New Roman" w:hAnsi="Times New Roman" w:eastAsia="宋体" w:cs="Times New Roman"/>
                <w:b/>
                <w:color w:val="auto"/>
                <w:sz w:val="24"/>
                <w:highlight w:val="none"/>
                <w:shd w:val="clear" w:color="auto" w:fill="auto"/>
                <w:lang w:val="en-US" w:eastAsia="zh-CN"/>
              </w:rPr>
              <w:t xml:space="preserve"> </w:t>
            </w:r>
          </w:p>
          <w:p w14:paraId="5B73AE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shd w:val="clear" w:color="auto" w:fill="auto"/>
                <w:lang w:val="en-US" w:eastAsia="zh-CN"/>
              </w:rPr>
            </w:pPr>
            <w:r>
              <w:rPr>
                <w:rFonts w:hint="eastAsia" w:ascii="Times New Roman" w:hAnsi="Times New Roman" w:eastAsia="宋体" w:cs="Times New Roman"/>
                <w:b/>
                <w:color w:val="auto"/>
                <w:sz w:val="24"/>
                <w:highlight w:val="none"/>
                <w:shd w:val="clear" w:color="auto" w:fill="auto"/>
                <w:lang w:val="en-US" w:eastAsia="zh-CN"/>
              </w:rPr>
              <w:t>图</w:t>
            </w:r>
            <w:r>
              <w:rPr>
                <w:rFonts w:hint="default" w:ascii="Times New Roman" w:hAnsi="Times New Roman" w:eastAsia="宋体" w:cs="Times New Roman"/>
                <w:b/>
                <w:color w:val="auto"/>
                <w:sz w:val="24"/>
                <w:highlight w:val="none"/>
                <w:shd w:val="clear" w:color="auto" w:fill="auto"/>
                <w:lang w:val="en-US" w:eastAsia="zh-CN"/>
              </w:rPr>
              <w:t>2-</w:t>
            </w:r>
            <w:r>
              <w:rPr>
                <w:rFonts w:hint="eastAsia" w:ascii="Times New Roman" w:hAnsi="Times New Roman" w:eastAsia="宋体" w:cs="Times New Roman"/>
                <w:b/>
                <w:color w:val="auto"/>
                <w:sz w:val="24"/>
                <w:highlight w:val="none"/>
                <w:shd w:val="clear" w:color="auto" w:fill="auto"/>
                <w:lang w:val="en-US" w:eastAsia="zh-CN"/>
              </w:rPr>
              <w:t>1</w:t>
            </w:r>
            <w:r>
              <w:rPr>
                <w:rFonts w:hint="default" w:ascii="Times New Roman" w:hAnsi="Times New Roman" w:eastAsia="宋体" w:cs="Times New Roman"/>
                <w:b/>
                <w:color w:val="auto"/>
                <w:sz w:val="24"/>
                <w:highlight w:val="none"/>
                <w:shd w:val="clear" w:color="auto" w:fill="auto"/>
                <w:lang w:val="en-US" w:eastAsia="zh-CN"/>
              </w:rPr>
              <w:t xml:space="preserve">  物料VOCs产生</w:t>
            </w:r>
            <w:r>
              <w:rPr>
                <w:rFonts w:hint="eastAsia" w:ascii="Times New Roman" w:hAnsi="Times New Roman" w:eastAsia="宋体" w:cs="Times New Roman"/>
                <w:b/>
                <w:color w:val="auto"/>
                <w:sz w:val="24"/>
                <w:highlight w:val="none"/>
                <w:shd w:val="clear" w:color="auto" w:fill="auto"/>
                <w:lang w:val="en-US" w:eastAsia="zh-CN"/>
              </w:rPr>
              <w:t>及排放</w:t>
            </w:r>
            <w:r>
              <w:rPr>
                <w:rFonts w:hint="default" w:ascii="Times New Roman" w:hAnsi="Times New Roman" w:eastAsia="宋体" w:cs="Times New Roman"/>
                <w:b/>
                <w:color w:val="auto"/>
                <w:sz w:val="24"/>
                <w:highlight w:val="none"/>
                <w:shd w:val="clear" w:color="auto" w:fill="auto"/>
                <w:lang w:val="en-US" w:eastAsia="zh-CN"/>
              </w:rPr>
              <w:t>情况</w:t>
            </w:r>
          </w:p>
          <w:p w14:paraId="10864B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3</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原辅</w:t>
            </w:r>
            <w:r>
              <w:rPr>
                <w:rFonts w:hint="default" w:ascii="Times New Roman" w:hAnsi="Times New Roman" w:eastAsia="宋体" w:cs="Times New Roman"/>
                <w:b w:val="0"/>
                <w:bCs/>
                <w:color w:val="auto"/>
                <w:sz w:val="24"/>
                <w:highlight w:val="none"/>
                <w:shd w:val="clear" w:color="auto" w:fill="auto"/>
                <w:lang w:val="en-US" w:eastAsia="zh-CN"/>
              </w:rPr>
              <w:t>料VOCs含量相符性分析</w:t>
            </w:r>
          </w:p>
          <w:p w14:paraId="54E50C7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hd w:val="clear" w:color="auto" w:fill="auto"/>
              </w:rPr>
            </w:pPr>
            <w:r>
              <w:rPr>
                <w:rFonts w:hint="eastAsia" w:ascii="Times New Roman" w:hAnsi="Times New Roman" w:eastAsia="宋体" w:cs="Times New Roman"/>
                <w:b/>
                <w:bCs/>
                <w:color w:val="auto"/>
                <w:sz w:val="24"/>
                <w:szCs w:val="24"/>
                <w:lang w:val="en-US" w:eastAsia="zh-CN"/>
              </w:rPr>
              <w:t>油墨</w:t>
            </w:r>
            <w:r>
              <w:rPr>
                <w:rFonts w:hint="default" w:ascii="Times New Roman" w:hAnsi="Times New Roman" w:eastAsia="宋体" w:cs="Times New Roman"/>
                <w:b/>
                <w:bCs/>
                <w:color w:val="auto"/>
                <w:sz w:val="24"/>
                <w:szCs w:val="24"/>
                <w:lang w:val="en-US" w:eastAsia="zh-CN"/>
              </w:rPr>
              <w:t>VOCs含量相符性</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highlight w:val="none"/>
                <w:shd w:val="clear" w:color="auto" w:fill="auto"/>
                <w:lang w:val="en-US" w:eastAsia="zh-CN"/>
              </w:rPr>
              <w:t>根据企业提供的</w:t>
            </w:r>
            <w:r>
              <w:rPr>
                <w:rFonts w:hint="eastAsia" w:ascii="Times New Roman" w:hAnsi="Times New Roman" w:eastAsia="宋体" w:cs="Times New Roman"/>
                <w:b w:val="0"/>
                <w:bCs/>
                <w:color w:val="auto"/>
                <w:sz w:val="24"/>
                <w:highlight w:val="none"/>
                <w:shd w:val="clear" w:color="auto" w:fill="auto"/>
                <w:lang w:val="en-US" w:eastAsia="zh-CN"/>
              </w:rPr>
              <w:t>水性油墨</w:t>
            </w:r>
            <w:r>
              <w:rPr>
                <w:rFonts w:hint="default" w:ascii="Times New Roman" w:hAnsi="Times New Roman" w:eastAsia="宋体" w:cs="Times New Roman"/>
                <w:b w:val="0"/>
                <w:bCs/>
                <w:color w:val="auto"/>
                <w:sz w:val="24"/>
                <w:highlight w:val="none"/>
                <w:shd w:val="clear" w:color="auto" w:fill="auto"/>
                <w:lang w:val="en-US" w:eastAsia="zh-CN"/>
              </w:rPr>
              <w:t>VOCs</w:t>
            </w:r>
            <w:r>
              <w:rPr>
                <w:rFonts w:hint="eastAsia" w:ascii="Times New Roman" w:hAnsi="Times New Roman" w:eastAsia="宋体" w:cs="Times New Roman"/>
                <w:b w:val="0"/>
                <w:bCs/>
                <w:color w:val="auto"/>
                <w:sz w:val="24"/>
                <w:highlight w:val="none"/>
                <w:shd w:val="clear" w:color="auto" w:fill="auto"/>
                <w:lang w:val="en-US" w:eastAsia="zh-CN"/>
              </w:rPr>
              <w:t>检测</w:t>
            </w:r>
            <w:r>
              <w:rPr>
                <w:rFonts w:hint="default" w:ascii="Times New Roman" w:hAnsi="Times New Roman" w:eastAsia="宋体" w:cs="Times New Roman"/>
                <w:b w:val="0"/>
                <w:bCs/>
                <w:color w:val="auto"/>
                <w:sz w:val="24"/>
                <w:highlight w:val="none"/>
                <w:shd w:val="clear" w:color="auto" w:fill="auto"/>
                <w:lang w:val="en-US" w:eastAsia="zh-CN"/>
              </w:rPr>
              <w:t>含量为</w:t>
            </w:r>
            <w:r>
              <w:rPr>
                <w:rFonts w:hint="eastAsia" w:ascii="Times New Roman" w:hAnsi="Times New Roman" w:eastAsia="宋体" w:cs="Times New Roman"/>
                <w:b w:val="0"/>
                <w:bCs/>
                <w:color w:val="auto"/>
                <w:sz w:val="24"/>
                <w:highlight w:val="none"/>
                <w:shd w:val="clear" w:color="auto" w:fill="auto"/>
                <w:lang w:val="en-US" w:eastAsia="zh-CN"/>
              </w:rPr>
              <w:t>7.8%</w:t>
            </w:r>
            <w:r>
              <w:rPr>
                <w:rFonts w:hint="default" w:ascii="Times New Roman" w:hAnsi="Times New Roman" w:eastAsia="宋体" w:cs="Times New Roman"/>
                <w:b w:val="0"/>
                <w:bCs/>
                <w:color w:val="auto"/>
                <w:sz w:val="24"/>
                <w:highlight w:val="none"/>
                <w:shd w:val="clear" w:color="auto" w:fill="auto"/>
                <w:lang w:val="en-US" w:eastAsia="zh-CN"/>
              </w:rPr>
              <w:t>，满足《油墨中可挥发性有机化合物(VO</w:t>
            </w:r>
            <w:r>
              <w:rPr>
                <w:rFonts w:hint="eastAsia" w:ascii="Times New Roman" w:hAnsi="Times New Roman" w:eastAsia="宋体" w:cs="Times New Roman"/>
                <w:b w:val="0"/>
                <w:bCs/>
                <w:color w:val="auto"/>
                <w:sz w:val="24"/>
                <w:highlight w:val="none"/>
                <w:shd w:val="clear" w:color="auto" w:fill="auto"/>
                <w:lang w:val="en-US" w:eastAsia="zh-CN"/>
              </w:rPr>
              <w:t>Cs</w:t>
            </w:r>
            <w:r>
              <w:rPr>
                <w:rFonts w:hint="default" w:ascii="Times New Roman" w:hAnsi="Times New Roman" w:eastAsia="宋体" w:cs="Times New Roman"/>
                <w:b w:val="0"/>
                <w:bCs/>
                <w:color w:val="auto"/>
                <w:sz w:val="24"/>
                <w:highlight w:val="none"/>
                <w:shd w:val="clear" w:color="auto" w:fill="auto"/>
                <w:lang w:val="en-US" w:eastAsia="zh-CN"/>
              </w:rPr>
              <w:t>)含量的限值》(GB38507-2020)中</w:t>
            </w:r>
            <w:r>
              <w:rPr>
                <w:rFonts w:hint="eastAsia" w:ascii="Times New Roman" w:hAnsi="Times New Roman" w:eastAsia="宋体" w:cs="Times New Roman"/>
                <w:b w:val="0"/>
                <w:bCs/>
                <w:color w:val="auto"/>
                <w:sz w:val="24"/>
                <w:highlight w:val="none"/>
                <w:shd w:val="clear" w:color="auto" w:fill="auto"/>
                <w:lang w:val="en-US" w:eastAsia="zh-CN"/>
              </w:rPr>
              <w:t>水性油墨</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凹印油墨</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非吸收性承印物限值</w:t>
            </w:r>
            <w:r>
              <w:rPr>
                <w:rFonts w:hint="default" w:ascii="Times New Roman" w:hAnsi="Times New Roman" w:eastAsia="宋体" w:cs="Times New Roman"/>
                <w:b w:val="0"/>
                <w:bCs/>
                <w:color w:val="auto"/>
                <w:sz w:val="24"/>
                <w:highlight w:val="none"/>
                <w:shd w:val="clear" w:color="auto" w:fill="auto"/>
                <w:lang w:val="en-US" w:eastAsia="zh-CN"/>
              </w:rPr>
              <w:t>要求（≤</w:t>
            </w:r>
            <w:r>
              <w:rPr>
                <w:rFonts w:hint="eastAsia" w:ascii="Times New Roman" w:hAnsi="Times New Roman" w:eastAsia="宋体" w:cs="Times New Roman"/>
                <w:b w:val="0"/>
                <w:bCs/>
                <w:color w:val="auto"/>
                <w:sz w:val="24"/>
                <w:highlight w:val="none"/>
                <w:shd w:val="clear" w:color="auto" w:fill="auto"/>
                <w:lang w:val="en-US" w:eastAsia="zh-CN"/>
              </w:rPr>
              <w:t>3</w:t>
            </w:r>
            <w:r>
              <w:rPr>
                <w:rFonts w:hint="default" w:ascii="Times New Roman" w:hAnsi="Times New Roman" w:eastAsia="宋体" w:cs="Times New Roman"/>
                <w:b w:val="0"/>
                <w:bCs/>
                <w:color w:val="auto"/>
                <w:sz w:val="24"/>
                <w:highlight w:val="none"/>
                <w:shd w:val="clear" w:color="auto" w:fill="auto"/>
                <w:lang w:val="en-US" w:eastAsia="zh-CN"/>
              </w:rPr>
              <w:t>0</w:t>
            </w:r>
            <w:r>
              <w:rPr>
                <w:rFonts w:hint="eastAsia" w:ascii="Times New Roman" w:hAnsi="Times New Roman" w:eastAsia="宋体" w:cs="Times New Roman"/>
                <w:b w:val="0"/>
                <w:bCs/>
                <w:color w:val="auto"/>
                <w:sz w:val="24"/>
                <w:highlight w:val="none"/>
                <w:shd w:val="clear" w:color="auto" w:fill="auto"/>
                <w:lang w:val="en-US" w:eastAsia="zh-CN"/>
              </w:rPr>
              <w:t>%</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油性油墨</w:t>
            </w:r>
            <w:r>
              <w:rPr>
                <w:rFonts w:hint="default" w:ascii="Times New Roman" w:hAnsi="Times New Roman" w:eastAsia="宋体" w:cs="Times New Roman"/>
                <w:b w:val="0"/>
                <w:bCs/>
                <w:color w:val="auto"/>
                <w:sz w:val="24"/>
                <w:highlight w:val="none"/>
                <w:shd w:val="clear" w:color="auto" w:fill="auto"/>
                <w:lang w:val="en-US" w:eastAsia="zh-CN"/>
              </w:rPr>
              <w:t>VOCs</w:t>
            </w:r>
            <w:r>
              <w:rPr>
                <w:rFonts w:hint="eastAsia" w:ascii="Times New Roman" w:hAnsi="Times New Roman" w:eastAsia="宋体" w:cs="Times New Roman"/>
                <w:b w:val="0"/>
                <w:bCs/>
                <w:color w:val="auto"/>
                <w:sz w:val="24"/>
                <w:highlight w:val="none"/>
                <w:shd w:val="clear" w:color="auto" w:fill="auto"/>
                <w:lang w:val="en-US" w:eastAsia="zh-CN"/>
              </w:rPr>
              <w:t>检测</w:t>
            </w:r>
            <w:r>
              <w:rPr>
                <w:rFonts w:hint="default" w:ascii="Times New Roman" w:hAnsi="Times New Roman" w:eastAsia="宋体" w:cs="Times New Roman"/>
                <w:b w:val="0"/>
                <w:bCs/>
                <w:color w:val="auto"/>
                <w:sz w:val="24"/>
                <w:highlight w:val="none"/>
                <w:shd w:val="clear" w:color="auto" w:fill="auto"/>
                <w:lang w:val="en-US" w:eastAsia="zh-CN"/>
              </w:rPr>
              <w:t>含量为</w:t>
            </w:r>
            <w:r>
              <w:rPr>
                <w:rFonts w:hint="eastAsia" w:ascii="Times New Roman" w:hAnsi="Times New Roman" w:eastAsia="宋体" w:cs="Times New Roman"/>
                <w:b w:val="0"/>
                <w:bCs/>
                <w:color w:val="auto"/>
                <w:sz w:val="24"/>
                <w:highlight w:val="none"/>
                <w:shd w:val="clear" w:color="auto" w:fill="auto"/>
                <w:lang w:val="en-US" w:eastAsia="zh-CN"/>
              </w:rPr>
              <w:t>40%</w:t>
            </w:r>
            <w:r>
              <w:rPr>
                <w:rFonts w:hint="default" w:ascii="Times New Roman" w:hAnsi="Times New Roman" w:eastAsia="宋体" w:cs="Times New Roman"/>
                <w:b w:val="0"/>
                <w:bCs/>
                <w:color w:val="auto"/>
                <w:sz w:val="24"/>
                <w:highlight w:val="none"/>
                <w:shd w:val="clear" w:color="auto" w:fill="auto"/>
                <w:lang w:val="en-US" w:eastAsia="zh-CN"/>
              </w:rPr>
              <w:t>，满足《油墨中可挥发性有机化合物(VO</w:t>
            </w:r>
            <w:r>
              <w:rPr>
                <w:rFonts w:hint="eastAsia" w:ascii="Times New Roman" w:hAnsi="Times New Roman" w:eastAsia="宋体" w:cs="Times New Roman"/>
                <w:b w:val="0"/>
                <w:bCs/>
                <w:color w:val="auto"/>
                <w:sz w:val="24"/>
                <w:highlight w:val="none"/>
                <w:shd w:val="clear" w:color="auto" w:fill="auto"/>
                <w:lang w:val="en-US" w:eastAsia="zh-CN"/>
              </w:rPr>
              <w:t>Cs</w:t>
            </w:r>
            <w:r>
              <w:rPr>
                <w:rFonts w:hint="default" w:ascii="Times New Roman" w:hAnsi="Times New Roman" w:eastAsia="宋体" w:cs="Times New Roman"/>
                <w:b w:val="0"/>
                <w:bCs/>
                <w:color w:val="auto"/>
                <w:sz w:val="24"/>
                <w:highlight w:val="none"/>
                <w:shd w:val="clear" w:color="auto" w:fill="auto"/>
                <w:lang w:val="en-US" w:eastAsia="zh-CN"/>
              </w:rPr>
              <w:t>)含量的限值》(GB38507-2020)中</w:t>
            </w:r>
            <w:r>
              <w:rPr>
                <w:rFonts w:hint="eastAsia" w:ascii="Times New Roman" w:hAnsi="Times New Roman" w:eastAsia="宋体" w:cs="Times New Roman"/>
                <w:b w:val="0"/>
                <w:bCs/>
                <w:color w:val="auto"/>
                <w:sz w:val="24"/>
                <w:highlight w:val="none"/>
                <w:shd w:val="clear" w:color="auto" w:fill="auto"/>
                <w:lang w:val="en-US" w:eastAsia="zh-CN"/>
              </w:rPr>
              <w:t>油性油墨</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凹印油墨限值</w:t>
            </w:r>
            <w:r>
              <w:rPr>
                <w:rFonts w:hint="default" w:ascii="Times New Roman" w:hAnsi="Times New Roman" w:eastAsia="宋体" w:cs="Times New Roman"/>
                <w:b w:val="0"/>
                <w:bCs/>
                <w:color w:val="auto"/>
                <w:sz w:val="24"/>
                <w:highlight w:val="none"/>
                <w:shd w:val="clear" w:color="auto" w:fill="auto"/>
                <w:lang w:val="en-US" w:eastAsia="zh-CN"/>
              </w:rPr>
              <w:t>要求（</w:t>
            </w:r>
            <w:r>
              <w:rPr>
                <w:rFonts w:hint="eastAsia" w:ascii="Times New Roman" w:hAnsi="Times New Roman" w:eastAsia="宋体" w:cs="Times New Roman"/>
                <w:b w:val="0"/>
                <w:bCs/>
                <w:color w:val="auto"/>
                <w:sz w:val="24"/>
                <w:highlight w:val="none"/>
                <w:shd w:val="clear" w:color="auto" w:fill="auto"/>
                <w:lang w:val="en-US" w:eastAsia="zh-CN"/>
              </w:rPr>
              <w:t>75%</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w:t>
            </w:r>
          </w:p>
          <w:p w14:paraId="6EB091A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eastAsia" w:ascii="Times New Roman" w:hAnsi="Times New Roman" w:eastAsia="宋体" w:cs="Times New Roman"/>
                <w:b/>
                <w:bCs/>
                <w:color w:val="auto"/>
                <w:sz w:val="24"/>
                <w:szCs w:val="24"/>
                <w:lang w:val="en-US" w:eastAsia="zh-CN"/>
              </w:rPr>
              <w:t>粘合剂</w:t>
            </w:r>
            <w:r>
              <w:rPr>
                <w:rFonts w:hint="default" w:ascii="Times New Roman" w:hAnsi="Times New Roman" w:eastAsia="宋体" w:cs="Times New Roman"/>
                <w:b/>
                <w:bCs/>
                <w:color w:val="auto"/>
                <w:sz w:val="24"/>
                <w:szCs w:val="24"/>
                <w:lang w:val="en-US" w:eastAsia="zh-CN"/>
              </w:rPr>
              <w:t>VOCs含量相符性</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highlight w:val="none"/>
                <w:shd w:val="clear" w:color="auto" w:fill="auto"/>
                <w:lang w:val="en-US" w:eastAsia="zh-CN"/>
              </w:rPr>
              <w:t>根据企业提供的</w:t>
            </w:r>
            <w:r>
              <w:rPr>
                <w:rFonts w:hint="eastAsia" w:ascii="Times New Roman" w:hAnsi="Times New Roman" w:eastAsia="宋体" w:cs="Times New Roman"/>
                <w:b w:val="0"/>
                <w:bCs/>
                <w:color w:val="auto"/>
                <w:sz w:val="24"/>
                <w:highlight w:val="none"/>
                <w:shd w:val="clear" w:color="auto" w:fill="auto"/>
                <w:lang w:val="en-US" w:eastAsia="zh-CN"/>
              </w:rPr>
              <w:t>双组份无溶剂聚氨酯粘合剂</w:t>
            </w:r>
            <w:r>
              <w:rPr>
                <w:rFonts w:hint="default" w:ascii="Times New Roman" w:hAnsi="Times New Roman" w:eastAsia="宋体" w:cs="Times New Roman"/>
                <w:b w:val="0"/>
                <w:bCs/>
                <w:color w:val="auto"/>
                <w:sz w:val="24"/>
                <w:highlight w:val="none"/>
                <w:shd w:val="clear" w:color="auto" w:fill="auto"/>
                <w:lang w:val="en-US" w:eastAsia="zh-CN"/>
              </w:rPr>
              <w:t>VOCs</w:t>
            </w:r>
            <w:r>
              <w:rPr>
                <w:rFonts w:hint="eastAsia" w:ascii="Times New Roman" w:hAnsi="Times New Roman" w:eastAsia="宋体" w:cs="Times New Roman"/>
                <w:b w:val="0"/>
                <w:bCs/>
                <w:color w:val="auto"/>
                <w:sz w:val="24"/>
                <w:highlight w:val="none"/>
                <w:shd w:val="clear" w:color="auto" w:fill="auto"/>
                <w:lang w:val="en-US" w:eastAsia="zh-CN"/>
              </w:rPr>
              <w:t>检测</w:t>
            </w:r>
            <w:r>
              <w:rPr>
                <w:rFonts w:hint="default" w:ascii="Times New Roman" w:hAnsi="Times New Roman" w:eastAsia="宋体" w:cs="Times New Roman"/>
                <w:b w:val="0"/>
                <w:bCs/>
                <w:color w:val="auto"/>
                <w:sz w:val="24"/>
                <w:highlight w:val="none"/>
                <w:shd w:val="clear" w:color="auto" w:fill="auto"/>
                <w:lang w:val="en-US" w:eastAsia="zh-CN"/>
              </w:rPr>
              <w:t>含量为</w:t>
            </w:r>
            <w:r>
              <w:rPr>
                <w:rFonts w:hint="eastAsia" w:ascii="Times New Roman" w:hAnsi="Times New Roman" w:eastAsia="宋体" w:cs="Times New Roman"/>
                <w:b w:val="0"/>
                <w:bCs/>
                <w:color w:val="auto"/>
                <w:sz w:val="24"/>
                <w:highlight w:val="none"/>
                <w:shd w:val="clear" w:color="auto" w:fill="auto"/>
                <w:lang w:val="en-US" w:eastAsia="zh-CN"/>
              </w:rPr>
              <w:t>4g/kg</w:t>
            </w:r>
            <w:r>
              <w:rPr>
                <w:rFonts w:hint="default" w:ascii="Times New Roman" w:hAnsi="Times New Roman" w:eastAsia="宋体" w:cs="Times New Roman"/>
                <w:b w:val="0"/>
                <w:bCs/>
                <w:color w:val="auto"/>
                <w:sz w:val="24"/>
                <w:highlight w:val="none"/>
                <w:shd w:val="clear" w:color="auto" w:fill="auto"/>
                <w:lang w:val="en-US" w:eastAsia="zh-CN"/>
              </w:rPr>
              <w:t>，满足《胶粘剂挥发性有机化合物限量》(GB33372-2020)</w:t>
            </w:r>
            <w:r>
              <w:rPr>
                <w:rFonts w:hint="eastAsia" w:ascii="Times New Roman" w:hAnsi="Times New Roman" w:eastAsia="宋体" w:cs="Times New Roman"/>
                <w:b w:val="0"/>
                <w:bCs/>
                <w:color w:val="auto"/>
                <w:sz w:val="24"/>
                <w:highlight w:val="none"/>
                <w:shd w:val="clear" w:color="auto" w:fill="auto"/>
                <w:lang w:val="en-US" w:eastAsia="zh-CN"/>
              </w:rPr>
              <w:t>中本体型-包装-聚氨酯类限值要求（50g/kg）</w:t>
            </w:r>
            <w:r>
              <w:rPr>
                <w:rFonts w:hint="default" w:ascii="Times New Roman" w:hAnsi="Times New Roman" w:eastAsia="宋体" w:cs="Times New Roman"/>
                <w:b w:val="0"/>
                <w:bCs/>
                <w:color w:val="auto"/>
                <w:sz w:val="24"/>
                <w:highlight w:val="none"/>
                <w:shd w:val="clear" w:color="auto" w:fill="auto"/>
                <w:lang w:val="en-US" w:eastAsia="zh-CN"/>
              </w:rPr>
              <w:t>。</w:t>
            </w:r>
          </w:p>
          <w:p w14:paraId="389B781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rPr>
            </w:pPr>
            <w:r>
              <w:rPr>
                <w:rFonts w:hint="default" w:ascii="Times New Roman" w:hAnsi="Times New Roman" w:eastAsia="宋体" w:cs="Times New Roman"/>
                <w:b/>
                <w:bCs/>
                <w:color w:val="auto"/>
                <w:sz w:val="24"/>
                <w:szCs w:val="24"/>
                <w:lang w:val="en-US" w:eastAsia="zh-CN"/>
              </w:rPr>
              <w:t>乙酸乙酯VOCs含量相符性</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b w:val="0"/>
                <w:bCs/>
                <w:color w:val="auto"/>
                <w:sz w:val="24"/>
                <w:highlight w:val="none"/>
                <w:shd w:val="clear" w:color="auto" w:fill="auto"/>
                <w:lang w:val="en-US" w:eastAsia="zh-CN"/>
              </w:rPr>
              <w:t>根据企业提供的</w:t>
            </w:r>
            <w:r>
              <w:rPr>
                <w:rFonts w:hint="eastAsia" w:ascii="Times New Roman" w:hAnsi="Times New Roman" w:eastAsia="宋体" w:cs="Times New Roman"/>
                <w:b w:val="0"/>
                <w:bCs/>
                <w:color w:val="auto"/>
                <w:sz w:val="24"/>
                <w:highlight w:val="none"/>
                <w:shd w:val="clear" w:color="auto" w:fill="auto"/>
                <w:lang w:val="en-US" w:eastAsia="zh-CN"/>
              </w:rPr>
              <w:t>乙酸乙酯</w:t>
            </w:r>
            <w:r>
              <w:rPr>
                <w:rFonts w:hint="default" w:ascii="Times New Roman" w:hAnsi="Times New Roman" w:eastAsia="宋体" w:cs="Times New Roman"/>
                <w:b w:val="0"/>
                <w:bCs/>
                <w:color w:val="auto"/>
                <w:sz w:val="24"/>
                <w:highlight w:val="none"/>
                <w:shd w:val="clear" w:color="auto" w:fill="auto"/>
                <w:lang w:val="en-US" w:eastAsia="zh-CN"/>
              </w:rPr>
              <w:t>VOCs</w:t>
            </w:r>
            <w:r>
              <w:rPr>
                <w:rFonts w:hint="eastAsia" w:ascii="Times New Roman" w:hAnsi="Times New Roman" w:eastAsia="宋体" w:cs="Times New Roman"/>
                <w:b w:val="0"/>
                <w:bCs/>
                <w:color w:val="auto"/>
                <w:sz w:val="24"/>
                <w:highlight w:val="none"/>
                <w:shd w:val="clear" w:color="auto" w:fill="auto"/>
                <w:lang w:val="en-US" w:eastAsia="zh-CN"/>
              </w:rPr>
              <w:t>检测</w:t>
            </w:r>
            <w:r>
              <w:rPr>
                <w:rFonts w:hint="default" w:ascii="Times New Roman" w:hAnsi="Times New Roman" w:eastAsia="宋体" w:cs="Times New Roman"/>
                <w:b w:val="0"/>
                <w:bCs/>
                <w:color w:val="auto"/>
                <w:sz w:val="24"/>
                <w:highlight w:val="none"/>
                <w:shd w:val="clear" w:color="auto" w:fill="auto"/>
                <w:lang w:val="en-US" w:eastAsia="zh-CN"/>
              </w:rPr>
              <w:t>含量为</w:t>
            </w:r>
            <w:r>
              <w:rPr>
                <w:rFonts w:hint="eastAsia" w:ascii="Times New Roman" w:hAnsi="Times New Roman" w:eastAsia="宋体" w:cs="Times New Roman"/>
                <w:color w:val="auto"/>
                <w:sz w:val="24"/>
                <w:szCs w:val="24"/>
                <w:lang w:val="en-US" w:eastAsia="zh-CN"/>
              </w:rPr>
              <w:t>789</w:t>
            </w:r>
            <w:r>
              <w:rPr>
                <w:rFonts w:hint="default" w:ascii="Times New Roman" w:hAnsi="Times New Roman" w:eastAsia="宋体" w:cs="Times New Roman"/>
                <w:color w:val="auto"/>
                <w:sz w:val="24"/>
                <w:szCs w:val="24"/>
                <w:lang w:val="en-US" w:eastAsia="zh-CN"/>
              </w:rPr>
              <w:t>g/L</w:t>
            </w:r>
            <w:r>
              <w:rPr>
                <w:rFonts w:hint="default" w:ascii="Times New Roman" w:hAnsi="Times New Roman" w:eastAsia="宋体" w:cs="Times New Roman"/>
                <w:b w:val="0"/>
                <w:bCs/>
                <w:color w:val="auto"/>
                <w:sz w:val="24"/>
                <w:highlight w:val="none"/>
                <w:shd w:val="clear" w:color="auto" w:fill="auto"/>
                <w:lang w:val="en-US" w:eastAsia="zh-CN"/>
              </w:rPr>
              <w:t>，满足</w:t>
            </w:r>
            <w:r>
              <w:rPr>
                <w:rFonts w:hint="default" w:ascii="Times New Roman" w:hAnsi="Times New Roman" w:eastAsia="宋体" w:cs="Times New Roman"/>
                <w:color w:val="auto"/>
                <w:sz w:val="24"/>
                <w:szCs w:val="24"/>
                <w:lang w:val="en-US" w:eastAsia="zh-CN"/>
              </w:rPr>
              <w:t>《清洗剂挥发性有机化合物含量限值》（GB38508-2020）中有机溶剂清洗剂</w:t>
            </w:r>
            <w:r>
              <w:rPr>
                <w:rFonts w:hint="default" w:ascii="Times New Roman" w:hAnsi="Times New Roman" w:eastAsia="宋体" w:cs="Times New Roman"/>
                <w:color w:val="auto"/>
                <w:kern w:val="0"/>
                <w:sz w:val="24"/>
                <w:szCs w:val="24"/>
              </w:rPr>
              <w:t>VOCs含量限量</w:t>
            </w:r>
            <w:r>
              <w:rPr>
                <w:rFonts w:hint="eastAsia" w:ascii="Times New Roman" w:hAnsi="Times New Roman" w:eastAsia="宋体" w:cs="Times New Roman"/>
                <w:color w:val="auto"/>
                <w:sz w:val="24"/>
                <w:szCs w:val="24"/>
                <w:lang w:val="en-US" w:eastAsia="zh-CN"/>
              </w:rPr>
              <w:t>要求</w:t>
            </w:r>
            <w:r>
              <w:rPr>
                <w:rFonts w:hint="default" w:ascii="Times New Roman" w:hAnsi="Times New Roman" w:eastAsia="宋体" w:cs="Times New Roman"/>
                <w:color w:val="auto"/>
                <w:sz w:val="24"/>
                <w:szCs w:val="24"/>
                <w:lang w:val="en-US" w:eastAsia="zh-CN"/>
              </w:rPr>
              <w:t>（900g/L）</w:t>
            </w:r>
            <w:r>
              <w:rPr>
                <w:rFonts w:hint="default" w:ascii="Times New Roman" w:hAnsi="Times New Roman" w:eastAsia="宋体" w:cs="Times New Roman"/>
                <w:color w:val="auto"/>
                <w:kern w:val="0"/>
                <w:sz w:val="24"/>
                <w:szCs w:val="24"/>
              </w:rPr>
              <w:t>。</w:t>
            </w:r>
          </w:p>
          <w:p w14:paraId="54CEA5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highlight w:val="none"/>
                <w:shd w:val="clear" w:color="auto" w:fill="auto"/>
                <w:lang w:val="en-US" w:eastAsia="zh-CN"/>
              </w:rPr>
            </w:pPr>
            <w:r>
              <w:rPr>
                <w:rFonts w:hint="eastAsia" w:ascii="Times New Roman" w:hAnsi="Times New Roman" w:eastAsia="宋体" w:cs="Times New Roman"/>
                <w:color w:val="auto"/>
                <w:kern w:val="0"/>
                <w:sz w:val="24"/>
                <w:szCs w:val="24"/>
                <w:lang w:val="en-US" w:eastAsia="zh-CN"/>
              </w:rPr>
              <w:t>已针对油性油墨和乙酸乙酯编制了不可替代证明，详见附件15。</w:t>
            </w:r>
          </w:p>
          <w:p w14:paraId="3BB59A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4</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油墨</w:t>
            </w:r>
            <w:r>
              <w:rPr>
                <w:rFonts w:hint="default" w:ascii="Times New Roman" w:hAnsi="Times New Roman" w:eastAsia="宋体" w:cs="Times New Roman"/>
                <w:b w:val="0"/>
                <w:bCs/>
                <w:color w:val="auto"/>
                <w:sz w:val="24"/>
                <w:highlight w:val="none"/>
                <w:shd w:val="clear" w:color="auto" w:fill="auto"/>
                <w:lang w:val="en-US" w:eastAsia="zh-CN"/>
              </w:rPr>
              <w:t>用量核算</w:t>
            </w:r>
          </w:p>
          <w:p w14:paraId="6F95AC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eastAsia" w:ascii="Times New Roman" w:hAnsi="Times New Roman" w:eastAsia="宋体" w:cs="Times New Roman"/>
                <w:b w:val="0"/>
                <w:bCs/>
                <w:color w:val="auto"/>
                <w:sz w:val="24"/>
                <w:highlight w:val="none"/>
                <w:shd w:val="clear" w:color="auto" w:fill="auto"/>
                <w:lang w:val="en-US" w:eastAsia="zh-CN"/>
              </w:rPr>
              <w:t>本项目</w:t>
            </w:r>
            <w:r>
              <w:rPr>
                <w:rFonts w:hint="eastAsia" w:ascii="Times New Roman" w:hAnsi="Times New Roman" w:eastAsia="宋体" w:cs="Times New Roman"/>
                <w:b w:val="0"/>
                <w:bCs w:val="0"/>
                <w:color w:val="auto"/>
                <w:sz w:val="24"/>
                <w:highlight w:val="none"/>
                <w:shd w:val="clear" w:color="auto" w:fill="auto"/>
                <w:lang w:val="en-US" w:eastAsia="zh-CN"/>
              </w:rPr>
              <w:t>生产环保塑料袋，其中93%为</w:t>
            </w:r>
            <w:r>
              <w:rPr>
                <w:rFonts w:hint="default" w:ascii="Times New Roman" w:hAnsi="Times New Roman" w:eastAsia="宋体" w:cs="Times New Roman"/>
                <w:b w:val="0"/>
                <w:bCs w:val="0"/>
                <w:color w:val="auto"/>
                <w:sz w:val="24"/>
                <w:highlight w:val="none"/>
                <w:shd w:val="clear" w:color="auto" w:fill="auto"/>
                <w:lang w:val="en-US" w:eastAsia="zh-CN"/>
              </w:rPr>
              <w:t>冰袋外包装</w:t>
            </w:r>
            <w:r>
              <w:rPr>
                <w:rFonts w:hint="eastAsia" w:ascii="Times New Roman" w:hAnsi="Times New Roman" w:eastAsia="宋体" w:cs="Times New Roman"/>
                <w:b w:val="0"/>
                <w:bCs w:val="0"/>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使用水性油墨</w:t>
            </w:r>
            <w:r>
              <w:rPr>
                <w:rFonts w:hint="eastAsia" w:ascii="Times New Roman" w:hAnsi="Times New Roman" w:eastAsia="宋体" w:cs="Times New Roman"/>
                <w:b w:val="0"/>
                <w:bCs w:val="0"/>
                <w:color w:val="auto"/>
                <w:sz w:val="24"/>
                <w:highlight w:val="none"/>
                <w:shd w:val="clear" w:color="auto" w:fill="auto"/>
                <w:lang w:val="en-US" w:eastAsia="zh-CN"/>
              </w:rPr>
              <w:t>印刷</w:t>
            </w:r>
            <w:r>
              <w:rPr>
                <w:rFonts w:hint="default" w:ascii="Times New Roman" w:hAnsi="Times New Roman" w:eastAsia="宋体" w:cs="Times New Roman"/>
                <w:b w:val="0"/>
                <w:bCs w:val="0"/>
                <w:color w:val="auto"/>
                <w:sz w:val="24"/>
                <w:highlight w:val="none"/>
                <w:shd w:val="clear" w:color="auto" w:fill="auto"/>
                <w:lang w:val="en-US" w:eastAsia="zh-CN"/>
              </w:rPr>
              <w:t>，</w:t>
            </w:r>
            <w:r>
              <w:rPr>
                <w:rFonts w:hint="eastAsia" w:ascii="Times New Roman" w:hAnsi="Times New Roman" w:eastAsia="宋体" w:cs="Times New Roman"/>
                <w:b w:val="0"/>
                <w:bCs w:val="0"/>
                <w:color w:val="auto"/>
                <w:sz w:val="24"/>
                <w:highlight w:val="none"/>
                <w:shd w:val="clear" w:color="auto" w:fill="auto"/>
                <w:lang w:val="en-US" w:eastAsia="zh-CN"/>
              </w:rPr>
              <w:t>7%为</w:t>
            </w:r>
            <w:r>
              <w:rPr>
                <w:rFonts w:hint="default" w:ascii="Times New Roman" w:hAnsi="Times New Roman" w:eastAsia="宋体" w:cs="Times New Roman"/>
                <w:b w:val="0"/>
                <w:bCs w:val="0"/>
                <w:color w:val="auto"/>
                <w:sz w:val="24"/>
                <w:highlight w:val="none"/>
                <w:shd w:val="clear" w:color="auto" w:fill="auto"/>
                <w:lang w:val="en-US" w:eastAsia="zh-CN"/>
              </w:rPr>
              <w:t>食品外包装</w:t>
            </w:r>
            <w:r>
              <w:rPr>
                <w:rFonts w:hint="eastAsia" w:ascii="Times New Roman" w:hAnsi="Times New Roman" w:eastAsia="宋体" w:cs="Times New Roman"/>
                <w:b w:val="0"/>
                <w:bCs w:val="0"/>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使用油性油墨印刷。食品包装可能接触水分、油脂或冷冻环境，油性油墨的化学稳定性高，不易被溶解或晕染，能保持印刷内容的清晰度，且印刷图案在运输、储存过程中不易磨损或脱落，适合需要长期保存的食品包装。</w:t>
            </w:r>
            <w:r>
              <w:rPr>
                <w:rFonts w:hint="default" w:ascii="Times New Roman" w:hAnsi="Times New Roman" w:eastAsia="宋体" w:cs="Times New Roman"/>
                <w:b w:val="0"/>
                <w:bCs/>
                <w:color w:val="auto"/>
                <w:sz w:val="24"/>
                <w:highlight w:val="none"/>
                <w:shd w:val="clear" w:color="auto" w:fill="auto"/>
                <w:lang w:val="en-US" w:eastAsia="zh-CN"/>
              </w:rPr>
              <w:t>印刷需要用到油墨的部分为用于印刷的基础材料总面积中实际需要印刷的面积</w:t>
            </w:r>
            <w:r>
              <w:rPr>
                <w:rFonts w:hint="eastAsia" w:ascii="Times New Roman" w:hAnsi="Times New Roman" w:eastAsia="宋体" w:cs="Times New Roman"/>
                <w:b w:val="0"/>
                <w:bCs/>
                <w:color w:val="auto"/>
                <w:sz w:val="24"/>
                <w:highlight w:val="none"/>
                <w:shd w:val="clear" w:color="auto" w:fill="auto"/>
                <w:lang w:val="en-US" w:eastAsia="zh-CN"/>
              </w:rPr>
              <w:t>。</w:t>
            </w:r>
            <w:r>
              <w:rPr>
                <w:rFonts w:hint="default" w:ascii="Times New Roman" w:hAnsi="Times New Roman" w:eastAsia="宋体" w:cs="Times New Roman"/>
                <w:b w:val="0"/>
                <w:bCs/>
                <w:color w:val="auto"/>
                <w:sz w:val="24"/>
                <w:highlight w:val="none"/>
                <w:shd w:val="clear" w:color="auto" w:fill="auto"/>
                <w:lang w:val="en-US" w:eastAsia="zh-CN"/>
              </w:rPr>
              <w:t>根据产品要求，实际</w:t>
            </w:r>
            <w:r>
              <w:rPr>
                <w:rFonts w:hint="eastAsia" w:ascii="Times New Roman" w:hAnsi="Times New Roman" w:eastAsia="宋体" w:cs="Times New Roman"/>
                <w:b w:val="0"/>
                <w:bCs/>
                <w:color w:val="auto"/>
                <w:sz w:val="24"/>
                <w:highlight w:val="none"/>
                <w:shd w:val="clear" w:color="auto" w:fill="auto"/>
                <w:lang w:val="en-US" w:eastAsia="zh-CN"/>
              </w:rPr>
              <w:t>冰袋外包装</w:t>
            </w:r>
            <w:r>
              <w:rPr>
                <w:rFonts w:hint="default" w:ascii="Times New Roman" w:hAnsi="Times New Roman" w:eastAsia="宋体" w:cs="Times New Roman"/>
                <w:b w:val="0"/>
                <w:bCs/>
                <w:color w:val="auto"/>
                <w:sz w:val="24"/>
                <w:highlight w:val="none"/>
                <w:shd w:val="clear" w:color="auto" w:fill="auto"/>
                <w:lang w:val="en-US" w:eastAsia="zh-CN"/>
              </w:rPr>
              <w:t>印刷面积通常占</w:t>
            </w:r>
            <w:r>
              <w:rPr>
                <w:rFonts w:hint="eastAsia" w:ascii="Times New Roman" w:hAnsi="Times New Roman" w:eastAsia="宋体" w:cs="Times New Roman"/>
                <w:b w:val="0"/>
                <w:bCs/>
                <w:color w:val="auto"/>
                <w:sz w:val="24"/>
                <w:highlight w:val="none"/>
                <w:shd w:val="clear" w:color="auto" w:fill="auto"/>
                <w:lang w:val="en-US" w:eastAsia="zh-CN"/>
              </w:rPr>
              <w:t>2</w:t>
            </w:r>
            <w:r>
              <w:rPr>
                <w:rFonts w:hint="default" w:ascii="Times New Roman" w:hAnsi="Times New Roman" w:eastAsia="宋体" w:cs="Times New Roman"/>
                <w:b w:val="0"/>
                <w:bCs/>
                <w:color w:val="auto"/>
                <w:sz w:val="24"/>
                <w:highlight w:val="none"/>
                <w:shd w:val="clear" w:color="auto" w:fill="auto"/>
                <w:lang w:val="en-US" w:eastAsia="zh-CN"/>
              </w:rPr>
              <w:t>0%~</w:t>
            </w:r>
            <w:r>
              <w:rPr>
                <w:rFonts w:hint="eastAsia" w:ascii="Times New Roman" w:hAnsi="Times New Roman" w:eastAsia="宋体" w:cs="Times New Roman"/>
                <w:b w:val="0"/>
                <w:bCs/>
                <w:color w:val="auto"/>
                <w:sz w:val="24"/>
                <w:highlight w:val="none"/>
                <w:shd w:val="clear" w:color="auto" w:fill="auto"/>
                <w:lang w:val="en-US" w:eastAsia="zh-CN"/>
              </w:rPr>
              <w:t>40</w:t>
            </w:r>
            <w:r>
              <w:rPr>
                <w:rFonts w:hint="default" w:ascii="Times New Roman" w:hAnsi="Times New Roman" w:eastAsia="宋体" w:cs="Times New Roman"/>
                <w:b w:val="0"/>
                <w:bCs/>
                <w:color w:val="auto"/>
                <w:sz w:val="24"/>
                <w:highlight w:val="none"/>
                <w:shd w:val="clear" w:color="auto" w:fill="auto"/>
                <w:lang w:val="en-US" w:eastAsia="zh-CN"/>
              </w:rPr>
              <w:t>%，本</w:t>
            </w:r>
            <w:r>
              <w:rPr>
                <w:rFonts w:hint="eastAsia" w:ascii="Times New Roman" w:hAnsi="Times New Roman" w:eastAsia="宋体" w:cs="Times New Roman"/>
                <w:b w:val="0"/>
                <w:bCs/>
                <w:color w:val="auto"/>
                <w:sz w:val="24"/>
                <w:highlight w:val="none"/>
                <w:shd w:val="clear" w:color="auto" w:fill="auto"/>
                <w:lang w:val="en-US" w:eastAsia="zh-CN"/>
              </w:rPr>
              <w:t>项目</w:t>
            </w:r>
            <w:r>
              <w:rPr>
                <w:rFonts w:hint="default" w:ascii="Times New Roman" w:hAnsi="Times New Roman" w:eastAsia="宋体" w:cs="Times New Roman"/>
                <w:b w:val="0"/>
                <w:bCs/>
                <w:color w:val="auto"/>
                <w:sz w:val="24"/>
                <w:highlight w:val="none"/>
                <w:shd w:val="clear" w:color="auto" w:fill="auto"/>
                <w:lang w:val="en-US" w:eastAsia="zh-CN"/>
              </w:rPr>
              <w:t>实际印刷面积平均取</w:t>
            </w:r>
            <w:r>
              <w:rPr>
                <w:rFonts w:hint="eastAsia" w:ascii="Times New Roman" w:hAnsi="Times New Roman" w:eastAsia="宋体" w:cs="Times New Roman"/>
                <w:b w:val="0"/>
                <w:bCs/>
                <w:color w:val="auto"/>
                <w:sz w:val="24"/>
                <w:highlight w:val="none"/>
                <w:shd w:val="clear" w:color="auto" w:fill="auto"/>
                <w:lang w:val="en-US" w:eastAsia="zh-CN"/>
              </w:rPr>
              <w:t>30</w:t>
            </w:r>
            <w:r>
              <w:rPr>
                <w:rFonts w:hint="default" w:ascii="Times New Roman" w:hAnsi="Times New Roman" w:eastAsia="宋体" w:cs="Times New Roman"/>
                <w:b w:val="0"/>
                <w:bCs/>
                <w:color w:val="auto"/>
                <w:sz w:val="24"/>
                <w:highlight w:val="none"/>
                <w:shd w:val="clear" w:color="auto" w:fill="auto"/>
                <w:lang w:val="en-US" w:eastAsia="zh-CN"/>
              </w:rPr>
              <w:t>%</w:t>
            </w:r>
            <w:r>
              <w:rPr>
                <w:rFonts w:hint="eastAsia" w:ascii="Times New Roman" w:hAnsi="Times New Roman" w:eastAsia="宋体" w:cs="Times New Roman"/>
                <w:b w:val="0"/>
                <w:bCs/>
                <w:color w:val="auto"/>
                <w:sz w:val="24"/>
                <w:highlight w:val="none"/>
                <w:shd w:val="clear" w:color="auto" w:fill="auto"/>
                <w:lang w:val="en-US" w:eastAsia="zh-CN"/>
              </w:rPr>
              <w:t>；</w:t>
            </w:r>
            <w:r>
              <w:rPr>
                <w:rFonts w:hint="default" w:ascii="Times New Roman" w:hAnsi="Times New Roman" w:eastAsia="宋体" w:cs="Times New Roman"/>
                <w:b w:val="0"/>
                <w:bCs/>
                <w:color w:val="auto"/>
                <w:sz w:val="24"/>
                <w:highlight w:val="none"/>
                <w:shd w:val="clear" w:color="auto" w:fill="auto"/>
                <w:lang w:val="en-US" w:eastAsia="zh-CN"/>
              </w:rPr>
              <w:t>实际</w:t>
            </w:r>
            <w:r>
              <w:rPr>
                <w:rFonts w:hint="eastAsia" w:ascii="Times New Roman" w:hAnsi="Times New Roman" w:eastAsia="宋体" w:cs="Times New Roman"/>
                <w:b w:val="0"/>
                <w:bCs/>
                <w:color w:val="auto"/>
                <w:sz w:val="24"/>
                <w:highlight w:val="none"/>
                <w:shd w:val="clear" w:color="auto" w:fill="auto"/>
                <w:lang w:val="en-US" w:eastAsia="zh-CN"/>
              </w:rPr>
              <w:t>食品外包装</w:t>
            </w:r>
            <w:r>
              <w:rPr>
                <w:rFonts w:hint="default" w:ascii="Times New Roman" w:hAnsi="Times New Roman" w:eastAsia="宋体" w:cs="Times New Roman"/>
                <w:b w:val="0"/>
                <w:bCs/>
                <w:color w:val="auto"/>
                <w:sz w:val="24"/>
                <w:highlight w:val="none"/>
                <w:shd w:val="clear" w:color="auto" w:fill="auto"/>
                <w:lang w:val="en-US" w:eastAsia="zh-CN"/>
              </w:rPr>
              <w:t>印刷面积通常占</w:t>
            </w:r>
            <w:r>
              <w:rPr>
                <w:rFonts w:hint="eastAsia" w:ascii="Times New Roman" w:hAnsi="Times New Roman" w:eastAsia="宋体" w:cs="Times New Roman"/>
                <w:b w:val="0"/>
                <w:bCs/>
                <w:color w:val="auto"/>
                <w:sz w:val="24"/>
                <w:highlight w:val="none"/>
                <w:shd w:val="clear" w:color="auto" w:fill="auto"/>
                <w:lang w:val="en-US" w:eastAsia="zh-CN"/>
              </w:rPr>
              <w:t>5</w:t>
            </w:r>
            <w:r>
              <w:rPr>
                <w:rFonts w:hint="default" w:ascii="Times New Roman" w:hAnsi="Times New Roman" w:eastAsia="宋体" w:cs="Times New Roman"/>
                <w:b w:val="0"/>
                <w:bCs/>
                <w:color w:val="auto"/>
                <w:sz w:val="24"/>
                <w:highlight w:val="none"/>
                <w:shd w:val="clear" w:color="auto" w:fill="auto"/>
                <w:lang w:val="en-US" w:eastAsia="zh-CN"/>
              </w:rPr>
              <w:t>0%~</w:t>
            </w:r>
            <w:r>
              <w:rPr>
                <w:rFonts w:hint="eastAsia" w:ascii="Times New Roman" w:hAnsi="Times New Roman" w:eastAsia="宋体" w:cs="Times New Roman"/>
                <w:b w:val="0"/>
                <w:bCs/>
                <w:color w:val="auto"/>
                <w:sz w:val="24"/>
                <w:highlight w:val="none"/>
                <w:shd w:val="clear" w:color="auto" w:fill="auto"/>
                <w:lang w:val="en-US" w:eastAsia="zh-CN"/>
              </w:rPr>
              <w:t>8</w:t>
            </w:r>
            <w:r>
              <w:rPr>
                <w:rFonts w:hint="default" w:ascii="Times New Roman" w:hAnsi="Times New Roman" w:eastAsia="宋体" w:cs="Times New Roman"/>
                <w:b w:val="0"/>
                <w:bCs/>
                <w:color w:val="auto"/>
                <w:sz w:val="24"/>
                <w:highlight w:val="none"/>
                <w:shd w:val="clear" w:color="auto" w:fill="auto"/>
                <w:lang w:val="en-US" w:eastAsia="zh-CN"/>
              </w:rPr>
              <w:t>0%，本</w:t>
            </w:r>
            <w:r>
              <w:rPr>
                <w:rFonts w:hint="eastAsia" w:ascii="Times New Roman" w:hAnsi="Times New Roman" w:eastAsia="宋体" w:cs="Times New Roman"/>
                <w:b w:val="0"/>
                <w:bCs/>
                <w:color w:val="auto"/>
                <w:sz w:val="24"/>
                <w:highlight w:val="none"/>
                <w:shd w:val="clear" w:color="auto" w:fill="auto"/>
                <w:lang w:val="en-US" w:eastAsia="zh-CN"/>
              </w:rPr>
              <w:t>项目</w:t>
            </w:r>
            <w:r>
              <w:rPr>
                <w:rFonts w:hint="default" w:ascii="Times New Roman" w:hAnsi="Times New Roman" w:eastAsia="宋体" w:cs="Times New Roman"/>
                <w:b w:val="0"/>
                <w:bCs/>
                <w:color w:val="auto"/>
                <w:sz w:val="24"/>
                <w:highlight w:val="none"/>
                <w:shd w:val="clear" w:color="auto" w:fill="auto"/>
                <w:lang w:val="en-US" w:eastAsia="zh-CN"/>
              </w:rPr>
              <w:t>实际印刷面积平均取</w:t>
            </w:r>
            <w:r>
              <w:rPr>
                <w:rFonts w:hint="eastAsia" w:ascii="Times New Roman" w:hAnsi="Times New Roman" w:eastAsia="宋体" w:cs="Times New Roman"/>
                <w:b w:val="0"/>
                <w:bCs/>
                <w:color w:val="auto"/>
                <w:sz w:val="24"/>
                <w:highlight w:val="none"/>
                <w:shd w:val="clear" w:color="auto" w:fill="auto"/>
                <w:lang w:val="en-US" w:eastAsia="zh-CN"/>
              </w:rPr>
              <w:t>65</w:t>
            </w:r>
            <w:r>
              <w:rPr>
                <w:rFonts w:hint="default" w:ascii="Times New Roman" w:hAnsi="Times New Roman" w:eastAsia="宋体" w:cs="Times New Roman"/>
                <w:b w:val="0"/>
                <w:bCs/>
                <w:color w:val="auto"/>
                <w:sz w:val="24"/>
                <w:highlight w:val="none"/>
                <w:shd w:val="clear" w:color="auto" w:fill="auto"/>
                <w:lang w:val="en-US" w:eastAsia="zh-CN"/>
              </w:rPr>
              <w:t>%。本项目</w:t>
            </w:r>
            <w:r>
              <w:rPr>
                <w:rFonts w:hint="eastAsia" w:ascii="Times New Roman" w:hAnsi="Times New Roman" w:eastAsia="宋体" w:cs="Times New Roman"/>
                <w:b w:val="0"/>
                <w:bCs/>
                <w:color w:val="auto"/>
                <w:sz w:val="24"/>
                <w:highlight w:val="none"/>
                <w:shd w:val="clear" w:color="auto" w:fill="auto"/>
                <w:lang w:val="en-US" w:eastAsia="zh-CN"/>
              </w:rPr>
              <w:t>油墨</w:t>
            </w:r>
            <w:r>
              <w:rPr>
                <w:rFonts w:hint="default" w:ascii="Times New Roman" w:hAnsi="Times New Roman" w:eastAsia="宋体" w:cs="Times New Roman"/>
                <w:b w:val="0"/>
                <w:bCs/>
                <w:color w:val="auto"/>
                <w:sz w:val="24"/>
                <w:highlight w:val="none"/>
                <w:shd w:val="clear" w:color="auto" w:fill="auto"/>
                <w:lang w:val="en-US" w:eastAsia="zh-CN"/>
              </w:rPr>
              <w:t>用量核算见表2-</w:t>
            </w:r>
            <w:r>
              <w:rPr>
                <w:rFonts w:hint="eastAsia" w:ascii="Times New Roman" w:hAnsi="Times New Roman" w:eastAsia="宋体" w:cs="Times New Roman"/>
                <w:b w:val="0"/>
                <w:bCs/>
                <w:color w:val="auto"/>
                <w:sz w:val="24"/>
                <w:highlight w:val="none"/>
                <w:shd w:val="clear" w:color="auto" w:fill="auto"/>
                <w:lang w:val="en-US" w:eastAsia="zh-CN"/>
              </w:rPr>
              <w:t>7</w:t>
            </w:r>
            <w:r>
              <w:rPr>
                <w:rFonts w:hint="default" w:ascii="Times New Roman" w:hAnsi="Times New Roman" w:eastAsia="宋体" w:cs="Times New Roman"/>
                <w:b w:val="0"/>
                <w:bCs/>
                <w:color w:val="auto"/>
                <w:sz w:val="24"/>
                <w:highlight w:val="none"/>
                <w:shd w:val="clear" w:color="auto" w:fill="auto"/>
                <w:lang w:val="en-US" w:eastAsia="zh-CN"/>
              </w:rPr>
              <w:t>。</w:t>
            </w:r>
          </w:p>
          <w:p w14:paraId="1167359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bCs/>
                <w:color w:val="auto"/>
                <w:sz w:val="24"/>
              </w:rPr>
              <w:t>表2-</w:t>
            </w:r>
            <w:r>
              <w:rPr>
                <w:rFonts w:hint="eastAsia"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rPr>
              <w:t xml:space="preserve">  本项目</w:t>
            </w:r>
            <w:r>
              <w:rPr>
                <w:rFonts w:hint="eastAsia" w:ascii="Times New Roman" w:hAnsi="Times New Roman" w:eastAsia="宋体" w:cs="Times New Roman"/>
                <w:b/>
                <w:bCs/>
                <w:color w:val="auto"/>
                <w:sz w:val="24"/>
                <w:lang w:val="en-US" w:eastAsia="zh-CN"/>
              </w:rPr>
              <w:t>油墨</w:t>
            </w:r>
            <w:r>
              <w:rPr>
                <w:rFonts w:hint="default" w:ascii="Times New Roman" w:hAnsi="Times New Roman" w:eastAsia="宋体" w:cs="Times New Roman"/>
                <w:b/>
                <w:bCs/>
                <w:color w:val="auto"/>
                <w:sz w:val="24"/>
              </w:rPr>
              <w:t>消耗计算表</w:t>
            </w:r>
          </w:p>
          <w:tbl>
            <w:tblPr>
              <w:tblStyle w:val="28"/>
              <w:tblW w:w="835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194"/>
              <w:gridCol w:w="1194"/>
              <w:gridCol w:w="1194"/>
              <w:gridCol w:w="1194"/>
              <w:gridCol w:w="1194"/>
              <w:gridCol w:w="1196"/>
            </w:tblGrid>
            <w:tr w14:paraId="3952E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2" w:type="dxa"/>
                  <w:tcBorders>
                    <w:tl2br w:val="nil"/>
                    <w:tr2bl w:val="nil"/>
                  </w:tcBorders>
                  <w:vAlign w:val="center"/>
                </w:tcPr>
                <w:p w14:paraId="548556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油墨品种</w:t>
                  </w:r>
                </w:p>
              </w:tc>
              <w:tc>
                <w:tcPr>
                  <w:tcW w:w="1194" w:type="dxa"/>
                  <w:tcBorders>
                    <w:tl2br w:val="nil"/>
                    <w:tr2bl w:val="nil"/>
                  </w:tcBorders>
                  <w:shd w:val="clear" w:color="auto" w:fill="auto"/>
                  <w:vAlign w:val="center"/>
                </w:tcPr>
                <w:p w14:paraId="3F4A80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hAnsi="Times New Roman" w:eastAsia="宋体" w:cs="Times New Roman"/>
                      <w:b/>
                      <w:bCs w:val="0"/>
                      <w:color w:val="auto"/>
                      <w:sz w:val="21"/>
                      <w:szCs w:val="21"/>
                      <w:vertAlign w:val="baseline"/>
                      <w:lang w:val="en-US" w:eastAsia="zh-CN"/>
                    </w:rPr>
                    <w:t>印刷基材用量单面面积</w:t>
                  </w:r>
                  <w:r>
                    <w:rPr>
                      <w:rFonts w:hint="default" w:ascii="Times New Roman" w:hAnsi="Times New Roman" w:eastAsia="宋体" w:cs="Times New Roman"/>
                      <w:b/>
                      <w:bCs w:val="0"/>
                      <w:color w:val="auto"/>
                      <w:sz w:val="21"/>
                      <w:szCs w:val="21"/>
                      <w:vertAlign w:val="baseline"/>
                      <w:lang w:val="en-US" w:eastAsia="zh-CN"/>
                    </w:rPr>
                    <w:t>（m</w:t>
                  </w:r>
                  <w:r>
                    <w:rPr>
                      <w:rFonts w:hint="default" w:ascii="Times New Roman" w:hAnsi="Times New Roman" w:eastAsia="宋体" w:cs="Times New Roman"/>
                      <w:b/>
                      <w:bCs w:val="0"/>
                      <w:color w:val="auto"/>
                      <w:sz w:val="21"/>
                      <w:szCs w:val="21"/>
                      <w:vertAlign w:val="superscript"/>
                      <w:lang w:val="en-US" w:eastAsia="zh-CN"/>
                    </w:rPr>
                    <w:t>2</w:t>
                  </w:r>
                  <w:r>
                    <w:rPr>
                      <w:rFonts w:hint="default" w:ascii="Times New Roman" w:hAnsi="Times New Roman" w:eastAsia="宋体" w:cs="Times New Roman"/>
                      <w:b/>
                      <w:bCs w:val="0"/>
                      <w:color w:val="auto"/>
                      <w:sz w:val="21"/>
                      <w:szCs w:val="21"/>
                      <w:vertAlign w:val="baseline"/>
                      <w:lang w:val="en-US" w:eastAsia="zh-CN"/>
                    </w:rPr>
                    <w:t>）</w:t>
                  </w:r>
                </w:p>
              </w:tc>
              <w:tc>
                <w:tcPr>
                  <w:tcW w:w="1194" w:type="dxa"/>
                  <w:tcBorders>
                    <w:tl2br w:val="nil"/>
                    <w:tr2bl w:val="nil"/>
                  </w:tcBorders>
                  <w:shd w:val="clear" w:color="auto" w:fill="auto"/>
                  <w:vAlign w:val="center"/>
                </w:tcPr>
                <w:p w14:paraId="18D888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hAnsi="Times New Roman" w:eastAsia="宋体" w:cs="Times New Roman"/>
                      <w:b/>
                      <w:bCs w:val="0"/>
                      <w:color w:val="auto"/>
                      <w:sz w:val="21"/>
                      <w:szCs w:val="21"/>
                      <w:vertAlign w:val="baseline"/>
                      <w:lang w:val="en-US" w:eastAsia="zh-CN"/>
                    </w:rPr>
                    <w:t>印刷面积（</w:t>
                  </w:r>
                  <w:r>
                    <w:rPr>
                      <w:rFonts w:hint="default" w:ascii="Times New Roman" w:hAnsi="Times New Roman" w:eastAsia="宋体" w:cs="Times New Roman"/>
                      <w:b/>
                      <w:bCs w:val="0"/>
                      <w:color w:val="auto"/>
                      <w:sz w:val="21"/>
                      <w:szCs w:val="21"/>
                      <w:vertAlign w:val="baseline"/>
                      <w:lang w:val="en-US" w:eastAsia="zh-CN"/>
                    </w:rPr>
                    <w:t>m</w:t>
                  </w:r>
                  <w:r>
                    <w:rPr>
                      <w:rFonts w:hint="default" w:ascii="Times New Roman" w:hAnsi="Times New Roman" w:eastAsia="宋体" w:cs="Times New Roman"/>
                      <w:b/>
                      <w:bCs w:val="0"/>
                      <w:color w:val="auto"/>
                      <w:sz w:val="21"/>
                      <w:szCs w:val="21"/>
                      <w:vertAlign w:val="superscript"/>
                      <w:lang w:val="en-US" w:eastAsia="zh-CN"/>
                    </w:rPr>
                    <w:t>2</w:t>
                  </w:r>
                  <w:r>
                    <w:rPr>
                      <w:rFonts w:hint="eastAsia" w:ascii="Times New Roman" w:hAnsi="Times New Roman" w:eastAsia="宋体" w:cs="Times New Roman"/>
                      <w:b/>
                      <w:bCs w:val="0"/>
                      <w:color w:val="auto"/>
                      <w:sz w:val="21"/>
                      <w:szCs w:val="21"/>
                      <w:vertAlign w:val="baseline"/>
                      <w:lang w:val="en-US" w:eastAsia="zh-CN"/>
                    </w:rPr>
                    <w:t>）</w:t>
                  </w:r>
                </w:p>
              </w:tc>
              <w:tc>
                <w:tcPr>
                  <w:tcW w:w="1194" w:type="dxa"/>
                  <w:tcBorders>
                    <w:tl2br w:val="nil"/>
                    <w:tr2bl w:val="nil"/>
                  </w:tcBorders>
                  <w:vAlign w:val="center"/>
                </w:tcPr>
                <w:p w14:paraId="78C2FA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油墨消耗量（g/</w:t>
                  </w:r>
                  <w:r>
                    <w:rPr>
                      <w:rFonts w:hint="default" w:ascii="Times New Roman" w:hAnsi="Times New Roman" w:eastAsia="宋体" w:cs="Times New Roman"/>
                      <w:b/>
                      <w:bCs w:val="0"/>
                      <w:color w:val="auto"/>
                      <w:sz w:val="21"/>
                      <w:szCs w:val="21"/>
                      <w:vertAlign w:val="baseline"/>
                      <w:lang w:val="en-US" w:eastAsia="zh-CN"/>
                    </w:rPr>
                    <w:t>m</w:t>
                  </w:r>
                  <w:r>
                    <w:rPr>
                      <w:rFonts w:hint="default" w:ascii="Times New Roman" w:hAnsi="Times New Roman" w:eastAsia="宋体" w:cs="Times New Roman"/>
                      <w:b/>
                      <w:bCs w:val="0"/>
                      <w:color w:val="auto"/>
                      <w:sz w:val="21"/>
                      <w:szCs w:val="21"/>
                      <w:vertAlign w:val="superscript"/>
                      <w:lang w:val="en-US" w:eastAsia="zh-CN"/>
                    </w:rPr>
                    <w:t>2</w:t>
                  </w:r>
                  <w:r>
                    <w:rPr>
                      <w:rFonts w:hint="eastAsia" w:ascii="Times New Roman" w:hAnsi="Times New Roman" w:eastAsia="宋体" w:cs="Times New Roman"/>
                      <w:b/>
                      <w:bCs w:val="0"/>
                      <w:color w:val="auto"/>
                      <w:sz w:val="21"/>
                      <w:szCs w:val="21"/>
                      <w:vertAlign w:val="baseline"/>
                      <w:lang w:val="en-US" w:eastAsia="zh-CN"/>
                    </w:rPr>
                    <w:t>）</w:t>
                  </w:r>
                </w:p>
              </w:tc>
              <w:tc>
                <w:tcPr>
                  <w:tcW w:w="1194" w:type="dxa"/>
                  <w:tcBorders>
                    <w:tl2br w:val="nil"/>
                    <w:tr2bl w:val="nil"/>
                  </w:tcBorders>
                  <w:vAlign w:val="center"/>
                </w:tcPr>
                <w:p w14:paraId="03E538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利用率</w:t>
                  </w:r>
                  <w:r>
                    <w:rPr>
                      <w:rFonts w:hint="default" w:ascii="Times New Roman" w:hAnsi="Times New Roman" w:eastAsia="宋体" w:cs="Times New Roman"/>
                      <w:b/>
                      <w:bCs w:val="0"/>
                      <w:color w:val="auto"/>
                      <w:sz w:val="21"/>
                      <w:szCs w:val="21"/>
                      <w:vertAlign w:val="baseline"/>
                      <w:lang w:val="en-US" w:eastAsia="zh-CN"/>
                    </w:rPr>
                    <w:t>（</w:t>
                  </w:r>
                  <w:r>
                    <w:rPr>
                      <w:rFonts w:hint="eastAsia" w:ascii="Times New Roman" w:hAnsi="Times New Roman" w:eastAsia="宋体" w:cs="Times New Roman"/>
                      <w:b/>
                      <w:bCs w:val="0"/>
                      <w:color w:val="auto"/>
                      <w:sz w:val="21"/>
                      <w:szCs w:val="21"/>
                      <w:vertAlign w:val="baseline"/>
                      <w:lang w:val="en-US" w:eastAsia="zh-CN"/>
                    </w:rPr>
                    <w:t>%</w:t>
                  </w:r>
                  <w:r>
                    <w:rPr>
                      <w:rFonts w:hint="default" w:ascii="Times New Roman" w:hAnsi="Times New Roman" w:eastAsia="宋体" w:cs="Times New Roman"/>
                      <w:b/>
                      <w:bCs w:val="0"/>
                      <w:color w:val="auto"/>
                      <w:sz w:val="21"/>
                      <w:szCs w:val="21"/>
                      <w:vertAlign w:val="baseline"/>
                      <w:lang w:val="en-US" w:eastAsia="zh-CN"/>
                    </w:rPr>
                    <w:t>）</w:t>
                  </w:r>
                </w:p>
              </w:tc>
              <w:tc>
                <w:tcPr>
                  <w:tcW w:w="1194" w:type="dxa"/>
                  <w:tcBorders>
                    <w:tl2br w:val="nil"/>
                    <w:tr2bl w:val="nil"/>
                  </w:tcBorders>
                  <w:vAlign w:val="center"/>
                </w:tcPr>
                <w:p w14:paraId="0C1BBF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理论用量</w:t>
                  </w:r>
                  <w:r>
                    <w:rPr>
                      <w:rFonts w:hint="eastAsia" w:ascii="Times New Roman" w:hAnsi="Times New Roman" w:eastAsia="宋体" w:cs="Times New Roman"/>
                      <w:b/>
                      <w:bCs w:val="0"/>
                      <w:color w:val="auto"/>
                      <w:sz w:val="21"/>
                      <w:szCs w:val="21"/>
                      <w:vertAlign w:val="baseline"/>
                      <w:lang w:val="en-US" w:eastAsia="zh-CN"/>
                    </w:rPr>
                    <w:t>（含稀释剂）</w:t>
                  </w:r>
                  <w:r>
                    <w:rPr>
                      <w:rFonts w:hint="default" w:ascii="Times New Roman" w:hAnsi="Times New Roman" w:eastAsia="宋体" w:cs="Times New Roman"/>
                      <w:b/>
                      <w:bCs w:val="0"/>
                      <w:color w:val="auto"/>
                      <w:sz w:val="21"/>
                      <w:szCs w:val="21"/>
                      <w:vertAlign w:val="baseline"/>
                      <w:lang w:val="en-US" w:eastAsia="zh-CN"/>
                    </w:rPr>
                    <w:t>（t</w:t>
                  </w:r>
                  <w:r>
                    <w:rPr>
                      <w:rFonts w:hint="eastAsia" w:ascii="Times New Roman" w:hAnsi="Times New Roman" w:eastAsia="宋体" w:cs="Times New Roman"/>
                      <w:b/>
                      <w:bCs w:val="0"/>
                      <w:color w:val="auto"/>
                      <w:sz w:val="21"/>
                      <w:szCs w:val="21"/>
                      <w:vertAlign w:val="baseline"/>
                      <w:lang w:val="en-US" w:eastAsia="zh-CN"/>
                    </w:rPr>
                    <w:t>/a</w:t>
                  </w:r>
                  <w:r>
                    <w:rPr>
                      <w:rFonts w:hint="default" w:ascii="Times New Roman" w:hAnsi="Times New Roman" w:eastAsia="宋体" w:cs="Times New Roman"/>
                      <w:b/>
                      <w:bCs w:val="0"/>
                      <w:color w:val="auto"/>
                      <w:sz w:val="21"/>
                      <w:szCs w:val="21"/>
                      <w:vertAlign w:val="baseline"/>
                      <w:lang w:val="en-US" w:eastAsia="zh-CN"/>
                    </w:rPr>
                    <w:t>）</w:t>
                  </w:r>
                </w:p>
              </w:tc>
              <w:tc>
                <w:tcPr>
                  <w:tcW w:w="1196" w:type="dxa"/>
                  <w:tcBorders>
                    <w:tl2br w:val="nil"/>
                    <w:tr2bl w:val="nil"/>
                  </w:tcBorders>
                  <w:vAlign w:val="center"/>
                </w:tcPr>
                <w:p w14:paraId="5E0EB0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实际用量</w:t>
                  </w:r>
                  <w:r>
                    <w:rPr>
                      <w:rFonts w:hint="eastAsia" w:ascii="Times New Roman" w:hAnsi="Times New Roman" w:eastAsia="宋体" w:cs="Times New Roman"/>
                      <w:b/>
                      <w:bCs w:val="0"/>
                      <w:color w:val="auto"/>
                      <w:sz w:val="21"/>
                      <w:szCs w:val="21"/>
                      <w:vertAlign w:val="baseline"/>
                      <w:lang w:val="en-US" w:eastAsia="zh-CN"/>
                    </w:rPr>
                    <w:t>（含稀释剂）</w:t>
                  </w:r>
                  <w:r>
                    <w:rPr>
                      <w:rFonts w:hint="default" w:ascii="Times New Roman" w:hAnsi="Times New Roman" w:eastAsia="宋体" w:cs="Times New Roman"/>
                      <w:b/>
                      <w:bCs w:val="0"/>
                      <w:color w:val="auto"/>
                      <w:sz w:val="21"/>
                      <w:szCs w:val="21"/>
                      <w:vertAlign w:val="baseline"/>
                      <w:lang w:val="en-US" w:eastAsia="zh-CN"/>
                    </w:rPr>
                    <w:t>（t</w:t>
                  </w:r>
                  <w:r>
                    <w:rPr>
                      <w:rFonts w:hint="eastAsia" w:ascii="Times New Roman" w:hAnsi="Times New Roman" w:eastAsia="宋体" w:cs="Times New Roman"/>
                      <w:b/>
                      <w:bCs w:val="0"/>
                      <w:color w:val="auto"/>
                      <w:sz w:val="21"/>
                      <w:szCs w:val="21"/>
                      <w:vertAlign w:val="baseline"/>
                      <w:lang w:val="en-US" w:eastAsia="zh-CN"/>
                    </w:rPr>
                    <w:t>/a</w:t>
                  </w:r>
                  <w:r>
                    <w:rPr>
                      <w:rFonts w:hint="default" w:ascii="Times New Roman" w:hAnsi="Times New Roman" w:eastAsia="宋体" w:cs="Times New Roman"/>
                      <w:b/>
                      <w:bCs w:val="0"/>
                      <w:color w:val="auto"/>
                      <w:sz w:val="21"/>
                      <w:szCs w:val="21"/>
                      <w:vertAlign w:val="baseline"/>
                      <w:lang w:val="en-US" w:eastAsia="zh-CN"/>
                    </w:rPr>
                    <w:t>）</w:t>
                  </w:r>
                </w:p>
              </w:tc>
            </w:tr>
            <w:tr w14:paraId="605D0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2" w:type="dxa"/>
                  <w:tcBorders>
                    <w:tl2br w:val="nil"/>
                    <w:tr2bl w:val="nil"/>
                  </w:tcBorders>
                  <w:shd w:val="clear" w:color="auto" w:fill="auto"/>
                  <w:vAlign w:val="center"/>
                </w:tcPr>
                <w:p w14:paraId="408B29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sz w:val="21"/>
                      <w:szCs w:val="21"/>
                      <w:vertAlign w:val="baseline"/>
                      <w:lang w:val="en-US" w:eastAsia="zh-CN"/>
                    </w:rPr>
                    <w:t>水性油墨</w:t>
                  </w:r>
                </w:p>
              </w:tc>
              <w:tc>
                <w:tcPr>
                  <w:tcW w:w="1194" w:type="dxa"/>
                  <w:tcBorders>
                    <w:tl2br w:val="nil"/>
                    <w:tr2bl w:val="nil"/>
                  </w:tcBorders>
                  <w:shd w:val="clear" w:color="auto" w:fill="auto"/>
                  <w:vAlign w:val="center"/>
                </w:tcPr>
                <w:p w14:paraId="18B8E8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sz w:val="21"/>
                      <w:szCs w:val="21"/>
                      <w:vertAlign w:val="baseline"/>
                      <w:lang w:val="en-US" w:eastAsia="zh-CN"/>
                    </w:rPr>
                    <w:t>9500000</w:t>
                  </w:r>
                </w:p>
              </w:tc>
              <w:tc>
                <w:tcPr>
                  <w:tcW w:w="1194" w:type="dxa"/>
                  <w:tcBorders>
                    <w:tl2br w:val="nil"/>
                    <w:tr2bl w:val="nil"/>
                  </w:tcBorders>
                  <w:shd w:val="clear" w:color="auto" w:fill="auto"/>
                  <w:vAlign w:val="center"/>
                </w:tcPr>
                <w:p w14:paraId="7EC38E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sz w:val="21"/>
                      <w:szCs w:val="21"/>
                      <w:vertAlign w:val="baseline"/>
                      <w:lang w:val="en-US" w:eastAsia="zh-CN"/>
                    </w:rPr>
                    <w:t>2850000</w:t>
                  </w:r>
                </w:p>
              </w:tc>
              <w:tc>
                <w:tcPr>
                  <w:tcW w:w="1194" w:type="dxa"/>
                  <w:tcBorders>
                    <w:tl2br w:val="nil"/>
                    <w:tr2bl w:val="nil"/>
                  </w:tcBorders>
                  <w:shd w:val="clear" w:color="auto" w:fill="auto"/>
                  <w:vAlign w:val="center"/>
                </w:tcPr>
                <w:p w14:paraId="0BCED1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sz w:val="21"/>
                      <w:szCs w:val="21"/>
                      <w:vertAlign w:val="baseline"/>
                      <w:lang w:val="en-US" w:eastAsia="zh-CN"/>
                    </w:rPr>
                    <w:t>2</w:t>
                  </w:r>
                </w:p>
              </w:tc>
              <w:tc>
                <w:tcPr>
                  <w:tcW w:w="1194" w:type="dxa"/>
                  <w:tcBorders>
                    <w:tl2br w:val="nil"/>
                    <w:tr2bl w:val="nil"/>
                  </w:tcBorders>
                  <w:shd w:val="clear" w:color="auto" w:fill="auto"/>
                  <w:vAlign w:val="center"/>
                </w:tcPr>
                <w:p w14:paraId="38965C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sz w:val="21"/>
                      <w:szCs w:val="21"/>
                      <w:vertAlign w:val="baseline"/>
                      <w:lang w:val="en-US" w:eastAsia="zh-CN"/>
                    </w:rPr>
                    <w:t>97</w:t>
                  </w:r>
                </w:p>
              </w:tc>
              <w:tc>
                <w:tcPr>
                  <w:tcW w:w="1194" w:type="dxa"/>
                  <w:tcBorders>
                    <w:tl2br w:val="nil"/>
                    <w:tr2bl w:val="nil"/>
                  </w:tcBorders>
                  <w:shd w:val="clear" w:color="auto" w:fill="auto"/>
                  <w:vAlign w:val="center"/>
                </w:tcPr>
                <w:p w14:paraId="0FC05E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5.9</w:t>
                  </w:r>
                </w:p>
              </w:tc>
              <w:tc>
                <w:tcPr>
                  <w:tcW w:w="1196" w:type="dxa"/>
                  <w:tcBorders>
                    <w:tl2br w:val="nil"/>
                    <w:tr2bl w:val="nil"/>
                  </w:tcBorders>
                  <w:shd w:val="clear" w:color="auto" w:fill="auto"/>
                  <w:vAlign w:val="center"/>
                </w:tcPr>
                <w:p w14:paraId="3F71C3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6</w:t>
                  </w:r>
                </w:p>
              </w:tc>
            </w:tr>
            <w:tr w14:paraId="36D91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92" w:type="dxa"/>
                  <w:tcBorders>
                    <w:tl2br w:val="nil"/>
                    <w:tr2bl w:val="nil"/>
                  </w:tcBorders>
                  <w:vAlign w:val="center"/>
                </w:tcPr>
                <w:p w14:paraId="78430B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油性油墨</w:t>
                  </w:r>
                </w:p>
              </w:tc>
              <w:tc>
                <w:tcPr>
                  <w:tcW w:w="1194" w:type="dxa"/>
                  <w:tcBorders>
                    <w:tl2br w:val="nil"/>
                    <w:tr2bl w:val="nil"/>
                  </w:tcBorders>
                  <w:vAlign w:val="center"/>
                </w:tcPr>
                <w:p w14:paraId="1DC40C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700000</w:t>
                  </w:r>
                </w:p>
              </w:tc>
              <w:tc>
                <w:tcPr>
                  <w:tcW w:w="1194" w:type="dxa"/>
                  <w:tcBorders>
                    <w:tl2br w:val="nil"/>
                    <w:tr2bl w:val="nil"/>
                  </w:tcBorders>
                  <w:vAlign w:val="center"/>
                </w:tcPr>
                <w:p w14:paraId="13F361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455000</w:t>
                  </w:r>
                </w:p>
              </w:tc>
              <w:tc>
                <w:tcPr>
                  <w:tcW w:w="1194" w:type="dxa"/>
                  <w:tcBorders>
                    <w:tl2br w:val="nil"/>
                    <w:tr2bl w:val="nil"/>
                  </w:tcBorders>
                  <w:vAlign w:val="center"/>
                </w:tcPr>
                <w:p w14:paraId="1705B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w:t>
                  </w:r>
                </w:p>
              </w:tc>
              <w:tc>
                <w:tcPr>
                  <w:tcW w:w="1194" w:type="dxa"/>
                  <w:tcBorders>
                    <w:tl2br w:val="nil"/>
                    <w:tr2bl w:val="nil"/>
                  </w:tcBorders>
                  <w:vAlign w:val="center"/>
                </w:tcPr>
                <w:p w14:paraId="300A75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97</w:t>
                  </w:r>
                </w:p>
              </w:tc>
              <w:tc>
                <w:tcPr>
                  <w:tcW w:w="1194" w:type="dxa"/>
                  <w:tcBorders>
                    <w:tl2br w:val="nil"/>
                    <w:tr2bl w:val="nil"/>
                  </w:tcBorders>
                  <w:vAlign w:val="center"/>
                </w:tcPr>
                <w:p w14:paraId="756ADA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0.9</w:t>
                  </w:r>
                </w:p>
              </w:tc>
              <w:tc>
                <w:tcPr>
                  <w:tcW w:w="1196" w:type="dxa"/>
                  <w:tcBorders>
                    <w:tl2br w:val="nil"/>
                    <w:tr2bl w:val="nil"/>
                  </w:tcBorders>
                  <w:vAlign w:val="center"/>
                </w:tcPr>
                <w:p w14:paraId="54065B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1</w:t>
                  </w:r>
                </w:p>
              </w:tc>
            </w:tr>
          </w:tbl>
          <w:p w14:paraId="581404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根据工艺特性及</w:t>
            </w:r>
            <w:r>
              <w:rPr>
                <w:rFonts w:hint="eastAsia" w:ascii="Times New Roman" w:hAnsi="Times New Roman" w:eastAsia="宋体" w:cs="Times New Roman"/>
                <w:b w:val="0"/>
                <w:bCs/>
                <w:color w:val="auto"/>
                <w:sz w:val="24"/>
                <w:highlight w:val="none"/>
                <w:lang w:val="en-US" w:eastAsia="zh-CN"/>
              </w:rPr>
              <w:t>企业生产经验</w:t>
            </w:r>
            <w:r>
              <w:rPr>
                <w:rFonts w:hint="default"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Cs/>
                <w:color w:val="auto"/>
                <w:sz w:val="24"/>
                <w:highlight w:val="none"/>
              </w:rPr>
              <w:t>考虑</w:t>
            </w:r>
            <w:r>
              <w:rPr>
                <w:rFonts w:hint="eastAsia" w:ascii="Times New Roman" w:hAnsi="Times New Roman" w:eastAsia="宋体" w:cs="Times New Roman"/>
                <w:bCs/>
                <w:color w:val="auto"/>
                <w:sz w:val="24"/>
                <w:highlight w:val="none"/>
                <w:lang w:val="en-US" w:eastAsia="zh-CN"/>
              </w:rPr>
              <w:t>到</w:t>
            </w:r>
            <w:r>
              <w:rPr>
                <w:rFonts w:hint="default" w:ascii="Times New Roman" w:hAnsi="Times New Roman" w:eastAsia="宋体" w:cs="Times New Roman"/>
                <w:bCs/>
                <w:color w:val="auto"/>
                <w:sz w:val="24"/>
                <w:highlight w:val="none"/>
              </w:rPr>
              <w:t>塑料</w:t>
            </w:r>
            <w:r>
              <w:rPr>
                <w:rFonts w:hint="eastAsia" w:ascii="Times New Roman" w:hAnsi="Times New Roman" w:eastAsia="宋体" w:cs="Times New Roman"/>
                <w:bCs/>
                <w:color w:val="auto"/>
                <w:sz w:val="24"/>
                <w:highlight w:val="none"/>
                <w:lang w:val="en-US" w:eastAsia="zh-CN"/>
              </w:rPr>
              <w:t>膜</w:t>
            </w:r>
            <w:r>
              <w:rPr>
                <w:rFonts w:hint="default" w:ascii="Times New Roman" w:hAnsi="Times New Roman" w:eastAsia="宋体" w:cs="Times New Roman"/>
                <w:bCs/>
                <w:color w:val="auto"/>
                <w:sz w:val="24"/>
                <w:highlight w:val="none"/>
              </w:rPr>
              <w:t>表面油墨</w:t>
            </w:r>
            <w:r>
              <w:rPr>
                <w:rFonts w:hint="eastAsia" w:ascii="Times New Roman" w:hAnsi="Times New Roman" w:eastAsia="宋体" w:cs="Times New Roman"/>
                <w:bCs/>
                <w:color w:val="auto"/>
                <w:sz w:val="24"/>
                <w:highlight w:val="none"/>
                <w:lang w:val="en-US" w:eastAsia="zh-CN"/>
              </w:rPr>
              <w:t>的</w:t>
            </w:r>
            <w:r>
              <w:rPr>
                <w:rFonts w:hint="default" w:ascii="Times New Roman" w:hAnsi="Times New Roman" w:eastAsia="宋体" w:cs="Times New Roman"/>
                <w:bCs/>
                <w:color w:val="auto"/>
                <w:sz w:val="24"/>
                <w:highlight w:val="none"/>
              </w:rPr>
              <w:t>附着效率</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油墨利用率取97%，同时</w:t>
            </w:r>
            <w:r>
              <w:rPr>
                <w:rFonts w:hint="eastAsia" w:ascii="Times New Roman" w:hAnsi="Times New Roman" w:eastAsia="宋体" w:cs="Times New Roman"/>
                <w:b w:val="0"/>
                <w:bCs/>
                <w:color w:val="auto"/>
                <w:sz w:val="24"/>
                <w:highlight w:val="none"/>
                <w:lang w:val="en-US" w:eastAsia="zh-CN"/>
              </w:rPr>
              <w:t>印刷工序</w:t>
            </w:r>
            <w:r>
              <w:rPr>
                <w:rFonts w:hint="default" w:ascii="Times New Roman" w:hAnsi="Times New Roman" w:eastAsia="宋体" w:cs="Times New Roman"/>
                <w:b w:val="0"/>
                <w:bCs/>
                <w:color w:val="auto"/>
                <w:sz w:val="24"/>
                <w:highlight w:val="none"/>
                <w:lang w:val="en-US" w:eastAsia="zh-CN"/>
              </w:rPr>
              <w:t>存在不可避免的</w:t>
            </w:r>
            <w:r>
              <w:rPr>
                <w:rFonts w:hint="eastAsia" w:ascii="Times New Roman" w:hAnsi="Times New Roman" w:eastAsia="宋体" w:cs="Times New Roman"/>
                <w:b w:val="0"/>
                <w:bCs/>
                <w:color w:val="auto"/>
                <w:sz w:val="24"/>
                <w:highlight w:val="none"/>
                <w:lang w:val="en-US" w:eastAsia="zh-CN"/>
              </w:rPr>
              <w:t>原辅料</w:t>
            </w:r>
            <w:r>
              <w:rPr>
                <w:rFonts w:hint="default" w:ascii="Times New Roman" w:hAnsi="Times New Roman" w:eastAsia="宋体" w:cs="Times New Roman"/>
                <w:b w:val="0"/>
                <w:bCs/>
                <w:color w:val="auto"/>
                <w:sz w:val="24"/>
                <w:highlight w:val="none"/>
                <w:lang w:val="en-US" w:eastAsia="zh-CN"/>
              </w:rPr>
              <w:t>损耗（包括</w:t>
            </w:r>
            <w:r>
              <w:rPr>
                <w:rFonts w:hint="eastAsia" w:ascii="Times New Roman" w:hAnsi="Times New Roman" w:eastAsia="宋体" w:cs="Times New Roman"/>
                <w:b w:val="0"/>
                <w:bCs/>
                <w:color w:val="auto"/>
                <w:sz w:val="24"/>
                <w:highlight w:val="none"/>
                <w:lang w:val="en-US" w:eastAsia="zh-CN"/>
              </w:rPr>
              <w:t>仓储浪费</w:t>
            </w:r>
            <w:r>
              <w:rPr>
                <w:rFonts w:hint="default" w:ascii="Times New Roman" w:hAnsi="Times New Roman" w:eastAsia="宋体" w:cs="Times New Roman"/>
                <w:b w:val="0"/>
                <w:bCs/>
                <w:color w:val="auto"/>
                <w:sz w:val="24"/>
                <w:highlight w:val="none"/>
                <w:lang w:val="en-US" w:eastAsia="zh-CN"/>
              </w:rPr>
              <w:t>、设备挂壁等）</w:t>
            </w:r>
            <w:r>
              <w:rPr>
                <w:rFonts w:hint="eastAsia"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实际</w:t>
            </w:r>
            <w:r>
              <w:rPr>
                <w:rFonts w:hint="eastAsia" w:ascii="Times New Roman" w:hAnsi="Times New Roman" w:eastAsia="宋体" w:cs="Times New Roman"/>
                <w:b w:val="0"/>
                <w:bCs/>
                <w:color w:val="auto"/>
                <w:sz w:val="24"/>
                <w:highlight w:val="none"/>
                <w:lang w:val="en-US" w:eastAsia="zh-CN"/>
              </w:rPr>
              <w:t>原辅料用量需考虑</w:t>
            </w:r>
            <w:r>
              <w:rPr>
                <w:rFonts w:hint="default" w:ascii="Times New Roman" w:hAnsi="Times New Roman" w:eastAsia="宋体" w:cs="Times New Roman"/>
                <w:b w:val="0"/>
                <w:bCs/>
                <w:color w:val="auto"/>
                <w:sz w:val="24"/>
                <w:highlight w:val="none"/>
                <w:lang w:val="en-US" w:eastAsia="zh-CN"/>
              </w:rPr>
              <w:t>损耗，确保物料供应充足</w:t>
            </w:r>
            <w:r>
              <w:rPr>
                <w:rFonts w:hint="eastAsia" w:ascii="Times New Roman" w:hAnsi="Times New Roman" w:eastAsia="宋体" w:cs="Times New Roman"/>
                <w:b w:val="0"/>
                <w:bCs/>
                <w:color w:val="auto"/>
                <w:sz w:val="24"/>
                <w:highlight w:val="none"/>
                <w:lang w:val="en-US" w:eastAsia="zh-CN"/>
              </w:rPr>
              <w:t>。由于油性油墨和乙酸乙酯调配比例为1</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1，水性油墨和水调配比例为5：1，</w:t>
            </w:r>
            <w:r>
              <w:rPr>
                <w:rFonts w:hint="default" w:ascii="Times New Roman" w:hAnsi="Times New Roman" w:eastAsia="宋体" w:cs="Times New Roman"/>
                <w:b w:val="0"/>
                <w:bCs/>
                <w:color w:val="auto"/>
                <w:sz w:val="24"/>
                <w:highlight w:val="none"/>
                <w:lang w:val="en-US" w:eastAsia="zh-CN"/>
              </w:rPr>
              <w:t>由上表</w:t>
            </w:r>
            <w:r>
              <w:rPr>
                <w:rFonts w:hint="eastAsia" w:ascii="Times New Roman" w:hAnsi="Times New Roman" w:eastAsia="宋体" w:cs="Times New Roman"/>
                <w:b w:val="0"/>
                <w:bCs/>
                <w:color w:val="auto"/>
                <w:sz w:val="24"/>
                <w:highlight w:val="none"/>
                <w:lang w:val="en-US" w:eastAsia="zh-CN"/>
              </w:rPr>
              <w:t>计算用量</w:t>
            </w:r>
            <w:r>
              <w:rPr>
                <w:rFonts w:hint="default" w:ascii="Times New Roman" w:hAnsi="Times New Roman" w:eastAsia="宋体" w:cs="Times New Roman"/>
                <w:b w:val="0"/>
                <w:bCs/>
                <w:color w:val="auto"/>
                <w:sz w:val="24"/>
                <w:highlight w:val="none"/>
                <w:lang w:val="en-US" w:eastAsia="zh-CN"/>
              </w:rPr>
              <w:t>可知本项目</w:t>
            </w:r>
            <w:r>
              <w:rPr>
                <w:rFonts w:hint="eastAsia" w:ascii="Times New Roman" w:hAnsi="Times New Roman" w:eastAsia="宋体" w:cs="Times New Roman"/>
                <w:b w:val="0"/>
                <w:bCs/>
                <w:color w:val="auto"/>
                <w:sz w:val="24"/>
                <w:highlight w:val="none"/>
                <w:lang w:val="en-US" w:eastAsia="zh-CN"/>
              </w:rPr>
              <w:t>实际原辅料用量如下：油性油墨用量0.5t/a，稀释剂乙酸乙酯用量0.5t/a，水性油墨用量5t/a，稀释剂水用量1t/a，</w:t>
            </w:r>
            <w:r>
              <w:rPr>
                <w:rFonts w:hint="default" w:ascii="Times New Roman" w:hAnsi="Times New Roman" w:eastAsia="宋体" w:cs="Times New Roman"/>
                <w:b w:val="0"/>
                <w:bCs/>
                <w:color w:val="auto"/>
                <w:sz w:val="24"/>
                <w:highlight w:val="none"/>
                <w:lang w:val="en-US" w:eastAsia="zh-CN"/>
              </w:rPr>
              <w:t>与产品的生产量相匹配。</w:t>
            </w:r>
          </w:p>
          <w:p w14:paraId="31B04374">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eastAsia" w:ascii="Times New Roman" w:hAnsi="Times New Roman" w:eastAsia="宋体" w:cs="Times New Roman"/>
                <w:b w:val="0"/>
                <w:bCs/>
                <w:color w:val="auto"/>
                <w:sz w:val="24"/>
                <w:highlight w:val="none"/>
                <w:shd w:val="clear" w:color="auto" w:fill="auto"/>
                <w:lang w:val="en-US" w:eastAsia="zh-CN"/>
              </w:rPr>
              <w:t>粘合</w:t>
            </w:r>
            <w:r>
              <w:rPr>
                <w:rFonts w:hint="default" w:ascii="Times New Roman" w:hAnsi="Times New Roman" w:eastAsia="宋体" w:cs="Times New Roman"/>
                <w:b w:val="0"/>
                <w:bCs/>
                <w:color w:val="auto"/>
                <w:sz w:val="24"/>
                <w:highlight w:val="none"/>
                <w:shd w:val="clear" w:color="auto" w:fill="auto"/>
                <w:lang w:val="en-US" w:eastAsia="zh-CN"/>
              </w:rPr>
              <w:t>剂用量核算</w:t>
            </w:r>
          </w:p>
          <w:p w14:paraId="248EC6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eastAsia" w:ascii="Times New Roman" w:hAnsi="Times New Roman" w:eastAsia="宋体" w:cs="Times New Roman"/>
                <w:b w:val="0"/>
                <w:bCs/>
                <w:color w:val="auto"/>
                <w:sz w:val="24"/>
                <w:highlight w:val="none"/>
                <w:shd w:val="clear" w:color="auto" w:fill="auto"/>
                <w:lang w:val="en-US" w:eastAsia="zh-CN"/>
              </w:rPr>
              <w:t>本项目生产食品外包装使用整面涂胶，其目的是避免包装袋局部脱层或渗漏；生产冰袋外包装使用点阵涂胶，可降低胶水成本，但仍保持足够剥离强度。涂胶</w:t>
            </w:r>
            <w:r>
              <w:rPr>
                <w:rFonts w:hint="default" w:ascii="Times New Roman" w:hAnsi="Times New Roman" w:eastAsia="宋体" w:cs="Times New Roman"/>
                <w:b w:val="0"/>
                <w:bCs/>
                <w:color w:val="auto"/>
                <w:sz w:val="24"/>
                <w:highlight w:val="none"/>
                <w:shd w:val="clear" w:color="auto" w:fill="auto"/>
                <w:lang w:val="en-US" w:eastAsia="zh-CN"/>
              </w:rPr>
              <w:t>需要用到</w:t>
            </w:r>
            <w:r>
              <w:rPr>
                <w:rFonts w:hint="eastAsia" w:ascii="Times New Roman" w:hAnsi="Times New Roman" w:eastAsia="宋体" w:cs="Times New Roman"/>
                <w:b w:val="0"/>
                <w:bCs/>
                <w:color w:val="auto"/>
                <w:sz w:val="24"/>
                <w:highlight w:val="none"/>
                <w:shd w:val="clear" w:color="auto" w:fill="auto"/>
                <w:lang w:val="en-US" w:eastAsia="zh-CN"/>
              </w:rPr>
              <w:t>粘合剂</w:t>
            </w:r>
            <w:r>
              <w:rPr>
                <w:rFonts w:hint="default" w:ascii="Times New Roman" w:hAnsi="Times New Roman" w:eastAsia="宋体" w:cs="Times New Roman"/>
                <w:b w:val="0"/>
                <w:bCs/>
                <w:color w:val="auto"/>
                <w:sz w:val="24"/>
                <w:highlight w:val="none"/>
                <w:shd w:val="clear" w:color="auto" w:fill="auto"/>
                <w:lang w:val="en-US" w:eastAsia="zh-CN"/>
              </w:rPr>
              <w:t>的部分为用于</w:t>
            </w:r>
            <w:r>
              <w:rPr>
                <w:rFonts w:hint="eastAsia" w:ascii="Times New Roman" w:hAnsi="Times New Roman" w:eastAsia="宋体" w:cs="Times New Roman"/>
                <w:b w:val="0"/>
                <w:bCs/>
                <w:color w:val="auto"/>
                <w:sz w:val="24"/>
                <w:highlight w:val="none"/>
                <w:shd w:val="clear" w:color="auto" w:fill="auto"/>
                <w:lang w:val="en-US" w:eastAsia="zh-CN"/>
              </w:rPr>
              <w:t>涂胶</w:t>
            </w:r>
            <w:r>
              <w:rPr>
                <w:rFonts w:hint="default" w:ascii="Times New Roman" w:hAnsi="Times New Roman" w:eastAsia="宋体" w:cs="Times New Roman"/>
                <w:b w:val="0"/>
                <w:bCs/>
                <w:color w:val="auto"/>
                <w:sz w:val="24"/>
                <w:highlight w:val="none"/>
                <w:shd w:val="clear" w:color="auto" w:fill="auto"/>
                <w:lang w:val="en-US" w:eastAsia="zh-CN"/>
              </w:rPr>
              <w:t>的基础材料总面积中实际需要</w:t>
            </w:r>
            <w:r>
              <w:rPr>
                <w:rFonts w:hint="eastAsia" w:ascii="Times New Roman" w:hAnsi="Times New Roman" w:eastAsia="宋体" w:cs="Times New Roman"/>
                <w:b w:val="0"/>
                <w:bCs/>
                <w:color w:val="auto"/>
                <w:sz w:val="24"/>
                <w:highlight w:val="none"/>
                <w:shd w:val="clear" w:color="auto" w:fill="auto"/>
                <w:lang w:val="en-US" w:eastAsia="zh-CN"/>
              </w:rPr>
              <w:t>涂胶</w:t>
            </w:r>
            <w:r>
              <w:rPr>
                <w:rFonts w:hint="default" w:ascii="Times New Roman" w:hAnsi="Times New Roman" w:eastAsia="宋体" w:cs="Times New Roman"/>
                <w:b w:val="0"/>
                <w:bCs/>
                <w:color w:val="auto"/>
                <w:sz w:val="24"/>
                <w:highlight w:val="none"/>
                <w:shd w:val="clear" w:color="auto" w:fill="auto"/>
                <w:lang w:val="en-US" w:eastAsia="zh-CN"/>
              </w:rPr>
              <w:t>的面积</w:t>
            </w:r>
            <w:r>
              <w:rPr>
                <w:rFonts w:hint="eastAsia" w:ascii="Times New Roman" w:hAnsi="Times New Roman" w:eastAsia="宋体" w:cs="Times New Roman"/>
                <w:b w:val="0"/>
                <w:bCs/>
                <w:color w:val="auto"/>
                <w:sz w:val="24"/>
                <w:highlight w:val="none"/>
                <w:shd w:val="clear" w:color="auto" w:fill="auto"/>
                <w:lang w:val="en-US" w:eastAsia="zh-CN"/>
              </w:rPr>
              <w:t>。</w:t>
            </w:r>
            <w:r>
              <w:rPr>
                <w:rFonts w:hint="default" w:ascii="Times New Roman" w:hAnsi="Times New Roman" w:eastAsia="宋体" w:cs="Times New Roman"/>
                <w:b w:val="0"/>
                <w:bCs/>
                <w:color w:val="auto"/>
                <w:sz w:val="24"/>
                <w:highlight w:val="none"/>
                <w:shd w:val="clear" w:color="auto" w:fill="auto"/>
                <w:lang w:val="en-US" w:eastAsia="zh-CN"/>
              </w:rPr>
              <w:t>根据产品要求，实际</w:t>
            </w:r>
            <w:r>
              <w:rPr>
                <w:rFonts w:hint="eastAsia" w:ascii="Times New Roman" w:hAnsi="Times New Roman" w:eastAsia="宋体" w:cs="Times New Roman"/>
                <w:b w:val="0"/>
                <w:bCs/>
                <w:color w:val="auto"/>
                <w:sz w:val="24"/>
                <w:highlight w:val="none"/>
                <w:shd w:val="clear" w:color="auto" w:fill="auto"/>
                <w:lang w:val="en-US" w:eastAsia="zh-CN"/>
              </w:rPr>
              <w:t>食品外包装涂胶</w:t>
            </w:r>
            <w:r>
              <w:rPr>
                <w:rFonts w:hint="default" w:ascii="Times New Roman" w:hAnsi="Times New Roman" w:eastAsia="宋体" w:cs="Times New Roman"/>
                <w:b w:val="0"/>
                <w:bCs/>
                <w:color w:val="auto"/>
                <w:sz w:val="24"/>
                <w:highlight w:val="none"/>
                <w:shd w:val="clear" w:color="auto" w:fill="auto"/>
                <w:lang w:val="en-US" w:eastAsia="zh-CN"/>
              </w:rPr>
              <w:t>面积通常占</w:t>
            </w:r>
            <w:r>
              <w:rPr>
                <w:rFonts w:hint="eastAsia" w:ascii="Times New Roman" w:hAnsi="Times New Roman" w:eastAsia="宋体" w:cs="Times New Roman"/>
                <w:b w:val="0"/>
                <w:bCs/>
                <w:color w:val="auto"/>
                <w:sz w:val="24"/>
                <w:highlight w:val="none"/>
                <w:shd w:val="clear" w:color="auto" w:fill="auto"/>
                <w:lang w:val="en-US" w:eastAsia="zh-CN"/>
              </w:rPr>
              <w:t>100</w:t>
            </w:r>
            <w:r>
              <w:rPr>
                <w:rFonts w:hint="default" w:ascii="Times New Roman" w:hAnsi="Times New Roman" w:eastAsia="宋体" w:cs="Times New Roman"/>
                <w:b w:val="0"/>
                <w:bCs/>
                <w:color w:val="auto"/>
                <w:sz w:val="24"/>
                <w:highlight w:val="none"/>
                <w:shd w:val="clear" w:color="auto" w:fill="auto"/>
                <w:lang w:val="en-US" w:eastAsia="zh-CN"/>
              </w:rPr>
              <w:t>%，实际</w:t>
            </w:r>
            <w:r>
              <w:rPr>
                <w:rFonts w:hint="eastAsia" w:ascii="Times New Roman" w:hAnsi="Times New Roman" w:eastAsia="宋体" w:cs="Times New Roman"/>
                <w:b w:val="0"/>
                <w:bCs/>
                <w:color w:val="auto"/>
                <w:sz w:val="24"/>
                <w:highlight w:val="none"/>
                <w:shd w:val="clear" w:color="auto" w:fill="auto"/>
                <w:lang w:val="en-US" w:eastAsia="zh-CN"/>
              </w:rPr>
              <w:t>冰袋外包装涂胶</w:t>
            </w:r>
            <w:r>
              <w:rPr>
                <w:rFonts w:hint="default" w:ascii="Times New Roman" w:hAnsi="Times New Roman" w:eastAsia="宋体" w:cs="Times New Roman"/>
                <w:b w:val="0"/>
                <w:bCs/>
                <w:color w:val="auto"/>
                <w:sz w:val="24"/>
                <w:highlight w:val="none"/>
                <w:shd w:val="clear" w:color="auto" w:fill="auto"/>
                <w:lang w:val="en-US" w:eastAsia="zh-CN"/>
              </w:rPr>
              <w:t>面积通常占</w:t>
            </w:r>
            <w:r>
              <w:rPr>
                <w:rFonts w:hint="eastAsia" w:ascii="Times New Roman" w:hAnsi="Times New Roman" w:eastAsia="宋体" w:cs="Times New Roman"/>
                <w:b w:val="0"/>
                <w:bCs/>
                <w:color w:val="auto"/>
                <w:sz w:val="24"/>
                <w:highlight w:val="none"/>
                <w:shd w:val="clear" w:color="auto" w:fill="auto"/>
                <w:lang w:val="en-US" w:eastAsia="zh-CN"/>
              </w:rPr>
              <w:t>40</w:t>
            </w:r>
            <w:r>
              <w:rPr>
                <w:rFonts w:hint="default" w:ascii="Times New Roman" w:hAnsi="Times New Roman" w:eastAsia="宋体" w:cs="Times New Roman"/>
                <w:b w:val="0"/>
                <w:bCs/>
                <w:color w:val="auto"/>
                <w:sz w:val="24"/>
                <w:highlight w:val="none"/>
                <w:shd w:val="clear" w:color="auto" w:fill="auto"/>
                <w:lang w:val="en-US" w:eastAsia="zh-CN"/>
              </w:rPr>
              <w:t>%。本项目</w:t>
            </w:r>
            <w:r>
              <w:rPr>
                <w:rFonts w:hint="eastAsia" w:ascii="Times New Roman" w:hAnsi="Times New Roman" w:eastAsia="宋体" w:cs="Times New Roman"/>
                <w:b w:val="0"/>
                <w:bCs/>
                <w:color w:val="auto"/>
                <w:sz w:val="24"/>
                <w:highlight w:val="none"/>
                <w:shd w:val="clear" w:color="auto" w:fill="auto"/>
                <w:lang w:val="en-US" w:eastAsia="zh-CN"/>
              </w:rPr>
              <w:t>油墨</w:t>
            </w:r>
            <w:r>
              <w:rPr>
                <w:rFonts w:hint="default" w:ascii="Times New Roman" w:hAnsi="Times New Roman" w:eastAsia="宋体" w:cs="Times New Roman"/>
                <w:b w:val="0"/>
                <w:bCs/>
                <w:color w:val="auto"/>
                <w:sz w:val="24"/>
                <w:highlight w:val="none"/>
                <w:shd w:val="clear" w:color="auto" w:fill="auto"/>
                <w:lang w:val="en-US" w:eastAsia="zh-CN"/>
              </w:rPr>
              <w:t>用量核算见表2-</w:t>
            </w:r>
            <w:r>
              <w:rPr>
                <w:rFonts w:hint="eastAsia" w:ascii="Times New Roman" w:hAnsi="Times New Roman" w:eastAsia="宋体" w:cs="Times New Roman"/>
                <w:b w:val="0"/>
                <w:bCs/>
                <w:color w:val="auto"/>
                <w:sz w:val="24"/>
                <w:highlight w:val="none"/>
                <w:shd w:val="clear" w:color="auto" w:fill="auto"/>
                <w:lang w:val="en-US" w:eastAsia="zh-CN"/>
              </w:rPr>
              <w:t>8</w:t>
            </w:r>
            <w:r>
              <w:rPr>
                <w:rFonts w:hint="default" w:ascii="Times New Roman" w:hAnsi="Times New Roman" w:eastAsia="宋体" w:cs="Times New Roman"/>
                <w:b w:val="0"/>
                <w:bCs/>
                <w:color w:val="auto"/>
                <w:sz w:val="24"/>
                <w:highlight w:val="none"/>
                <w:shd w:val="clear" w:color="auto" w:fill="auto"/>
                <w:lang w:val="en-US" w:eastAsia="zh-CN"/>
              </w:rPr>
              <w:t>。</w:t>
            </w:r>
          </w:p>
          <w:p w14:paraId="492BDC9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表2-</w:t>
            </w:r>
            <w:r>
              <w:rPr>
                <w:rFonts w:hint="eastAsia"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 xml:space="preserve">  本项目</w:t>
            </w:r>
            <w:r>
              <w:rPr>
                <w:rFonts w:hint="eastAsia" w:ascii="Times New Roman" w:hAnsi="Times New Roman" w:eastAsia="宋体" w:cs="Times New Roman"/>
                <w:b/>
                <w:bCs/>
                <w:color w:val="auto"/>
                <w:sz w:val="24"/>
                <w:lang w:val="en-US" w:eastAsia="zh-CN"/>
              </w:rPr>
              <w:t>粘合</w:t>
            </w:r>
            <w:r>
              <w:rPr>
                <w:rFonts w:hint="default" w:ascii="Times New Roman" w:hAnsi="Times New Roman" w:eastAsia="宋体" w:cs="Times New Roman"/>
                <w:b/>
                <w:bCs/>
                <w:color w:val="auto"/>
                <w:sz w:val="24"/>
                <w:lang w:val="en-US" w:eastAsia="zh-CN"/>
              </w:rPr>
              <w:t>剂</w:t>
            </w:r>
            <w:r>
              <w:rPr>
                <w:rFonts w:hint="default" w:ascii="Times New Roman" w:hAnsi="Times New Roman" w:eastAsia="宋体" w:cs="Times New Roman"/>
                <w:b/>
                <w:bCs/>
                <w:color w:val="auto"/>
                <w:sz w:val="24"/>
              </w:rPr>
              <w:t>消耗计算表</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194"/>
              <w:gridCol w:w="1194"/>
              <w:gridCol w:w="1194"/>
              <w:gridCol w:w="1194"/>
              <w:gridCol w:w="1194"/>
              <w:gridCol w:w="1195"/>
            </w:tblGrid>
            <w:tr w14:paraId="7E0E6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44" w:type="dxa"/>
                  <w:tcBorders>
                    <w:tl2br w:val="nil"/>
                    <w:tr2bl w:val="nil"/>
                  </w:tcBorders>
                  <w:vAlign w:val="center"/>
                </w:tcPr>
                <w:p w14:paraId="5DA5C7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产品名称</w:t>
                  </w:r>
                </w:p>
              </w:tc>
              <w:tc>
                <w:tcPr>
                  <w:tcW w:w="1045" w:type="dxa"/>
                  <w:tcBorders>
                    <w:tl2br w:val="nil"/>
                    <w:tr2bl w:val="nil"/>
                  </w:tcBorders>
                  <w:vAlign w:val="center"/>
                </w:tcPr>
                <w:p w14:paraId="28F592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涂胶基材用量单面面积</w:t>
                  </w:r>
                  <w:r>
                    <w:rPr>
                      <w:rFonts w:hint="default" w:ascii="Times New Roman" w:hAnsi="Times New Roman" w:eastAsia="宋体" w:cs="Times New Roman"/>
                      <w:b/>
                      <w:bCs w:val="0"/>
                      <w:color w:val="auto"/>
                      <w:sz w:val="21"/>
                      <w:szCs w:val="21"/>
                      <w:vertAlign w:val="baseline"/>
                      <w:lang w:val="en-US" w:eastAsia="zh-CN"/>
                    </w:rPr>
                    <w:t>（m</w:t>
                  </w:r>
                  <w:r>
                    <w:rPr>
                      <w:rFonts w:hint="default" w:ascii="Times New Roman" w:hAnsi="Times New Roman" w:eastAsia="宋体" w:cs="Times New Roman"/>
                      <w:b/>
                      <w:bCs w:val="0"/>
                      <w:color w:val="auto"/>
                      <w:sz w:val="21"/>
                      <w:szCs w:val="21"/>
                      <w:vertAlign w:val="superscript"/>
                      <w:lang w:val="en-US" w:eastAsia="zh-CN"/>
                    </w:rPr>
                    <w:t>2</w:t>
                  </w:r>
                  <w:r>
                    <w:rPr>
                      <w:rFonts w:hint="default" w:ascii="Times New Roman" w:hAnsi="Times New Roman" w:eastAsia="宋体" w:cs="Times New Roman"/>
                      <w:b/>
                      <w:bCs w:val="0"/>
                      <w:color w:val="auto"/>
                      <w:sz w:val="21"/>
                      <w:szCs w:val="21"/>
                      <w:vertAlign w:val="baseline"/>
                      <w:lang w:val="en-US" w:eastAsia="zh-CN"/>
                    </w:rPr>
                    <w:t>）</w:t>
                  </w:r>
                </w:p>
              </w:tc>
              <w:tc>
                <w:tcPr>
                  <w:tcW w:w="1045" w:type="dxa"/>
                  <w:tcBorders>
                    <w:tl2br w:val="nil"/>
                    <w:tr2bl w:val="nil"/>
                  </w:tcBorders>
                  <w:vAlign w:val="center"/>
                </w:tcPr>
                <w:p w14:paraId="739DDE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涂胶面积（</w:t>
                  </w:r>
                  <w:r>
                    <w:rPr>
                      <w:rFonts w:hint="default" w:ascii="Times New Roman" w:hAnsi="Times New Roman" w:eastAsia="宋体" w:cs="Times New Roman"/>
                      <w:b/>
                      <w:bCs w:val="0"/>
                      <w:color w:val="auto"/>
                      <w:sz w:val="21"/>
                      <w:szCs w:val="21"/>
                      <w:vertAlign w:val="baseline"/>
                      <w:lang w:val="en-US" w:eastAsia="zh-CN"/>
                    </w:rPr>
                    <w:t>m</w:t>
                  </w:r>
                  <w:r>
                    <w:rPr>
                      <w:rFonts w:hint="default" w:ascii="Times New Roman" w:hAnsi="Times New Roman" w:eastAsia="宋体" w:cs="Times New Roman"/>
                      <w:b/>
                      <w:bCs w:val="0"/>
                      <w:color w:val="auto"/>
                      <w:sz w:val="21"/>
                      <w:szCs w:val="21"/>
                      <w:vertAlign w:val="superscript"/>
                      <w:lang w:val="en-US" w:eastAsia="zh-CN"/>
                    </w:rPr>
                    <w:t>2</w:t>
                  </w:r>
                  <w:r>
                    <w:rPr>
                      <w:rFonts w:hint="eastAsia" w:ascii="Times New Roman" w:hAnsi="Times New Roman" w:eastAsia="宋体" w:cs="Times New Roman"/>
                      <w:b/>
                      <w:bCs w:val="0"/>
                      <w:color w:val="auto"/>
                      <w:sz w:val="21"/>
                      <w:szCs w:val="21"/>
                      <w:vertAlign w:val="baseline"/>
                      <w:lang w:val="en-US" w:eastAsia="zh-CN"/>
                    </w:rPr>
                    <w:t>）</w:t>
                  </w:r>
                </w:p>
              </w:tc>
              <w:tc>
                <w:tcPr>
                  <w:tcW w:w="1045" w:type="dxa"/>
                  <w:tcBorders>
                    <w:tl2br w:val="nil"/>
                    <w:tr2bl w:val="nil"/>
                  </w:tcBorders>
                  <w:vAlign w:val="center"/>
                </w:tcPr>
                <w:p w14:paraId="7CAEB9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粘合剂消耗量</w:t>
                  </w:r>
                  <w:r>
                    <w:rPr>
                      <w:rFonts w:hint="default" w:ascii="Times New Roman" w:hAnsi="Times New Roman" w:eastAsia="宋体" w:cs="Times New Roman"/>
                      <w:b/>
                      <w:bCs w:val="0"/>
                      <w:color w:val="auto"/>
                      <w:sz w:val="21"/>
                      <w:szCs w:val="21"/>
                      <w:vertAlign w:val="baseline"/>
                      <w:lang w:val="en-US" w:eastAsia="zh-CN"/>
                    </w:rPr>
                    <w:t>（</w:t>
                  </w:r>
                  <w:r>
                    <w:rPr>
                      <w:rFonts w:hint="eastAsia" w:ascii="Times New Roman" w:hAnsi="Times New Roman" w:eastAsia="宋体" w:cs="Times New Roman"/>
                      <w:b/>
                      <w:bCs w:val="0"/>
                      <w:color w:val="auto"/>
                      <w:sz w:val="21"/>
                      <w:szCs w:val="21"/>
                      <w:vertAlign w:val="baseline"/>
                      <w:lang w:val="en-US" w:eastAsia="zh-CN"/>
                    </w:rPr>
                    <w:t>g/</w:t>
                  </w:r>
                  <w:r>
                    <w:rPr>
                      <w:rFonts w:hint="default" w:ascii="Times New Roman" w:hAnsi="Times New Roman" w:eastAsia="宋体" w:cs="Times New Roman"/>
                      <w:b/>
                      <w:bCs w:val="0"/>
                      <w:color w:val="auto"/>
                      <w:sz w:val="21"/>
                      <w:szCs w:val="21"/>
                      <w:vertAlign w:val="baseline"/>
                      <w:lang w:val="en-US" w:eastAsia="zh-CN"/>
                    </w:rPr>
                    <w:t>m</w:t>
                  </w:r>
                  <w:r>
                    <w:rPr>
                      <w:rFonts w:hint="default" w:ascii="Times New Roman" w:hAnsi="Times New Roman" w:eastAsia="宋体" w:cs="Times New Roman"/>
                      <w:b/>
                      <w:bCs w:val="0"/>
                      <w:color w:val="auto"/>
                      <w:sz w:val="21"/>
                      <w:szCs w:val="21"/>
                      <w:vertAlign w:val="superscript"/>
                      <w:lang w:val="en-US" w:eastAsia="zh-CN"/>
                    </w:rPr>
                    <w:t>2</w:t>
                  </w:r>
                  <w:r>
                    <w:rPr>
                      <w:rFonts w:hint="default" w:ascii="Times New Roman" w:hAnsi="Times New Roman" w:eastAsia="宋体" w:cs="Times New Roman"/>
                      <w:b/>
                      <w:bCs w:val="0"/>
                      <w:color w:val="auto"/>
                      <w:sz w:val="21"/>
                      <w:szCs w:val="21"/>
                      <w:vertAlign w:val="baseline"/>
                      <w:lang w:val="en-US" w:eastAsia="zh-CN"/>
                    </w:rPr>
                    <w:t>）</w:t>
                  </w:r>
                </w:p>
              </w:tc>
              <w:tc>
                <w:tcPr>
                  <w:tcW w:w="1045" w:type="dxa"/>
                  <w:tcBorders>
                    <w:tl2br w:val="nil"/>
                    <w:tr2bl w:val="nil"/>
                  </w:tcBorders>
                  <w:vAlign w:val="center"/>
                </w:tcPr>
                <w:p w14:paraId="7052A2BC">
                  <w:pPr>
                    <w:pStyle w:val="26"/>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b/>
                      <w:bCs w:val="0"/>
                      <w:color w:val="auto"/>
                      <w:sz w:val="21"/>
                      <w:szCs w:val="21"/>
                      <w:vertAlign w:val="baseline"/>
                      <w:lang w:val="en-US" w:eastAsia="zh-CN"/>
                    </w:rPr>
                    <w:t>利用率</w:t>
                  </w:r>
                  <w:r>
                    <w:rPr>
                      <w:rFonts w:hint="default" w:ascii="Times New Roman" w:hAnsi="Times New Roman" w:eastAsia="宋体" w:cs="Times New Roman"/>
                      <w:b/>
                      <w:bCs w:val="0"/>
                      <w:color w:val="auto"/>
                      <w:sz w:val="21"/>
                      <w:szCs w:val="21"/>
                      <w:vertAlign w:val="baseline"/>
                      <w:lang w:val="en-US" w:eastAsia="zh-CN"/>
                    </w:rPr>
                    <w:t>（</w:t>
                  </w:r>
                  <w:r>
                    <w:rPr>
                      <w:rFonts w:hint="eastAsia" w:ascii="Times New Roman" w:hAnsi="Times New Roman" w:eastAsia="宋体" w:cs="Times New Roman"/>
                      <w:b/>
                      <w:bCs w:val="0"/>
                      <w:color w:val="auto"/>
                      <w:sz w:val="21"/>
                      <w:szCs w:val="21"/>
                      <w:vertAlign w:val="baseline"/>
                      <w:lang w:val="en-US" w:eastAsia="zh-CN"/>
                    </w:rPr>
                    <w:t>%</w:t>
                  </w:r>
                  <w:r>
                    <w:rPr>
                      <w:rFonts w:hint="default" w:ascii="Times New Roman" w:hAnsi="Times New Roman" w:eastAsia="宋体" w:cs="Times New Roman"/>
                      <w:b/>
                      <w:bCs w:val="0"/>
                      <w:color w:val="auto"/>
                      <w:sz w:val="21"/>
                      <w:szCs w:val="21"/>
                      <w:vertAlign w:val="baseline"/>
                      <w:lang w:val="en-US" w:eastAsia="zh-CN"/>
                    </w:rPr>
                    <w:t>）</w:t>
                  </w:r>
                </w:p>
              </w:tc>
              <w:tc>
                <w:tcPr>
                  <w:tcW w:w="1045" w:type="dxa"/>
                  <w:tcBorders>
                    <w:tl2br w:val="nil"/>
                    <w:tr2bl w:val="nil"/>
                  </w:tcBorders>
                  <w:vAlign w:val="center"/>
                </w:tcPr>
                <w:p w14:paraId="464C6C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理论用量（t</w:t>
                  </w:r>
                  <w:r>
                    <w:rPr>
                      <w:rFonts w:hint="eastAsia" w:ascii="Times New Roman" w:hAnsi="Times New Roman" w:eastAsia="宋体" w:cs="Times New Roman"/>
                      <w:b/>
                      <w:bCs w:val="0"/>
                      <w:color w:val="auto"/>
                      <w:sz w:val="21"/>
                      <w:szCs w:val="21"/>
                      <w:vertAlign w:val="baseline"/>
                      <w:lang w:val="en-US" w:eastAsia="zh-CN"/>
                    </w:rPr>
                    <w:t>/a</w:t>
                  </w:r>
                  <w:r>
                    <w:rPr>
                      <w:rFonts w:hint="default" w:ascii="Times New Roman" w:hAnsi="Times New Roman" w:eastAsia="宋体" w:cs="Times New Roman"/>
                      <w:b/>
                      <w:bCs w:val="0"/>
                      <w:color w:val="auto"/>
                      <w:sz w:val="21"/>
                      <w:szCs w:val="21"/>
                      <w:vertAlign w:val="baseline"/>
                      <w:lang w:val="en-US" w:eastAsia="zh-CN"/>
                    </w:rPr>
                    <w:t>）</w:t>
                  </w:r>
                </w:p>
              </w:tc>
              <w:tc>
                <w:tcPr>
                  <w:tcW w:w="1045" w:type="dxa"/>
                  <w:tcBorders>
                    <w:tl2br w:val="nil"/>
                    <w:tr2bl w:val="nil"/>
                  </w:tcBorders>
                  <w:vAlign w:val="center"/>
                </w:tcPr>
                <w:p w14:paraId="509080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实际用量（t</w:t>
                  </w:r>
                  <w:r>
                    <w:rPr>
                      <w:rFonts w:hint="eastAsia" w:ascii="Times New Roman" w:hAnsi="Times New Roman" w:eastAsia="宋体" w:cs="Times New Roman"/>
                      <w:b/>
                      <w:bCs w:val="0"/>
                      <w:color w:val="auto"/>
                      <w:sz w:val="21"/>
                      <w:szCs w:val="21"/>
                      <w:vertAlign w:val="baseline"/>
                      <w:lang w:val="en-US" w:eastAsia="zh-CN"/>
                    </w:rPr>
                    <w:t>/a</w:t>
                  </w:r>
                  <w:r>
                    <w:rPr>
                      <w:rFonts w:hint="default" w:ascii="Times New Roman" w:hAnsi="Times New Roman" w:eastAsia="宋体" w:cs="Times New Roman"/>
                      <w:b/>
                      <w:bCs w:val="0"/>
                      <w:color w:val="auto"/>
                      <w:sz w:val="21"/>
                      <w:szCs w:val="21"/>
                      <w:vertAlign w:val="baseline"/>
                      <w:lang w:val="en-US" w:eastAsia="zh-CN"/>
                    </w:rPr>
                    <w:t>）</w:t>
                  </w:r>
                </w:p>
              </w:tc>
            </w:tr>
            <w:tr w14:paraId="7669B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4" w:type="dxa"/>
                  <w:tcBorders>
                    <w:tl2br w:val="nil"/>
                    <w:tr2bl w:val="nil"/>
                  </w:tcBorders>
                  <w:vAlign w:val="center"/>
                </w:tcPr>
                <w:p w14:paraId="59888C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冰袋外包装</w:t>
                  </w:r>
                </w:p>
              </w:tc>
              <w:tc>
                <w:tcPr>
                  <w:tcW w:w="1045" w:type="dxa"/>
                  <w:tcBorders>
                    <w:tl2br w:val="nil"/>
                    <w:tr2bl w:val="nil"/>
                  </w:tcBorders>
                  <w:vAlign w:val="center"/>
                </w:tcPr>
                <w:p w14:paraId="0FF3C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9500000</w:t>
                  </w:r>
                </w:p>
              </w:tc>
              <w:tc>
                <w:tcPr>
                  <w:tcW w:w="1045" w:type="dxa"/>
                  <w:tcBorders>
                    <w:tl2br w:val="nil"/>
                    <w:tr2bl w:val="nil"/>
                  </w:tcBorders>
                  <w:vAlign w:val="center"/>
                </w:tcPr>
                <w:p w14:paraId="02C9EF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9500000</w:t>
                  </w:r>
                </w:p>
              </w:tc>
              <w:tc>
                <w:tcPr>
                  <w:tcW w:w="1045" w:type="dxa"/>
                  <w:tcBorders>
                    <w:tl2br w:val="nil"/>
                    <w:tr2bl w:val="nil"/>
                  </w:tcBorders>
                  <w:vAlign w:val="center"/>
                </w:tcPr>
                <w:p w14:paraId="37D849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1045" w:type="dxa"/>
                  <w:tcBorders>
                    <w:tl2br w:val="nil"/>
                    <w:tr2bl w:val="nil"/>
                  </w:tcBorders>
                  <w:vAlign w:val="center"/>
                </w:tcPr>
                <w:p w14:paraId="0026CC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99</w:t>
                  </w:r>
                </w:p>
              </w:tc>
              <w:tc>
                <w:tcPr>
                  <w:tcW w:w="1045" w:type="dxa"/>
                  <w:tcBorders>
                    <w:tl2br w:val="nil"/>
                    <w:tr2bl w:val="nil"/>
                  </w:tcBorders>
                  <w:vAlign w:val="center"/>
                </w:tcPr>
                <w:p w14:paraId="4B034A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9.6</w:t>
                  </w:r>
                </w:p>
              </w:tc>
              <w:tc>
                <w:tcPr>
                  <w:tcW w:w="1045" w:type="dxa"/>
                  <w:vMerge w:val="restart"/>
                  <w:tcBorders>
                    <w:tl2br w:val="nil"/>
                    <w:tr2bl w:val="nil"/>
                  </w:tcBorders>
                  <w:vAlign w:val="center"/>
                </w:tcPr>
                <w:p w14:paraId="28C5CD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10</w:t>
                  </w:r>
                </w:p>
              </w:tc>
            </w:tr>
            <w:tr w14:paraId="4EDFD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4" w:type="dxa"/>
                  <w:tcBorders>
                    <w:tl2br w:val="nil"/>
                    <w:tr2bl w:val="nil"/>
                  </w:tcBorders>
                  <w:vAlign w:val="center"/>
                </w:tcPr>
                <w:p w14:paraId="685E49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食品外包装</w:t>
                  </w:r>
                </w:p>
              </w:tc>
              <w:tc>
                <w:tcPr>
                  <w:tcW w:w="1045" w:type="dxa"/>
                  <w:tcBorders>
                    <w:tl2br w:val="nil"/>
                    <w:tr2bl w:val="nil"/>
                  </w:tcBorders>
                  <w:vAlign w:val="center"/>
                </w:tcPr>
                <w:p w14:paraId="0DA4CE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700000</w:t>
                  </w:r>
                </w:p>
              </w:tc>
              <w:tc>
                <w:tcPr>
                  <w:tcW w:w="1045" w:type="dxa"/>
                  <w:tcBorders>
                    <w:tl2br w:val="nil"/>
                    <w:tr2bl w:val="nil"/>
                  </w:tcBorders>
                  <w:vAlign w:val="center"/>
                </w:tcPr>
                <w:p w14:paraId="1BF280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280000</w:t>
                  </w:r>
                </w:p>
              </w:tc>
              <w:tc>
                <w:tcPr>
                  <w:tcW w:w="1045" w:type="dxa"/>
                  <w:tcBorders>
                    <w:tl2br w:val="nil"/>
                    <w:tr2bl w:val="nil"/>
                  </w:tcBorders>
                  <w:vAlign w:val="center"/>
                </w:tcPr>
                <w:p w14:paraId="154A8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w:t>
                  </w:r>
                </w:p>
              </w:tc>
              <w:tc>
                <w:tcPr>
                  <w:tcW w:w="1045" w:type="dxa"/>
                  <w:tcBorders>
                    <w:tl2br w:val="nil"/>
                    <w:tr2bl w:val="nil"/>
                  </w:tcBorders>
                  <w:vAlign w:val="center"/>
                </w:tcPr>
                <w:p w14:paraId="4D9E3E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99</w:t>
                  </w:r>
                </w:p>
              </w:tc>
              <w:tc>
                <w:tcPr>
                  <w:tcW w:w="1045" w:type="dxa"/>
                  <w:tcBorders>
                    <w:tl2br w:val="nil"/>
                    <w:tr2bl w:val="nil"/>
                  </w:tcBorders>
                  <w:vAlign w:val="center"/>
                </w:tcPr>
                <w:p w14:paraId="698EA6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0.3</w:t>
                  </w:r>
                </w:p>
              </w:tc>
              <w:tc>
                <w:tcPr>
                  <w:tcW w:w="1045" w:type="dxa"/>
                  <w:vMerge w:val="continue"/>
                  <w:tcBorders>
                    <w:tl2br w:val="nil"/>
                    <w:tr2bl w:val="nil"/>
                  </w:tcBorders>
                  <w:vAlign w:val="center"/>
                </w:tcPr>
                <w:p w14:paraId="40B08A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top"/>
                    <w:rPr>
                      <w:rFonts w:hint="default" w:ascii="Times New Roman" w:hAnsi="Times New Roman" w:eastAsia="宋体" w:cs="Times New Roman"/>
                      <w:b w:val="0"/>
                      <w:bCs/>
                      <w:color w:val="auto"/>
                      <w:sz w:val="21"/>
                      <w:szCs w:val="21"/>
                      <w:vertAlign w:val="baseline"/>
                      <w:lang w:val="en-US" w:eastAsia="zh-CN"/>
                    </w:rPr>
                  </w:pPr>
                </w:p>
              </w:tc>
            </w:tr>
          </w:tbl>
          <w:p w14:paraId="2766CB4C">
            <w:pPr>
              <w:pStyle w:val="56"/>
              <w:spacing w:line="360" w:lineRule="auto"/>
              <w:ind w:right="13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根据工艺特性及</w:t>
            </w:r>
            <w:r>
              <w:rPr>
                <w:rFonts w:hint="eastAsia" w:ascii="Times New Roman" w:hAnsi="Times New Roman" w:eastAsia="宋体" w:cs="Times New Roman"/>
                <w:b w:val="0"/>
                <w:bCs/>
                <w:color w:val="auto"/>
                <w:sz w:val="24"/>
                <w:highlight w:val="none"/>
                <w:lang w:val="en-US" w:eastAsia="zh-CN"/>
              </w:rPr>
              <w:t>企业生产经验</w:t>
            </w:r>
            <w:r>
              <w:rPr>
                <w:rFonts w:hint="default"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Cs/>
                <w:color w:val="auto"/>
                <w:sz w:val="24"/>
                <w:highlight w:val="none"/>
              </w:rPr>
              <w:t>考虑</w:t>
            </w:r>
            <w:r>
              <w:rPr>
                <w:rFonts w:hint="eastAsia" w:ascii="Times New Roman" w:hAnsi="Times New Roman" w:eastAsia="宋体" w:cs="Times New Roman"/>
                <w:bCs/>
                <w:color w:val="auto"/>
                <w:sz w:val="24"/>
                <w:highlight w:val="none"/>
                <w:lang w:val="en-US" w:eastAsia="zh-CN"/>
              </w:rPr>
              <w:t>到</w:t>
            </w:r>
            <w:r>
              <w:rPr>
                <w:rFonts w:hint="default" w:ascii="Times New Roman" w:hAnsi="Times New Roman" w:eastAsia="宋体" w:cs="Times New Roman"/>
                <w:bCs/>
                <w:color w:val="auto"/>
                <w:sz w:val="24"/>
                <w:highlight w:val="none"/>
              </w:rPr>
              <w:t>塑料</w:t>
            </w:r>
            <w:r>
              <w:rPr>
                <w:rFonts w:hint="eastAsia" w:ascii="Times New Roman" w:hAnsi="Times New Roman" w:eastAsia="宋体" w:cs="Times New Roman"/>
                <w:bCs/>
                <w:color w:val="auto"/>
                <w:sz w:val="24"/>
                <w:highlight w:val="none"/>
                <w:lang w:val="en-US" w:eastAsia="zh-CN"/>
              </w:rPr>
              <w:t>膜</w:t>
            </w:r>
            <w:r>
              <w:rPr>
                <w:rFonts w:hint="default" w:ascii="Times New Roman" w:hAnsi="Times New Roman" w:eastAsia="宋体" w:cs="Times New Roman"/>
                <w:bCs/>
                <w:color w:val="auto"/>
                <w:sz w:val="24"/>
                <w:highlight w:val="none"/>
              </w:rPr>
              <w:t>表面</w:t>
            </w:r>
            <w:r>
              <w:rPr>
                <w:rFonts w:hint="eastAsia" w:ascii="Times New Roman" w:hAnsi="Times New Roman" w:eastAsia="宋体" w:cs="Times New Roman"/>
                <w:bCs/>
                <w:color w:val="auto"/>
                <w:sz w:val="24"/>
                <w:highlight w:val="none"/>
                <w:lang w:val="en-US" w:eastAsia="zh-CN"/>
              </w:rPr>
              <w:t>粘合剂的</w:t>
            </w:r>
            <w:r>
              <w:rPr>
                <w:rFonts w:hint="default" w:ascii="Times New Roman" w:hAnsi="Times New Roman" w:eastAsia="宋体" w:cs="Times New Roman"/>
                <w:bCs/>
                <w:color w:val="auto"/>
                <w:sz w:val="24"/>
                <w:highlight w:val="none"/>
              </w:rPr>
              <w:t>附着效率</w:t>
            </w: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油墨利用率取99%，同时</w:t>
            </w:r>
            <w:r>
              <w:rPr>
                <w:rFonts w:hint="eastAsia" w:ascii="Times New Roman" w:hAnsi="Times New Roman" w:eastAsia="宋体" w:cs="Times New Roman"/>
                <w:b w:val="0"/>
                <w:bCs/>
                <w:color w:val="auto"/>
                <w:sz w:val="24"/>
                <w:highlight w:val="none"/>
                <w:lang w:val="en-US" w:eastAsia="zh-CN"/>
              </w:rPr>
              <w:t>复合工序</w:t>
            </w:r>
            <w:r>
              <w:rPr>
                <w:rFonts w:hint="default" w:ascii="Times New Roman" w:hAnsi="Times New Roman" w:eastAsia="宋体" w:cs="Times New Roman"/>
                <w:b w:val="0"/>
                <w:bCs/>
                <w:color w:val="auto"/>
                <w:sz w:val="24"/>
                <w:highlight w:val="none"/>
                <w:lang w:val="en-US" w:eastAsia="zh-CN"/>
              </w:rPr>
              <w:t>存在不可避免的</w:t>
            </w:r>
            <w:r>
              <w:rPr>
                <w:rFonts w:hint="eastAsia" w:ascii="Times New Roman" w:hAnsi="Times New Roman" w:eastAsia="宋体" w:cs="Times New Roman"/>
                <w:b w:val="0"/>
                <w:bCs/>
                <w:color w:val="auto"/>
                <w:sz w:val="24"/>
                <w:highlight w:val="none"/>
                <w:lang w:val="en-US" w:eastAsia="zh-CN"/>
              </w:rPr>
              <w:t>原辅料</w:t>
            </w:r>
            <w:r>
              <w:rPr>
                <w:rFonts w:hint="default" w:ascii="Times New Roman" w:hAnsi="Times New Roman" w:eastAsia="宋体" w:cs="Times New Roman"/>
                <w:b w:val="0"/>
                <w:bCs/>
                <w:color w:val="auto"/>
                <w:sz w:val="24"/>
                <w:highlight w:val="none"/>
                <w:lang w:val="en-US" w:eastAsia="zh-CN"/>
              </w:rPr>
              <w:t>损耗（包括</w:t>
            </w:r>
            <w:r>
              <w:rPr>
                <w:rFonts w:hint="eastAsia" w:ascii="Times New Roman" w:hAnsi="Times New Roman" w:eastAsia="宋体" w:cs="Times New Roman"/>
                <w:b w:val="0"/>
                <w:bCs/>
                <w:color w:val="auto"/>
                <w:sz w:val="24"/>
                <w:highlight w:val="none"/>
                <w:lang w:val="en-US" w:eastAsia="zh-CN"/>
              </w:rPr>
              <w:t>仓储浪费</w:t>
            </w:r>
            <w:r>
              <w:rPr>
                <w:rFonts w:hint="default" w:ascii="Times New Roman" w:hAnsi="Times New Roman" w:eastAsia="宋体" w:cs="Times New Roman"/>
                <w:b w:val="0"/>
                <w:bCs/>
                <w:color w:val="auto"/>
                <w:sz w:val="24"/>
                <w:highlight w:val="none"/>
                <w:lang w:val="en-US" w:eastAsia="zh-CN"/>
              </w:rPr>
              <w:t>、设备挂壁等）</w:t>
            </w:r>
            <w:r>
              <w:rPr>
                <w:rFonts w:hint="eastAsia"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实际</w:t>
            </w:r>
            <w:r>
              <w:rPr>
                <w:rFonts w:hint="eastAsia" w:ascii="Times New Roman" w:hAnsi="Times New Roman" w:eastAsia="宋体" w:cs="Times New Roman"/>
                <w:b w:val="0"/>
                <w:bCs/>
                <w:color w:val="auto"/>
                <w:sz w:val="24"/>
                <w:highlight w:val="none"/>
                <w:lang w:val="en-US" w:eastAsia="zh-CN"/>
              </w:rPr>
              <w:t>原辅料用量需考虑</w:t>
            </w:r>
            <w:r>
              <w:rPr>
                <w:rFonts w:hint="default" w:ascii="Times New Roman" w:hAnsi="Times New Roman" w:eastAsia="宋体" w:cs="Times New Roman"/>
                <w:b w:val="0"/>
                <w:bCs/>
                <w:color w:val="auto"/>
                <w:sz w:val="24"/>
                <w:highlight w:val="none"/>
                <w:lang w:val="en-US" w:eastAsia="zh-CN"/>
              </w:rPr>
              <w:t>损耗，确保物料供应充足</w:t>
            </w:r>
            <w:r>
              <w:rPr>
                <w:rFonts w:hint="eastAsia"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由上表</w:t>
            </w:r>
            <w:r>
              <w:rPr>
                <w:rFonts w:hint="eastAsia" w:ascii="Times New Roman" w:hAnsi="Times New Roman" w:eastAsia="宋体" w:cs="Times New Roman"/>
                <w:b w:val="0"/>
                <w:bCs/>
                <w:color w:val="auto"/>
                <w:sz w:val="24"/>
                <w:highlight w:val="none"/>
                <w:lang w:val="en-US" w:eastAsia="zh-CN"/>
              </w:rPr>
              <w:t>计算用量</w:t>
            </w:r>
            <w:r>
              <w:rPr>
                <w:rFonts w:hint="default" w:ascii="Times New Roman" w:hAnsi="Times New Roman" w:eastAsia="宋体" w:cs="Times New Roman"/>
                <w:b w:val="0"/>
                <w:bCs/>
                <w:color w:val="auto"/>
                <w:sz w:val="24"/>
                <w:highlight w:val="none"/>
                <w:lang w:val="en-US" w:eastAsia="zh-CN"/>
              </w:rPr>
              <w:t>可知本项目</w:t>
            </w:r>
            <w:r>
              <w:rPr>
                <w:rFonts w:hint="eastAsia" w:ascii="Times New Roman" w:hAnsi="Times New Roman" w:eastAsia="宋体" w:cs="Times New Roman"/>
                <w:b w:val="0"/>
                <w:bCs/>
                <w:color w:val="auto"/>
                <w:sz w:val="24"/>
                <w:highlight w:val="none"/>
                <w:lang w:val="en-US" w:eastAsia="zh-CN"/>
              </w:rPr>
              <w:t>实际原辅料用量如下：双组份无溶剂聚氨酯粘合剂用量10t/a，</w:t>
            </w:r>
            <w:r>
              <w:rPr>
                <w:rFonts w:hint="default" w:ascii="Times New Roman" w:hAnsi="Times New Roman" w:eastAsia="宋体" w:cs="Times New Roman"/>
                <w:b w:val="0"/>
                <w:bCs/>
                <w:color w:val="auto"/>
                <w:sz w:val="24"/>
                <w:highlight w:val="none"/>
                <w:lang w:val="en-US" w:eastAsia="zh-CN"/>
              </w:rPr>
              <w:t>与产品的生产量相匹配。</w:t>
            </w:r>
          </w:p>
          <w:p w14:paraId="6107757F">
            <w:pPr>
              <w:pStyle w:val="56"/>
              <w:spacing w:line="360" w:lineRule="auto"/>
              <w:ind w:right="130"/>
              <w:jc w:val="left"/>
              <w:rPr>
                <w:rFonts w:hint="default"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6、主体及公辅工程</w:t>
            </w:r>
          </w:p>
          <w:p w14:paraId="4A1A9176">
            <w:pPr>
              <w:pStyle w:val="56"/>
              <w:spacing w:line="360" w:lineRule="auto"/>
              <w:ind w:right="130"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本项目主体、公用及辅助工程</w:t>
            </w:r>
            <w:r>
              <w:rPr>
                <w:rFonts w:hint="default" w:ascii="Times New Roman" w:hAnsi="Times New Roman" w:eastAsia="宋体" w:cs="Times New Roman"/>
                <w:color w:val="auto"/>
                <w:spacing w:val="-2"/>
                <w:sz w:val="24"/>
                <w:highlight w:val="none"/>
                <w:shd w:val="clear" w:color="auto" w:fill="auto"/>
                <w:lang w:val="en-US"/>
              </w:rPr>
              <w:t>组成详见表2-</w:t>
            </w:r>
            <w:r>
              <w:rPr>
                <w:rFonts w:hint="eastAsia" w:ascii="Times New Roman" w:hAnsi="Times New Roman" w:eastAsia="宋体" w:cs="Times New Roman"/>
                <w:color w:val="auto"/>
                <w:spacing w:val="-2"/>
                <w:sz w:val="24"/>
                <w:highlight w:val="none"/>
                <w:shd w:val="clear" w:color="auto" w:fill="auto"/>
                <w:lang w:val="en-US" w:eastAsia="zh-CN"/>
              </w:rPr>
              <w:t>9</w:t>
            </w:r>
            <w:r>
              <w:rPr>
                <w:rFonts w:hint="default" w:ascii="Times New Roman" w:hAnsi="Times New Roman" w:eastAsia="宋体" w:cs="Times New Roman"/>
                <w:color w:val="auto"/>
                <w:spacing w:val="-2"/>
                <w:sz w:val="24"/>
                <w:highlight w:val="none"/>
                <w:shd w:val="clear" w:color="auto" w:fill="auto"/>
                <w:lang w:val="en-US"/>
              </w:rPr>
              <w:t>。</w:t>
            </w:r>
          </w:p>
          <w:p w14:paraId="5A42EF0C">
            <w:pPr>
              <w:jc w:val="center"/>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rPr>
              <w:t>表2-</w:t>
            </w:r>
            <w:r>
              <w:rPr>
                <w:rFonts w:hint="eastAsia" w:ascii="Times New Roman" w:hAnsi="Times New Roman" w:eastAsia="宋体" w:cs="Times New Roman"/>
                <w:b/>
                <w:color w:val="auto"/>
                <w:sz w:val="24"/>
                <w:highlight w:val="none"/>
                <w:shd w:val="clear" w:color="auto" w:fill="auto"/>
                <w:lang w:val="en-US" w:eastAsia="zh-CN"/>
              </w:rPr>
              <w:t>9</w:t>
            </w:r>
            <w:r>
              <w:rPr>
                <w:rFonts w:hint="default" w:ascii="Times New Roman" w:hAnsi="Times New Roman" w:eastAsia="宋体" w:cs="Times New Roman"/>
                <w:b/>
                <w:color w:val="auto"/>
                <w:sz w:val="24"/>
                <w:highlight w:val="none"/>
                <w:shd w:val="clear" w:color="auto" w:fill="auto"/>
                <w:lang w:val="en-US"/>
              </w:rPr>
              <w:t xml:space="preserve">  项目主体、公用、辅助及环保工程情况表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0"/>
              <w:gridCol w:w="915"/>
              <w:gridCol w:w="789"/>
              <w:gridCol w:w="1677"/>
              <w:gridCol w:w="1603"/>
              <w:gridCol w:w="2107"/>
              <w:gridCol w:w="687"/>
            </w:tblGrid>
            <w:tr w14:paraId="3BF2A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46" w:type="pct"/>
                  <w:vMerge w:val="restart"/>
                  <w:tcBorders>
                    <w:tl2br w:val="nil"/>
                    <w:tr2bl w:val="nil"/>
                  </w:tcBorders>
                  <w:vAlign w:val="center"/>
                </w:tcPr>
                <w:p w14:paraId="0B7C8F16">
                  <w:pPr>
                    <w:jc w:val="center"/>
                    <w:rPr>
                      <w:rFonts w:hint="default" w:ascii="Times New Roman" w:hAnsi="Times New Roman" w:eastAsia="宋体" w:cs="Times New Roman"/>
                      <w:b/>
                      <w:color w:val="auto"/>
                      <w:szCs w:val="21"/>
                      <w:highlight w:val="none"/>
                      <w:shd w:val="clear" w:color="auto" w:fill="auto"/>
                      <w:lang w:val="en-US"/>
                    </w:rPr>
                  </w:pPr>
                  <w:r>
                    <w:rPr>
                      <w:rFonts w:hint="default" w:ascii="Times New Roman" w:hAnsi="Times New Roman" w:eastAsia="宋体" w:cs="Times New Roman"/>
                      <w:b/>
                      <w:color w:val="auto"/>
                      <w:szCs w:val="21"/>
                      <w:highlight w:val="none"/>
                      <w:shd w:val="clear" w:color="auto" w:fill="auto"/>
                      <w:lang w:val="en-US"/>
                    </w:rPr>
                    <w:t>类别</w:t>
                  </w:r>
                </w:p>
              </w:tc>
              <w:tc>
                <w:tcPr>
                  <w:tcW w:w="1019" w:type="pct"/>
                  <w:gridSpan w:val="2"/>
                  <w:vMerge w:val="restart"/>
                  <w:tcBorders>
                    <w:tl2br w:val="nil"/>
                    <w:tr2bl w:val="nil"/>
                  </w:tcBorders>
                  <w:vAlign w:val="center"/>
                </w:tcPr>
                <w:p w14:paraId="3E15A9A1">
                  <w:pPr>
                    <w:jc w:val="center"/>
                    <w:rPr>
                      <w:rFonts w:hint="default" w:ascii="Times New Roman" w:hAnsi="Times New Roman" w:eastAsia="宋体" w:cs="Times New Roman"/>
                      <w:b/>
                      <w:color w:val="auto"/>
                      <w:szCs w:val="21"/>
                      <w:highlight w:val="none"/>
                      <w:shd w:val="clear" w:color="auto" w:fill="auto"/>
                      <w:lang w:val="en-US"/>
                    </w:rPr>
                  </w:pPr>
                  <w:r>
                    <w:rPr>
                      <w:rFonts w:hint="default" w:ascii="Times New Roman" w:hAnsi="Times New Roman" w:eastAsia="宋体" w:cs="Times New Roman"/>
                      <w:b/>
                      <w:color w:val="auto"/>
                      <w:szCs w:val="21"/>
                      <w:highlight w:val="none"/>
                      <w:shd w:val="clear" w:color="auto" w:fill="auto"/>
                      <w:lang w:val="en-US"/>
                    </w:rPr>
                    <w:t>建设名称</w:t>
                  </w:r>
                </w:p>
              </w:tc>
              <w:tc>
                <w:tcPr>
                  <w:tcW w:w="1962" w:type="pct"/>
                  <w:gridSpan w:val="2"/>
                  <w:tcBorders>
                    <w:tl2br w:val="nil"/>
                    <w:tr2bl w:val="nil"/>
                  </w:tcBorders>
                  <w:vAlign w:val="center"/>
                </w:tcPr>
                <w:p w14:paraId="2D53E49B">
                  <w:pPr>
                    <w:jc w:val="center"/>
                    <w:rPr>
                      <w:rFonts w:hint="default" w:ascii="Times New Roman" w:hAnsi="Times New Roman" w:eastAsia="宋体" w:cs="Times New Roman"/>
                      <w:b/>
                      <w:color w:val="auto"/>
                      <w:szCs w:val="21"/>
                      <w:highlight w:val="none"/>
                      <w:shd w:val="clear" w:color="auto" w:fill="auto"/>
                      <w:lang w:val="en-US"/>
                    </w:rPr>
                  </w:pPr>
                  <w:r>
                    <w:rPr>
                      <w:rFonts w:hint="default" w:ascii="Times New Roman" w:hAnsi="Times New Roman" w:eastAsia="宋体" w:cs="Times New Roman"/>
                      <w:b/>
                      <w:color w:val="auto"/>
                      <w:szCs w:val="21"/>
                      <w:highlight w:val="none"/>
                      <w:shd w:val="clear" w:color="auto" w:fill="auto"/>
                      <w:lang w:val="en-US"/>
                    </w:rPr>
                    <w:t>设计能力</w:t>
                  </w:r>
                </w:p>
              </w:tc>
              <w:tc>
                <w:tcPr>
                  <w:tcW w:w="1260" w:type="pct"/>
                  <w:vMerge w:val="restart"/>
                  <w:tcBorders>
                    <w:tl2br w:val="nil"/>
                    <w:tr2bl w:val="nil"/>
                  </w:tcBorders>
                  <w:vAlign w:val="center"/>
                </w:tcPr>
                <w:p w14:paraId="7B2EF143">
                  <w:pPr>
                    <w:jc w:val="center"/>
                    <w:rPr>
                      <w:rFonts w:hint="default" w:ascii="Times New Roman" w:hAnsi="Times New Roman" w:eastAsia="宋体" w:cs="Times New Roman"/>
                      <w:b/>
                      <w:color w:val="auto"/>
                      <w:szCs w:val="21"/>
                      <w:highlight w:val="none"/>
                      <w:shd w:val="clear" w:color="auto" w:fill="auto"/>
                      <w:lang w:val="en-US" w:eastAsia="zh-CN"/>
                    </w:rPr>
                  </w:pPr>
                  <w:r>
                    <w:rPr>
                      <w:rFonts w:hint="default" w:ascii="Times New Roman" w:hAnsi="Times New Roman" w:eastAsia="宋体" w:cs="Times New Roman"/>
                      <w:b/>
                      <w:color w:val="auto"/>
                      <w:szCs w:val="21"/>
                      <w:highlight w:val="none"/>
                      <w:shd w:val="clear" w:color="auto" w:fill="auto"/>
                      <w:lang w:val="en-US" w:eastAsia="zh-CN"/>
                    </w:rPr>
                    <w:t>工程内容</w:t>
                  </w:r>
                </w:p>
              </w:tc>
              <w:tc>
                <w:tcPr>
                  <w:tcW w:w="410" w:type="pct"/>
                  <w:vMerge w:val="restart"/>
                  <w:tcBorders>
                    <w:tl2br w:val="nil"/>
                    <w:tr2bl w:val="nil"/>
                  </w:tcBorders>
                  <w:vAlign w:val="center"/>
                </w:tcPr>
                <w:p w14:paraId="01466F83">
                  <w:pPr>
                    <w:jc w:val="center"/>
                    <w:rPr>
                      <w:rFonts w:hint="default" w:ascii="Times New Roman" w:hAnsi="Times New Roman" w:eastAsia="宋体" w:cs="Times New Roman"/>
                      <w:b/>
                      <w:color w:val="auto"/>
                      <w:szCs w:val="21"/>
                      <w:highlight w:val="none"/>
                      <w:shd w:val="clear" w:color="auto" w:fill="auto"/>
                      <w:lang w:val="en-US"/>
                    </w:rPr>
                  </w:pPr>
                  <w:r>
                    <w:rPr>
                      <w:rFonts w:hint="default" w:ascii="Times New Roman" w:hAnsi="Times New Roman" w:eastAsia="宋体" w:cs="Times New Roman"/>
                      <w:b/>
                      <w:color w:val="auto"/>
                      <w:szCs w:val="21"/>
                      <w:highlight w:val="none"/>
                      <w:shd w:val="clear" w:color="auto" w:fill="auto"/>
                      <w:lang w:val="en-US"/>
                    </w:rPr>
                    <w:t>备注</w:t>
                  </w:r>
                </w:p>
              </w:tc>
            </w:tr>
            <w:tr w14:paraId="0C9F0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46" w:type="pct"/>
                  <w:vMerge w:val="continue"/>
                  <w:tcBorders>
                    <w:tl2br w:val="nil"/>
                    <w:tr2bl w:val="nil"/>
                  </w:tcBorders>
                  <w:vAlign w:val="center"/>
                </w:tcPr>
                <w:p w14:paraId="20EC2C86">
                  <w:pPr>
                    <w:jc w:val="center"/>
                    <w:rPr>
                      <w:color w:val="auto"/>
                    </w:rPr>
                  </w:pPr>
                </w:p>
              </w:tc>
              <w:tc>
                <w:tcPr>
                  <w:tcW w:w="1019" w:type="pct"/>
                  <w:gridSpan w:val="2"/>
                  <w:vMerge w:val="continue"/>
                  <w:tcBorders>
                    <w:tl2br w:val="nil"/>
                    <w:tr2bl w:val="nil"/>
                  </w:tcBorders>
                  <w:vAlign w:val="center"/>
                </w:tcPr>
                <w:p w14:paraId="682442F1">
                  <w:pPr>
                    <w:jc w:val="center"/>
                    <w:rPr>
                      <w:color w:val="auto"/>
                    </w:rPr>
                  </w:pPr>
                </w:p>
              </w:tc>
              <w:tc>
                <w:tcPr>
                  <w:tcW w:w="1003" w:type="pct"/>
                  <w:tcBorders>
                    <w:tl2br w:val="nil"/>
                    <w:tr2bl w:val="nil"/>
                  </w:tcBorders>
                  <w:vAlign w:val="center"/>
                </w:tcPr>
                <w:p w14:paraId="43E1252F">
                  <w:pPr>
                    <w:jc w:val="center"/>
                    <w:rPr>
                      <w:rFonts w:hint="eastAsia" w:ascii="Times New Roman" w:hAnsi="Times New Roman" w:eastAsia="宋体" w:cs="Times New Roman"/>
                      <w:b/>
                      <w:color w:val="auto"/>
                      <w:szCs w:val="21"/>
                      <w:highlight w:val="none"/>
                      <w:shd w:val="clear" w:color="auto" w:fill="auto"/>
                      <w:lang w:val="en-US" w:eastAsia="zh-CN"/>
                    </w:rPr>
                  </w:pPr>
                  <w:r>
                    <w:rPr>
                      <w:rFonts w:hint="eastAsia" w:ascii="Times New Roman" w:hAnsi="Times New Roman" w:eastAsia="宋体" w:cs="Times New Roman"/>
                      <w:b/>
                      <w:color w:val="auto"/>
                      <w:szCs w:val="21"/>
                      <w:highlight w:val="none"/>
                      <w:shd w:val="clear" w:color="auto" w:fill="auto"/>
                      <w:lang w:val="en-US" w:eastAsia="zh-CN"/>
                    </w:rPr>
                    <w:t>搬迁前</w:t>
                  </w:r>
                </w:p>
              </w:tc>
              <w:tc>
                <w:tcPr>
                  <w:tcW w:w="958" w:type="pct"/>
                  <w:tcBorders>
                    <w:tl2br w:val="nil"/>
                    <w:tr2bl w:val="nil"/>
                  </w:tcBorders>
                  <w:vAlign w:val="center"/>
                </w:tcPr>
                <w:p w14:paraId="5EC5DB52">
                  <w:pPr>
                    <w:jc w:val="center"/>
                    <w:rPr>
                      <w:rFonts w:hint="eastAsia" w:ascii="Times New Roman" w:hAnsi="Times New Roman" w:eastAsia="宋体" w:cs="Times New Roman"/>
                      <w:b/>
                      <w:color w:val="auto"/>
                      <w:szCs w:val="21"/>
                      <w:highlight w:val="none"/>
                      <w:shd w:val="clear" w:color="auto" w:fill="auto"/>
                      <w:lang w:val="en-US" w:eastAsia="zh-CN"/>
                    </w:rPr>
                  </w:pPr>
                  <w:r>
                    <w:rPr>
                      <w:rFonts w:hint="eastAsia" w:ascii="Times New Roman" w:hAnsi="Times New Roman" w:eastAsia="宋体" w:cs="Times New Roman"/>
                      <w:b/>
                      <w:color w:val="auto"/>
                      <w:szCs w:val="21"/>
                      <w:highlight w:val="none"/>
                      <w:shd w:val="clear" w:color="auto" w:fill="auto"/>
                      <w:lang w:val="en-US" w:eastAsia="zh-CN"/>
                    </w:rPr>
                    <w:t>搬迁后</w:t>
                  </w:r>
                </w:p>
              </w:tc>
              <w:tc>
                <w:tcPr>
                  <w:tcW w:w="1260" w:type="pct"/>
                  <w:vMerge w:val="continue"/>
                  <w:tcBorders>
                    <w:tl2br w:val="nil"/>
                    <w:tr2bl w:val="nil"/>
                  </w:tcBorders>
                  <w:vAlign w:val="center"/>
                </w:tcPr>
                <w:p w14:paraId="38D7937D">
                  <w:pPr>
                    <w:jc w:val="center"/>
                    <w:rPr>
                      <w:rFonts w:hint="default" w:ascii="Times New Roman" w:hAnsi="Times New Roman" w:eastAsia="宋体" w:cs="Times New Roman"/>
                      <w:b/>
                      <w:color w:val="auto"/>
                      <w:szCs w:val="21"/>
                      <w:highlight w:val="none"/>
                      <w:shd w:val="clear" w:color="auto" w:fill="auto"/>
                      <w:lang w:val="en-US"/>
                    </w:rPr>
                  </w:pPr>
                </w:p>
              </w:tc>
              <w:tc>
                <w:tcPr>
                  <w:tcW w:w="410" w:type="pct"/>
                  <w:vMerge w:val="continue"/>
                  <w:tcBorders>
                    <w:tl2br w:val="nil"/>
                    <w:tr2bl w:val="nil"/>
                  </w:tcBorders>
                  <w:vAlign w:val="center"/>
                </w:tcPr>
                <w:p w14:paraId="76841CB1">
                  <w:pPr>
                    <w:jc w:val="center"/>
                    <w:rPr>
                      <w:rFonts w:hint="default" w:ascii="Times New Roman" w:hAnsi="Times New Roman" w:eastAsia="宋体" w:cs="Times New Roman"/>
                      <w:b/>
                      <w:color w:val="auto"/>
                      <w:szCs w:val="21"/>
                      <w:highlight w:val="none"/>
                      <w:shd w:val="clear" w:color="auto" w:fill="auto"/>
                      <w:lang w:val="en-US"/>
                    </w:rPr>
                  </w:pPr>
                </w:p>
              </w:tc>
            </w:tr>
            <w:tr w14:paraId="0F70C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46" w:type="pct"/>
                  <w:vMerge w:val="restart"/>
                  <w:tcBorders>
                    <w:tl2br w:val="nil"/>
                    <w:tr2bl w:val="nil"/>
                  </w:tcBorders>
                  <w:vAlign w:val="center"/>
                </w:tcPr>
                <w:p w14:paraId="21C0DBFA">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主体工程</w:t>
                  </w:r>
                </w:p>
              </w:tc>
              <w:tc>
                <w:tcPr>
                  <w:tcW w:w="1019" w:type="pct"/>
                  <w:gridSpan w:val="2"/>
                  <w:tcBorders>
                    <w:tl2br w:val="nil"/>
                    <w:tr2bl w:val="nil"/>
                  </w:tcBorders>
                  <w:vAlign w:val="center"/>
                </w:tcPr>
                <w:p w14:paraId="25114579">
                  <w:pPr>
                    <w:jc w:val="center"/>
                    <w:rPr>
                      <w:rFonts w:hint="eastAsia"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rPr>
                    <w:t>生产车间</w:t>
                  </w:r>
                </w:p>
              </w:tc>
              <w:tc>
                <w:tcPr>
                  <w:tcW w:w="1003" w:type="pct"/>
                  <w:tcBorders>
                    <w:tl2br w:val="nil"/>
                    <w:tr2bl w:val="nil"/>
                  </w:tcBorders>
                  <w:vAlign w:val="center"/>
                </w:tcPr>
                <w:p w14:paraId="0CADD0A9">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eastAsia="zh-CN"/>
                    </w:rPr>
                    <w:t>建筑面积约</w:t>
                  </w:r>
                  <w:r>
                    <w:rPr>
                      <w:rFonts w:hint="eastAsia" w:ascii="Times New Roman" w:hAnsi="Times New Roman" w:eastAsia="宋体" w:cs="Times New Roman"/>
                      <w:color w:val="auto"/>
                      <w:szCs w:val="21"/>
                      <w:highlight w:val="none"/>
                      <w:shd w:val="clear" w:color="auto" w:fill="auto"/>
                      <w:lang w:val="en-US" w:eastAsia="zh-CN"/>
                    </w:rPr>
                    <w:t>4400</w:t>
                  </w:r>
                  <w:r>
                    <w:rPr>
                      <w:rFonts w:hint="default" w:ascii="Times New Roman" w:hAnsi="Times New Roman" w:eastAsia="宋体" w:cs="Times New Roman"/>
                      <w:color w:val="auto"/>
                      <w:szCs w:val="21"/>
                      <w:highlight w:val="none"/>
                      <w:shd w:val="clear" w:color="auto" w:fill="auto"/>
                      <w:lang w:val="en-US" w:eastAsia="zh-CN"/>
                    </w:rPr>
                    <w:t>m</w:t>
                  </w:r>
                  <w:r>
                    <w:rPr>
                      <w:rFonts w:hint="default" w:ascii="Times New Roman" w:hAnsi="Times New Roman" w:eastAsia="宋体" w:cs="Times New Roman"/>
                      <w:color w:val="auto"/>
                      <w:szCs w:val="21"/>
                      <w:highlight w:val="none"/>
                      <w:shd w:val="clear" w:color="auto" w:fill="auto"/>
                      <w:vertAlign w:val="superscript"/>
                      <w:lang w:val="en-US"/>
                    </w:rPr>
                    <w:t>2</w:t>
                  </w:r>
                </w:p>
              </w:tc>
              <w:tc>
                <w:tcPr>
                  <w:tcW w:w="958" w:type="pct"/>
                  <w:tcBorders>
                    <w:tl2br w:val="nil"/>
                    <w:tr2bl w:val="nil"/>
                  </w:tcBorders>
                  <w:shd w:val="clear" w:color="auto" w:fill="auto"/>
                  <w:vAlign w:val="center"/>
                </w:tcPr>
                <w:p w14:paraId="191172E5">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建筑面积约</w:t>
                  </w:r>
                  <w:r>
                    <w:rPr>
                      <w:rFonts w:hint="eastAsia" w:ascii="Times New Roman" w:hAnsi="Times New Roman" w:eastAsia="宋体" w:cs="Times New Roman"/>
                      <w:color w:val="auto"/>
                      <w:szCs w:val="21"/>
                      <w:highlight w:val="none"/>
                      <w:shd w:val="clear" w:color="auto" w:fill="auto"/>
                      <w:lang w:val="en-US" w:eastAsia="zh-CN"/>
                    </w:rPr>
                    <w:t>4500</w:t>
                  </w:r>
                  <w:r>
                    <w:rPr>
                      <w:rFonts w:hint="default" w:ascii="Times New Roman" w:hAnsi="Times New Roman" w:eastAsia="宋体" w:cs="Times New Roman"/>
                      <w:color w:val="auto"/>
                      <w:szCs w:val="21"/>
                      <w:highlight w:val="none"/>
                      <w:shd w:val="clear" w:color="auto" w:fill="auto"/>
                      <w:lang w:val="en-US" w:eastAsia="zh-CN"/>
                    </w:rPr>
                    <w:t>m</w:t>
                  </w:r>
                  <w:r>
                    <w:rPr>
                      <w:rFonts w:hint="default" w:ascii="Times New Roman" w:hAnsi="Times New Roman" w:eastAsia="宋体" w:cs="Times New Roman"/>
                      <w:color w:val="auto"/>
                      <w:szCs w:val="21"/>
                      <w:highlight w:val="none"/>
                      <w:shd w:val="clear" w:color="auto" w:fill="auto"/>
                      <w:vertAlign w:val="superscript"/>
                      <w:lang w:val="en-US"/>
                    </w:rPr>
                    <w:t>2</w:t>
                  </w:r>
                </w:p>
              </w:tc>
              <w:tc>
                <w:tcPr>
                  <w:tcW w:w="1260" w:type="pct"/>
                  <w:tcBorders>
                    <w:tl2br w:val="nil"/>
                    <w:tr2bl w:val="nil"/>
                  </w:tcBorders>
                  <w:vAlign w:val="center"/>
                </w:tcPr>
                <w:p w14:paraId="53A1A419">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一层</w:t>
                  </w:r>
                  <w:r>
                    <w:rPr>
                      <w:rFonts w:hint="default" w:ascii="Times New Roman" w:hAnsi="Times New Roman" w:eastAsia="宋体" w:cs="Times New Roman"/>
                      <w:color w:val="auto"/>
                      <w:szCs w:val="21"/>
                      <w:highlight w:val="none"/>
                      <w:shd w:val="clear" w:color="auto" w:fill="auto"/>
                      <w:lang w:val="en-US" w:eastAsia="zh-CN"/>
                    </w:rPr>
                    <w:t>包括</w:t>
                  </w:r>
                  <w:r>
                    <w:rPr>
                      <w:rFonts w:hint="eastAsia" w:ascii="Times New Roman" w:hAnsi="Times New Roman" w:eastAsia="宋体" w:cs="Times New Roman"/>
                      <w:color w:val="auto"/>
                      <w:szCs w:val="21"/>
                      <w:highlight w:val="none"/>
                      <w:shd w:val="clear" w:color="auto" w:fill="auto"/>
                      <w:lang w:val="en-US" w:eastAsia="zh-CN"/>
                    </w:rPr>
                    <w:t>洁净车间一、洁净车间二、破碎区、化学品仓库、油墨间、危废仓库、一般固废仓库；二层包括原料堆放区、成品堆放区</w:t>
                  </w:r>
                </w:p>
              </w:tc>
              <w:tc>
                <w:tcPr>
                  <w:tcW w:w="410" w:type="pct"/>
                  <w:vMerge w:val="restart"/>
                  <w:tcBorders>
                    <w:tl2br w:val="nil"/>
                    <w:tr2bl w:val="nil"/>
                  </w:tcBorders>
                  <w:vAlign w:val="center"/>
                </w:tcPr>
                <w:p w14:paraId="12525CE3">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依托现有空置厂房</w:t>
                  </w:r>
                </w:p>
              </w:tc>
            </w:tr>
            <w:tr w14:paraId="074EF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46" w:type="pct"/>
                  <w:vMerge w:val="continue"/>
                  <w:tcBorders>
                    <w:tl2br w:val="nil"/>
                    <w:tr2bl w:val="nil"/>
                  </w:tcBorders>
                  <w:vAlign w:val="center"/>
                </w:tcPr>
                <w:p w14:paraId="76E6FFF8">
                  <w:pPr>
                    <w:jc w:val="center"/>
                    <w:rPr>
                      <w:rFonts w:hint="default" w:ascii="Times New Roman" w:hAnsi="Times New Roman" w:eastAsia="宋体" w:cs="Times New Roman"/>
                      <w:color w:val="auto"/>
                      <w:szCs w:val="21"/>
                      <w:highlight w:val="none"/>
                      <w:shd w:val="clear" w:color="auto" w:fill="auto"/>
                      <w:lang w:val="en-US"/>
                    </w:rPr>
                  </w:pPr>
                </w:p>
              </w:tc>
              <w:tc>
                <w:tcPr>
                  <w:tcW w:w="1019" w:type="pct"/>
                  <w:gridSpan w:val="2"/>
                  <w:tcBorders>
                    <w:tl2br w:val="nil"/>
                    <w:tr2bl w:val="nil"/>
                  </w:tcBorders>
                  <w:vAlign w:val="center"/>
                </w:tcPr>
                <w:p w14:paraId="139BBB48">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洁净车间一</w:t>
                  </w:r>
                </w:p>
              </w:tc>
              <w:tc>
                <w:tcPr>
                  <w:tcW w:w="1003" w:type="pct"/>
                  <w:tcBorders>
                    <w:tl2br w:val="nil"/>
                    <w:tr2bl w:val="nil"/>
                  </w:tcBorders>
                  <w:vAlign w:val="center"/>
                </w:tcPr>
                <w:p w14:paraId="0985F68D">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w:t>
                  </w:r>
                </w:p>
              </w:tc>
              <w:tc>
                <w:tcPr>
                  <w:tcW w:w="958" w:type="pct"/>
                  <w:tcBorders>
                    <w:tl2br w:val="nil"/>
                    <w:tr2bl w:val="nil"/>
                  </w:tcBorders>
                  <w:shd w:val="clear" w:color="auto" w:fill="auto"/>
                  <w:vAlign w:val="center"/>
                </w:tcPr>
                <w:p w14:paraId="0056D46C">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长72m宽12m高4m</w:t>
                  </w:r>
                </w:p>
              </w:tc>
              <w:tc>
                <w:tcPr>
                  <w:tcW w:w="1260" w:type="pct"/>
                  <w:tcBorders>
                    <w:tl2br w:val="nil"/>
                    <w:tr2bl w:val="nil"/>
                  </w:tcBorders>
                  <w:vAlign w:val="center"/>
                </w:tcPr>
                <w:p w14:paraId="5A56E1CE">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位于生产车间一层，包括印刷区、复合区、熟化区、分切区、包装区、检验室</w:t>
                  </w:r>
                </w:p>
              </w:tc>
              <w:tc>
                <w:tcPr>
                  <w:tcW w:w="410" w:type="pct"/>
                  <w:vMerge w:val="continue"/>
                  <w:tcBorders>
                    <w:tl2br w:val="nil"/>
                    <w:tr2bl w:val="nil"/>
                  </w:tcBorders>
                  <w:vAlign w:val="center"/>
                </w:tcPr>
                <w:p w14:paraId="2D89B6FD">
                  <w:pPr>
                    <w:jc w:val="center"/>
                    <w:rPr>
                      <w:rFonts w:hint="eastAsia" w:ascii="Times New Roman" w:hAnsi="Times New Roman" w:eastAsia="宋体" w:cs="Times New Roman"/>
                      <w:color w:val="auto"/>
                      <w:szCs w:val="21"/>
                      <w:highlight w:val="none"/>
                      <w:shd w:val="clear" w:color="auto" w:fill="auto"/>
                      <w:lang w:val="en-US" w:eastAsia="zh-CN"/>
                    </w:rPr>
                  </w:pPr>
                </w:p>
              </w:tc>
            </w:tr>
            <w:tr w14:paraId="5F5922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46" w:type="pct"/>
                  <w:vMerge w:val="continue"/>
                  <w:tcBorders>
                    <w:tl2br w:val="nil"/>
                    <w:tr2bl w:val="nil"/>
                  </w:tcBorders>
                  <w:vAlign w:val="center"/>
                </w:tcPr>
                <w:p w14:paraId="77698A05">
                  <w:pPr>
                    <w:jc w:val="center"/>
                    <w:rPr>
                      <w:rFonts w:hint="default" w:ascii="Times New Roman" w:hAnsi="Times New Roman" w:eastAsia="宋体" w:cs="Times New Roman"/>
                      <w:color w:val="auto"/>
                      <w:szCs w:val="21"/>
                      <w:highlight w:val="none"/>
                      <w:shd w:val="clear" w:color="auto" w:fill="auto"/>
                      <w:lang w:val="en-US"/>
                    </w:rPr>
                  </w:pPr>
                </w:p>
              </w:tc>
              <w:tc>
                <w:tcPr>
                  <w:tcW w:w="1019" w:type="pct"/>
                  <w:gridSpan w:val="2"/>
                  <w:tcBorders>
                    <w:tl2br w:val="nil"/>
                    <w:tr2bl w:val="nil"/>
                  </w:tcBorders>
                  <w:vAlign w:val="center"/>
                </w:tcPr>
                <w:p w14:paraId="00E6B210">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洁净车间二</w:t>
                  </w:r>
                </w:p>
              </w:tc>
              <w:tc>
                <w:tcPr>
                  <w:tcW w:w="1003" w:type="pct"/>
                  <w:tcBorders>
                    <w:tl2br w:val="nil"/>
                    <w:tr2bl w:val="nil"/>
                  </w:tcBorders>
                  <w:shd w:val="clear" w:color="auto" w:fill="auto"/>
                  <w:vAlign w:val="center"/>
                </w:tcPr>
                <w:p w14:paraId="60BF5B18">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958" w:type="pct"/>
                  <w:tcBorders>
                    <w:tl2br w:val="nil"/>
                    <w:tr2bl w:val="nil"/>
                  </w:tcBorders>
                  <w:shd w:val="clear" w:color="auto" w:fill="auto"/>
                  <w:vAlign w:val="center"/>
                </w:tcPr>
                <w:p w14:paraId="06C9AAF4">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长50m宽12m高4m</w:t>
                  </w:r>
                </w:p>
              </w:tc>
              <w:tc>
                <w:tcPr>
                  <w:tcW w:w="1260" w:type="pct"/>
                  <w:tcBorders>
                    <w:tl2br w:val="nil"/>
                    <w:tr2bl w:val="nil"/>
                  </w:tcBorders>
                  <w:shd w:val="clear" w:color="auto" w:fill="auto"/>
                  <w:vAlign w:val="center"/>
                </w:tcPr>
                <w:p w14:paraId="0E7C2C7B">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位于生产车间一层，包括制袋区、吹膜区、混料区</w:t>
                  </w:r>
                </w:p>
              </w:tc>
              <w:tc>
                <w:tcPr>
                  <w:tcW w:w="410" w:type="pct"/>
                  <w:vMerge w:val="continue"/>
                  <w:tcBorders>
                    <w:tl2br w:val="nil"/>
                    <w:tr2bl w:val="nil"/>
                  </w:tcBorders>
                  <w:vAlign w:val="center"/>
                </w:tcPr>
                <w:p w14:paraId="7EFEE2F1">
                  <w:pPr>
                    <w:jc w:val="center"/>
                    <w:rPr>
                      <w:rFonts w:hint="eastAsia" w:ascii="Times New Roman" w:hAnsi="Times New Roman" w:eastAsia="宋体" w:cs="Times New Roman"/>
                      <w:color w:val="auto"/>
                      <w:szCs w:val="21"/>
                      <w:highlight w:val="none"/>
                      <w:shd w:val="clear" w:color="auto" w:fill="auto"/>
                      <w:lang w:val="en-US" w:eastAsia="zh-CN"/>
                    </w:rPr>
                  </w:pPr>
                </w:p>
              </w:tc>
            </w:tr>
            <w:tr w14:paraId="5C20E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vMerge w:val="restart"/>
                  <w:tcBorders>
                    <w:tl2br w:val="nil"/>
                    <w:tr2bl w:val="nil"/>
                  </w:tcBorders>
                  <w:vAlign w:val="center"/>
                </w:tcPr>
                <w:p w14:paraId="67907F88">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贮运工程</w:t>
                  </w:r>
                </w:p>
              </w:tc>
              <w:tc>
                <w:tcPr>
                  <w:tcW w:w="1019" w:type="pct"/>
                  <w:gridSpan w:val="2"/>
                  <w:tcBorders>
                    <w:tl2br w:val="nil"/>
                    <w:tr2bl w:val="nil"/>
                  </w:tcBorders>
                  <w:vAlign w:val="center"/>
                </w:tcPr>
                <w:p w14:paraId="6E2EFC4E">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化学品</w:t>
                  </w:r>
                  <w:r>
                    <w:rPr>
                      <w:rFonts w:hint="default" w:ascii="Times New Roman" w:hAnsi="Times New Roman" w:eastAsia="宋体" w:cs="Times New Roman"/>
                      <w:color w:val="auto"/>
                      <w:szCs w:val="21"/>
                      <w:highlight w:val="none"/>
                      <w:shd w:val="clear" w:color="auto" w:fill="auto"/>
                      <w:lang w:val="en-US" w:eastAsia="zh-CN"/>
                    </w:rPr>
                    <w:t>仓库</w:t>
                  </w:r>
                </w:p>
              </w:tc>
              <w:tc>
                <w:tcPr>
                  <w:tcW w:w="1003" w:type="pct"/>
                  <w:tcBorders>
                    <w:tl2br w:val="nil"/>
                    <w:tr2bl w:val="nil"/>
                  </w:tcBorders>
                  <w:vAlign w:val="center"/>
                </w:tcPr>
                <w:p w14:paraId="0358539C">
                  <w:pPr>
                    <w:jc w:val="center"/>
                    <w:rPr>
                      <w:rFonts w:hint="eastAsia"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w:t>
                  </w:r>
                </w:p>
              </w:tc>
              <w:tc>
                <w:tcPr>
                  <w:tcW w:w="958" w:type="pct"/>
                  <w:tcBorders>
                    <w:tl2br w:val="nil"/>
                    <w:tr2bl w:val="nil"/>
                  </w:tcBorders>
                  <w:shd w:val="clear" w:color="auto" w:fill="auto"/>
                  <w:vAlign w:val="center"/>
                </w:tcPr>
                <w:p w14:paraId="6C1D002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建筑面积约</w:t>
                  </w:r>
                  <w:r>
                    <w:rPr>
                      <w:rFonts w:hint="eastAsia" w:ascii="Times New Roman" w:hAnsi="Times New Roman" w:eastAsia="宋体" w:cs="Times New Roman"/>
                      <w:color w:val="auto"/>
                      <w:szCs w:val="21"/>
                      <w:highlight w:val="none"/>
                      <w:shd w:val="clear" w:color="auto" w:fill="auto"/>
                      <w:lang w:val="en-US" w:eastAsia="zh-CN"/>
                    </w:rPr>
                    <w:t>3</w:t>
                  </w:r>
                  <w:r>
                    <w:rPr>
                      <w:rFonts w:hint="default" w:ascii="Times New Roman" w:hAnsi="Times New Roman" w:eastAsia="宋体" w:cs="Times New Roman"/>
                      <w:color w:val="auto"/>
                      <w:szCs w:val="21"/>
                      <w:highlight w:val="none"/>
                      <w:shd w:val="clear" w:color="auto" w:fill="auto"/>
                      <w:lang w:val="en-US" w:eastAsia="zh-CN"/>
                    </w:rPr>
                    <w:t>0m</w:t>
                  </w:r>
                  <w:r>
                    <w:rPr>
                      <w:rFonts w:hint="default" w:ascii="Times New Roman" w:hAnsi="Times New Roman" w:eastAsia="宋体" w:cs="Times New Roman"/>
                      <w:color w:val="auto"/>
                      <w:szCs w:val="21"/>
                      <w:highlight w:val="none"/>
                      <w:shd w:val="clear" w:color="auto" w:fill="auto"/>
                      <w:vertAlign w:val="superscript"/>
                      <w:lang w:val="en-US"/>
                    </w:rPr>
                    <w:t>2</w:t>
                  </w:r>
                </w:p>
              </w:tc>
              <w:tc>
                <w:tcPr>
                  <w:tcW w:w="1260" w:type="pct"/>
                  <w:tcBorders>
                    <w:tl2br w:val="nil"/>
                    <w:tr2bl w:val="nil"/>
                  </w:tcBorders>
                  <w:vAlign w:val="center"/>
                </w:tcPr>
                <w:p w14:paraId="50F0605B">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位于</w:t>
                  </w:r>
                  <w:r>
                    <w:rPr>
                      <w:rFonts w:hint="eastAsia" w:ascii="Times New Roman" w:hAnsi="Times New Roman" w:eastAsia="宋体" w:cs="Times New Roman"/>
                      <w:color w:val="auto"/>
                      <w:szCs w:val="21"/>
                      <w:highlight w:val="none"/>
                      <w:shd w:val="clear" w:color="auto" w:fill="auto"/>
                      <w:lang w:val="en-US" w:eastAsia="zh-CN"/>
                    </w:rPr>
                    <w:t>一层，</w:t>
                  </w:r>
                  <w:r>
                    <w:rPr>
                      <w:rFonts w:hint="default" w:ascii="Times New Roman" w:hAnsi="Times New Roman" w:eastAsia="宋体" w:cs="Times New Roman"/>
                      <w:color w:val="auto"/>
                      <w:szCs w:val="21"/>
                      <w:highlight w:val="none"/>
                      <w:shd w:val="clear" w:color="auto" w:fill="auto"/>
                      <w:lang w:val="en-US" w:eastAsia="zh-CN"/>
                    </w:rPr>
                    <w:t>贮存乙酸乙酯</w:t>
                  </w:r>
                  <w:r>
                    <w:rPr>
                      <w:rFonts w:hint="eastAsia" w:ascii="Times New Roman" w:hAnsi="Times New Roman" w:eastAsia="宋体" w:cs="Times New Roman"/>
                      <w:color w:val="auto"/>
                      <w:szCs w:val="21"/>
                      <w:highlight w:val="none"/>
                      <w:shd w:val="clear" w:color="auto" w:fill="auto"/>
                      <w:lang w:val="en-US" w:eastAsia="zh-CN"/>
                    </w:rPr>
                    <w:t>、双组份无溶剂聚氨酯粘合剂</w:t>
                  </w:r>
                </w:p>
              </w:tc>
              <w:tc>
                <w:tcPr>
                  <w:tcW w:w="410" w:type="pct"/>
                  <w:vMerge w:val="continue"/>
                  <w:tcBorders>
                    <w:tl2br w:val="nil"/>
                    <w:tr2bl w:val="nil"/>
                  </w:tcBorders>
                  <w:vAlign w:val="center"/>
                </w:tcPr>
                <w:p w14:paraId="38F7BBD2">
                  <w:pPr>
                    <w:jc w:val="center"/>
                    <w:rPr>
                      <w:rFonts w:hint="default" w:ascii="Times New Roman" w:hAnsi="Times New Roman" w:eastAsia="宋体" w:cs="Times New Roman"/>
                      <w:color w:val="auto"/>
                      <w:szCs w:val="21"/>
                      <w:highlight w:val="none"/>
                      <w:shd w:val="clear" w:color="auto" w:fill="auto"/>
                      <w:lang w:val="en-US" w:eastAsia="zh-CN"/>
                    </w:rPr>
                  </w:pPr>
                </w:p>
              </w:tc>
            </w:tr>
            <w:tr w14:paraId="35EC5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vMerge w:val="continue"/>
                  <w:tcBorders>
                    <w:tl2br w:val="nil"/>
                    <w:tr2bl w:val="nil"/>
                  </w:tcBorders>
                  <w:vAlign w:val="center"/>
                </w:tcPr>
                <w:p w14:paraId="2F2156E2">
                  <w:pPr>
                    <w:jc w:val="center"/>
                    <w:rPr>
                      <w:rFonts w:hint="default" w:ascii="Times New Roman" w:hAnsi="Times New Roman" w:eastAsia="宋体" w:cs="Times New Roman"/>
                      <w:color w:val="auto"/>
                      <w:szCs w:val="21"/>
                      <w:highlight w:val="none"/>
                      <w:shd w:val="clear" w:color="auto" w:fill="auto"/>
                      <w:lang w:val="en-US"/>
                    </w:rPr>
                  </w:pPr>
                </w:p>
              </w:tc>
              <w:tc>
                <w:tcPr>
                  <w:tcW w:w="1019" w:type="pct"/>
                  <w:gridSpan w:val="2"/>
                  <w:tcBorders>
                    <w:tl2br w:val="nil"/>
                    <w:tr2bl w:val="nil"/>
                  </w:tcBorders>
                  <w:vAlign w:val="center"/>
                </w:tcPr>
                <w:p w14:paraId="406B22BB">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油墨间</w:t>
                  </w:r>
                </w:p>
              </w:tc>
              <w:tc>
                <w:tcPr>
                  <w:tcW w:w="1003" w:type="pct"/>
                  <w:tcBorders>
                    <w:tl2br w:val="nil"/>
                    <w:tr2bl w:val="nil"/>
                  </w:tcBorders>
                  <w:vAlign w:val="center"/>
                </w:tcPr>
                <w:p w14:paraId="15AA71FE">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w:t>
                  </w:r>
                </w:p>
              </w:tc>
              <w:tc>
                <w:tcPr>
                  <w:tcW w:w="958" w:type="pct"/>
                  <w:tcBorders>
                    <w:tl2br w:val="nil"/>
                    <w:tr2bl w:val="nil"/>
                  </w:tcBorders>
                  <w:shd w:val="clear" w:color="auto" w:fill="auto"/>
                  <w:vAlign w:val="center"/>
                </w:tcPr>
                <w:p w14:paraId="7E8B2FD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建筑面积约</w:t>
                  </w:r>
                  <w:r>
                    <w:rPr>
                      <w:rFonts w:hint="eastAsia" w:ascii="Times New Roman" w:hAnsi="Times New Roman" w:eastAsia="宋体" w:cs="Times New Roman"/>
                      <w:color w:val="auto"/>
                      <w:szCs w:val="21"/>
                      <w:highlight w:val="none"/>
                      <w:shd w:val="clear" w:color="auto" w:fill="auto"/>
                      <w:lang w:val="en-US" w:eastAsia="zh-CN"/>
                    </w:rPr>
                    <w:t>20</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2</w:t>
                  </w:r>
                </w:p>
              </w:tc>
              <w:tc>
                <w:tcPr>
                  <w:tcW w:w="1260" w:type="pct"/>
                  <w:tcBorders>
                    <w:tl2br w:val="nil"/>
                    <w:tr2bl w:val="nil"/>
                  </w:tcBorders>
                  <w:vAlign w:val="center"/>
                </w:tcPr>
                <w:p w14:paraId="1B1216BB">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位于</w:t>
                  </w:r>
                  <w:r>
                    <w:rPr>
                      <w:rFonts w:hint="eastAsia" w:ascii="Times New Roman" w:hAnsi="Times New Roman" w:eastAsia="宋体" w:cs="Times New Roman"/>
                      <w:color w:val="auto"/>
                      <w:szCs w:val="21"/>
                      <w:highlight w:val="none"/>
                      <w:shd w:val="clear" w:color="auto" w:fill="auto"/>
                      <w:lang w:val="en-US" w:eastAsia="zh-CN"/>
                    </w:rPr>
                    <w:t>一层，用于贮存油墨</w:t>
                  </w:r>
                </w:p>
              </w:tc>
              <w:tc>
                <w:tcPr>
                  <w:tcW w:w="410" w:type="pct"/>
                  <w:vMerge w:val="continue"/>
                  <w:tcBorders>
                    <w:tl2br w:val="nil"/>
                    <w:tr2bl w:val="nil"/>
                  </w:tcBorders>
                  <w:vAlign w:val="center"/>
                </w:tcPr>
                <w:p w14:paraId="319BA7B6">
                  <w:pPr>
                    <w:jc w:val="center"/>
                    <w:rPr>
                      <w:rFonts w:hint="default" w:ascii="Times New Roman" w:hAnsi="Times New Roman" w:eastAsia="宋体" w:cs="Times New Roman"/>
                      <w:color w:val="auto"/>
                      <w:szCs w:val="21"/>
                      <w:highlight w:val="none"/>
                      <w:shd w:val="clear" w:color="auto" w:fill="auto"/>
                      <w:lang w:val="en-US" w:eastAsia="zh-CN"/>
                    </w:rPr>
                  </w:pPr>
                </w:p>
              </w:tc>
            </w:tr>
            <w:tr w14:paraId="11E2E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vMerge w:val="continue"/>
                  <w:tcBorders>
                    <w:tl2br w:val="nil"/>
                    <w:tr2bl w:val="nil"/>
                  </w:tcBorders>
                  <w:vAlign w:val="center"/>
                </w:tcPr>
                <w:p w14:paraId="66536162">
                  <w:pPr>
                    <w:jc w:val="center"/>
                    <w:rPr>
                      <w:rFonts w:hint="default" w:ascii="Times New Roman" w:hAnsi="Times New Roman" w:eastAsia="宋体" w:cs="Times New Roman"/>
                      <w:color w:val="auto"/>
                      <w:szCs w:val="21"/>
                      <w:highlight w:val="none"/>
                      <w:shd w:val="clear" w:color="auto" w:fill="auto"/>
                      <w:lang w:val="en-US"/>
                    </w:rPr>
                  </w:pPr>
                </w:p>
              </w:tc>
              <w:tc>
                <w:tcPr>
                  <w:tcW w:w="1019" w:type="pct"/>
                  <w:gridSpan w:val="2"/>
                  <w:tcBorders>
                    <w:tl2br w:val="nil"/>
                    <w:tr2bl w:val="nil"/>
                  </w:tcBorders>
                  <w:vAlign w:val="center"/>
                </w:tcPr>
                <w:p w14:paraId="0AF27ED5">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原料堆放区</w:t>
                  </w:r>
                </w:p>
              </w:tc>
              <w:tc>
                <w:tcPr>
                  <w:tcW w:w="1003" w:type="pct"/>
                  <w:tcBorders>
                    <w:tl2br w:val="nil"/>
                    <w:tr2bl w:val="nil"/>
                  </w:tcBorders>
                  <w:shd w:val="clear" w:color="auto" w:fill="auto"/>
                  <w:vAlign w:val="center"/>
                </w:tcPr>
                <w:p w14:paraId="6E73A3AE">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958" w:type="pct"/>
                  <w:tcBorders>
                    <w:tl2br w:val="nil"/>
                    <w:tr2bl w:val="nil"/>
                  </w:tcBorders>
                  <w:shd w:val="clear" w:color="auto" w:fill="auto"/>
                  <w:vAlign w:val="center"/>
                </w:tcPr>
                <w:p w14:paraId="68F3A16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建筑面积约</w:t>
                  </w:r>
                  <w:r>
                    <w:rPr>
                      <w:rFonts w:hint="eastAsia" w:ascii="Times New Roman" w:hAnsi="Times New Roman" w:eastAsia="宋体" w:cs="Times New Roman"/>
                      <w:color w:val="auto"/>
                      <w:szCs w:val="21"/>
                      <w:highlight w:val="none"/>
                      <w:shd w:val="clear" w:color="auto" w:fill="auto"/>
                      <w:lang w:val="en-US" w:eastAsia="zh-CN"/>
                    </w:rPr>
                    <w:t>1000</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2</w:t>
                  </w:r>
                </w:p>
              </w:tc>
              <w:tc>
                <w:tcPr>
                  <w:tcW w:w="1260" w:type="pct"/>
                  <w:tcBorders>
                    <w:tl2br w:val="nil"/>
                    <w:tr2bl w:val="nil"/>
                  </w:tcBorders>
                  <w:shd w:val="clear" w:color="auto" w:fill="auto"/>
                  <w:vAlign w:val="center"/>
                </w:tcPr>
                <w:p w14:paraId="2DFF869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位于</w:t>
                  </w:r>
                  <w:r>
                    <w:rPr>
                      <w:rFonts w:hint="eastAsia" w:ascii="Times New Roman" w:hAnsi="Times New Roman" w:eastAsia="宋体" w:cs="Times New Roman"/>
                      <w:color w:val="auto"/>
                      <w:szCs w:val="21"/>
                      <w:highlight w:val="none"/>
                      <w:shd w:val="clear" w:color="auto" w:fill="auto"/>
                      <w:lang w:val="en-US" w:eastAsia="zh-CN"/>
                    </w:rPr>
                    <w:t>二层，</w:t>
                  </w:r>
                  <w:r>
                    <w:rPr>
                      <w:rFonts w:hint="default" w:ascii="Times New Roman" w:hAnsi="Times New Roman" w:eastAsia="宋体" w:cs="Times New Roman"/>
                      <w:color w:val="auto"/>
                      <w:szCs w:val="21"/>
                      <w:highlight w:val="none"/>
                      <w:shd w:val="clear" w:color="auto" w:fill="auto"/>
                      <w:lang w:val="en-US" w:eastAsia="zh-CN"/>
                    </w:rPr>
                    <w:t>贮存</w:t>
                  </w:r>
                  <w:r>
                    <w:rPr>
                      <w:rFonts w:hint="eastAsia" w:ascii="Times New Roman" w:hAnsi="Times New Roman" w:eastAsia="宋体" w:cs="Times New Roman"/>
                      <w:color w:val="auto"/>
                      <w:szCs w:val="21"/>
                      <w:highlight w:val="none"/>
                      <w:shd w:val="clear" w:color="auto" w:fill="auto"/>
                      <w:lang w:val="en-US" w:eastAsia="zh-CN"/>
                    </w:rPr>
                    <w:t>原料</w:t>
                  </w:r>
                </w:p>
              </w:tc>
              <w:tc>
                <w:tcPr>
                  <w:tcW w:w="410" w:type="pct"/>
                  <w:vMerge w:val="continue"/>
                  <w:tcBorders>
                    <w:tl2br w:val="nil"/>
                    <w:tr2bl w:val="nil"/>
                  </w:tcBorders>
                  <w:vAlign w:val="center"/>
                </w:tcPr>
                <w:p w14:paraId="69CED76B">
                  <w:pPr>
                    <w:jc w:val="center"/>
                    <w:rPr>
                      <w:rFonts w:hint="default" w:ascii="Times New Roman" w:hAnsi="Times New Roman" w:eastAsia="宋体" w:cs="Times New Roman"/>
                      <w:color w:val="auto"/>
                      <w:szCs w:val="21"/>
                      <w:highlight w:val="none"/>
                      <w:shd w:val="clear" w:color="auto" w:fill="auto"/>
                      <w:lang w:val="en-US" w:eastAsia="zh-CN"/>
                    </w:rPr>
                  </w:pPr>
                </w:p>
              </w:tc>
            </w:tr>
            <w:tr w14:paraId="3ACDC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vMerge w:val="continue"/>
                  <w:tcBorders>
                    <w:tl2br w:val="nil"/>
                    <w:tr2bl w:val="nil"/>
                  </w:tcBorders>
                  <w:vAlign w:val="center"/>
                </w:tcPr>
                <w:p w14:paraId="44B15B28">
                  <w:pPr>
                    <w:jc w:val="center"/>
                    <w:rPr>
                      <w:rFonts w:hint="default" w:ascii="Times New Roman" w:hAnsi="Times New Roman" w:eastAsia="宋体" w:cs="Times New Roman"/>
                      <w:color w:val="auto"/>
                      <w:szCs w:val="21"/>
                      <w:highlight w:val="none"/>
                      <w:shd w:val="clear" w:color="auto" w:fill="auto"/>
                      <w:lang w:val="en-US"/>
                    </w:rPr>
                  </w:pPr>
                </w:p>
              </w:tc>
              <w:tc>
                <w:tcPr>
                  <w:tcW w:w="1019" w:type="pct"/>
                  <w:gridSpan w:val="2"/>
                  <w:tcBorders>
                    <w:tl2br w:val="nil"/>
                    <w:tr2bl w:val="nil"/>
                  </w:tcBorders>
                  <w:shd w:val="clear" w:color="auto" w:fill="auto"/>
                  <w:vAlign w:val="center"/>
                </w:tcPr>
                <w:p w14:paraId="6F7FFD8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成品</w:t>
                  </w:r>
                  <w:r>
                    <w:rPr>
                      <w:rFonts w:hint="eastAsia" w:ascii="Times New Roman" w:hAnsi="Times New Roman" w:eastAsia="宋体" w:cs="Times New Roman"/>
                      <w:color w:val="auto"/>
                      <w:szCs w:val="21"/>
                      <w:highlight w:val="none"/>
                      <w:shd w:val="clear" w:color="auto" w:fill="auto"/>
                      <w:lang w:val="en-US" w:eastAsia="zh-CN"/>
                    </w:rPr>
                    <w:t>堆放区</w:t>
                  </w:r>
                </w:p>
              </w:tc>
              <w:tc>
                <w:tcPr>
                  <w:tcW w:w="1003" w:type="pct"/>
                  <w:tcBorders>
                    <w:tl2br w:val="nil"/>
                    <w:tr2bl w:val="nil"/>
                  </w:tcBorders>
                  <w:shd w:val="clear" w:color="auto" w:fill="auto"/>
                  <w:vAlign w:val="center"/>
                </w:tcPr>
                <w:p w14:paraId="5368D8B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958" w:type="pct"/>
                  <w:tcBorders>
                    <w:tl2br w:val="nil"/>
                    <w:tr2bl w:val="nil"/>
                  </w:tcBorders>
                  <w:shd w:val="clear" w:color="auto" w:fill="auto"/>
                  <w:vAlign w:val="center"/>
                </w:tcPr>
                <w:p w14:paraId="28AB5C0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建筑面积约</w:t>
                  </w:r>
                  <w:r>
                    <w:rPr>
                      <w:rFonts w:hint="eastAsia" w:ascii="Times New Roman" w:hAnsi="Times New Roman" w:eastAsia="宋体" w:cs="Times New Roman"/>
                      <w:color w:val="auto"/>
                      <w:szCs w:val="21"/>
                      <w:highlight w:val="none"/>
                      <w:shd w:val="clear" w:color="auto" w:fill="auto"/>
                      <w:lang w:val="en-US" w:eastAsia="zh-CN"/>
                    </w:rPr>
                    <w:t>800</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2</w:t>
                  </w:r>
                </w:p>
              </w:tc>
              <w:tc>
                <w:tcPr>
                  <w:tcW w:w="1260" w:type="pct"/>
                  <w:tcBorders>
                    <w:tl2br w:val="nil"/>
                    <w:tr2bl w:val="nil"/>
                  </w:tcBorders>
                  <w:shd w:val="clear" w:color="auto" w:fill="auto"/>
                  <w:vAlign w:val="center"/>
                </w:tcPr>
                <w:p w14:paraId="6E0FC57F">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位于</w:t>
                  </w:r>
                  <w:r>
                    <w:rPr>
                      <w:rFonts w:hint="eastAsia" w:ascii="Times New Roman" w:hAnsi="Times New Roman" w:eastAsia="宋体" w:cs="Times New Roman"/>
                      <w:color w:val="auto"/>
                      <w:szCs w:val="21"/>
                      <w:highlight w:val="none"/>
                      <w:shd w:val="clear" w:color="auto" w:fill="auto"/>
                      <w:lang w:val="en-US" w:eastAsia="zh-CN"/>
                    </w:rPr>
                    <w:t>二层，</w:t>
                  </w:r>
                  <w:r>
                    <w:rPr>
                      <w:rFonts w:hint="default" w:ascii="Times New Roman" w:hAnsi="Times New Roman" w:eastAsia="宋体" w:cs="Times New Roman"/>
                      <w:color w:val="auto"/>
                      <w:szCs w:val="21"/>
                      <w:highlight w:val="none"/>
                      <w:shd w:val="clear" w:color="auto" w:fill="auto"/>
                      <w:lang w:val="en-US" w:eastAsia="zh-CN"/>
                    </w:rPr>
                    <w:t>贮存成品</w:t>
                  </w:r>
                </w:p>
              </w:tc>
              <w:tc>
                <w:tcPr>
                  <w:tcW w:w="410" w:type="pct"/>
                  <w:vMerge w:val="continue"/>
                  <w:tcBorders>
                    <w:tl2br w:val="nil"/>
                    <w:tr2bl w:val="nil"/>
                  </w:tcBorders>
                  <w:vAlign w:val="center"/>
                </w:tcPr>
                <w:p w14:paraId="4476E532">
                  <w:pPr>
                    <w:jc w:val="center"/>
                    <w:rPr>
                      <w:rFonts w:hint="default" w:ascii="Times New Roman" w:hAnsi="Times New Roman" w:eastAsia="宋体" w:cs="Times New Roman"/>
                      <w:color w:val="auto"/>
                      <w:szCs w:val="21"/>
                      <w:highlight w:val="none"/>
                      <w:shd w:val="clear" w:color="auto" w:fill="auto"/>
                      <w:lang w:val="en-US" w:eastAsia="zh-CN"/>
                    </w:rPr>
                  </w:pPr>
                </w:p>
              </w:tc>
            </w:tr>
            <w:tr w14:paraId="1265C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vMerge w:val="restart"/>
                  <w:tcBorders>
                    <w:tl2br w:val="nil"/>
                    <w:tr2bl w:val="nil"/>
                  </w:tcBorders>
                  <w:vAlign w:val="center"/>
                </w:tcPr>
                <w:p w14:paraId="00256911">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公辅工程</w:t>
                  </w:r>
                </w:p>
              </w:tc>
              <w:tc>
                <w:tcPr>
                  <w:tcW w:w="1019" w:type="pct"/>
                  <w:gridSpan w:val="2"/>
                  <w:tcBorders>
                    <w:tl2br w:val="nil"/>
                    <w:tr2bl w:val="nil"/>
                  </w:tcBorders>
                  <w:vAlign w:val="center"/>
                </w:tcPr>
                <w:p w14:paraId="37DE5E7D">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给水系统</w:t>
                  </w:r>
                </w:p>
              </w:tc>
              <w:tc>
                <w:tcPr>
                  <w:tcW w:w="1003" w:type="pct"/>
                  <w:tcBorders>
                    <w:tl2br w:val="nil"/>
                    <w:tr2bl w:val="nil"/>
                  </w:tcBorders>
                  <w:vAlign w:val="center"/>
                </w:tcPr>
                <w:p w14:paraId="2AA3B7D4">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15370</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3</w:t>
                  </w:r>
                  <w:r>
                    <w:rPr>
                      <w:rFonts w:hint="default" w:ascii="Times New Roman" w:hAnsi="Times New Roman" w:eastAsia="宋体" w:cs="Times New Roman"/>
                      <w:color w:val="auto"/>
                      <w:szCs w:val="21"/>
                      <w:highlight w:val="none"/>
                      <w:shd w:val="clear" w:color="auto" w:fill="auto"/>
                      <w:lang w:val="en-US"/>
                    </w:rPr>
                    <w:t>/a</w:t>
                  </w:r>
                </w:p>
              </w:tc>
              <w:tc>
                <w:tcPr>
                  <w:tcW w:w="958" w:type="pct"/>
                  <w:tcBorders>
                    <w:tl2br w:val="nil"/>
                    <w:tr2bl w:val="nil"/>
                  </w:tcBorders>
                  <w:shd w:val="clear" w:color="auto" w:fill="auto"/>
                  <w:vAlign w:val="center"/>
                </w:tcPr>
                <w:p w14:paraId="6A2B202A">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602.44</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3</w:t>
                  </w:r>
                  <w:r>
                    <w:rPr>
                      <w:rFonts w:hint="default" w:ascii="Times New Roman" w:hAnsi="Times New Roman" w:eastAsia="宋体" w:cs="Times New Roman"/>
                      <w:color w:val="auto"/>
                      <w:szCs w:val="21"/>
                      <w:highlight w:val="none"/>
                      <w:shd w:val="clear" w:color="auto" w:fill="auto"/>
                      <w:lang w:val="en-US"/>
                    </w:rPr>
                    <w:t>/a</w:t>
                  </w:r>
                </w:p>
              </w:tc>
              <w:tc>
                <w:tcPr>
                  <w:tcW w:w="1260" w:type="pct"/>
                  <w:tcBorders>
                    <w:tl2br w:val="nil"/>
                    <w:tr2bl w:val="nil"/>
                  </w:tcBorders>
                  <w:vAlign w:val="center"/>
                </w:tcPr>
                <w:p w14:paraId="679F6A51">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w:t>
                  </w:r>
                </w:p>
              </w:tc>
              <w:tc>
                <w:tcPr>
                  <w:tcW w:w="410" w:type="pct"/>
                  <w:tcBorders>
                    <w:tl2br w:val="nil"/>
                    <w:tr2bl w:val="nil"/>
                  </w:tcBorders>
                  <w:vAlign w:val="center"/>
                </w:tcPr>
                <w:p w14:paraId="65DB8F9A">
                  <w:pPr>
                    <w:pStyle w:val="55"/>
                    <w:widowControl/>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由城市给水管网供给</w:t>
                  </w:r>
                </w:p>
              </w:tc>
            </w:tr>
            <w:tr w14:paraId="13D11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46" w:type="pct"/>
                  <w:vMerge w:val="continue"/>
                  <w:tcBorders>
                    <w:tl2br w:val="nil"/>
                    <w:tr2bl w:val="nil"/>
                  </w:tcBorders>
                  <w:vAlign w:val="center"/>
                </w:tcPr>
                <w:p w14:paraId="618C823F">
                  <w:pPr>
                    <w:jc w:val="center"/>
                    <w:rPr>
                      <w:rFonts w:hint="default" w:ascii="Times New Roman" w:hAnsi="Times New Roman" w:eastAsia="宋体" w:cs="Times New Roman"/>
                      <w:color w:val="auto"/>
                      <w:szCs w:val="21"/>
                      <w:highlight w:val="none"/>
                      <w:shd w:val="clear" w:color="auto" w:fill="auto"/>
                      <w:lang w:val="en-US"/>
                    </w:rPr>
                  </w:pPr>
                </w:p>
              </w:tc>
              <w:tc>
                <w:tcPr>
                  <w:tcW w:w="547" w:type="pct"/>
                  <w:tcBorders>
                    <w:tl2br w:val="nil"/>
                    <w:tr2bl w:val="nil"/>
                  </w:tcBorders>
                  <w:vAlign w:val="center"/>
                </w:tcPr>
                <w:p w14:paraId="1B47F119">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排水系统</w:t>
                  </w:r>
                </w:p>
              </w:tc>
              <w:tc>
                <w:tcPr>
                  <w:tcW w:w="472" w:type="pct"/>
                  <w:tcBorders>
                    <w:tl2br w:val="nil"/>
                    <w:tr2bl w:val="nil"/>
                  </w:tcBorders>
                  <w:vAlign w:val="center"/>
                </w:tcPr>
                <w:p w14:paraId="40BC46CD">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rPr>
                    <w:t>生活污水</w:t>
                  </w:r>
                </w:p>
              </w:tc>
              <w:tc>
                <w:tcPr>
                  <w:tcW w:w="1003" w:type="pct"/>
                  <w:tcBorders>
                    <w:tl2br w:val="nil"/>
                    <w:tr2bl w:val="nil"/>
                  </w:tcBorders>
                  <w:shd w:val="clear" w:color="auto" w:fill="auto"/>
                  <w:vAlign w:val="center"/>
                </w:tcPr>
                <w:p w14:paraId="1A6DD68E">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205</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3</w:t>
                  </w:r>
                  <w:r>
                    <w:rPr>
                      <w:rFonts w:hint="default" w:ascii="Times New Roman" w:hAnsi="Times New Roman" w:eastAsia="宋体" w:cs="Times New Roman"/>
                      <w:color w:val="auto"/>
                      <w:szCs w:val="21"/>
                      <w:highlight w:val="none"/>
                      <w:shd w:val="clear" w:color="auto" w:fill="auto"/>
                      <w:lang w:val="en-US"/>
                    </w:rPr>
                    <w:t>/a</w:t>
                  </w:r>
                </w:p>
              </w:tc>
              <w:tc>
                <w:tcPr>
                  <w:tcW w:w="958" w:type="pct"/>
                  <w:tcBorders>
                    <w:tl2br w:val="nil"/>
                    <w:tr2bl w:val="nil"/>
                  </w:tcBorders>
                  <w:vAlign w:val="center"/>
                </w:tcPr>
                <w:p w14:paraId="28F4BB4A">
                  <w:pPr>
                    <w:jc w:val="center"/>
                    <w:rPr>
                      <w:rFonts w:hint="eastAsia"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4</w:t>
                  </w:r>
                  <w:r>
                    <w:rPr>
                      <w:rFonts w:hint="default" w:ascii="Times New Roman" w:hAnsi="Times New Roman" w:eastAsia="宋体" w:cs="Times New Roman"/>
                      <w:color w:val="auto"/>
                      <w:szCs w:val="21"/>
                      <w:highlight w:val="none"/>
                      <w:shd w:val="clear" w:color="auto" w:fill="auto"/>
                      <w:lang w:val="en-US" w:eastAsia="zh-CN"/>
                    </w:rPr>
                    <w:t>80</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3</w:t>
                  </w:r>
                  <w:r>
                    <w:rPr>
                      <w:rFonts w:hint="default" w:ascii="Times New Roman" w:hAnsi="Times New Roman" w:eastAsia="宋体" w:cs="Times New Roman"/>
                      <w:color w:val="auto"/>
                      <w:szCs w:val="21"/>
                      <w:highlight w:val="none"/>
                      <w:shd w:val="clear" w:color="auto" w:fill="auto"/>
                      <w:lang w:val="en-US"/>
                    </w:rPr>
                    <w:t>/a</w:t>
                  </w:r>
                </w:p>
              </w:tc>
              <w:tc>
                <w:tcPr>
                  <w:tcW w:w="1260" w:type="pct"/>
                  <w:tcBorders>
                    <w:tl2br w:val="nil"/>
                    <w:tr2bl w:val="nil"/>
                  </w:tcBorders>
                  <w:vAlign w:val="center"/>
                </w:tcPr>
                <w:p w14:paraId="09DB93C4">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生活污水</w:t>
                  </w:r>
                  <w:r>
                    <w:rPr>
                      <w:rFonts w:hint="default" w:ascii="Times New Roman" w:hAnsi="Times New Roman" w:eastAsia="宋体" w:cs="Times New Roman"/>
                      <w:color w:val="auto"/>
                      <w:szCs w:val="21"/>
                      <w:highlight w:val="none"/>
                      <w:shd w:val="clear" w:color="auto" w:fill="auto"/>
                      <w:lang w:val="en-US" w:eastAsia="zh-CN"/>
                    </w:rPr>
                    <w:t>进入市政污水管网接至</w:t>
                  </w:r>
                  <w:r>
                    <w:rPr>
                      <w:rFonts w:hint="default" w:ascii="Times New Roman" w:hAnsi="Times New Roman" w:eastAsia="宋体" w:cs="Times New Roman"/>
                      <w:color w:val="auto"/>
                      <w:szCs w:val="21"/>
                      <w:highlight w:val="none"/>
                      <w:shd w:val="clear" w:color="auto" w:fill="auto"/>
                      <w:lang w:val="en-US"/>
                    </w:rPr>
                    <w:t>常州市金坛区第二污水厂集中处理，尾水排入尧塘河</w:t>
                  </w:r>
                </w:p>
              </w:tc>
              <w:tc>
                <w:tcPr>
                  <w:tcW w:w="410" w:type="pct"/>
                  <w:tcBorders>
                    <w:tl2br w:val="nil"/>
                    <w:tr2bl w:val="nil"/>
                  </w:tcBorders>
                  <w:vAlign w:val="center"/>
                </w:tcPr>
                <w:p w14:paraId="685EE90A">
                  <w:pPr>
                    <w:pStyle w:val="55"/>
                    <w:widowControl/>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依托现有</w:t>
                  </w:r>
                </w:p>
              </w:tc>
            </w:tr>
            <w:tr w14:paraId="5F450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vMerge w:val="continue"/>
                  <w:tcBorders>
                    <w:tl2br w:val="nil"/>
                    <w:tr2bl w:val="nil"/>
                  </w:tcBorders>
                  <w:vAlign w:val="center"/>
                </w:tcPr>
                <w:p w14:paraId="3701D5A9">
                  <w:pPr>
                    <w:jc w:val="center"/>
                    <w:rPr>
                      <w:rFonts w:hint="default" w:ascii="Times New Roman" w:hAnsi="Times New Roman" w:eastAsia="宋体" w:cs="Times New Roman"/>
                      <w:color w:val="auto"/>
                      <w:szCs w:val="21"/>
                      <w:highlight w:val="none"/>
                      <w:shd w:val="clear" w:color="auto" w:fill="auto"/>
                      <w:lang w:val="en-US"/>
                    </w:rPr>
                  </w:pPr>
                </w:p>
              </w:tc>
              <w:tc>
                <w:tcPr>
                  <w:tcW w:w="1019" w:type="pct"/>
                  <w:gridSpan w:val="2"/>
                  <w:tcBorders>
                    <w:tl2br w:val="nil"/>
                    <w:tr2bl w:val="nil"/>
                  </w:tcBorders>
                  <w:vAlign w:val="center"/>
                </w:tcPr>
                <w:p w14:paraId="18AB524B">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雨水排放系统</w:t>
                  </w:r>
                </w:p>
              </w:tc>
              <w:tc>
                <w:tcPr>
                  <w:tcW w:w="1003" w:type="pct"/>
                  <w:tcBorders>
                    <w:tl2br w:val="nil"/>
                    <w:tr2bl w:val="nil"/>
                  </w:tcBorders>
                  <w:vAlign w:val="center"/>
                </w:tcPr>
                <w:p w14:paraId="0BA2CD2F">
                  <w:pPr>
                    <w:jc w:val="center"/>
                    <w:rPr>
                      <w:rFonts w:hint="eastAsia"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w:t>
                  </w:r>
                </w:p>
              </w:tc>
              <w:tc>
                <w:tcPr>
                  <w:tcW w:w="958" w:type="pct"/>
                  <w:tcBorders>
                    <w:tl2br w:val="nil"/>
                    <w:tr2bl w:val="nil"/>
                  </w:tcBorders>
                  <w:shd w:val="clear" w:color="auto" w:fill="auto"/>
                  <w:vAlign w:val="center"/>
                </w:tcPr>
                <w:p w14:paraId="1283083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rPr>
                    <w:t>/</w:t>
                  </w:r>
                </w:p>
              </w:tc>
              <w:tc>
                <w:tcPr>
                  <w:tcW w:w="1260" w:type="pct"/>
                  <w:tcBorders>
                    <w:tl2br w:val="nil"/>
                    <w:tr2bl w:val="nil"/>
                  </w:tcBorders>
                  <w:vAlign w:val="center"/>
                </w:tcPr>
                <w:p w14:paraId="13EF67F5">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雨水通过雨水管网排入市政雨水管网</w:t>
                  </w:r>
                </w:p>
              </w:tc>
              <w:tc>
                <w:tcPr>
                  <w:tcW w:w="410" w:type="pct"/>
                  <w:tcBorders>
                    <w:tl2br w:val="nil"/>
                    <w:tr2bl w:val="nil"/>
                  </w:tcBorders>
                  <w:vAlign w:val="center"/>
                </w:tcPr>
                <w:p w14:paraId="47D5FBDD">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依托现有</w:t>
                  </w:r>
                </w:p>
              </w:tc>
            </w:tr>
            <w:tr w14:paraId="6C64E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vMerge w:val="continue"/>
                  <w:tcBorders>
                    <w:tl2br w:val="nil"/>
                    <w:tr2bl w:val="nil"/>
                  </w:tcBorders>
                  <w:vAlign w:val="center"/>
                </w:tcPr>
                <w:p w14:paraId="2FB6E726">
                  <w:pPr>
                    <w:jc w:val="center"/>
                    <w:rPr>
                      <w:rFonts w:hint="default" w:ascii="Times New Roman" w:hAnsi="Times New Roman" w:eastAsia="宋体" w:cs="Times New Roman"/>
                      <w:color w:val="auto"/>
                      <w:szCs w:val="21"/>
                      <w:highlight w:val="none"/>
                      <w:shd w:val="clear" w:color="auto" w:fill="auto"/>
                      <w:lang w:val="en-US"/>
                    </w:rPr>
                  </w:pPr>
                </w:p>
              </w:tc>
              <w:tc>
                <w:tcPr>
                  <w:tcW w:w="1019" w:type="pct"/>
                  <w:gridSpan w:val="2"/>
                  <w:tcBorders>
                    <w:tl2br w:val="nil"/>
                    <w:tr2bl w:val="nil"/>
                  </w:tcBorders>
                  <w:vAlign w:val="center"/>
                </w:tcPr>
                <w:p w14:paraId="749C8408">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供电工程</w:t>
                  </w:r>
                </w:p>
              </w:tc>
              <w:tc>
                <w:tcPr>
                  <w:tcW w:w="1003" w:type="pct"/>
                  <w:tcBorders>
                    <w:tl2br w:val="nil"/>
                    <w:tr2bl w:val="nil"/>
                  </w:tcBorders>
                  <w:vAlign w:val="center"/>
                </w:tcPr>
                <w:p w14:paraId="1922EC0D">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18</w:t>
                  </w:r>
                  <w:r>
                    <w:rPr>
                      <w:rFonts w:hint="default" w:ascii="Times New Roman" w:hAnsi="Times New Roman" w:eastAsia="宋体" w:cs="Times New Roman"/>
                      <w:color w:val="auto"/>
                      <w:szCs w:val="21"/>
                      <w:highlight w:val="none"/>
                      <w:shd w:val="clear" w:color="auto" w:fill="auto"/>
                      <w:lang w:val="en-US"/>
                    </w:rPr>
                    <w:t>万kWh/a</w:t>
                  </w:r>
                </w:p>
              </w:tc>
              <w:tc>
                <w:tcPr>
                  <w:tcW w:w="958" w:type="pct"/>
                  <w:tcBorders>
                    <w:tl2br w:val="nil"/>
                    <w:tr2bl w:val="nil"/>
                  </w:tcBorders>
                  <w:shd w:val="clear" w:color="auto" w:fill="auto"/>
                  <w:vAlign w:val="center"/>
                </w:tcPr>
                <w:p w14:paraId="43F33DC8">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20</w:t>
                  </w:r>
                  <w:r>
                    <w:rPr>
                      <w:rFonts w:hint="default" w:ascii="Times New Roman" w:hAnsi="Times New Roman" w:eastAsia="宋体" w:cs="Times New Roman"/>
                      <w:color w:val="auto"/>
                      <w:szCs w:val="21"/>
                      <w:highlight w:val="none"/>
                      <w:shd w:val="clear" w:color="auto" w:fill="auto"/>
                      <w:lang w:val="en-US"/>
                    </w:rPr>
                    <w:t>万kWh/a</w:t>
                  </w:r>
                </w:p>
              </w:tc>
              <w:tc>
                <w:tcPr>
                  <w:tcW w:w="1260" w:type="pct"/>
                  <w:tcBorders>
                    <w:tl2br w:val="nil"/>
                    <w:tr2bl w:val="nil"/>
                  </w:tcBorders>
                  <w:vAlign w:val="center"/>
                </w:tcPr>
                <w:p w14:paraId="5DE4C6C9">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由城市电网供给</w:t>
                  </w:r>
                </w:p>
              </w:tc>
              <w:tc>
                <w:tcPr>
                  <w:tcW w:w="410" w:type="pct"/>
                  <w:tcBorders>
                    <w:tl2br w:val="nil"/>
                    <w:tr2bl w:val="nil"/>
                  </w:tcBorders>
                  <w:vAlign w:val="center"/>
                </w:tcPr>
                <w:p w14:paraId="4F8F5DC3">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依托现有</w:t>
                  </w:r>
                </w:p>
              </w:tc>
            </w:tr>
            <w:tr w14:paraId="45E79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vMerge w:val="restart"/>
                  <w:tcBorders>
                    <w:tl2br w:val="nil"/>
                    <w:tr2bl w:val="nil"/>
                  </w:tcBorders>
                  <w:vAlign w:val="center"/>
                </w:tcPr>
                <w:p w14:paraId="590F7B2C">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环保工程</w:t>
                  </w:r>
                </w:p>
              </w:tc>
              <w:tc>
                <w:tcPr>
                  <w:tcW w:w="1019" w:type="pct"/>
                  <w:gridSpan w:val="2"/>
                  <w:tcBorders>
                    <w:tl2br w:val="nil"/>
                    <w:tr2bl w:val="nil"/>
                  </w:tcBorders>
                  <w:vAlign w:val="center"/>
                </w:tcPr>
                <w:p w14:paraId="7A9907EE">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规范化排污口、雨污分流管网</w:t>
                  </w:r>
                </w:p>
              </w:tc>
              <w:tc>
                <w:tcPr>
                  <w:tcW w:w="1003" w:type="pct"/>
                  <w:tcBorders>
                    <w:tl2br w:val="nil"/>
                    <w:tr2bl w:val="nil"/>
                  </w:tcBorders>
                  <w:vAlign w:val="center"/>
                </w:tcPr>
                <w:p w14:paraId="4DE27529">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实行“雨污分流”，雨水排入市政雨水管网，生活污水</w:t>
                  </w:r>
                  <w:r>
                    <w:rPr>
                      <w:rFonts w:hint="default" w:ascii="Times New Roman" w:hAnsi="Times New Roman" w:eastAsia="宋体" w:cs="Times New Roman"/>
                      <w:color w:val="auto"/>
                      <w:szCs w:val="21"/>
                      <w:highlight w:val="none"/>
                      <w:shd w:val="clear" w:color="auto" w:fill="auto"/>
                      <w:lang w:val="en-US" w:eastAsia="zh-CN"/>
                    </w:rPr>
                    <w:t>经市政污水管网接至</w:t>
                  </w:r>
                  <w:r>
                    <w:rPr>
                      <w:rFonts w:hint="default" w:ascii="Times New Roman" w:hAnsi="Times New Roman" w:eastAsia="宋体" w:cs="Times New Roman"/>
                      <w:color w:val="auto"/>
                      <w:szCs w:val="21"/>
                      <w:highlight w:val="none"/>
                      <w:shd w:val="clear" w:color="auto" w:fill="auto"/>
                      <w:lang w:val="en-US"/>
                    </w:rPr>
                    <w:t>常州市金坛区第二污水厂集中处理，尾水排入尧塘河</w:t>
                  </w:r>
                </w:p>
              </w:tc>
              <w:tc>
                <w:tcPr>
                  <w:tcW w:w="2219" w:type="pct"/>
                  <w:gridSpan w:val="2"/>
                  <w:tcBorders>
                    <w:tl2br w:val="nil"/>
                    <w:tr2bl w:val="nil"/>
                  </w:tcBorders>
                  <w:shd w:val="clear" w:color="auto" w:fill="auto"/>
                  <w:vAlign w:val="center"/>
                </w:tcPr>
                <w:p w14:paraId="5C4C18C6">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rPr>
                    <w:t>本项目实行“雨污分流”，雨水排入市政雨水管网，生活污水</w:t>
                  </w:r>
                  <w:r>
                    <w:rPr>
                      <w:rFonts w:hint="default" w:ascii="Times New Roman" w:hAnsi="Times New Roman" w:eastAsia="宋体" w:cs="Times New Roman"/>
                      <w:color w:val="auto"/>
                      <w:szCs w:val="21"/>
                      <w:highlight w:val="none"/>
                      <w:shd w:val="clear" w:color="auto" w:fill="auto"/>
                      <w:lang w:val="en-US" w:eastAsia="zh-CN"/>
                    </w:rPr>
                    <w:t>经市政污水管网接至</w:t>
                  </w:r>
                  <w:r>
                    <w:rPr>
                      <w:rFonts w:hint="default" w:ascii="Times New Roman" w:hAnsi="Times New Roman" w:eastAsia="宋体" w:cs="Times New Roman"/>
                      <w:color w:val="auto"/>
                      <w:szCs w:val="21"/>
                      <w:highlight w:val="none"/>
                      <w:shd w:val="clear" w:color="auto" w:fill="auto"/>
                      <w:lang w:val="en-US"/>
                    </w:rPr>
                    <w:t>常州市金坛区第二污水厂集中处理，尾水排入尧塘河</w:t>
                  </w:r>
                </w:p>
              </w:tc>
              <w:tc>
                <w:tcPr>
                  <w:tcW w:w="410" w:type="pct"/>
                  <w:tcBorders>
                    <w:tl2br w:val="nil"/>
                    <w:tr2bl w:val="nil"/>
                  </w:tcBorders>
                  <w:vAlign w:val="center"/>
                </w:tcPr>
                <w:p w14:paraId="763A43D7">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依托现有</w:t>
                  </w:r>
                </w:p>
              </w:tc>
            </w:tr>
            <w:tr w14:paraId="09E55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46" w:type="pct"/>
                  <w:vMerge w:val="continue"/>
                  <w:tcBorders>
                    <w:tl2br w:val="nil"/>
                    <w:tr2bl w:val="nil"/>
                  </w:tcBorders>
                  <w:vAlign w:val="center"/>
                </w:tcPr>
                <w:p w14:paraId="77E5776C">
                  <w:pPr>
                    <w:jc w:val="center"/>
                    <w:rPr>
                      <w:rFonts w:hint="default" w:ascii="Times New Roman" w:hAnsi="Times New Roman" w:eastAsia="宋体" w:cs="Times New Roman"/>
                      <w:color w:val="auto"/>
                      <w:szCs w:val="21"/>
                      <w:highlight w:val="none"/>
                      <w:shd w:val="clear" w:color="auto" w:fill="auto"/>
                      <w:lang w:val="en-US"/>
                    </w:rPr>
                  </w:pPr>
                </w:p>
              </w:tc>
              <w:tc>
                <w:tcPr>
                  <w:tcW w:w="547" w:type="pct"/>
                  <w:tcBorders>
                    <w:tl2br w:val="nil"/>
                    <w:tr2bl w:val="nil"/>
                  </w:tcBorders>
                  <w:vAlign w:val="center"/>
                </w:tcPr>
                <w:p w14:paraId="1D2AF70D">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废水</w:t>
                  </w:r>
                </w:p>
              </w:tc>
              <w:tc>
                <w:tcPr>
                  <w:tcW w:w="472" w:type="pct"/>
                  <w:tcBorders>
                    <w:tl2br w:val="nil"/>
                    <w:tr2bl w:val="nil"/>
                  </w:tcBorders>
                  <w:vAlign w:val="center"/>
                </w:tcPr>
                <w:p w14:paraId="69A70E3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生活污水</w:t>
                  </w:r>
                </w:p>
              </w:tc>
              <w:tc>
                <w:tcPr>
                  <w:tcW w:w="1003" w:type="pct"/>
                  <w:tcBorders>
                    <w:tl2br w:val="nil"/>
                    <w:tr2bl w:val="nil"/>
                  </w:tcBorders>
                  <w:shd w:val="clear" w:color="auto" w:fill="auto"/>
                  <w:vAlign w:val="center"/>
                </w:tcPr>
                <w:p w14:paraId="65E2D52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205</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3</w:t>
                  </w:r>
                  <w:r>
                    <w:rPr>
                      <w:rFonts w:hint="default" w:ascii="Times New Roman" w:hAnsi="Times New Roman" w:eastAsia="宋体" w:cs="Times New Roman"/>
                      <w:color w:val="auto"/>
                      <w:szCs w:val="21"/>
                      <w:highlight w:val="none"/>
                      <w:shd w:val="clear" w:color="auto" w:fill="auto"/>
                      <w:lang w:val="en-US"/>
                    </w:rPr>
                    <w:t>/a</w:t>
                  </w:r>
                </w:p>
              </w:tc>
              <w:tc>
                <w:tcPr>
                  <w:tcW w:w="958" w:type="pct"/>
                  <w:tcBorders>
                    <w:tl2br w:val="nil"/>
                    <w:tr2bl w:val="nil"/>
                  </w:tcBorders>
                  <w:shd w:val="clear" w:color="auto" w:fill="auto"/>
                  <w:vAlign w:val="center"/>
                </w:tcPr>
                <w:p w14:paraId="3B91BF81">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480</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3</w:t>
                  </w:r>
                  <w:r>
                    <w:rPr>
                      <w:rFonts w:hint="default" w:ascii="Times New Roman" w:hAnsi="Times New Roman" w:eastAsia="宋体" w:cs="Times New Roman"/>
                      <w:color w:val="auto"/>
                      <w:szCs w:val="21"/>
                      <w:highlight w:val="none"/>
                      <w:shd w:val="clear" w:color="auto" w:fill="auto"/>
                      <w:lang w:val="en-US"/>
                    </w:rPr>
                    <w:t>/a</w:t>
                  </w:r>
                </w:p>
              </w:tc>
              <w:tc>
                <w:tcPr>
                  <w:tcW w:w="1260" w:type="pct"/>
                  <w:tcBorders>
                    <w:tl2br w:val="nil"/>
                    <w:tr2bl w:val="nil"/>
                  </w:tcBorders>
                  <w:vAlign w:val="center"/>
                </w:tcPr>
                <w:p w14:paraId="6E45D28F">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进入市政污水管网接至</w:t>
                  </w:r>
                  <w:r>
                    <w:rPr>
                      <w:rFonts w:hint="default" w:ascii="Times New Roman" w:hAnsi="Times New Roman" w:eastAsia="宋体" w:cs="Times New Roman"/>
                      <w:color w:val="auto"/>
                      <w:szCs w:val="21"/>
                      <w:highlight w:val="none"/>
                      <w:shd w:val="clear" w:color="auto" w:fill="auto"/>
                      <w:lang w:val="en-US"/>
                    </w:rPr>
                    <w:t>常州市金坛区第二污水厂集中处理，尾水排入尧塘河</w:t>
                  </w:r>
                </w:p>
              </w:tc>
              <w:tc>
                <w:tcPr>
                  <w:tcW w:w="410" w:type="pct"/>
                  <w:tcBorders>
                    <w:tl2br w:val="nil"/>
                    <w:tr2bl w:val="nil"/>
                  </w:tcBorders>
                  <w:vAlign w:val="center"/>
                </w:tcPr>
                <w:p w14:paraId="105FC2BF">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依托现有</w:t>
                  </w:r>
                </w:p>
              </w:tc>
            </w:tr>
            <w:tr w14:paraId="5EFEE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346" w:type="pct"/>
                  <w:vMerge w:val="continue"/>
                  <w:tcBorders>
                    <w:tl2br w:val="nil"/>
                    <w:tr2bl w:val="nil"/>
                  </w:tcBorders>
                  <w:vAlign w:val="center"/>
                </w:tcPr>
                <w:p w14:paraId="4A3AE896">
                  <w:pPr>
                    <w:jc w:val="center"/>
                    <w:rPr>
                      <w:rFonts w:hint="default" w:ascii="Times New Roman" w:hAnsi="Times New Roman" w:eastAsia="宋体" w:cs="Times New Roman"/>
                      <w:color w:val="auto"/>
                      <w:szCs w:val="21"/>
                      <w:highlight w:val="none"/>
                      <w:shd w:val="clear" w:color="auto" w:fill="auto"/>
                      <w:lang w:val="en-US"/>
                    </w:rPr>
                  </w:pPr>
                </w:p>
              </w:tc>
              <w:tc>
                <w:tcPr>
                  <w:tcW w:w="1019" w:type="pct"/>
                  <w:gridSpan w:val="2"/>
                  <w:vMerge w:val="restart"/>
                  <w:tcBorders>
                    <w:tl2br w:val="nil"/>
                    <w:tr2bl w:val="nil"/>
                  </w:tcBorders>
                  <w:vAlign w:val="center"/>
                </w:tcPr>
                <w:p w14:paraId="7652A636">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废气</w:t>
                  </w:r>
                </w:p>
              </w:tc>
              <w:tc>
                <w:tcPr>
                  <w:tcW w:w="1003" w:type="pct"/>
                  <w:vMerge w:val="restart"/>
                  <w:tcBorders>
                    <w:tl2br w:val="nil"/>
                    <w:tr2bl w:val="nil"/>
                  </w:tcBorders>
                  <w:shd w:val="clear" w:color="auto" w:fill="auto"/>
                  <w:vAlign w:val="center"/>
                </w:tcPr>
                <w:p w14:paraId="3E014027">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涂布、烘干废气通过二级活性炭装置处理后通过15m高1#排气筒排放</w:t>
                  </w:r>
                </w:p>
              </w:tc>
              <w:tc>
                <w:tcPr>
                  <w:tcW w:w="2219" w:type="pct"/>
                  <w:gridSpan w:val="2"/>
                  <w:tcBorders>
                    <w:tl2br w:val="nil"/>
                    <w:tr2bl w:val="nil"/>
                  </w:tcBorders>
                  <w:shd w:val="clear" w:color="auto" w:fill="auto"/>
                  <w:vAlign w:val="center"/>
                </w:tcPr>
                <w:p w14:paraId="7A54AF57">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调墨废气、印刷废气、复合废气、熟化废气、清洗废气</w:t>
                  </w:r>
                  <w:r>
                    <w:rPr>
                      <w:rFonts w:hint="default" w:ascii="Times New Roman" w:hAnsi="Times New Roman" w:eastAsia="宋体" w:cs="Times New Roman"/>
                      <w:color w:val="auto"/>
                      <w:kern w:val="2"/>
                      <w:sz w:val="21"/>
                      <w:szCs w:val="21"/>
                      <w:highlight w:val="none"/>
                      <w:shd w:val="clear" w:color="auto" w:fill="auto"/>
                      <w:lang w:val="en-US" w:eastAsia="zh-CN" w:bidi="ar-SA"/>
                    </w:rPr>
                    <w:t>通过一套</w:t>
                  </w:r>
                  <w:r>
                    <w:rPr>
                      <w:rFonts w:hint="eastAsia" w:ascii="Times New Roman" w:hAnsi="Times New Roman" w:eastAsia="宋体" w:cs="Times New Roman"/>
                      <w:color w:val="auto"/>
                      <w:kern w:val="2"/>
                      <w:sz w:val="21"/>
                      <w:szCs w:val="21"/>
                      <w:highlight w:val="none"/>
                      <w:shd w:val="clear" w:color="auto" w:fill="auto"/>
                      <w:lang w:val="en-US" w:eastAsia="zh-CN" w:bidi="ar-SA"/>
                    </w:rPr>
                    <w:t>1#</w:t>
                  </w:r>
                  <w:r>
                    <w:rPr>
                      <w:rFonts w:hint="default" w:ascii="Times New Roman" w:hAnsi="Times New Roman" w:eastAsia="宋体" w:cs="Times New Roman"/>
                      <w:color w:val="auto"/>
                      <w:kern w:val="2"/>
                      <w:sz w:val="21"/>
                      <w:szCs w:val="21"/>
                      <w:highlight w:val="none"/>
                      <w:shd w:val="clear" w:color="auto" w:fill="auto"/>
                      <w:lang w:val="en-US" w:eastAsia="zh-CN" w:bidi="ar-SA"/>
                    </w:rPr>
                    <w:t>二级活性炭吸附装置处理后通过1根18m高的排气筒</w:t>
                  </w:r>
                  <w:r>
                    <w:rPr>
                      <w:rFonts w:hint="eastAsia" w:ascii="Times New Roman" w:hAnsi="Times New Roman" w:eastAsia="宋体" w:cs="Times New Roman"/>
                      <w:color w:val="auto"/>
                      <w:kern w:val="2"/>
                      <w:sz w:val="21"/>
                      <w:szCs w:val="21"/>
                      <w:highlight w:val="none"/>
                      <w:shd w:val="clear" w:color="auto" w:fill="auto"/>
                      <w:lang w:val="en-US" w:eastAsia="zh-CN" w:bidi="ar-SA"/>
                    </w:rPr>
                    <w:t>1#</w:t>
                  </w:r>
                  <w:r>
                    <w:rPr>
                      <w:rFonts w:hint="default" w:ascii="Times New Roman" w:hAnsi="Times New Roman" w:eastAsia="宋体" w:cs="Times New Roman"/>
                      <w:color w:val="auto"/>
                      <w:kern w:val="2"/>
                      <w:sz w:val="21"/>
                      <w:szCs w:val="21"/>
                      <w:highlight w:val="none"/>
                      <w:shd w:val="clear" w:color="auto" w:fill="auto"/>
                      <w:lang w:val="en-US" w:eastAsia="zh-CN" w:bidi="ar-SA"/>
                    </w:rPr>
                    <w:t>排放</w:t>
                  </w:r>
                </w:p>
              </w:tc>
              <w:tc>
                <w:tcPr>
                  <w:tcW w:w="410" w:type="pct"/>
                  <w:tcBorders>
                    <w:tl2br w:val="nil"/>
                    <w:tr2bl w:val="nil"/>
                  </w:tcBorders>
                  <w:vAlign w:val="center"/>
                </w:tcPr>
                <w:p w14:paraId="0DAE629F">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新建</w:t>
                  </w:r>
                </w:p>
              </w:tc>
            </w:tr>
            <w:tr w14:paraId="7B6DD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346" w:type="pct"/>
                  <w:vMerge w:val="continue"/>
                  <w:tcBorders>
                    <w:tl2br w:val="nil"/>
                    <w:tr2bl w:val="nil"/>
                  </w:tcBorders>
                  <w:vAlign w:val="center"/>
                </w:tcPr>
                <w:p w14:paraId="496D3AC8">
                  <w:pPr>
                    <w:jc w:val="center"/>
                    <w:rPr>
                      <w:color w:val="auto"/>
                    </w:rPr>
                  </w:pPr>
                </w:p>
              </w:tc>
              <w:tc>
                <w:tcPr>
                  <w:tcW w:w="1019" w:type="pct"/>
                  <w:gridSpan w:val="2"/>
                  <w:vMerge w:val="continue"/>
                  <w:tcBorders>
                    <w:tl2br w:val="nil"/>
                    <w:tr2bl w:val="nil"/>
                  </w:tcBorders>
                  <w:vAlign w:val="center"/>
                </w:tcPr>
                <w:p w14:paraId="53365F1A">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p>
              </w:tc>
              <w:tc>
                <w:tcPr>
                  <w:tcW w:w="1003" w:type="pct"/>
                  <w:vMerge w:val="continue"/>
                  <w:tcBorders>
                    <w:tl2br w:val="nil"/>
                    <w:tr2bl w:val="nil"/>
                  </w:tcBorders>
                  <w:shd w:val="clear" w:color="auto" w:fill="auto"/>
                  <w:vAlign w:val="center"/>
                </w:tcPr>
                <w:p w14:paraId="1A39D40B">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219" w:type="pct"/>
                  <w:gridSpan w:val="2"/>
                  <w:tcBorders>
                    <w:tl2br w:val="nil"/>
                    <w:tr2bl w:val="nil"/>
                  </w:tcBorders>
                  <w:shd w:val="clear" w:color="auto" w:fill="auto"/>
                  <w:vAlign w:val="center"/>
                </w:tcPr>
                <w:p w14:paraId="66F5D2E3">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吹膜</w:t>
                  </w:r>
                  <w:r>
                    <w:rPr>
                      <w:rFonts w:hint="default" w:ascii="Times New Roman" w:hAnsi="Times New Roman" w:eastAsia="宋体" w:cs="Times New Roman"/>
                      <w:color w:val="auto"/>
                      <w:szCs w:val="21"/>
                      <w:highlight w:val="none"/>
                      <w:shd w:val="clear" w:color="auto" w:fill="auto"/>
                      <w:lang w:val="en-US" w:eastAsia="zh-CN"/>
                    </w:rPr>
                    <w:t>废气</w:t>
                  </w:r>
                  <w:r>
                    <w:rPr>
                      <w:rFonts w:hint="eastAsia" w:ascii="Times New Roman" w:hAnsi="Times New Roman" w:eastAsia="宋体" w:cs="Times New Roman"/>
                      <w:color w:val="auto"/>
                      <w:szCs w:val="21"/>
                      <w:highlight w:val="none"/>
                      <w:shd w:val="clear" w:color="auto" w:fill="auto"/>
                      <w:lang w:val="en-US" w:eastAsia="zh-CN"/>
                    </w:rPr>
                    <w:t>、制袋废气</w:t>
                  </w:r>
                  <w:r>
                    <w:rPr>
                      <w:rFonts w:hint="default" w:ascii="Times New Roman" w:hAnsi="Times New Roman" w:eastAsia="宋体" w:cs="Times New Roman"/>
                      <w:color w:val="auto"/>
                      <w:kern w:val="2"/>
                      <w:sz w:val="21"/>
                      <w:szCs w:val="21"/>
                      <w:highlight w:val="none"/>
                      <w:shd w:val="clear" w:color="auto" w:fill="auto"/>
                      <w:lang w:val="en-US" w:eastAsia="zh-CN" w:bidi="ar-SA"/>
                    </w:rPr>
                    <w:t>通过一套</w:t>
                  </w:r>
                  <w:r>
                    <w:rPr>
                      <w:rFonts w:hint="eastAsia" w:ascii="Times New Roman" w:hAnsi="Times New Roman" w:eastAsia="宋体" w:cs="Times New Roman"/>
                      <w:color w:val="auto"/>
                      <w:kern w:val="2"/>
                      <w:sz w:val="21"/>
                      <w:szCs w:val="21"/>
                      <w:highlight w:val="none"/>
                      <w:shd w:val="clear" w:color="auto" w:fill="auto"/>
                      <w:lang w:val="en-US" w:eastAsia="zh-CN" w:bidi="ar-SA"/>
                    </w:rPr>
                    <w:t>2#</w:t>
                  </w:r>
                  <w:r>
                    <w:rPr>
                      <w:rFonts w:hint="default" w:ascii="Times New Roman" w:hAnsi="Times New Roman" w:eastAsia="宋体" w:cs="Times New Roman"/>
                      <w:color w:val="auto"/>
                      <w:kern w:val="2"/>
                      <w:sz w:val="21"/>
                      <w:szCs w:val="21"/>
                      <w:highlight w:val="none"/>
                      <w:shd w:val="clear" w:color="auto" w:fill="auto"/>
                      <w:lang w:val="en-US" w:eastAsia="zh-CN" w:bidi="ar-SA"/>
                    </w:rPr>
                    <w:t>二级活性炭吸附装置处理后通过1根18m高的排气筒</w:t>
                  </w:r>
                  <w:r>
                    <w:rPr>
                      <w:rFonts w:hint="eastAsia" w:ascii="Times New Roman" w:hAnsi="Times New Roman" w:eastAsia="宋体" w:cs="Times New Roman"/>
                      <w:color w:val="auto"/>
                      <w:kern w:val="2"/>
                      <w:sz w:val="21"/>
                      <w:szCs w:val="21"/>
                      <w:highlight w:val="none"/>
                      <w:shd w:val="clear" w:color="auto" w:fill="auto"/>
                      <w:lang w:val="en-US" w:eastAsia="zh-CN" w:bidi="ar-SA"/>
                    </w:rPr>
                    <w:t>2#</w:t>
                  </w:r>
                  <w:r>
                    <w:rPr>
                      <w:rFonts w:hint="default" w:ascii="Times New Roman" w:hAnsi="Times New Roman" w:eastAsia="宋体" w:cs="Times New Roman"/>
                      <w:color w:val="auto"/>
                      <w:kern w:val="2"/>
                      <w:sz w:val="21"/>
                      <w:szCs w:val="21"/>
                      <w:highlight w:val="none"/>
                      <w:shd w:val="clear" w:color="auto" w:fill="auto"/>
                      <w:lang w:val="en-US" w:eastAsia="zh-CN" w:bidi="ar-SA"/>
                    </w:rPr>
                    <w:t>排放</w:t>
                  </w:r>
                </w:p>
              </w:tc>
              <w:tc>
                <w:tcPr>
                  <w:tcW w:w="410" w:type="pct"/>
                  <w:tcBorders>
                    <w:tl2br w:val="nil"/>
                    <w:tr2bl w:val="nil"/>
                  </w:tcBorders>
                  <w:shd w:val="clear" w:color="auto" w:fill="auto"/>
                  <w:vAlign w:val="center"/>
                </w:tcPr>
                <w:p w14:paraId="3196AEF9">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新建</w:t>
                  </w:r>
                </w:p>
              </w:tc>
            </w:tr>
            <w:tr w14:paraId="226A2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vMerge w:val="continue"/>
                  <w:tcBorders>
                    <w:tl2br w:val="nil"/>
                    <w:tr2bl w:val="nil"/>
                  </w:tcBorders>
                  <w:vAlign w:val="center"/>
                </w:tcPr>
                <w:p w14:paraId="31B2F11E">
                  <w:pPr>
                    <w:jc w:val="center"/>
                    <w:rPr>
                      <w:rFonts w:hint="default" w:ascii="Times New Roman" w:hAnsi="Times New Roman" w:eastAsia="宋体" w:cs="Times New Roman"/>
                      <w:color w:val="auto"/>
                      <w:szCs w:val="21"/>
                      <w:highlight w:val="none"/>
                      <w:shd w:val="clear" w:color="auto" w:fill="auto"/>
                      <w:lang w:val="en-US"/>
                    </w:rPr>
                  </w:pPr>
                </w:p>
              </w:tc>
              <w:tc>
                <w:tcPr>
                  <w:tcW w:w="1019" w:type="pct"/>
                  <w:gridSpan w:val="2"/>
                  <w:tcBorders>
                    <w:tl2br w:val="nil"/>
                    <w:tr2bl w:val="nil"/>
                  </w:tcBorders>
                  <w:vAlign w:val="center"/>
                </w:tcPr>
                <w:p w14:paraId="7C9FEB64">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噪声</w:t>
                  </w:r>
                </w:p>
              </w:tc>
              <w:tc>
                <w:tcPr>
                  <w:tcW w:w="1003" w:type="pct"/>
                  <w:tcBorders>
                    <w:tl2br w:val="nil"/>
                    <w:tr2bl w:val="nil"/>
                  </w:tcBorders>
                  <w:vAlign w:val="center"/>
                </w:tcPr>
                <w:p w14:paraId="0699B44D">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w:t>
                  </w:r>
                </w:p>
              </w:tc>
              <w:tc>
                <w:tcPr>
                  <w:tcW w:w="958" w:type="pct"/>
                  <w:tcBorders>
                    <w:tl2br w:val="nil"/>
                    <w:tr2bl w:val="nil"/>
                  </w:tcBorders>
                  <w:shd w:val="clear" w:color="auto" w:fill="auto"/>
                  <w:vAlign w:val="center"/>
                </w:tcPr>
                <w:p w14:paraId="4C7FAAC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rPr>
                    <w:t>降噪2</w:t>
                  </w:r>
                  <w:r>
                    <w:rPr>
                      <w:rFonts w:hint="default" w:ascii="Times New Roman" w:hAnsi="Times New Roman" w:eastAsia="宋体" w:cs="Times New Roman"/>
                      <w:color w:val="auto"/>
                      <w:szCs w:val="21"/>
                      <w:highlight w:val="none"/>
                      <w:shd w:val="clear" w:color="auto" w:fill="auto"/>
                      <w:lang w:val="en-US" w:eastAsia="zh-CN"/>
                    </w:rPr>
                    <w:t>0</w:t>
                  </w:r>
                  <w:r>
                    <w:rPr>
                      <w:rFonts w:hint="default" w:ascii="Times New Roman" w:hAnsi="Times New Roman" w:eastAsia="宋体" w:cs="Times New Roman"/>
                      <w:color w:val="auto"/>
                      <w:szCs w:val="21"/>
                      <w:highlight w:val="none"/>
                      <w:shd w:val="clear" w:color="auto" w:fill="auto"/>
                      <w:lang w:val="en-US"/>
                    </w:rPr>
                    <w:t>dB</w:t>
                  </w:r>
                  <w:r>
                    <w:rPr>
                      <w:rFonts w:hint="default" w:ascii="Times New Roman" w:hAnsi="Times New Roman" w:eastAsia="宋体" w:cs="Times New Roman"/>
                      <w:color w:val="auto"/>
                      <w:szCs w:val="21"/>
                      <w:highlight w:val="none"/>
                      <w:shd w:val="clear" w:color="auto" w:fill="auto"/>
                      <w:lang w:val="en-US" w:eastAsia="zh-CN"/>
                    </w:rPr>
                    <w:t>（</w:t>
                  </w:r>
                  <w:r>
                    <w:rPr>
                      <w:rFonts w:hint="default" w:ascii="Times New Roman" w:hAnsi="Times New Roman" w:eastAsia="宋体" w:cs="Times New Roman"/>
                      <w:color w:val="auto"/>
                      <w:szCs w:val="21"/>
                      <w:highlight w:val="none"/>
                      <w:shd w:val="clear" w:color="auto" w:fill="auto"/>
                      <w:lang w:val="en-US"/>
                    </w:rPr>
                    <w:t>A</w:t>
                  </w:r>
                  <w:r>
                    <w:rPr>
                      <w:rFonts w:hint="default" w:ascii="Times New Roman" w:hAnsi="Times New Roman" w:eastAsia="宋体" w:cs="Times New Roman"/>
                      <w:color w:val="auto"/>
                      <w:szCs w:val="21"/>
                      <w:highlight w:val="none"/>
                      <w:shd w:val="clear" w:color="auto" w:fill="auto"/>
                      <w:lang w:val="en-US" w:eastAsia="zh-CN"/>
                    </w:rPr>
                    <w:t>）</w:t>
                  </w:r>
                </w:p>
              </w:tc>
              <w:tc>
                <w:tcPr>
                  <w:tcW w:w="1260" w:type="pct"/>
                  <w:tcBorders>
                    <w:tl2br w:val="nil"/>
                    <w:tr2bl w:val="nil"/>
                  </w:tcBorders>
                  <w:vAlign w:val="center"/>
                </w:tcPr>
                <w:p w14:paraId="7E8104FB">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选取厂房隔声、距离衰减</w:t>
                  </w:r>
                </w:p>
              </w:tc>
              <w:tc>
                <w:tcPr>
                  <w:tcW w:w="410" w:type="pct"/>
                  <w:tcBorders>
                    <w:tl2br w:val="nil"/>
                    <w:tr2bl w:val="nil"/>
                  </w:tcBorders>
                  <w:vAlign w:val="center"/>
                </w:tcPr>
                <w:p w14:paraId="349BF5CE">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厂界达标</w:t>
                  </w:r>
                </w:p>
              </w:tc>
            </w:tr>
            <w:tr w14:paraId="18CAC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vMerge w:val="continue"/>
                  <w:tcBorders>
                    <w:tl2br w:val="nil"/>
                    <w:tr2bl w:val="nil"/>
                  </w:tcBorders>
                  <w:vAlign w:val="center"/>
                </w:tcPr>
                <w:p w14:paraId="2B245A79">
                  <w:pPr>
                    <w:jc w:val="center"/>
                    <w:rPr>
                      <w:rFonts w:hint="default" w:ascii="Times New Roman" w:hAnsi="Times New Roman" w:eastAsia="宋体" w:cs="Times New Roman"/>
                      <w:color w:val="auto"/>
                      <w:szCs w:val="21"/>
                      <w:highlight w:val="none"/>
                      <w:shd w:val="clear" w:color="auto" w:fill="auto"/>
                      <w:lang w:val="en-US"/>
                    </w:rPr>
                  </w:pPr>
                </w:p>
              </w:tc>
              <w:tc>
                <w:tcPr>
                  <w:tcW w:w="547" w:type="pct"/>
                  <w:vMerge w:val="restart"/>
                  <w:tcBorders>
                    <w:tl2br w:val="nil"/>
                    <w:tr2bl w:val="nil"/>
                  </w:tcBorders>
                  <w:vAlign w:val="center"/>
                </w:tcPr>
                <w:p w14:paraId="7887F110">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固废</w:t>
                  </w:r>
                </w:p>
              </w:tc>
              <w:tc>
                <w:tcPr>
                  <w:tcW w:w="472" w:type="pct"/>
                  <w:tcBorders>
                    <w:tl2br w:val="nil"/>
                    <w:tr2bl w:val="nil"/>
                  </w:tcBorders>
                  <w:vAlign w:val="center"/>
                </w:tcPr>
                <w:p w14:paraId="120E1D7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rPr>
                    <w:t>一般固废堆场</w:t>
                  </w:r>
                </w:p>
              </w:tc>
              <w:tc>
                <w:tcPr>
                  <w:tcW w:w="1003" w:type="pct"/>
                  <w:tcBorders>
                    <w:tl2br w:val="nil"/>
                    <w:tr2bl w:val="nil"/>
                  </w:tcBorders>
                  <w:shd w:val="clear" w:color="auto" w:fill="auto"/>
                  <w:vAlign w:val="center"/>
                </w:tcPr>
                <w:p w14:paraId="2DE5994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15</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2</w:t>
                  </w:r>
                </w:p>
              </w:tc>
              <w:tc>
                <w:tcPr>
                  <w:tcW w:w="958" w:type="pct"/>
                  <w:tcBorders>
                    <w:tl2br w:val="nil"/>
                    <w:tr2bl w:val="nil"/>
                  </w:tcBorders>
                  <w:shd w:val="clear" w:color="auto" w:fill="auto"/>
                  <w:vAlign w:val="center"/>
                </w:tcPr>
                <w:p w14:paraId="77CA8751">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1</w:t>
                  </w:r>
                  <w:r>
                    <w:rPr>
                      <w:rFonts w:hint="default" w:ascii="Times New Roman" w:hAnsi="Times New Roman" w:eastAsia="宋体" w:cs="Times New Roman"/>
                      <w:color w:val="auto"/>
                      <w:szCs w:val="21"/>
                      <w:highlight w:val="none"/>
                      <w:shd w:val="clear" w:color="auto" w:fill="auto"/>
                      <w:lang w:val="en-US" w:eastAsia="zh-CN"/>
                    </w:rPr>
                    <w:t>0</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2</w:t>
                  </w:r>
                </w:p>
              </w:tc>
              <w:tc>
                <w:tcPr>
                  <w:tcW w:w="1260" w:type="pct"/>
                  <w:tcBorders>
                    <w:tl2br w:val="nil"/>
                    <w:tr2bl w:val="nil"/>
                  </w:tcBorders>
                  <w:vAlign w:val="center"/>
                </w:tcPr>
                <w:p w14:paraId="713FE270">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位于</w:t>
                  </w:r>
                  <w:r>
                    <w:rPr>
                      <w:rFonts w:hint="eastAsia" w:ascii="Times New Roman" w:hAnsi="Times New Roman" w:eastAsia="宋体" w:cs="Times New Roman"/>
                      <w:color w:val="auto"/>
                      <w:szCs w:val="21"/>
                      <w:highlight w:val="none"/>
                      <w:shd w:val="clear" w:color="auto" w:fill="auto"/>
                      <w:lang w:val="en-US" w:eastAsia="zh-CN"/>
                    </w:rPr>
                    <w:t>一层东侧</w:t>
                  </w:r>
                  <w:r>
                    <w:rPr>
                      <w:rFonts w:hint="default" w:ascii="Times New Roman" w:hAnsi="Times New Roman" w:eastAsia="宋体" w:cs="Times New Roman"/>
                      <w:color w:val="auto"/>
                      <w:szCs w:val="21"/>
                      <w:highlight w:val="none"/>
                      <w:shd w:val="clear" w:color="auto" w:fill="auto"/>
                      <w:lang w:val="en-US"/>
                    </w:rPr>
                    <w:t>，堆放一般固废</w:t>
                  </w:r>
                </w:p>
              </w:tc>
              <w:tc>
                <w:tcPr>
                  <w:tcW w:w="410" w:type="pct"/>
                  <w:tcBorders>
                    <w:tl2br w:val="nil"/>
                    <w:tr2bl w:val="nil"/>
                  </w:tcBorders>
                  <w:vAlign w:val="center"/>
                </w:tcPr>
                <w:p w14:paraId="2AA00432">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eastAsia="zh-CN"/>
                    </w:rPr>
                    <w:t>新建</w:t>
                  </w:r>
                </w:p>
              </w:tc>
            </w:tr>
            <w:tr w14:paraId="0D9A9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vMerge w:val="continue"/>
                  <w:tcBorders>
                    <w:tl2br w:val="nil"/>
                    <w:tr2bl w:val="nil"/>
                  </w:tcBorders>
                  <w:vAlign w:val="center"/>
                </w:tcPr>
                <w:p w14:paraId="0FAA6F70">
                  <w:pPr>
                    <w:jc w:val="center"/>
                    <w:rPr>
                      <w:rFonts w:hint="default" w:ascii="Times New Roman" w:hAnsi="Times New Roman" w:eastAsia="宋体" w:cs="Times New Roman"/>
                      <w:color w:val="auto"/>
                      <w:szCs w:val="21"/>
                      <w:highlight w:val="none"/>
                      <w:shd w:val="clear" w:color="auto" w:fill="auto"/>
                      <w:lang w:val="en-US"/>
                    </w:rPr>
                  </w:pPr>
                </w:p>
              </w:tc>
              <w:tc>
                <w:tcPr>
                  <w:tcW w:w="547" w:type="pct"/>
                  <w:vMerge w:val="continue"/>
                  <w:tcBorders>
                    <w:tl2br w:val="nil"/>
                    <w:tr2bl w:val="nil"/>
                  </w:tcBorders>
                  <w:vAlign w:val="center"/>
                </w:tcPr>
                <w:p w14:paraId="1974B82C">
                  <w:pPr>
                    <w:jc w:val="center"/>
                    <w:rPr>
                      <w:rFonts w:hint="default" w:ascii="Times New Roman" w:hAnsi="Times New Roman" w:eastAsia="宋体" w:cs="Times New Roman"/>
                      <w:color w:val="auto"/>
                      <w:szCs w:val="21"/>
                      <w:highlight w:val="none"/>
                      <w:shd w:val="clear" w:color="auto" w:fill="auto"/>
                      <w:lang w:val="en-US"/>
                    </w:rPr>
                  </w:pPr>
                </w:p>
              </w:tc>
              <w:tc>
                <w:tcPr>
                  <w:tcW w:w="472" w:type="pct"/>
                  <w:tcBorders>
                    <w:tl2br w:val="nil"/>
                    <w:tr2bl w:val="nil"/>
                  </w:tcBorders>
                  <w:vAlign w:val="center"/>
                </w:tcPr>
                <w:p w14:paraId="5E55E968">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危废仓库</w:t>
                  </w:r>
                </w:p>
              </w:tc>
              <w:tc>
                <w:tcPr>
                  <w:tcW w:w="1003" w:type="pct"/>
                  <w:tcBorders>
                    <w:tl2br w:val="nil"/>
                    <w:tr2bl w:val="nil"/>
                  </w:tcBorders>
                  <w:shd w:val="clear" w:color="auto" w:fill="auto"/>
                  <w:vAlign w:val="center"/>
                </w:tcPr>
                <w:p w14:paraId="5A8EC09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30</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2</w:t>
                  </w:r>
                </w:p>
              </w:tc>
              <w:tc>
                <w:tcPr>
                  <w:tcW w:w="958" w:type="pct"/>
                  <w:tcBorders>
                    <w:tl2br w:val="nil"/>
                    <w:tr2bl w:val="nil"/>
                  </w:tcBorders>
                  <w:shd w:val="clear" w:color="auto" w:fill="auto"/>
                  <w:vAlign w:val="center"/>
                </w:tcPr>
                <w:p w14:paraId="0E72D8BB">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10</w:t>
                  </w:r>
                  <w:r>
                    <w:rPr>
                      <w:rFonts w:hint="default" w:ascii="Times New Roman" w:hAnsi="Times New Roman" w:eastAsia="宋体" w:cs="Times New Roman"/>
                      <w:color w:val="auto"/>
                      <w:szCs w:val="21"/>
                      <w:highlight w:val="none"/>
                      <w:shd w:val="clear" w:color="auto" w:fill="auto"/>
                      <w:lang w:val="en-US"/>
                    </w:rPr>
                    <w:t>m</w:t>
                  </w:r>
                  <w:r>
                    <w:rPr>
                      <w:rFonts w:hint="default" w:ascii="Times New Roman" w:hAnsi="Times New Roman" w:eastAsia="宋体" w:cs="Times New Roman"/>
                      <w:color w:val="auto"/>
                      <w:szCs w:val="21"/>
                      <w:highlight w:val="none"/>
                      <w:shd w:val="clear" w:color="auto" w:fill="auto"/>
                      <w:vertAlign w:val="superscript"/>
                      <w:lang w:val="en-US"/>
                    </w:rPr>
                    <w:t>2</w:t>
                  </w:r>
                </w:p>
              </w:tc>
              <w:tc>
                <w:tcPr>
                  <w:tcW w:w="1260" w:type="pct"/>
                  <w:tcBorders>
                    <w:tl2br w:val="nil"/>
                    <w:tr2bl w:val="nil"/>
                  </w:tcBorders>
                  <w:vAlign w:val="center"/>
                </w:tcPr>
                <w:p w14:paraId="16D90C74">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位于</w:t>
                  </w:r>
                  <w:r>
                    <w:rPr>
                      <w:rFonts w:hint="eastAsia" w:ascii="Times New Roman" w:hAnsi="Times New Roman" w:eastAsia="宋体" w:cs="Times New Roman"/>
                      <w:color w:val="auto"/>
                      <w:szCs w:val="21"/>
                      <w:highlight w:val="none"/>
                      <w:shd w:val="clear" w:color="auto" w:fill="auto"/>
                      <w:lang w:val="en-US" w:eastAsia="zh-CN"/>
                    </w:rPr>
                    <w:t>一层东南角</w:t>
                  </w:r>
                  <w:r>
                    <w:rPr>
                      <w:rFonts w:hint="default" w:ascii="Times New Roman" w:hAnsi="Times New Roman" w:eastAsia="宋体" w:cs="Times New Roman"/>
                      <w:color w:val="auto"/>
                      <w:szCs w:val="21"/>
                      <w:highlight w:val="none"/>
                      <w:shd w:val="clear" w:color="auto" w:fill="auto"/>
                      <w:lang w:val="en-US"/>
                    </w:rPr>
                    <w:t>，存放危险废物</w:t>
                  </w:r>
                </w:p>
              </w:tc>
              <w:tc>
                <w:tcPr>
                  <w:tcW w:w="410" w:type="pct"/>
                  <w:tcBorders>
                    <w:tl2br w:val="nil"/>
                    <w:tr2bl w:val="nil"/>
                  </w:tcBorders>
                  <w:vAlign w:val="center"/>
                </w:tcPr>
                <w:p w14:paraId="2DAA8B0C">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eastAsia="zh-CN"/>
                    </w:rPr>
                    <w:t>新建</w:t>
                  </w:r>
                </w:p>
              </w:tc>
            </w:tr>
            <w:tr w14:paraId="69C27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6" w:type="pct"/>
                  <w:tcBorders>
                    <w:tl2br w:val="nil"/>
                    <w:tr2bl w:val="nil"/>
                  </w:tcBorders>
                  <w:shd w:val="clear" w:color="auto" w:fill="auto"/>
                  <w:vAlign w:val="center"/>
                </w:tcPr>
                <w:p w14:paraId="463073D8">
                  <w:pPr>
                    <w:pStyle w:val="78"/>
                    <w:ind w:firstLine="0" w:firstLineChars="0"/>
                    <w:rPr>
                      <w:rFonts w:hint="default" w:ascii="Times New Roman" w:hAnsi="Times New Roman" w:eastAsia="宋体" w:cs="Times New Roman"/>
                      <w:color w:val="auto"/>
                      <w:kern w:val="0"/>
                      <w:sz w:val="21"/>
                      <w:szCs w:val="20"/>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lang w:val="en-US" w:eastAsia="zh-CN"/>
                    </w:rPr>
                    <w:t>风险工程</w:t>
                  </w:r>
                </w:p>
              </w:tc>
              <w:tc>
                <w:tcPr>
                  <w:tcW w:w="1019" w:type="pct"/>
                  <w:gridSpan w:val="2"/>
                  <w:tcBorders>
                    <w:tl2br w:val="nil"/>
                    <w:tr2bl w:val="nil"/>
                  </w:tcBorders>
                  <w:shd w:val="clear" w:color="auto" w:fill="auto"/>
                  <w:vAlign w:val="center"/>
                </w:tcPr>
                <w:p w14:paraId="18790FA8">
                  <w:pPr>
                    <w:pStyle w:val="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rPr>
                    <w:t>环境风险应急设施</w:t>
                  </w:r>
                </w:p>
              </w:tc>
              <w:tc>
                <w:tcPr>
                  <w:tcW w:w="1003" w:type="pct"/>
                  <w:tcBorders>
                    <w:tl2br w:val="nil"/>
                    <w:tr2bl w:val="nil"/>
                  </w:tcBorders>
                  <w:shd w:val="clear" w:color="auto" w:fill="auto"/>
                  <w:vAlign w:val="center"/>
                </w:tcPr>
                <w:p w14:paraId="52CC1156">
                  <w:pPr>
                    <w:pStyle w:val="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2219" w:type="pct"/>
                  <w:gridSpan w:val="2"/>
                  <w:tcBorders>
                    <w:tl2br w:val="nil"/>
                    <w:tr2bl w:val="nil"/>
                  </w:tcBorders>
                  <w:shd w:val="clear" w:color="auto" w:fill="auto"/>
                  <w:vAlign w:val="center"/>
                </w:tcPr>
                <w:p w14:paraId="19DC43CF">
                  <w:pPr>
                    <w:pStyle w:val="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rPr>
                  </w:pPr>
                  <w:r>
                    <w:rPr>
                      <w:rFonts w:hint="default" w:ascii="Times New Roman" w:hAnsi="Times New Roman" w:eastAsia="宋体" w:cs="Times New Roman"/>
                      <w:color w:val="auto"/>
                      <w:sz w:val="21"/>
                      <w:szCs w:val="21"/>
                      <w:highlight w:val="none"/>
                      <w:shd w:val="clear" w:color="auto" w:fill="auto"/>
                      <w:lang w:val="en-US"/>
                    </w:rPr>
                    <w:t>车间内配套消防灭火设施</w:t>
                  </w:r>
                  <w:r>
                    <w:rPr>
                      <w:rFonts w:hint="default" w:ascii="Times New Roman" w:hAnsi="Times New Roman" w:eastAsia="宋体" w:cs="Times New Roman"/>
                      <w:color w:val="auto"/>
                      <w:sz w:val="21"/>
                      <w:szCs w:val="21"/>
                      <w:highlight w:val="none"/>
                      <w:shd w:val="clear" w:color="auto" w:fill="auto"/>
                      <w:lang w:val="en-US" w:eastAsia="zh-CN"/>
                    </w:rPr>
                    <w:t>，拟建设</w:t>
                  </w:r>
                  <w:r>
                    <w:rPr>
                      <w:rFonts w:hint="eastAsia" w:cs="Times New Roman"/>
                      <w:color w:val="auto"/>
                      <w:sz w:val="21"/>
                      <w:szCs w:val="21"/>
                      <w:highlight w:val="none"/>
                      <w:shd w:val="clear" w:color="auto" w:fill="auto"/>
                      <w:lang w:val="en-US" w:eastAsia="zh-CN"/>
                    </w:rPr>
                    <w:t>2</w:t>
                  </w:r>
                  <w:r>
                    <w:rPr>
                      <w:rFonts w:hint="default" w:ascii="Times New Roman" w:hAnsi="Times New Roman" w:eastAsia="宋体" w:cs="Times New Roman"/>
                      <w:color w:val="auto"/>
                      <w:sz w:val="21"/>
                      <w:szCs w:val="21"/>
                      <w:highlight w:val="none"/>
                      <w:shd w:val="clear" w:color="auto" w:fill="auto"/>
                      <w:lang w:val="en-US" w:eastAsia="zh-CN"/>
                    </w:rPr>
                    <w:t>0m³事故应急池</w:t>
                  </w:r>
                </w:p>
              </w:tc>
              <w:tc>
                <w:tcPr>
                  <w:tcW w:w="410" w:type="pct"/>
                  <w:tcBorders>
                    <w:tl2br w:val="nil"/>
                    <w:tr2bl w:val="nil"/>
                  </w:tcBorders>
                  <w:shd w:val="clear" w:color="auto" w:fill="auto"/>
                  <w:vAlign w:val="center"/>
                </w:tcPr>
                <w:p w14:paraId="58B44E34">
                  <w:pPr>
                    <w:pStyle w:val="78"/>
                    <w:spacing w:line="240" w:lineRule="auto"/>
                    <w:ind w:firstLine="0" w:firstLineChars="0"/>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bidi="ar-SA"/>
                    </w:rPr>
                    <w:t>新建</w:t>
                  </w:r>
                </w:p>
              </w:tc>
            </w:tr>
          </w:tbl>
          <w:p w14:paraId="0848E66D">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rPr>
            </w:pPr>
            <w:r>
              <w:rPr>
                <w:rFonts w:hint="default" w:ascii="Times New Roman" w:hAnsi="Times New Roman" w:eastAsia="宋体" w:cs="Times New Roman"/>
                <w:b/>
                <w:bCs/>
                <w:color w:val="auto"/>
                <w:sz w:val="24"/>
              </w:rPr>
              <w:t>拆除搬迁计划</w:t>
            </w:r>
            <w:r>
              <w:rPr>
                <w:rFonts w:hint="eastAsia" w:ascii="Times New Roman" w:hAnsi="Times New Roman" w:eastAsia="宋体" w:cs="Times New Roman"/>
                <w:b/>
                <w:bCs/>
                <w:color w:val="auto"/>
                <w:sz w:val="24"/>
                <w:lang w:eastAsia="zh-CN"/>
              </w:rPr>
              <w:t>：</w:t>
            </w:r>
          </w:p>
          <w:p w14:paraId="7AB677C0">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本项目为搬迁项目，对原址建设内容进行拆除，拆除完成后，对场地进行彻底清理，清除残留的建筑垃圾和有害物质。</w:t>
            </w:r>
          </w:p>
          <w:p w14:paraId="614F75D9">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本项目取得批复3个月内完成拆除并搬迁至</w:t>
            </w:r>
            <w:r>
              <w:rPr>
                <w:rFonts w:hint="eastAsia" w:ascii="Times New Roman" w:hAnsi="Times New Roman" w:eastAsia="宋体" w:cs="Times New Roman"/>
                <w:b w:val="0"/>
                <w:bCs w:val="0"/>
                <w:color w:val="auto"/>
                <w:sz w:val="24"/>
                <w:lang w:val="en-US" w:eastAsia="zh-CN"/>
              </w:rPr>
              <w:t>新址</w:t>
            </w:r>
            <w:r>
              <w:rPr>
                <w:rFonts w:hint="default" w:ascii="Times New Roman" w:hAnsi="Times New Roman" w:eastAsia="宋体" w:cs="Times New Roman"/>
                <w:b w:val="0"/>
                <w:bCs w:val="0"/>
                <w:color w:val="auto"/>
                <w:sz w:val="24"/>
              </w:rPr>
              <w:t>。制定详细的搬迁计划表，包括前期准备、搬迁实施等阶段。明确搬迁的具体步骤，如设备拆除、包装、运输、安装等。</w:t>
            </w:r>
          </w:p>
          <w:p w14:paraId="3BA4789D">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b/>
                <w:bCs/>
                <w:color w:val="auto"/>
                <w:sz w:val="24"/>
                <w:lang w:eastAsia="zh-CN"/>
              </w:rPr>
              <w:t>依托可行性分析：</w:t>
            </w:r>
          </w:p>
          <w:p w14:paraId="3273A47B">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本项目租用租赁</w:t>
            </w:r>
            <w:r>
              <w:rPr>
                <w:rFonts w:hint="eastAsia" w:ascii="Times New Roman" w:hAnsi="Times New Roman" w:eastAsia="宋体" w:cs="Times New Roman"/>
                <w:color w:val="auto"/>
                <w:sz w:val="24"/>
                <w:lang w:eastAsia="zh-CN"/>
              </w:rPr>
              <w:t>江苏高高制衣有限公司</w:t>
            </w:r>
            <w:r>
              <w:rPr>
                <w:rFonts w:hint="default" w:ascii="Times New Roman" w:hAnsi="Times New Roman" w:eastAsia="宋体" w:cs="Times New Roman"/>
                <w:color w:val="auto"/>
                <w:sz w:val="24"/>
                <w:lang w:eastAsia="zh-CN"/>
              </w:rPr>
              <w:t>位于江苏省常州市金坛区晨风路188号的现有空置厂房</w:t>
            </w:r>
            <w:r>
              <w:rPr>
                <w:rFonts w:hint="eastAsia" w:ascii="Times New Roman" w:hAnsi="Times New Roman" w:eastAsia="宋体" w:cs="Times New Roman"/>
                <w:color w:val="auto"/>
                <w:sz w:val="24"/>
                <w:lang w:val="en-US" w:eastAsia="zh-CN"/>
              </w:rPr>
              <w:t>车间四</w:t>
            </w:r>
            <w:r>
              <w:rPr>
                <w:rFonts w:hint="default" w:ascii="Times New Roman" w:hAnsi="Times New Roman" w:eastAsia="宋体" w:cs="Times New Roman"/>
                <w:color w:val="auto"/>
                <w:sz w:val="24"/>
                <w:lang w:eastAsia="zh-CN"/>
              </w:rPr>
              <w:t>，建筑面积共</w:t>
            </w:r>
            <w:r>
              <w:rPr>
                <w:rFonts w:hint="eastAsia" w:ascii="Times New Roman" w:hAnsi="Times New Roman" w:eastAsia="宋体" w:cs="Times New Roman"/>
                <w:color w:val="auto"/>
                <w:sz w:val="24"/>
                <w:lang w:val="en-US" w:eastAsia="zh-CN"/>
              </w:rPr>
              <w:t>45</w:t>
            </w:r>
            <w:r>
              <w:rPr>
                <w:rFonts w:hint="default" w:ascii="Times New Roman" w:hAnsi="Times New Roman" w:eastAsia="宋体" w:cs="Times New Roman"/>
                <w:color w:val="auto"/>
                <w:sz w:val="24"/>
                <w:lang w:val="en-US" w:eastAsia="zh-CN"/>
              </w:rPr>
              <w:t>00</w:t>
            </w:r>
            <w:r>
              <w:rPr>
                <w:rFonts w:hint="default" w:ascii="Times New Roman" w:hAnsi="Times New Roman" w:eastAsia="宋体" w:cs="Times New Roman"/>
                <w:color w:val="auto"/>
                <w:sz w:val="24"/>
                <w:lang w:eastAsia="zh-CN"/>
              </w:rPr>
              <w:t>m</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lang w:eastAsia="zh-CN"/>
              </w:rPr>
              <w:t>，可满足本项目生产所需；</w:t>
            </w:r>
            <w:r>
              <w:rPr>
                <w:rFonts w:hint="eastAsia" w:ascii="Times New Roman" w:hAnsi="Times New Roman" w:eastAsia="宋体" w:cs="Times New Roman"/>
                <w:color w:val="auto"/>
                <w:sz w:val="24"/>
                <w:lang w:eastAsia="zh-CN"/>
              </w:rPr>
              <w:t>江苏高高制衣有限公司</w:t>
            </w:r>
            <w:r>
              <w:rPr>
                <w:rFonts w:hint="default" w:ascii="Times New Roman" w:hAnsi="Times New Roman" w:eastAsia="宋体" w:cs="Times New Roman"/>
                <w:color w:val="auto"/>
                <w:sz w:val="24"/>
                <w:lang w:eastAsia="zh-CN"/>
              </w:rPr>
              <w:t>已实施雨污分流，已建设污水管网及排口、雨水管网及排口、供电线路及供水管网。供水由市政给水管网提供，依托厂区已建管网；排水依托厂区现有雨污管网，供电依托厂区供电管网，满足本项目使用需求。</w:t>
            </w:r>
          </w:p>
          <w:p w14:paraId="496B3DD6">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highlight w:val="none"/>
                <w:shd w:val="clear" w:color="auto" w:fill="auto"/>
                <w:lang w:val="en-US"/>
              </w:rPr>
            </w:pPr>
            <w:r>
              <w:rPr>
                <w:rFonts w:hint="default" w:ascii="Times New Roman" w:hAnsi="Times New Roman" w:eastAsia="宋体" w:cs="Times New Roman"/>
                <w:b/>
                <w:color w:val="auto"/>
                <w:sz w:val="24"/>
                <w:szCs w:val="24"/>
                <w:highlight w:val="none"/>
                <w:shd w:val="clear" w:color="auto" w:fill="auto"/>
                <w:lang w:val="en-US"/>
              </w:rPr>
              <w:t>公用工程说明：</w:t>
            </w:r>
          </w:p>
          <w:p w14:paraId="0DF7F829">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highlight w:val="none"/>
                <w:shd w:val="clear" w:color="auto" w:fill="auto"/>
                <w:lang w:val="en-US"/>
              </w:rPr>
            </w:pPr>
            <w:r>
              <w:rPr>
                <w:rFonts w:hint="default" w:ascii="Times New Roman" w:hAnsi="Times New Roman" w:eastAsia="宋体" w:cs="Times New Roman"/>
                <w:b/>
                <w:color w:val="auto"/>
                <w:sz w:val="24"/>
                <w:szCs w:val="24"/>
                <w:highlight w:val="none"/>
                <w:shd w:val="clear" w:color="auto" w:fill="auto"/>
                <w:lang w:val="en-US"/>
              </w:rPr>
              <w:t>（1）给</w:t>
            </w:r>
            <w:r>
              <w:rPr>
                <w:rFonts w:hint="default" w:ascii="Times New Roman" w:hAnsi="Times New Roman" w:eastAsia="宋体" w:cs="Times New Roman"/>
                <w:b/>
                <w:color w:val="auto"/>
                <w:sz w:val="24"/>
                <w:szCs w:val="24"/>
                <w:highlight w:val="none"/>
                <w:shd w:val="clear" w:color="auto" w:fill="auto"/>
                <w:lang w:val="en-US" w:eastAsia="zh-CN"/>
              </w:rPr>
              <w:t>排</w:t>
            </w:r>
            <w:r>
              <w:rPr>
                <w:rFonts w:hint="default" w:ascii="Times New Roman" w:hAnsi="Times New Roman" w:eastAsia="宋体" w:cs="Times New Roman"/>
                <w:b/>
                <w:color w:val="auto"/>
                <w:sz w:val="24"/>
                <w:szCs w:val="24"/>
                <w:highlight w:val="none"/>
                <w:shd w:val="clear" w:color="auto" w:fill="auto"/>
                <w:lang w:val="en-US"/>
              </w:rPr>
              <w:t>水</w:t>
            </w:r>
          </w:p>
          <w:p w14:paraId="1171A365">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b/>
                <w:color w:val="auto"/>
                <w:sz w:val="24"/>
                <w:szCs w:val="24"/>
                <w:highlight w:val="none"/>
                <w:shd w:val="clear" w:color="auto" w:fill="auto"/>
                <w:lang w:val="en-US"/>
              </w:rPr>
              <w:t>生活用水：</w:t>
            </w:r>
            <w:r>
              <w:rPr>
                <w:rFonts w:hint="default" w:ascii="Times New Roman" w:hAnsi="Times New Roman" w:eastAsia="宋体" w:cs="Times New Roman"/>
                <w:bCs/>
                <w:color w:val="auto"/>
                <w:sz w:val="24"/>
                <w:szCs w:val="24"/>
                <w:highlight w:val="none"/>
                <w:shd w:val="clear" w:color="auto" w:fill="auto"/>
                <w:lang w:val="en-US"/>
              </w:rPr>
              <w:t>本项目员工定员为</w:t>
            </w:r>
            <w:r>
              <w:rPr>
                <w:rFonts w:hint="eastAsia" w:ascii="Times New Roman" w:hAnsi="Times New Roman" w:eastAsia="宋体" w:cs="Times New Roman"/>
                <w:bCs/>
                <w:color w:val="auto"/>
                <w:sz w:val="24"/>
                <w:szCs w:val="24"/>
                <w:highlight w:val="none"/>
                <w:shd w:val="clear" w:color="auto" w:fill="auto"/>
                <w:lang w:val="en-US" w:eastAsia="zh-CN"/>
              </w:rPr>
              <w:t>2</w:t>
            </w:r>
            <w:r>
              <w:rPr>
                <w:rFonts w:hint="default" w:ascii="Times New Roman" w:hAnsi="Times New Roman" w:eastAsia="宋体" w:cs="Times New Roman"/>
                <w:bCs/>
                <w:color w:val="auto"/>
                <w:sz w:val="24"/>
                <w:szCs w:val="24"/>
                <w:highlight w:val="none"/>
                <w:shd w:val="clear" w:color="auto" w:fill="auto"/>
                <w:lang w:val="en-US" w:eastAsia="zh-CN"/>
              </w:rPr>
              <w:t>0</w:t>
            </w:r>
            <w:r>
              <w:rPr>
                <w:rFonts w:hint="default" w:ascii="Times New Roman" w:hAnsi="Times New Roman" w:eastAsia="宋体" w:cs="Times New Roman"/>
                <w:bCs/>
                <w:color w:val="auto"/>
                <w:sz w:val="24"/>
                <w:szCs w:val="24"/>
                <w:highlight w:val="none"/>
                <w:shd w:val="clear" w:color="auto" w:fill="auto"/>
                <w:lang w:val="en-US"/>
              </w:rPr>
              <w:t>人，年工作日约300天，根据《常州市工业、服务业和生活用水定额》（2016年修订），办公生活用水量按照</w:t>
            </w:r>
            <w:r>
              <w:rPr>
                <w:rFonts w:hint="default" w:ascii="Times New Roman" w:hAnsi="Times New Roman" w:eastAsia="宋体" w:cs="Times New Roman"/>
                <w:bCs/>
                <w:color w:val="auto"/>
                <w:sz w:val="24"/>
                <w:szCs w:val="24"/>
                <w:highlight w:val="none"/>
                <w:shd w:val="clear" w:color="auto" w:fill="auto"/>
                <w:lang w:val="en-US" w:eastAsia="zh-CN"/>
              </w:rPr>
              <w:t>10</w:t>
            </w:r>
            <w:r>
              <w:rPr>
                <w:rFonts w:hint="default" w:ascii="Times New Roman" w:hAnsi="Times New Roman" w:eastAsia="宋体" w:cs="Times New Roman"/>
                <w:bCs/>
                <w:color w:val="auto"/>
                <w:sz w:val="24"/>
                <w:szCs w:val="24"/>
                <w:highlight w:val="none"/>
                <w:shd w:val="clear" w:color="auto" w:fill="auto"/>
                <w:lang w:val="en-US"/>
              </w:rPr>
              <w:t>0L/人·d计算，则本项目生活用水</w:t>
            </w:r>
            <w:r>
              <w:rPr>
                <w:rFonts w:hint="default" w:ascii="Times New Roman" w:hAnsi="Times New Roman" w:eastAsia="宋体" w:cs="Times New Roman"/>
                <w:bCs/>
                <w:color w:val="auto"/>
                <w:sz w:val="24"/>
                <w:szCs w:val="24"/>
                <w:highlight w:val="none"/>
                <w:shd w:val="clear" w:color="auto" w:fill="auto"/>
                <w:lang w:val="en-US" w:eastAsia="zh-CN"/>
              </w:rPr>
              <w:t>总需求量为</w:t>
            </w:r>
            <w:r>
              <w:rPr>
                <w:rFonts w:hint="eastAsia" w:ascii="Times New Roman" w:hAnsi="Times New Roman" w:eastAsia="宋体" w:cs="Times New Roman"/>
                <w:bCs/>
                <w:color w:val="auto"/>
                <w:sz w:val="24"/>
                <w:szCs w:val="24"/>
                <w:highlight w:val="none"/>
                <w:shd w:val="clear" w:color="auto" w:fill="auto"/>
                <w:lang w:val="en-US" w:eastAsia="zh-CN"/>
              </w:rPr>
              <w:t>6</w:t>
            </w:r>
            <w:r>
              <w:rPr>
                <w:rFonts w:hint="default" w:ascii="Times New Roman" w:hAnsi="Times New Roman" w:eastAsia="宋体" w:cs="Times New Roman"/>
                <w:bCs/>
                <w:color w:val="auto"/>
                <w:sz w:val="24"/>
                <w:szCs w:val="24"/>
                <w:highlight w:val="none"/>
                <w:shd w:val="clear" w:color="auto" w:fill="auto"/>
                <w:lang w:val="en-US" w:eastAsia="zh-CN"/>
              </w:rPr>
              <w:t>00t/a。</w:t>
            </w:r>
            <w:r>
              <w:rPr>
                <w:rFonts w:hint="default" w:ascii="Times New Roman" w:hAnsi="Times New Roman" w:eastAsia="宋体" w:cs="Times New Roman"/>
                <w:bCs/>
                <w:color w:val="auto"/>
                <w:sz w:val="24"/>
                <w:szCs w:val="24"/>
                <w:highlight w:val="none"/>
                <w:shd w:val="clear" w:color="auto" w:fill="auto"/>
                <w:lang w:val="en-US"/>
              </w:rPr>
              <w:t>生活污水量按照用水量的80%计，污水产生量约</w:t>
            </w:r>
            <w:r>
              <w:rPr>
                <w:rFonts w:hint="eastAsia" w:ascii="Times New Roman" w:hAnsi="Times New Roman" w:eastAsia="宋体" w:cs="Times New Roman"/>
                <w:bCs/>
                <w:color w:val="auto"/>
                <w:sz w:val="24"/>
                <w:szCs w:val="24"/>
                <w:highlight w:val="none"/>
                <w:shd w:val="clear" w:color="auto" w:fill="auto"/>
                <w:lang w:val="en-US" w:eastAsia="zh-CN"/>
              </w:rPr>
              <w:t>48</w:t>
            </w:r>
            <w:r>
              <w:rPr>
                <w:rFonts w:hint="default" w:ascii="Times New Roman" w:hAnsi="Times New Roman" w:eastAsia="宋体" w:cs="Times New Roman"/>
                <w:bCs/>
                <w:color w:val="auto"/>
                <w:sz w:val="24"/>
                <w:szCs w:val="24"/>
                <w:highlight w:val="none"/>
                <w:shd w:val="clear" w:color="auto" w:fill="auto"/>
                <w:lang w:val="en-US" w:eastAsia="zh-CN"/>
              </w:rPr>
              <w:t>0</w:t>
            </w:r>
            <w:r>
              <w:rPr>
                <w:rFonts w:hint="default" w:ascii="Times New Roman" w:hAnsi="Times New Roman" w:eastAsia="宋体" w:cs="Times New Roman"/>
                <w:bCs/>
                <w:color w:val="auto"/>
                <w:sz w:val="24"/>
                <w:szCs w:val="24"/>
                <w:highlight w:val="none"/>
                <w:shd w:val="clear" w:color="auto" w:fill="auto"/>
                <w:lang w:val="en-US"/>
              </w:rPr>
              <w:t>t/a，</w:t>
            </w:r>
            <w:r>
              <w:rPr>
                <w:rFonts w:hint="eastAsia" w:ascii="Times New Roman" w:hAnsi="Times New Roman" w:eastAsia="宋体" w:cs="Times New Roman"/>
                <w:bCs/>
                <w:color w:val="auto"/>
                <w:sz w:val="24"/>
                <w:szCs w:val="24"/>
                <w:highlight w:val="none"/>
                <w:shd w:val="clear" w:color="auto" w:fill="auto"/>
                <w:lang w:val="en-US" w:eastAsia="zh-CN"/>
              </w:rPr>
              <w:t>经</w:t>
            </w:r>
            <w:r>
              <w:rPr>
                <w:rFonts w:hint="default" w:ascii="Times New Roman" w:hAnsi="Times New Roman" w:eastAsia="宋体" w:cs="Times New Roman"/>
                <w:bCs/>
                <w:color w:val="auto"/>
                <w:sz w:val="24"/>
                <w:szCs w:val="24"/>
                <w:highlight w:val="none"/>
                <w:shd w:val="clear" w:color="auto" w:fill="auto"/>
                <w:lang w:val="en-US" w:eastAsia="zh-CN"/>
              </w:rPr>
              <w:t>市政污水管网接至</w:t>
            </w:r>
            <w:r>
              <w:rPr>
                <w:rFonts w:hint="default" w:ascii="Times New Roman" w:hAnsi="Times New Roman" w:eastAsia="宋体" w:cs="Times New Roman"/>
                <w:color w:val="auto"/>
                <w:sz w:val="24"/>
                <w:highlight w:val="none"/>
                <w:shd w:val="clear" w:color="auto" w:fill="auto"/>
                <w:lang w:val="en-US"/>
              </w:rPr>
              <w:t>常州市金坛第二污水处理厂集中处理，处理后尾水排入尧塘河。</w:t>
            </w:r>
          </w:p>
          <w:p w14:paraId="4A1E09F9">
            <w:pPr>
              <w:keepNext w:val="0"/>
              <w:keepLines w:val="0"/>
              <w:pageBreakBefore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color w:val="auto"/>
                <w:sz w:val="24"/>
                <w:szCs w:val="24"/>
              </w:rPr>
              <w:t>冷水机用水</w:t>
            </w:r>
            <w:r>
              <w:rPr>
                <w:rFonts w:hint="default" w:ascii="Times New Roman" w:hAnsi="Times New Roman" w:eastAsia="宋体" w:cs="Times New Roman"/>
                <w:b/>
                <w:color w:val="auto"/>
                <w:sz w:val="24"/>
                <w:szCs w:val="24"/>
                <w:lang w:eastAsia="zh-CN"/>
              </w:rPr>
              <w:t>：</w:t>
            </w:r>
            <w:r>
              <w:rPr>
                <w:rFonts w:hint="default" w:ascii="Times New Roman" w:hAnsi="Times New Roman" w:eastAsia="宋体" w:cs="Times New Roman"/>
                <w:b w:val="0"/>
                <w:bCs/>
                <w:color w:val="auto"/>
                <w:sz w:val="24"/>
                <w:szCs w:val="24"/>
              </w:rPr>
              <w:t>本项目</w:t>
            </w:r>
            <w:r>
              <w:rPr>
                <w:rFonts w:hint="default" w:ascii="Times New Roman" w:hAnsi="Times New Roman" w:eastAsia="宋体" w:cs="Times New Roman"/>
                <w:b w:val="0"/>
                <w:bCs/>
                <w:color w:val="auto"/>
                <w:sz w:val="24"/>
                <w:szCs w:val="24"/>
                <w:lang w:val="en-US" w:eastAsia="zh-CN"/>
              </w:rPr>
              <w:t>采用</w:t>
            </w:r>
            <w:r>
              <w:rPr>
                <w:rFonts w:hint="eastAsia" w:ascii="Times New Roman" w:hAnsi="Times New Roman" w:eastAsia="宋体" w:cs="Times New Roman"/>
                <w:b w:val="0"/>
                <w:bCs/>
                <w:color w:val="auto"/>
                <w:sz w:val="24"/>
                <w:szCs w:val="24"/>
                <w:lang w:val="en-US" w:eastAsia="zh-CN"/>
              </w:rPr>
              <w:t>制袋</w:t>
            </w:r>
            <w:r>
              <w:rPr>
                <w:rFonts w:hint="default" w:ascii="Times New Roman" w:hAnsi="Times New Roman" w:eastAsia="宋体" w:cs="Times New Roman"/>
                <w:b w:val="0"/>
                <w:bCs/>
                <w:color w:val="auto"/>
                <w:sz w:val="24"/>
                <w:szCs w:val="24"/>
                <w:lang w:val="en-US" w:eastAsia="zh-CN"/>
              </w:rPr>
              <w:t>机设备自带</w:t>
            </w:r>
            <w:r>
              <w:rPr>
                <w:rFonts w:hint="eastAsia" w:ascii="Times New Roman" w:hAnsi="Times New Roman" w:eastAsia="宋体" w:cs="Times New Roman"/>
                <w:b w:val="0"/>
                <w:bCs/>
                <w:color w:val="auto"/>
                <w:sz w:val="24"/>
                <w:szCs w:val="24"/>
                <w:lang w:val="en-US" w:eastAsia="zh-CN"/>
              </w:rPr>
              <w:t>的冷水机对设备上的热封刀进行间接冷却</w:t>
            </w:r>
            <w:r>
              <w:rPr>
                <w:rFonts w:hint="default" w:ascii="Times New Roman" w:hAnsi="Times New Roman" w:eastAsia="宋体" w:cs="Times New Roman"/>
                <w:b w:val="0"/>
                <w:bCs/>
                <w:color w:val="auto"/>
                <w:sz w:val="24"/>
                <w:szCs w:val="24"/>
                <w:lang w:val="en-US" w:eastAsia="zh-CN"/>
              </w:rPr>
              <w:t>，冷却</w:t>
            </w:r>
            <w:r>
              <w:rPr>
                <w:rFonts w:hint="default" w:ascii="Times New Roman" w:hAnsi="Times New Roman" w:eastAsia="宋体" w:cs="Times New Roman"/>
                <w:b w:val="0"/>
                <w:bCs/>
                <w:color w:val="auto"/>
                <w:sz w:val="24"/>
                <w:szCs w:val="24"/>
              </w:rPr>
              <w:t>供水系统为闭式循环系统，循环水量为</w:t>
            </w:r>
            <w:r>
              <w:rPr>
                <w:rFonts w:hint="eastAsia" w:ascii="Times New Roman" w:hAnsi="Times New Roman" w:eastAsia="宋体" w:cs="Times New Roman"/>
                <w:b w:val="0"/>
                <w:bCs/>
                <w:color w:val="auto"/>
                <w:sz w:val="24"/>
                <w:szCs w:val="24"/>
                <w:lang w:val="en-US" w:eastAsia="zh-CN"/>
              </w:rPr>
              <w:t>0</w:t>
            </w:r>
            <w:r>
              <w:rPr>
                <w:rFonts w:hint="default" w:ascii="Times New Roman" w:hAnsi="Times New Roman" w:eastAsia="宋体"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0</w:t>
            </w:r>
            <w:r>
              <w:rPr>
                <w:rFonts w:hint="default" w:ascii="Times New Roman" w:hAnsi="Times New Roman" w:eastAsia="宋体"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rPr>
              <w:t>t/h。根据《工业循环冷却水处理设计规范》（GB50050-2007）中5.0.6—闭式系统的补充水量宜为循环水量的1.5%。</w:t>
            </w:r>
            <w:r>
              <w:rPr>
                <w:rFonts w:hint="default" w:ascii="Times New Roman" w:hAnsi="Times New Roman" w:eastAsia="宋体" w:cs="Times New Roman"/>
                <w:b w:val="0"/>
                <w:bCs/>
                <w:color w:val="auto"/>
                <w:sz w:val="24"/>
                <w:szCs w:val="24"/>
                <w:lang w:val="en-US" w:eastAsia="zh-CN"/>
              </w:rPr>
              <w:t>冷</w:t>
            </w:r>
            <w:r>
              <w:rPr>
                <w:rFonts w:hint="eastAsia" w:ascii="Times New Roman" w:hAnsi="Times New Roman" w:eastAsia="宋体" w:cs="Times New Roman"/>
                <w:b w:val="0"/>
                <w:bCs/>
                <w:color w:val="auto"/>
                <w:sz w:val="24"/>
                <w:szCs w:val="24"/>
                <w:lang w:val="en-US" w:eastAsia="zh-CN"/>
              </w:rPr>
              <w:t>水机</w:t>
            </w:r>
            <w:r>
              <w:rPr>
                <w:rFonts w:hint="default" w:ascii="Times New Roman" w:hAnsi="Times New Roman" w:eastAsia="宋体" w:cs="Times New Roman"/>
                <w:b w:val="0"/>
                <w:bCs/>
                <w:color w:val="auto"/>
                <w:sz w:val="24"/>
                <w:szCs w:val="24"/>
              </w:rPr>
              <w:t>年运行时间为2400h，则全年补充水量约</w:t>
            </w:r>
            <w:r>
              <w:rPr>
                <w:rFonts w:hint="eastAsia" w:ascii="Times New Roman" w:hAnsi="Times New Roman" w:eastAsia="宋体" w:cs="Times New Roman"/>
                <w:b w:val="0"/>
                <w:bCs/>
                <w:color w:val="auto"/>
                <w:sz w:val="24"/>
                <w:szCs w:val="24"/>
                <w:lang w:val="en-US" w:eastAsia="zh-CN"/>
              </w:rPr>
              <w:t>1.44</w:t>
            </w:r>
            <w:r>
              <w:rPr>
                <w:rFonts w:hint="default" w:ascii="Times New Roman" w:hAnsi="Times New Roman" w:eastAsia="宋体" w:cs="Times New Roman"/>
                <w:b w:val="0"/>
                <w:bCs/>
                <w:color w:val="auto"/>
                <w:sz w:val="24"/>
                <w:szCs w:val="24"/>
              </w:rPr>
              <w:t>t。冷水机用水循环使用，定期添加，不外排。</w:t>
            </w:r>
          </w:p>
          <w:p w14:paraId="13CFEA06">
            <w:pPr>
              <w:keepNext w:val="0"/>
              <w:keepLines w:val="0"/>
              <w:pageBreakBefore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eastAsia" w:ascii="Times New Roman" w:hAnsi="Times New Roman" w:eastAsia="宋体" w:cs="Times New Roman"/>
                <w:b/>
                <w:color w:val="auto"/>
                <w:sz w:val="24"/>
                <w:szCs w:val="24"/>
                <w:highlight w:val="none"/>
                <w:shd w:val="clear" w:color="auto" w:fill="auto"/>
                <w:lang w:val="en-US" w:eastAsia="zh-CN"/>
              </w:rPr>
              <w:t>调配</w:t>
            </w:r>
            <w:r>
              <w:rPr>
                <w:rFonts w:hint="default" w:ascii="Times New Roman" w:hAnsi="Times New Roman" w:eastAsia="宋体" w:cs="Times New Roman"/>
                <w:b/>
                <w:color w:val="auto"/>
                <w:sz w:val="24"/>
                <w:szCs w:val="24"/>
                <w:highlight w:val="none"/>
                <w:shd w:val="clear" w:color="auto" w:fill="auto"/>
                <w:lang w:val="en-US"/>
              </w:rPr>
              <w:t>用水：</w:t>
            </w:r>
            <w:r>
              <w:rPr>
                <w:rFonts w:hint="default" w:ascii="Times New Roman" w:hAnsi="Times New Roman" w:eastAsia="宋体" w:cs="Times New Roman"/>
                <w:bCs/>
                <w:color w:val="auto"/>
                <w:sz w:val="24"/>
                <w:szCs w:val="24"/>
                <w:highlight w:val="none"/>
                <w:shd w:val="clear" w:color="auto" w:fill="auto"/>
                <w:lang w:val="en-US"/>
              </w:rPr>
              <w:t>本项目</w:t>
            </w:r>
            <w:r>
              <w:rPr>
                <w:rFonts w:hint="eastAsia" w:ascii="Times New Roman" w:hAnsi="Times New Roman" w:eastAsia="宋体" w:cs="Times New Roman"/>
                <w:bCs/>
                <w:color w:val="auto"/>
                <w:sz w:val="24"/>
                <w:szCs w:val="24"/>
                <w:highlight w:val="none"/>
                <w:shd w:val="clear" w:color="auto" w:fill="auto"/>
                <w:lang w:val="en-US" w:eastAsia="zh-CN"/>
              </w:rPr>
              <w:t>印刷使用水性油墨需要加水进行调配，水性油墨与水的配比为5:1，其中水性油墨用量为5t/a，新鲜水用量为1t/a</w:t>
            </w:r>
            <w:r>
              <w:rPr>
                <w:rFonts w:hint="default" w:ascii="Times New Roman" w:hAnsi="Times New Roman" w:eastAsia="宋体" w:cs="Times New Roman"/>
                <w:color w:val="auto"/>
                <w:sz w:val="24"/>
                <w:highlight w:val="none"/>
                <w:shd w:val="clear" w:color="auto" w:fill="auto"/>
                <w:lang w:val="en-US"/>
              </w:rPr>
              <w:t>。</w:t>
            </w:r>
          </w:p>
          <w:p w14:paraId="60030C1A">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color w:val="auto"/>
                <w:sz w:val="24"/>
                <w:szCs w:val="24"/>
                <w:lang w:val="en-US" w:eastAsia="zh-CN"/>
              </w:rPr>
              <w:t>本项目使用</w:t>
            </w:r>
            <w:r>
              <w:rPr>
                <w:rFonts w:hint="eastAsia" w:ascii="Times New Roman" w:hAnsi="Times New Roman" w:eastAsia="宋体" w:cs="Times New Roman"/>
                <w:b/>
                <w:color w:val="auto"/>
                <w:sz w:val="24"/>
                <w:szCs w:val="24"/>
                <w:lang w:val="en-US" w:eastAsia="zh-CN"/>
              </w:rPr>
              <w:t>乙酸乙酯</w:t>
            </w:r>
            <w:r>
              <w:rPr>
                <w:rFonts w:hint="default" w:ascii="Times New Roman" w:hAnsi="Times New Roman" w:eastAsia="宋体" w:cs="Times New Roman"/>
                <w:b/>
                <w:color w:val="auto"/>
                <w:sz w:val="24"/>
                <w:szCs w:val="24"/>
                <w:lang w:val="en-US" w:eastAsia="zh-CN"/>
              </w:rPr>
              <w:t>清洗剂对</w:t>
            </w:r>
            <w:r>
              <w:rPr>
                <w:rFonts w:hint="eastAsia" w:ascii="Times New Roman" w:hAnsi="Times New Roman" w:eastAsia="宋体" w:cs="Times New Roman"/>
                <w:b/>
                <w:color w:val="auto"/>
                <w:sz w:val="24"/>
                <w:szCs w:val="24"/>
                <w:lang w:val="en-US" w:eastAsia="zh-CN"/>
              </w:rPr>
              <w:t>印刷、复合</w:t>
            </w:r>
            <w:r>
              <w:rPr>
                <w:rFonts w:hint="default" w:ascii="Times New Roman" w:hAnsi="Times New Roman" w:eastAsia="宋体" w:cs="Times New Roman"/>
                <w:b/>
                <w:color w:val="auto"/>
                <w:sz w:val="24"/>
                <w:szCs w:val="24"/>
                <w:lang w:val="en-US" w:eastAsia="zh-CN"/>
              </w:rPr>
              <w:t>设备进行</w:t>
            </w:r>
            <w:r>
              <w:rPr>
                <w:rFonts w:hint="eastAsia" w:ascii="Times New Roman" w:hAnsi="Times New Roman" w:eastAsia="宋体" w:cs="Times New Roman"/>
                <w:b/>
                <w:color w:val="auto"/>
                <w:sz w:val="24"/>
                <w:szCs w:val="24"/>
                <w:lang w:val="en-US" w:eastAsia="zh-CN"/>
              </w:rPr>
              <w:t>擦拭清洁</w:t>
            </w:r>
            <w:r>
              <w:rPr>
                <w:rFonts w:hint="default" w:ascii="Times New Roman" w:hAnsi="Times New Roman" w:eastAsia="宋体" w:cs="Times New Roman"/>
                <w:b/>
                <w:color w:val="auto"/>
                <w:sz w:val="24"/>
                <w:szCs w:val="24"/>
                <w:lang w:val="en-US" w:eastAsia="zh-CN"/>
              </w:rPr>
              <w:t>，产生废</w:t>
            </w:r>
            <w:r>
              <w:rPr>
                <w:rFonts w:hint="eastAsia" w:ascii="Times New Roman" w:hAnsi="Times New Roman" w:eastAsia="宋体" w:cs="Times New Roman"/>
                <w:b/>
                <w:color w:val="auto"/>
                <w:sz w:val="24"/>
                <w:szCs w:val="24"/>
                <w:lang w:val="en-US" w:eastAsia="zh-CN"/>
              </w:rPr>
              <w:t>抹布</w:t>
            </w:r>
            <w:r>
              <w:rPr>
                <w:rFonts w:hint="default" w:ascii="Times New Roman" w:hAnsi="Times New Roman" w:eastAsia="宋体" w:cs="Times New Roman"/>
                <w:b/>
                <w:color w:val="auto"/>
                <w:sz w:val="24"/>
                <w:szCs w:val="24"/>
                <w:lang w:val="en-US" w:eastAsia="zh-CN"/>
              </w:rPr>
              <w:t>，作为危废处理，不产生清洗废水。</w:t>
            </w:r>
            <w:r>
              <w:rPr>
                <w:rFonts w:hint="default" w:ascii="Times New Roman" w:hAnsi="Times New Roman" w:eastAsia="宋体" w:cs="Times New Roman"/>
                <w:b/>
                <w:bCs w:val="0"/>
                <w:color w:val="auto"/>
                <w:sz w:val="24"/>
                <w:szCs w:val="24"/>
                <w:highlight w:val="none"/>
                <w:lang w:val="en-US" w:eastAsia="zh-CN"/>
              </w:rPr>
              <w:t>厂房生产过程中，地面基本保持清洁，仅进行定期的扫地，不需地面清洗，不产生地面清洗废水。</w:t>
            </w:r>
          </w:p>
          <w:p w14:paraId="455283E1">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具体水平衡图见图2-</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w:t>
            </w:r>
          </w:p>
          <w:p w14:paraId="06B6F2EF">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drawing>
                <wp:inline distT="0" distB="0" distL="114300" distR="114300">
                  <wp:extent cx="4526280" cy="2377440"/>
                  <wp:effectExtent l="0" t="0" r="0" b="0"/>
                  <wp:docPr id="13" name="ECB019B1-382A-4266-B25C-5B523AA43C14-2" descr="C:/Users/29147/AppData/Local/Temp/wps.iTRWp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2" descr="C:/Users/29147/AppData/Local/Temp/wps.iTRWpfwps"/>
                          <pic:cNvPicPr>
                            <a:picLocks noChangeAspect="1"/>
                          </pic:cNvPicPr>
                        </pic:nvPicPr>
                        <pic:blipFill>
                          <a:blip r:embed="rId14"/>
                          <a:stretch>
                            <a:fillRect/>
                          </a:stretch>
                        </pic:blipFill>
                        <pic:spPr>
                          <a:xfrm>
                            <a:off x="0" y="0"/>
                            <a:ext cx="4526280" cy="2377440"/>
                          </a:xfrm>
                          <a:prstGeom prst="rect">
                            <a:avLst/>
                          </a:prstGeom>
                        </pic:spPr>
                      </pic:pic>
                    </a:graphicData>
                  </a:graphic>
                </wp:inline>
              </w:drawing>
            </w:r>
          </w:p>
          <w:p w14:paraId="398F12BD">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highlight w:val="none"/>
                <w:shd w:val="clear" w:color="auto" w:fill="auto"/>
                <w:lang w:val="en-US"/>
              </w:rPr>
            </w:pPr>
            <w:r>
              <w:rPr>
                <w:rFonts w:hint="default" w:ascii="Times New Roman" w:hAnsi="Times New Roman" w:eastAsia="宋体" w:cs="Times New Roman"/>
                <w:b/>
                <w:color w:val="auto"/>
                <w:sz w:val="24"/>
                <w:szCs w:val="24"/>
                <w:highlight w:val="none"/>
                <w:shd w:val="clear" w:color="auto" w:fill="auto"/>
                <w:lang w:val="en-US"/>
              </w:rPr>
              <w:t>图2-</w:t>
            </w:r>
            <w:r>
              <w:rPr>
                <w:rFonts w:hint="eastAsia" w:ascii="Times New Roman" w:hAnsi="Times New Roman" w:eastAsia="宋体" w:cs="Times New Roman"/>
                <w:b/>
                <w:color w:val="auto"/>
                <w:sz w:val="24"/>
                <w:szCs w:val="24"/>
                <w:highlight w:val="none"/>
                <w:shd w:val="clear" w:color="auto" w:fill="auto"/>
                <w:lang w:val="en-US" w:eastAsia="zh-CN"/>
              </w:rPr>
              <w:t>2</w:t>
            </w:r>
            <w:r>
              <w:rPr>
                <w:rFonts w:hint="default" w:ascii="Times New Roman" w:hAnsi="Times New Roman" w:eastAsia="宋体" w:cs="Times New Roman"/>
                <w:b/>
                <w:color w:val="auto"/>
                <w:sz w:val="24"/>
                <w:szCs w:val="24"/>
                <w:highlight w:val="none"/>
                <w:shd w:val="clear" w:color="auto" w:fill="auto"/>
                <w:lang w:val="en-US"/>
              </w:rPr>
              <w:t xml:space="preserve">  水平衡图（t/a）</w:t>
            </w:r>
          </w:p>
          <w:p w14:paraId="139FA1D9">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Cs/>
                <w:color w:val="auto"/>
                <w:sz w:val="24"/>
                <w:szCs w:val="24"/>
                <w:highlight w:val="none"/>
                <w:shd w:val="clear" w:color="auto" w:fill="auto"/>
                <w:lang w:val="en-US" w:eastAsia="zh-CN"/>
              </w:rPr>
            </w:pPr>
            <w:r>
              <w:rPr>
                <w:rFonts w:hint="default" w:ascii="Times New Roman" w:hAnsi="Times New Roman" w:eastAsia="宋体" w:cs="Times New Roman"/>
                <w:b/>
                <w:bCs w:val="0"/>
                <w:color w:val="auto"/>
                <w:sz w:val="24"/>
                <w:szCs w:val="24"/>
                <w:highlight w:val="none"/>
                <w:shd w:val="clear" w:color="auto" w:fill="auto"/>
                <w:lang w:val="en-US"/>
              </w:rPr>
              <w:t>（</w:t>
            </w:r>
            <w:r>
              <w:rPr>
                <w:rFonts w:hint="default" w:ascii="Times New Roman" w:hAnsi="Times New Roman" w:eastAsia="宋体" w:cs="Times New Roman"/>
                <w:b/>
                <w:bCs w:val="0"/>
                <w:color w:val="auto"/>
                <w:sz w:val="24"/>
                <w:szCs w:val="24"/>
                <w:highlight w:val="none"/>
                <w:shd w:val="clear" w:color="auto" w:fill="auto"/>
                <w:lang w:val="en-US" w:eastAsia="zh-CN"/>
              </w:rPr>
              <w:t>2</w:t>
            </w:r>
            <w:r>
              <w:rPr>
                <w:rFonts w:hint="default" w:ascii="Times New Roman" w:hAnsi="Times New Roman" w:eastAsia="宋体" w:cs="Times New Roman"/>
                <w:b/>
                <w:bCs w:val="0"/>
                <w:color w:val="auto"/>
                <w:sz w:val="24"/>
                <w:szCs w:val="24"/>
                <w:highlight w:val="none"/>
                <w:shd w:val="clear" w:color="auto" w:fill="auto"/>
                <w:lang w:val="en-US"/>
              </w:rPr>
              <w:t>）供电</w:t>
            </w:r>
            <w:r>
              <w:rPr>
                <w:rFonts w:hint="eastAsia" w:ascii="Times New Roman" w:hAnsi="Times New Roman" w:eastAsia="宋体" w:cs="Times New Roman"/>
                <w:bCs/>
                <w:color w:val="auto"/>
                <w:sz w:val="24"/>
                <w:szCs w:val="24"/>
                <w:highlight w:val="none"/>
                <w:shd w:val="clear" w:color="auto" w:fill="auto"/>
                <w:lang w:val="en-US" w:eastAsia="zh-CN"/>
              </w:rPr>
              <w:t xml:space="preserve"> </w:t>
            </w:r>
          </w:p>
          <w:p w14:paraId="23B5FF80">
            <w:pPr>
              <w:keepNext w:val="0"/>
              <w:keepLines w:val="0"/>
              <w:pageBreakBefore w:val="0"/>
              <w:kinsoku/>
              <w:wordWrap/>
              <w:overflowPunct/>
              <w:topLinePunct w:val="0"/>
              <w:autoSpaceDE/>
              <w:autoSpaceDN/>
              <w:bidi w:val="0"/>
              <w:adjustRightInd/>
              <w:snapToGrid/>
              <w:spacing w:line="360" w:lineRule="auto"/>
              <w:ind w:left="479" w:leftChars="228" w:firstLine="0" w:firstLineChars="0"/>
              <w:jc w:val="both"/>
              <w:textAlignment w:val="auto"/>
              <w:rPr>
                <w:rFonts w:hint="default" w:ascii="Times New Roman" w:hAnsi="Times New Roman" w:eastAsia="宋体" w:cs="Times New Roman"/>
                <w:bCs/>
                <w:color w:val="auto"/>
                <w:sz w:val="24"/>
                <w:szCs w:val="24"/>
                <w:highlight w:val="none"/>
                <w:shd w:val="clear" w:color="auto" w:fill="auto"/>
                <w:lang w:val="en-US" w:eastAsia="zh-CN"/>
              </w:rPr>
            </w:pPr>
            <w:r>
              <w:rPr>
                <w:rFonts w:hint="default" w:ascii="Times New Roman" w:hAnsi="Times New Roman" w:eastAsia="宋体" w:cs="Times New Roman"/>
                <w:bCs/>
                <w:color w:val="auto"/>
                <w:sz w:val="24"/>
                <w:szCs w:val="24"/>
                <w:highlight w:val="none"/>
                <w:shd w:val="clear" w:color="auto" w:fill="auto"/>
                <w:lang w:val="en-US"/>
              </w:rPr>
              <w:t>本项目生产设备使用电能，用电由市政电网接入，年用电量约为</w:t>
            </w:r>
            <w:r>
              <w:rPr>
                <w:rFonts w:hint="default" w:ascii="Times New Roman" w:hAnsi="Times New Roman" w:eastAsia="宋体" w:cs="Times New Roman"/>
                <w:bCs/>
                <w:color w:val="auto"/>
                <w:sz w:val="24"/>
                <w:szCs w:val="24"/>
                <w:highlight w:val="none"/>
                <w:shd w:val="clear" w:color="auto" w:fill="auto"/>
                <w:lang w:val="en-US" w:eastAsia="zh-CN"/>
              </w:rPr>
              <w:t>20</w:t>
            </w:r>
            <w:r>
              <w:rPr>
                <w:rFonts w:hint="default" w:ascii="Times New Roman" w:hAnsi="Times New Roman" w:eastAsia="宋体" w:cs="Times New Roman"/>
                <w:bCs/>
                <w:color w:val="auto"/>
                <w:sz w:val="24"/>
                <w:szCs w:val="24"/>
                <w:highlight w:val="none"/>
                <w:shd w:val="clear" w:color="auto" w:fill="auto"/>
                <w:lang w:val="en-US"/>
              </w:rPr>
              <w:t>万kW·h。</w:t>
            </w:r>
            <w:r>
              <w:rPr>
                <w:rFonts w:hint="default" w:ascii="Times New Roman" w:hAnsi="Times New Roman" w:eastAsia="宋体" w:cs="Times New Roman"/>
                <w:b/>
                <w:bCs w:val="0"/>
                <w:color w:val="auto"/>
                <w:sz w:val="24"/>
                <w:szCs w:val="24"/>
                <w:highlight w:val="none"/>
                <w:shd w:val="clear" w:color="auto" w:fill="auto"/>
                <w:lang w:val="en-US"/>
              </w:rPr>
              <w:t>（</w:t>
            </w:r>
            <w:r>
              <w:rPr>
                <w:rFonts w:hint="default" w:ascii="Times New Roman" w:hAnsi="Times New Roman" w:eastAsia="宋体" w:cs="Times New Roman"/>
                <w:b/>
                <w:bCs w:val="0"/>
                <w:color w:val="auto"/>
                <w:sz w:val="24"/>
                <w:szCs w:val="24"/>
                <w:highlight w:val="none"/>
                <w:shd w:val="clear" w:color="auto" w:fill="auto"/>
                <w:lang w:val="en-US" w:eastAsia="zh-CN"/>
              </w:rPr>
              <w:t>3</w:t>
            </w:r>
            <w:r>
              <w:rPr>
                <w:rFonts w:hint="default" w:ascii="Times New Roman" w:hAnsi="Times New Roman" w:eastAsia="宋体" w:cs="Times New Roman"/>
                <w:b/>
                <w:bCs w:val="0"/>
                <w:color w:val="auto"/>
                <w:sz w:val="24"/>
                <w:szCs w:val="24"/>
                <w:highlight w:val="none"/>
                <w:shd w:val="clear" w:color="auto" w:fill="auto"/>
                <w:lang w:val="en-US"/>
              </w:rPr>
              <w:t>）供</w:t>
            </w:r>
            <w:r>
              <w:rPr>
                <w:rFonts w:hint="default" w:ascii="Times New Roman" w:hAnsi="Times New Roman" w:eastAsia="宋体" w:cs="Times New Roman"/>
                <w:b/>
                <w:bCs w:val="0"/>
                <w:color w:val="auto"/>
                <w:sz w:val="24"/>
                <w:szCs w:val="24"/>
                <w:highlight w:val="none"/>
                <w:shd w:val="clear" w:color="auto" w:fill="auto"/>
                <w:lang w:val="en-US" w:eastAsia="zh-CN"/>
              </w:rPr>
              <w:t>气</w:t>
            </w:r>
          </w:p>
          <w:p w14:paraId="158C5D4B">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highlight w:val="none"/>
                <w:shd w:val="clear" w:color="auto" w:fill="auto"/>
                <w:lang w:val="en-US"/>
              </w:rPr>
            </w:pPr>
            <w:r>
              <w:rPr>
                <w:rFonts w:hint="default" w:ascii="Times New Roman" w:hAnsi="Times New Roman" w:eastAsia="宋体" w:cs="Times New Roman"/>
                <w:bCs/>
                <w:color w:val="auto"/>
                <w:sz w:val="24"/>
                <w:szCs w:val="24"/>
                <w:highlight w:val="none"/>
                <w:shd w:val="clear" w:color="auto" w:fill="auto"/>
                <w:lang w:val="en-US"/>
              </w:rPr>
              <w:t>本项目</w:t>
            </w:r>
            <w:r>
              <w:rPr>
                <w:rFonts w:hint="eastAsia" w:ascii="Times New Roman" w:hAnsi="Times New Roman" w:eastAsia="宋体" w:cs="Times New Roman"/>
                <w:bCs/>
                <w:color w:val="auto"/>
                <w:sz w:val="24"/>
                <w:szCs w:val="24"/>
                <w:highlight w:val="none"/>
                <w:shd w:val="clear" w:color="auto" w:fill="auto"/>
                <w:lang w:val="en-US" w:eastAsia="zh-CN"/>
              </w:rPr>
              <w:t>不涉及供气</w:t>
            </w:r>
            <w:r>
              <w:rPr>
                <w:rFonts w:hint="default" w:ascii="Times New Roman" w:hAnsi="Times New Roman" w:eastAsia="宋体" w:cs="Times New Roman"/>
                <w:bCs/>
                <w:color w:val="auto"/>
                <w:sz w:val="24"/>
                <w:szCs w:val="24"/>
                <w:highlight w:val="none"/>
                <w:shd w:val="clear" w:color="auto" w:fill="auto"/>
                <w:lang w:val="en-US"/>
              </w:rPr>
              <w:t>。</w:t>
            </w:r>
          </w:p>
          <w:p w14:paraId="55D2F36D">
            <w:pPr>
              <w:spacing w:line="360" w:lineRule="auto"/>
              <w:rPr>
                <w:rFonts w:hint="default" w:ascii="Times New Roman" w:hAnsi="Times New Roman" w:eastAsia="宋体" w:cs="Times New Roman"/>
                <w:b/>
                <w:color w:val="auto"/>
                <w:sz w:val="24"/>
                <w:highlight w:val="none"/>
                <w:shd w:val="clear" w:color="auto" w:fill="auto"/>
                <w:lang w:val="en-US"/>
              </w:rPr>
            </w:pPr>
            <w:bookmarkStart w:id="1" w:name="_Toc21599"/>
            <w:bookmarkStart w:id="2" w:name="_Toc21016"/>
            <w:bookmarkStart w:id="3" w:name="_Toc9020"/>
            <w:bookmarkStart w:id="4" w:name="_Toc457"/>
            <w:bookmarkStart w:id="5" w:name="_Toc4904"/>
            <w:r>
              <w:rPr>
                <w:rFonts w:hint="default" w:ascii="Times New Roman" w:hAnsi="Times New Roman" w:eastAsia="宋体" w:cs="Times New Roman"/>
                <w:b/>
                <w:color w:val="auto"/>
                <w:sz w:val="24"/>
                <w:highlight w:val="none"/>
                <w:shd w:val="clear" w:color="auto" w:fill="auto"/>
                <w:lang w:val="en-US" w:eastAsia="zh-CN"/>
              </w:rPr>
              <w:t>7</w:t>
            </w:r>
            <w:r>
              <w:rPr>
                <w:rFonts w:hint="default" w:ascii="Times New Roman" w:hAnsi="Times New Roman" w:eastAsia="宋体" w:cs="Times New Roman"/>
                <w:b/>
                <w:color w:val="auto"/>
                <w:sz w:val="24"/>
                <w:highlight w:val="none"/>
                <w:shd w:val="clear" w:color="auto" w:fill="auto"/>
                <w:lang w:val="en-US"/>
              </w:rPr>
              <w:t>、项目周边概况及车间平面布置</w:t>
            </w:r>
          </w:p>
          <w:p w14:paraId="1C09AD61">
            <w:pPr>
              <w:spacing w:line="360" w:lineRule="auto"/>
              <w:ind w:firstLine="482" w:firstLineChars="200"/>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rPr>
              <w:t>①项目周边概况</w:t>
            </w:r>
          </w:p>
          <w:p w14:paraId="0761FD51">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建设项目选址位于</w:t>
            </w:r>
            <w:r>
              <w:rPr>
                <w:rFonts w:hint="default" w:ascii="Times New Roman" w:hAnsi="Times New Roman" w:eastAsia="宋体" w:cs="Times New Roman"/>
                <w:color w:val="auto"/>
                <w:sz w:val="24"/>
                <w:highlight w:val="none"/>
                <w:shd w:val="clear" w:color="auto" w:fill="auto"/>
                <w:lang w:val="en-US" w:eastAsia="zh-CN"/>
              </w:rPr>
              <w:t>江苏省常州市金坛区</w:t>
            </w:r>
            <w:r>
              <w:rPr>
                <w:rFonts w:hint="eastAsia" w:ascii="Times New Roman" w:hAnsi="Times New Roman" w:eastAsia="宋体" w:cs="Times New Roman"/>
                <w:color w:val="auto"/>
                <w:sz w:val="24"/>
                <w:highlight w:val="none"/>
                <w:shd w:val="clear" w:color="auto" w:fill="auto"/>
                <w:lang w:val="en-US" w:eastAsia="zh-CN"/>
              </w:rPr>
              <w:t>晨风路188号</w:t>
            </w:r>
            <w:r>
              <w:rPr>
                <w:rFonts w:hint="default"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val="en-US" w:eastAsia="zh-CN"/>
              </w:rPr>
              <w:t>厂区内有江苏高高制衣有限公司和璞丽服饰，厂区</w:t>
            </w:r>
            <w:r>
              <w:rPr>
                <w:rFonts w:hint="default" w:ascii="Times New Roman" w:hAnsi="Times New Roman" w:eastAsia="宋体" w:cs="Times New Roman"/>
                <w:color w:val="auto"/>
                <w:sz w:val="24"/>
                <w:highlight w:val="none"/>
                <w:shd w:val="clear" w:color="auto" w:fill="auto"/>
                <w:lang w:val="en-US" w:eastAsia="zh-CN"/>
              </w:rPr>
              <w:t>东侧</w:t>
            </w:r>
            <w:r>
              <w:rPr>
                <w:rFonts w:hint="default" w:ascii="Times New Roman" w:hAnsi="Times New Roman" w:eastAsia="宋体" w:cs="Times New Roman"/>
                <w:color w:val="auto"/>
                <w:sz w:val="24"/>
                <w:highlight w:val="none"/>
                <w:shd w:val="clear" w:color="auto" w:fill="auto"/>
                <w:lang w:val="en-US"/>
              </w:rPr>
              <w:t>为</w:t>
            </w:r>
            <w:r>
              <w:rPr>
                <w:rFonts w:hint="default" w:ascii="Times New Roman" w:hAnsi="Times New Roman" w:eastAsia="宋体" w:cs="Times New Roman"/>
                <w:color w:val="auto"/>
                <w:sz w:val="24"/>
                <w:highlight w:val="none"/>
                <w:shd w:val="clear" w:color="auto" w:fill="auto"/>
                <w:lang w:val="en-US" w:eastAsia="zh-CN"/>
              </w:rPr>
              <w:t>英格索兰(常州)工具有限公司</w:t>
            </w:r>
            <w:r>
              <w:rPr>
                <w:rFonts w:hint="default" w:ascii="Times New Roman" w:hAnsi="Times New Roman" w:eastAsia="宋体" w:cs="Times New Roman"/>
                <w:color w:val="auto"/>
                <w:sz w:val="24"/>
                <w:highlight w:val="none"/>
                <w:shd w:val="clear" w:color="auto" w:fill="auto"/>
                <w:lang w:val="en-US"/>
              </w:rPr>
              <w:t>；南侧为</w:t>
            </w:r>
            <w:r>
              <w:rPr>
                <w:rFonts w:hint="eastAsia" w:ascii="Times New Roman" w:hAnsi="Times New Roman" w:eastAsia="宋体" w:cs="Times New Roman"/>
                <w:color w:val="auto"/>
                <w:sz w:val="24"/>
                <w:highlight w:val="none"/>
                <w:shd w:val="clear" w:color="auto" w:fill="auto"/>
                <w:lang w:val="en-US" w:eastAsia="zh-CN"/>
              </w:rPr>
              <w:t>晨风</w:t>
            </w:r>
            <w:r>
              <w:rPr>
                <w:rFonts w:hint="default" w:ascii="Times New Roman" w:hAnsi="Times New Roman" w:eastAsia="宋体" w:cs="Times New Roman"/>
                <w:color w:val="auto"/>
                <w:sz w:val="24"/>
                <w:highlight w:val="none"/>
                <w:shd w:val="clear" w:color="auto" w:fill="auto"/>
                <w:lang w:val="en-US" w:eastAsia="zh-CN"/>
              </w:rPr>
              <w:t>路，隔路为</w:t>
            </w:r>
            <w:r>
              <w:rPr>
                <w:rFonts w:hint="eastAsia" w:ascii="Times New Roman" w:hAnsi="Times New Roman" w:eastAsia="宋体" w:cs="Times New Roman"/>
                <w:color w:val="auto"/>
                <w:sz w:val="24"/>
                <w:highlight w:val="none"/>
                <w:shd w:val="clear" w:color="auto" w:fill="auto"/>
                <w:lang w:val="en-US" w:eastAsia="zh-CN"/>
              </w:rPr>
              <w:t>常州金坛港华燃气有限公司</w:t>
            </w:r>
            <w:r>
              <w:rPr>
                <w:rFonts w:hint="default" w:ascii="Times New Roman" w:hAnsi="Times New Roman" w:eastAsia="宋体" w:cs="Times New Roman"/>
                <w:color w:val="auto"/>
                <w:sz w:val="24"/>
                <w:highlight w:val="none"/>
                <w:shd w:val="clear" w:color="auto" w:fill="auto"/>
                <w:lang w:val="en-US"/>
              </w:rPr>
              <w:t>；西侧为</w:t>
            </w:r>
            <w:r>
              <w:rPr>
                <w:rFonts w:hint="eastAsia" w:ascii="Times New Roman" w:hAnsi="Times New Roman" w:eastAsia="宋体" w:cs="Times New Roman"/>
                <w:color w:val="auto"/>
                <w:sz w:val="24"/>
                <w:highlight w:val="none"/>
                <w:shd w:val="clear" w:color="auto" w:fill="auto"/>
                <w:lang w:val="en-US" w:eastAsia="zh-CN"/>
              </w:rPr>
              <w:t>古籍印刷</w:t>
            </w:r>
            <w:r>
              <w:rPr>
                <w:rFonts w:hint="default" w:ascii="Times New Roman" w:hAnsi="Times New Roman" w:eastAsia="宋体" w:cs="Times New Roman"/>
                <w:color w:val="auto"/>
                <w:sz w:val="24"/>
                <w:highlight w:val="none"/>
                <w:shd w:val="clear" w:color="auto" w:fill="auto"/>
                <w:lang w:val="en-US"/>
              </w:rPr>
              <w:t>；北侧为</w:t>
            </w:r>
            <w:r>
              <w:rPr>
                <w:rFonts w:hint="eastAsia" w:ascii="Times New Roman" w:hAnsi="Times New Roman" w:eastAsia="宋体" w:cs="Times New Roman"/>
                <w:color w:val="auto"/>
                <w:sz w:val="24"/>
                <w:highlight w:val="none"/>
                <w:shd w:val="clear" w:color="auto" w:fill="auto"/>
                <w:lang w:val="en-US" w:eastAsia="zh-CN"/>
              </w:rPr>
              <w:t>群达环保和裕华包装有限公司金坛分公司</w:t>
            </w:r>
            <w:r>
              <w:rPr>
                <w:rFonts w:hint="default" w:ascii="Times New Roman" w:hAnsi="Times New Roman" w:eastAsia="宋体" w:cs="Times New Roman"/>
                <w:color w:val="auto"/>
                <w:sz w:val="24"/>
                <w:highlight w:val="none"/>
                <w:shd w:val="clear" w:color="auto" w:fill="auto"/>
                <w:lang w:val="en-US"/>
              </w:rPr>
              <w:t>。距离本项目最近的环境敏感保护目标为位于</w:t>
            </w:r>
            <w:r>
              <w:rPr>
                <w:rFonts w:hint="eastAsia" w:ascii="Times New Roman" w:hAnsi="Times New Roman" w:eastAsia="宋体" w:cs="Times New Roman"/>
                <w:color w:val="auto"/>
                <w:sz w:val="24"/>
                <w:highlight w:val="none"/>
                <w:shd w:val="clear" w:color="auto" w:fill="auto"/>
                <w:lang w:val="en-US" w:eastAsia="zh-CN"/>
              </w:rPr>
              <w:t>东南</w:t>
            </w:r>
            <w:r>
              <w:rPr>
                <w:rFonts w:hint="default" w:ascii="Times New Roman" w:hAnsi="Times New Roman" w:eastAsia="宋体" w:cs="Times New Roman"/>
                <w:color w:val="auto"/>
                <w:sz w:val="24"/>
                <w:highlight w:val="none"/>
                <w:shd w:val="clear" w:color="auto" w:fill="auto"/>
                <w:lang w:val="en-US"/>
              </w:rPr>
              <w:t>侧</w:t>
            </w:r>
            <w:r>
              <w:rPr>
                <w:rFonts w:hint="eastAsia" w:ascii="Times New Roman" w:hAnsi="Times New Roman" w:eastAsia="宋体" w:cs="Times New Roman"/>
                <w:color w:val="auto"/>
                <w:sz w:val="24"/>
                <w:highlight w:val="none"/>
                <w:shd w:val="clear" w:color="auto" w:fill="auto"/>
                <w:lang w:val="en-US" w:eastAsia="zh-CN"/>
              </w:rPr>
              <w:t>117m</w:t>
            </w:r>
            <w:r>
              <w:rPr>
                <w:rFonts w:hint="default" w:ascii="Times New Roman" w:hAnsi="Times New Roman" w:eastAsia="宋体" w:cs="Times New Roman"/>
                <w:color w:val="auto"/>
                <w:sz w:val="24"/>
                <w:highlight w:val="none"/>
                <w:shd w:val="clear" w:color="auto" w:fill="auto"/>
                <w:lang w:val="en-US"/>
              </w:rPr>
              <w:t>处的</w:t>
            </w:r>
            <w:r>
              <w:rPr>
                <w:rFonts w:hint="eastAsia" w:ascii="Times New Roman" w:hAnsi="Times New Roman" w:eastAsia="宋体" w:cs="Times New Roman"/>
                <w:color w:val="auto"/>
                <w:sz w:val="24"/>
                <w:highlight w:val="none"/>
                <w:shd w:val="clear" w:color="auto" w:fill="auto"/>
                <w:lang w:val="en-US" w:eastAsia="zh-CN"/>
              </w:rPr>
              <w:t>散户</w:t>
            </w:r>
            <w:r>
              <w:rPr>
                <w:rFonts w:hint="default" w:ascii="Times New Roman" w:hAnsi="Times New Roman" w:eastAsia="宋体" w:cs="Times New Roman"/>
                <w:color w:val="auto"/>
                <w:sz w:val="24"/>
                <w:highlight w:val="none"/>
                <w:shd w:val="clear" w:color="auto" w:fill="auto"/>
                <w:lang w:val="en-US"/>
              </w:rPr>
              <w:t>。项目周边概况图详见附图2。</w:t>
            </w:r>
          </w:p>
          <w:p w14:paraId="68E54D27">
            <w:pPr>
              <w:spacing w:line="360" w:lineRule="auto"/>
              <w:ind w:firstLine="482" w:firstLineChars="200"/>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rPr>
              <w:t>②车间平面布置</w:t>
            </w:r>
          </w:p>
          <w:p w14:paraId="4F2E42AF">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color w:val="auto"/>
                <w:sz w:val="24"/>
                <w:highlight w:val="none"/>
                <w:shd w:val="clear" w:color="auto" w:fill="auto"/>
                <w:lang w:val="en-US"/>
              </w:rPr>
              <w:t>建设项目生产车间建筑面积</w:t>
            </w:r>
            <w:r>
              <w:rPr>
                <w:rFonts w:hint="default" w:ascii="Times New Roman" w:hAnsi="Times New Roman" w:eastAsia="宋体" w:cs="Times New Roman"/>
                <w:color w:val="auto"/>
                <w:sz w:val="24"/>
                <w:highlight w:val="none"/>
                <w:shd w:val="clear" w:color="auto" w:fill="auto"/>
                <w:lang w:val="en-US" w:eastAsia="zh-CN"/>
              </w:rPr>
              <w:t>约</w:t>
            </w:r>
            <w:r>
              <w:rPr>
                <w:rFonts w:hint="eastAsia" w:ascii="Times New Roman" w:hAnsi="Times New Roman" w:eastAsia="宋体" w:cs="Times New Roman"/>
                <w:color w:val="auto"/>
                <w:sz w:val="24"/>
                <w:szCs w:val="24"/>
                <w:highlight w:val="none"/>
                <w:shd w:val="clear" w:color="auto" w:fill="auto"/>
                <w:lang w:val="en-US" w:eastAsia="zh-CN"/>
              </w:rPr>
              <w:t>4500</w:t>
            </w:r>
            <w:r>
              <w:rPr>
                <w:rFonts w:hint="default" w:ascii="Times New Roman" w:hAnsi="Times New Roman" w:eastAsia="宋体" w:cs="Times New Roman"/>
                <w:color w:val="auto"/>
                <w:sz w:val="24"/>
                <w:szCs w:val="24"/>
                <w:highlight w:val="none"/>
                <w:shd w:val="clear" w:color="auto" w:fill="auto"/>
                <w:lang w:val="en-US" w:eastAsia="zh-CN"/>
              </w:rPr>
              <w:t>m</w:t>
            </w:r>
            <w:r>
              <w:rPr>
                <w:rFonts w:hint="default" w:ascii="Times New Roman" w:hAnsi="Times New Roman" w:eastAsia="宋体" w:cs="Times New Roman"/>
                <w:color w:val="auto"/>
                <w:sz w:val="24"/>
                <w:szCs w:val="24"/>
                <w:highlight w:val="none"/>
                <w:shd w:val="clear" w:color="auto" w:fill="auto"/>
                <w:vertAlign w:val="superscript"/>
                <w:lang w:val="en-US"/>
              </w:rPr>
              <w:t>2</w:t>
            </w:r>
            <w:r>
              <w:rPr>
                <w:rFonts w:hint="default" w:ascii="Times New Roman" w:hAnsi="Times New Roman" w:eastAsia="宋体" w:cs="Times New Roman"/>
                <w:color w:val="auto"/>
                <w:sz w:val="24"/>
                <w:highlight w:val="none"/>
                <w:shd w:val="clear" w:color="auto" w:fill="auto"/>
                <w:lang w:val="en-US"/>
              </w:rPr>
              <w:t>，</w:t>
            </w:r>
            <w:r>
              <w:rPr>
                <w:rFonts w:hint="eastAsia" w:ascii="Times New Roman" w:hAnsi="Times New Roman" w:eastAsia="宋体" w:cs="Times New Roman"/>
                <w:color w:val="auto"/>
                <w:sz w:val="24"/>
                <w:highlight w:val="none"/>
                <w:shd w:val="clear" w:color="auto" w:fill="auto"/>
                <w:lang w:val="en-US" w:eastAsia="zh-CN"/>
              </w:rPr>
              <w:t>一层</w:t>
            </w:r>
            <w:r>
              <w:rPr>
                <w:rFonts w:hint="default" w:ascii="Times New Roman" w:hAnsi="Times New Roman" w:eastAsia="宋体" w:cs="Times New Roman"/>
                <w:color w:val="auto"/>
                <w:sz w:val="24"/>
                <w:highlight w:val="none"/>
                <w:shd w:val="clear" w:color="auto" w:fill="auto"/>
                <w:lang w:val="en-US"/>
              </w:rPr>
              <w:t>主要布置</w:t>
            </w:r>
            <w:r>
              <w:rPr>
                <w:rFonts w:hint="default" w:ascii="Times New Roman" w:hAnsi="Times New Roman" w:eastAsia="宋体" w:cs="Times New Roman"/>
                <w:color w:val="auto"/>
                <w:sz w:val="24"/>
                <w:highlight w:val="none"/>
                <w:shd w:val="clear" w:color="auto" w:fill="auto"/>
                <w:lang w:val="en-US" w:eastAsia="zh-CN"/>
              </w:rPr>
              <w:t>破碎区、混料区、吹膜区、印刷区、复合区、熟化区、分切区、制袋区、包装区</w:t>
            </w:r>
            <w:r>
              <w:rPr>
                <w:rFonts w:hint="eastAsia"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lang w:val="en-US" w:eastAsia="zh-CN"/>
              </w:rPr>
              <w:t>检验</w:t>
            </w:r>
            <w:r>
              <w:rPr>
                <w:rFonts w:hint="eastAsia" w:ascii="Times New Roman" w:hAnsi="Times New Roman" w:eastAsia="宋体" w:cs="Times New Roman"/>
                <w:color w:val="auto"/>
                <w:sz w:val="24"/>
                <w:highlight w:val="none"/>
                <w:shd w:val="clear" w:color="auto" w:fill="auto"/>
                <w:lang w:val="en-US" w:eastAsia="zh-CN"/>
              </w:rPr>
              <w:t>室、化学品仓库、油墨间、一般固废仓库和危废仓库等</w:t>
            </w:r>
            <w:r>
              <w:rPr>
                <w:rFonts w:hint="default"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val="en-US" w:eastAsia="zh-CN"/>
              </w:rPr>
              <w:t>二层</w:t>
            </w:r>
            <w:r>
              <w:rPr>
                <w:rFonts w:hint="default" w:ascii="Times New Roman" w:hAnsi="Times New Roman" w:eastAsia="宋体" w:cs="Times New Roman"/>
                <w:color w:val="auto"/>
                <w:sz w:val="24"/>
                <w:highlight w:val="none"/>
                <w:shd w:val="clear" w:color="auto" w:fill="auto"/>
                <w:lang w:val="en-US"/>
              </w:rPr>
              <w:t>主要布置</w:t>
            </w:r>
            <w:r>
              <w:rPr>
                <w:rFonts w:hint="eastAsia" w:ascii="Times New Roman" w:hAnsi="Times New Roman" w:eastAsia="宋体" w:cs="Times New Roman"/>
                <w:color w:val="auto"/>
                <w:sz w:val="24"/>
                <w:highlight w:val="none"/>
                <w:shd w:val="clear" w:color="auto" w:fill="auto"/>
                <w:lang w:val="en-US" w:eastAsia="zh-CN"/>
              </w:rPr>
              <w:t>原料堆放区和成品堆放区等</w:t>
            </w:r>
            <w:r>
              <w:rPr>
                <w:rFonts w:hint="default" w:ascii="Times New Roman" w:hAnsi="Times New Roman" w:eastAsia="宋体" w:cs="Times New Roman"/>
                <w:color w:val="auto"/>
                <w:sz w:val="24"/>
                <w:highlight w:val="none"/>
                <w:shd w:val="clear" w:color="auto" w:fill="auto"/>
                <w:lang w:val="en-US"/>
              </w:rPr>
              <w:t>。项目平面布置图详见附图3</w:t>
            </w:r>
            <w:r>
              <w:rPr>
                <w:rFonts w:hint="default" w:ascii="Times New Roman" w:hAnsi="Times New Roman" w:eastAsia="宋体" w:cs="Times New Roman"/>
                <w:color w:val="auto"/>
                <w:sz w:val="24"/>
                <w:szCs w:val="24"/>
                <w:highlight w:val="none"/>
                <w:shd w:val="clear" w:color="auto" w:fill="auto"/>
                <w:lang w:val="en-US"/>
              </w:rPr>
              <w:t>。</w:t>
            </w:r>
            <w:bookmarkEnd w:id="1"/>
            <w:bookmarkEnd w:id="2"/>
            <w:bookmarkEnd w:id="3"/>
            <w:bookmarkEnd w:id="4"/>
            <w:bookmarkEnd w:id="5"/>
          </w:p>
        </w:tc>
      </w:tr>
      <w:tr w14:paraId="2447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4" w:hRule="atLeast"/>
        </w:trPr>
        <w:tc>
          <w:tcPr>
            <w:tcW w:w="376" w:type="pct"/>
            <w:shd w:val="clear" w:color="auto" w:fill="auto"/>
            <w:vAlign w:val="center"/>
          </w:tcPr>
          <w:p w14:paraId="1F0D3FC3">
            <w:pPr>
              <w:jc w:val="both"/>
              <w:rPr>
                <w:rFonts w:hint="default" w:ascii="Times New Roman" w:hAnsi="Times New Roman" w:eastAsia="宋体" w:cs="Times New Roman"/>
                <w:b/>
                <w:color w:val="auto"/>
                <w:kern w:val="2"/>
                <w:sz w:val="24"/>
                <w:szCs w:val="22"/>
                <w:highlight w:val="none"/>
                <w:shd w:val="clear" w:color="auto" w:fill="auto"/>
                <w:lang w:val="en-US" w:eastAsia="zh-CN" w:bidi="ar-SA"/>
              </w:rPr>
            </w:pPr>
            <w:r>
              <w:rPr>
                <w:rFonts w:hint="default" w:ascii="Times New Roman" w:hAnsi="Times New Roman" w:eastAsia="宋体" w:cs="Times New Roman"/>
                <w:b/>
                <w:color w:val="auto"/>
                <w:sz w:val="24"/>
                <w:highlight w:val="none"/>
                <w:shd w:val="clear" w:color="auto" w:fill="auto"/>
              </w:rPr>
              <w:t>工艺流程和产排污环节</w:t>
            </w:r>
          </w:p>
        </w:tc>
        <w:tc>
          <w:tcPr>
            <w:tcW w:w="4623" w:type="pct"/>
            <w:shd w:val="clear" w:color="auto" w:fill="auto"/>
            <w:vAlign w:val="top"/>
          </w:tcPr>
          <w:p w14:paraId="50E3BD7A">
            <w:pPr>
              <w:spacing w:line="360" w:lineRule="auto"/>
              <w:rPr>
                <w:rFonts w:hint="default" w:ascii="Times New Roman" w:hAnsi="Times New Roman" w:eastAsia="宋体" w:cs="Times New Roman"/>
                <w:b/>
                <w:color w:val="auto"/>
                <w:sz w:val="24"/>
                <w:highlight w:val="none"/>
                <w:shd w:val="clear" w:color="auto" w:fill="auto"/>
              </w:rPr>
            </w:pPr>
            <w:r>
              <w:rPr>
                <w:rFonts w:hint="eastAsia" w:ascii="Times New Roman" w:hAnsi="Times New Roman" w:eastAsia="宋体" w:cs="Times New Roman"/>
                <w:b/>
                <w:color w:val="auto"/>
                <w:sz w:val="24"/>
                <w:highlight w:val="none"/>
                <w:shd w:val="clear" w:color="auto" w:fill="auto"/>
                <w:lang w:val="en-US" w:eastAsia="zh-CN"/>
              </w:rPr>
              <w:t>一、</w:t>
            </w:r>
            <w:r>
              <w:rPr>
                <w:rFonts w:hint="default" w:ascii="Times New Roman" w:hAnsi="Times New Roman" w:eastAsia="宋体" w:cs="Times New Roman"/>
                <w:b/>
                <w:color w:val="auto"/>
                <w:sz w:val="24"/>
                <w:highlight w:val="none"/>
                <w:shd w:val="clear" w:color="auto" w:fill="auto"/>
              </w:rPr>
              <w:t>施工期</w:t>
            </w:r>
          </w:p>
          <w:p w14:paraId="10881E12">
            <w:pPr>
              <w:spacing w:line="360" w:lineRule="auto"/>
              <w:ind w:firstLine="480"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val="0"/>
                <w:bCs/>
                <w:color w:val="auto"/>
                <w:sz w:val="24"/>
                <w:highlight w:val="none"/>
                <w:shd w:val="clear" w:color="auto" w:fill="auto"/>
              </w:rPr>
              <w:t>本项目</w:t>
            </w:r>
            <w:r>
              <w:rPr>
                <w:rFonts w:hint="eastAsia" w:ascii="Times New Roman" w:hAnsi="Times New Roman" w:eastAsia="宋体" w:cs="Times New Roman"/>
                <w:b w:val="0"/>
                <w:bCs/>
                <w:color w:val="auto"/>
                <w:sz w:val="24"/>
                <w:highlight w:val="none"/>
                <w:shd w:val="clear" w:color="auto" w:fill="auto"/>
                <w:lang w:val="en-US" w:eastAsia="zh-CN"/>
              </w:rPr>
              <w:t>租用</w:t>
            </w:r>
            <w:r>
              <w:rPr>
                <w:rFonts w:hint="eastAsia" w:ascii="Times New Roman" w:hAnsi="Times New Roman" w:eastAsia="宋体" w:cs="Times New Roman"/>
                <w:color w:val="auto"/>
                <w:sz w:val="24"/>
                <w:lang w:eastAsia="zh-CN"/>
              </w:rPr>
              <w:t>江苏高高制衣有限公司</w:t>
            </w:r>
            <w:r>
              <w:rPr>
                <w:rFonts w:hint="default" w:ascii="Times New Roman" w:hAnsi="Times New Roman" w:eastAsia="宋体" w:cs="Times New Roman"/>
                <w:color w:val="auto"/>
                <w:sz w:val="24"/>
                <w:lang w:eastAsia="zh-CN"/>
              </w:rPr>
              <w:t>位于江苏省常州市金坛区晨风路188号的现有空置厂房</w:t>
            </w:r>
            <w:r>
              <w:rPr>
                <w:rFonts w:hint="eastAsia" w:ascii="Times New Roman" w:hAnsi="Times New Roman" w:eastAsia="宋体" w:cs="Times New Roman"/>
                <w:color w:val="auto"/>
                <w:sz w:val="24"/>
                <w:lang w:val="en-US" w:eastAsia="zh-CN"/>
              </w:rPr>
              <w:t>车间四</w:t>
            </w:r>
            <w:r>
              <w:rPr>
                <w:rFonts w:hint="default" w:ascii="Times New Roman" w:hAnsi="Times New Roman" w:eastAsia="宋体" w:cs="Times New Roman"/>
                <w:b w:val="0"/>
                <w:bCs/>
                <w:color w:val="auto"/>
                <w:sz w:val="24"/>
                <w:highlight w:val="none"/>
                <w:shd w:val="clear" w:color="auto" w:fill="auto"/>
              </w:rPr>
              <w:t>，</w:t>
            </w:r>
            <w:r>
              <w:rPr>
                <w:rFonts w:hint="eastAsia" w:ascii="Times New Roman" w:hAnsi="Times New Roman" w:eastAsia="宋体" w:cs="Times New Roman"/>
                <w:b w:val="0"/>
                <w:bCs/>
                <w:color w:val="auto"/>
                <w:sz w:val="24"/>
                <w:highlight w:val="none"/>
                <w:shd w:val="clear" w:color="auto" w:fill="auto"/>
                <w:lang w:val="en-US" w:eastAsia="zh-CN"/>
              </w:rPr>
              <w:t>建筑</w:t>
            </w:r>
            <w:r>
              <w:rPr>
                <w:rFonts w:hint="default" w:ascii="Times New Roman" w:hAnsi="Times New Roman" w:eastAsia="宋体" w:cs="Times New Roman"/>
                <w:b w:val="0"/>
                <w:bCs/>
                <w:color w:val="auto"/>
                <w:sz w:val="24"/>
                <w:highlight w:val="none"/>
                <w:shd w:val="clear" w:color="auto" w:fill="auto"/>
              </w:rPr>
              <w:t>面积</w:t>
            </w:r>
            <w:r>
              <w:rPr>
                <w:rFonts w:hint="eastAsia" w:ascii="Times New Roman" w:hAnsi="Times New Roman" w:eastAsia="宋体" w:cs="Times New Roman"/>
                <w:b w:val="0"/>
                <w:bCs/>
                <w:color w:val="auto"/>
                <w:sz w:val="24"/>
                <w:highlight w:val="none"/>
                <w:shd w:val="clear" w:color="auto" w:fill="auto"/>
                <w:lang w:val="en-US" w:eastAsia="zh-CN"/>
              </w:rPr>
              <w:t>45</w:t>
            </w:r>
            <w:r>
              <w:rPr>
                <w:rFonts w:hint="default" w:ascii="Times New Roman" w:hAnsi="Times New Roman" w:eastAsia="宋体" w:cs="Times New Roman"/>
                <w:b w:val="0"/>
                <w:bCs/>
                <w:color w:val="auto"/>
                <w:sz w:val="24"/>
                <w:highlight w:val="none"/>
                <w:shd w:val="clear" w:color="auto" w:fill="auto"/>
              </w:rPr>
              <w:t>00m</w:t>
            </w:r>
            <w:r>
              <w:rPr>
                <w:rFonts w:hint="default" w:ascii="Times New Roman" w:hAnsi="Times New Roman" w:eastAsia="宋体" w:cs="Times New Roman"/>
                <w:b w:val="0"/>
                <w:bCs/>
                <w:color w:val="auto"/>
                <w:sz w:val="24"/>
                <w:highlight w:val="none"/>
                <w:shd w:val="clear" w:color="auto" w:fill="auto"/>
                <w:vertAlign w:val="superscript"/>
              </w:rPr>
              <w:t>2</w:t>
            </w:r>
            <w:r>
              <w:rPr>
                <w:rFonts w:hint="default" w:ascii="Times New Roman" w:hAnsi="Times New Roman" w:eastAsia="宋体" w:cs="Times New Roman"/>
                <w:b w:val="0"/>
                <w:bCs/>
                <w:color w:val="auto"/>
                <w:sz w:val="24"/>
                <w:highlight w:val="none"/>
                <w:shd w:val="clear" w:color="auto" w:fill="auto"/>
              </w:rPr>
              <w:t>。本项目进行内部装修改造</w:t>
            </w:r>
            <w:r>
              <w:rPr>
                <w:rFonts w:hint="eastAsia" w:ascii="Times New Roman" w:hAnsi="Times New Roman" w:eastAsia="宋体" w:cs="Times New Roman"/>
                <w:b w:val="0"/>
                <w:bCs/>
                <w:color w:val="auto"/>
                <w:sz w:val="24"/>
                <w:highlight w:val="none"/>
                <w:shd w:val="clear" w:color="auto" w:fill="auto"/>
                <w:lang w:eastAsia="zh-CN"/>
              </w:rPr>
              <w:t>，</w:t>
            </w:r>
            <w:r>
              <w:rPr>
                <w:rFonts w:hint="eastAsia" w:ascii="Times New Roman" w:hAnsi="Times New Roman" w:eastAsia="宋体" w:cs="Times New Roman"/>
                <w:b w:val="0"/>
                <w:bCs/>
                <w:color w:val="auto"/>
                <w:sz w:val="24"/>
                <w:highlight w:val="none"/>
                <w:shd w:val="clear" w:color="auto" w:fill="auto"/>
                <w:lang w:val="en-US" w:eastAsia="zh-CN"/>
              </w:rPr>
              <w:t>同时新建事故应急池</w:t>
            </w:r>
            <w:r>
              <w:rPr>
                <w:rFonts w:hint="default" w:ascii="Times New Roman" w:hAnsi="Times New Roman" w:eastAsia="宋体" w:cs="Times New Roman"/>
                <w:b w:val="0"/>
                <w:bCs/>
                <w:color w:val="auto"/>
                <w:sz w:val="24"/>
                <w:highlight w:val="none"/>
                <w:shd w:val="clear" w:color="auto" w:fill="auto"/>
              </w:rPr>
              <w:t>。施工量较小。施工期主要污染为噪声</w:t>
            </w:r>
            <w:r>
              <w:rPr>
                <w:rFonts w:hint="eastAsia"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施工废气</w:t>
            </w:r>
            <w:r>
              <w:rPr>
                <w:rFonts w:hint="eastAsia" w:ascii="Times New Roman" w:hAnsi="Times New Roman" w:eastAsia="宋体" w:cs="Times New Roman"/>
                <w:b w:val="0"/>
                <w:bCs/>
                <w:color w:val="auto"/>
                <w:sz w:val="24"/>
                <w:highlight w:val="none"/>
                <w:shd w:val="clear" w:color="auto" w:fill="auto"/>
                <w:lang w:val="en-US" w:eastAsia="zh-CN"/>
              </w:rPr>
              <w:t>及固废</w:t>
            </w:r>
            <w:r>
              <w:rPr>
                <w:rFonts w:hint="default" w:ascii="Times New Roman" w:hAnsi="Times New Roman" w:eastAsia="宋体" w:cs="Times New Roman"/>
                <w:b w:val="0"/>
                <w:bCs/>
                <w:color w:val="auto"/>
                <w:sz w:val="24"/>
                <w:highlight w:val="none"/>
                <w:shd w:val="clear" w:color="auto" w:fill="auto"/>
              </w:rPr>
              <w:t>，项目施工期较短，随着施工期结束，污染也随之消失，施工期对周围环境影响较小。</w:t>
            </w:r>
          </w:p>
          <w:p w14:paraId="7688C74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val="0"/>
                <w:color w:val="auto"/>
                <w:sz w:val="24"/>
                <w:highlight w:val="none"/>
                <w:shd w:val="clear" w:color="auto" w:fill="auto"/>
                <w:lang w:val="en-US" w:eastAsia="zh-CN"/>
              </w:rPr>
            </w:pPr>
            <w:bookmarkStart w:id="6" w:name="_Toc18182"/>
            <w:bookmarkStart w:id="7" w:name="_Toc20544"/>
            <w:bookmarkStart w:id="8" w:name="_Toc23344"/>
            <w:bookmarkStart w:id="9" w:name="_Toc21734"/>
            <w:r>
              <w:rPr>
                <w:rFonts w:hint="eastAsia" w:ascii="Times New Roman" w:hAnsi="Times New Roman" w:eastAsia="宋体" w:cs="Times New Roman"/>
                <w:b/>
                <w:bCs w:val="0"/>
                <w:color w:val="auto"/>
                <w:sz w:val="24"/>
                <w:highlight w:val="none"/>
                <w:shd w:val="clear" w:color="auto" w:fill="auto"/>
                <w:lang w:val="en-US" w:eastAsia="zh-CN"/>
              </w:rPr>
              <w:t>二、运营期</w:t>
            </w:r>
          </w:p>
          <w:p w14:paraId="09603F8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auto"/>
                <w:sz w:val="24"/>
                <w:highlight w:val="none"/>
                <w:shd w:val="clear" w:color="auto" w:fill="auto"/>
                <w:lang w:val="en-US" w:eastAsia="zh-CN"/>
              </w:rPr>
            </w:pPr>
            <w:r>
              <w:rPr>
                <w:rFonts w:hint="eastAsia" w:ascii="Times New Roman" w:hAnsi="Times New Roman" w:eastAsia="宋体" w:cs="Times New Roman"/>
                <w:b/>
                <w:bCs w:val="0"/>
                <w:color w:val="auto"/>
                <w:sz w:val="24"/>
                <w:highlight w:val="none"/>
                <w:shd w:val="clear" w:color="auto" w:fill="auto"/>
                <w:lang w:val="en-US" w:eastAsia="zh-CN"/>
              </w:rPr>
              <w:t>1、主要</w:t>
            </w:r>
            <w:r>
              <w:rPr>
                <w:rFonts w:hint="default" w:ascii="Times New Roman" w:hAnsi="Times New Roman" w:eastAsia="宋体" w:cs="Times New Roman"/>
                <w:b/>
                <w:bCs w:val="0"/>
                <w:color w:val="auto"/>
                <w:sz w:val="24"/>
                <w:highlight w:val="none"/>
                <w:shd w:val="clear" w:color="auto" w:fill="auto"/>
                <w:lang w:val="en-US" w:eastAsia="zh-CN"/>
              </w:rPr>
              <w:t>生产工艺</w:t>
            </w:r>
            <w:r>
              <w:rPr>
                <w:rFonts w:hint="eastAsia" w:ascii="Times New Roman" w:hAnsi="Times New Roman" w:eastAsia="宋体" w:cs="Times New Roman"/>
                <w:b/>
                <w:bCs w:val="0"/>
                <w:color w:val="auto"/>
                <w:sz w:val="24"/>
                <w:highlight w:val="none"/>
                <w:shd w:val="clear" w:color="auto" w:fill="auto"/>
                <w:lang w:val="en-US" w:eastAsia="zh-CN"/>
              </w:rPr>
              <w:t>如下：</w:t>
            </w:r>
          </w:p>
          <w:bookmarkEnd w:id="6"/>
          <w:bookmarkEnd w:id="7"/>
          <w:bookmarkEnd w:id="8"/>
          <w:bookmarkEnd w:id="9"/>
          <w:p w14:paraId="0521256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highlight w:val="none"/>
                <w:shd w:val="clear" w:color="auto" w:fill="auto"/>
                <w:lang w:eastAsia="zh-CN"/>
              </w:rPr>
            </w:pPr>
            <w:r>
              <w:rPr>
                <w:rFonts w:hint="default" w:ascii="Times New Roman" w:hAnsi="Times New Roman" w:eastAsia="宋体" w:cs="Times New Roman"/>
                <w:b/>
                <w:color w:val="auto"/>
                <w:sz w:val="24"/>
                <w:szCs w:val="24"/>
                <w:highlight w:val="none"/>
                <w:shd w:val="clear" w:color="auto" w:fill="auto"/>
                <w:lang w:val="en-US" w:eastAsia="zh-CN"/>
              </w:rPr>
              <w:drawing>
                <wp:inline distT="0" distB="0" distL="114300" distR="114300">
                  <wp:extent cx="4131310" cy="5323205"/>
                  <wp:effectExtent l="0" t="0" r="0" b="0"/>
                  <wp:docPr id="9" name="ECB019B1-382A-4266-B25C-5B523AA43C14-3" descr="C:/Users/29147/AppData/Local/Temp/wps.dtrAH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3" descr="C:/Users/29147/AppData/Local/Temp/wps.dtrAHNwps"/>
                          <pic:cNvPicPr>
                            <a:picLocks noChangeAspect="1"/>
                          </pic:cNvPicPr>
                        </pic:nvPicPr>
                        <pic:blipFill>
                          <a:blip r:embed="rId15"/>
                          <a:stretch>
                            <a:fillRect/>
                          </a:stretch>
                        </pic:blipFill>
                        <pic:spPr>
                          <a:xfrm>
                            <a:off x="0" y="0"/>
                            <a:ext cx="4131310" cy="5323205"/>
                          </a:xfrm>
                          <a:prstGeom prst="rect">
                            <a:avLst/>
                          </a:prstGeom>
                          <a:noFill/>
                          <a:ln>
                            <a:noFill/>
                          </a:ln>
                        </pic:spPr>
                      </pic:pic>
                    </a:graphicData>
                  </a:graphic>
                </wp:inline>
              </w:drawing>
            </w:r>
          </w:p>
          <w:p w14:paraId="4A9E7402">
            <w:pPr>
              <w:pStyle w:val="7"/>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b w:val="0"/>
                <w:bCs w:val="0"/>
                <w:color w:val="auto"/>
                <w:kern w:val="0"/>
                <w:sz w:val="24"/>
                <w:szCs w:val="24"/>
                <w:highlight w:val="none"/>
                <w:shd w:val="clear" w:color="auto" w:fill="auto"/>
              </w:rPr>
              <w:t>注：G——废气；S——固废；N——噪声</w:t>
            </w:r>
          </w:p>
          <w:p w14:paraId="0DB818AD">
            <w:pPr>
              <w:spacing w:line="360" w:lineRule="auto"/>
              <w:jc w:val="center"/>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图2-</w:t>
            </w:r>
            <w:r>
              <w:rPr>
                <w:rFonts w:hint="eastAsia" w:ascii="Times New Roman" w:hAnsi="Times New Roman" w:eastAsia="宋体" w:cs="Times New Roman"/>
                <w:b/>
                <w:bCs/>
                <w:color w:val="auto"/>
                <w:sz w:val="24"/>
                <w:highlight w:val="none"/>
                <w:shd w:val="clear" w:color="auto" w:fill="auto"/>
                <w:lang w:val="en-US" w:eastAsia="zh-CN"/>
              </w:rPr>
              <w:t>3</w:t>
            </w:r>
            <w:r>
              <w:rPr>
                <w:rFonts w:hint="default" w:ascii="Times New Roman" w:hAnsi="Times New Roman" w:eastAsia="宋体" w:cs="Times New Roman"/>
                <w:b/>
                <w:bCs/>
                <w:color w:val="auto"/>
                <w:sz w:val="24"/>
                <w:highlight w:val="none"/>
                <w:shd w:val="clear" w:color="auto" w:fill="auto"/>
              </w:rPr>
              <w:t xml:space="preserve">  </w:t>
            </w:r>
            <w:r>
              <w:rPr>
                <w:rFonts w:hint="eastAsia" w:ascii="Times New Roman" w:hAnsi="Times New Roman" w:eastAsia="宋体" w:cs="Times New Roman"/>
                <w:b/>
                <w:bCs/>
                <w:color w:val="auto"/>
                <w:sz w:val="24"/>
                <w:highlight w:val="none"/>
                <w:shd w:val="clear" w:color="auto" w:fill="auto"/>
                <w:lang w:val="en-US" w:eastAsia="zh-CN"/>
              </w:rPr>
              <w:t>主要</w:t>
            </w:r>
            <w:r>
              <w:rPr>
                <w:rFonts w:hint="default" w:ascii="Times New Roman" w:hAnsi="Times New Roman" w:eastAsia="宋体" w:cs="Times New Roman"/>
                <w:b/>
                <w:bCs/>
                <w:color w:val="auto"/>
                <w:sz w:val="24"/>
                <w:highlight w:val="none"/>
                <w:shd w:val="clear" w:color="auto" w:fill="auto"/>
                <w:lang w:val="en-US" w:eastAsia="zh-CN"/>
              </w:rPr>
              <w:t>生产工</w:t>
            </w:r>
            <w:r>
              <w:rPr>
                <w:rFonts w:hint="default" w:ascii="Times New Roman" w:hAnsi="Times New Roman" w:eastAsia="宋体" w:cs="Times New Roman"/>
                <w:b/>
                <w:bCs/>
                <w:color w:val="auto"/>
                <w:sz w:val="24"/>
                <w:highlight w:val="none"/>
                <w:shd w:val="clear" w:color="auto" w:fill="auto"/>
              </w:rPr>
              <w:t>艺流程及产污环节示意图</w:t>
            </w:r>
          </w:p>
          <w:p w14:paraId="055967AD">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生产工艺简述：</w:t>
            </w:r>
          </w:p>
          <w:p w14:paraId="44199B9E">
            <w:pPr>
              <w:numPr>
                <w:ilvl w:val="0"/>
                <w:numId w:val="0"/>
              </w:numPr>
              <w:spacing w:line="360" w:lineRule="auto"/>
              <w:ind w:firstLine="482" w:firstLineChars="200"/>
              <w:rPr>
                <w:rFonts w:hint="default" w:ascii="Times New Roman" w:hAnsi="Times New Roman" w:eastAsia="宋体" w:cs="Times New Roman"/>
                <w:b/>
                <w:bCs/>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混料</w:t>
            </w:r>
            <w:r>
              <w:rPr>
                <w:rFonts w:hint="default" w:ascii="Times New Roman" w:hAnsi="Times New Roman" w:eastAsia="宋体" w:cs="Times New Roman"/>
                <w:b/>
                <w:bCs/>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将</w:t>
            </w:r>
            <w:r>
              <w:rPr>
                <w:rFonts w:hint="eastAsia" w:ascii="Times New Roman" w:hAnsi="Times New Roman" w:eastAsia="宋体" w:cs="Times New Roman"/>
                <w:b w:val="0"/>
                <w:bCs w:val="0"/>
                <w:color w:val="auto"/>
                <w:sz w:val="24"/>
                <w:highlight w:val="none"/>
                <w:shd w:val="clear" w:color="auto" w:fill="auto"/>
                <w:lang w:val="en-US" w:eastAsia="zh-CN"/>
              </w:rPr>
              <w:t>LDPE粒子与色母粒按照</w:t>
            </w:r>
            <w:r>
              <w:rPr>
                <w:rFonts w:hint="default" w:ascii="Times New Roman" w:hAnsi="Times New Roman" w:eastAsia="宋体" w:cs="Times New Roman"/>
                <w:b w:val="0"/>
                <w:bCs w:val="0"/>
                <w:color w:val="auto"/>
                <w:sz w:val="24"/>
                <w:highlight w:val="none"/>
                <w:shd w:val="clear" w:color="auto" w:fill="auto"/>
                <w:lang w:val="en-US" w:eastAsia="zh-CN"/>
              </w:rPr>
              <w:t>比例人工上料至混</w:t>
            </w:r>
            <w:r>
              <w:rPr>
                <w:rFonts w:hint="eastAsia" w:ascii="Times New Roman" w:hAnsi="Times New Roman" w:eastAsia="宋体" w:cs="Times New Roman"/>
                <w:b w:val="0"/>
                <w:bCs w:val="0"/>
                <w:color w:val="auto"/>
                <w:sz w:val="24"/>
                <w:highlight w:val="none"/>
                <w:shd w:val="clear" w:color="auto" w:fill="auto"/>
                <w:lang w:val="en-US" w:eastAsia="zh-CN"/>
              </w:rPr>
              <w:t>料</w:t>
            </w:r>
            <w:r>
              <w:rPr>
                <w:rFonts w:hint="default" w:ascii="Times New Roman" w:hAnsi="Times New Roman" w:eastAsia="宋体" w:cs="Times New Roman"/>
                <w:b w:val="0"/>
                <w:bCs w:val="0"/>
                <w:color w:val="auto"/>
                <w:sz w:val="24"/>
                <w:highlight w:val="none"/>
                <w:shd w:val="clear" w:color="auto" w:fill="auto"/>
                <w:lang w:val="en-US" w:eastAsia="zh-CN"/>
              </w:rPr>
              <w:t>机，互相混合搅拌均匀，因</w:t>
            </w:r>
            <w:r>
              <w:rPr>
                <w:rFonts w:hint="eastAsia" w:ascii="Times New Roman" w:hAnsi="Times New Roman" w:eastAsia="宋体" w:cs="Times New Roman"/>
                <w:b w:val="0"/>
                <w:bCs w:val="0"/>
                <w:color w:val="auto"/>
                <w:sz w:val="24"/>
                <w:highlight w:val="none"/>
                <w:shd w:val="clear" w:color="auto" w:fill="auto"/>
                <w:lang w:val="en-US" w:eastAsia="zh-CN"/>
              </w:rPr>
              <w:t>LDPE与色母粒</w:t>
            </w:r>
            <w:r>
              <w:rPr>
                <w:rFonts w:hint="default" w:ascii="Times New Roman" w:hAnsi="Times New Roman" w:eastAsia="宋体" w:cs="Times New Roman"/>
                <w:b w:val="0"/>
                <w:bCs w:val="0"/>
                <w:color w:val="auto"/>
                <w:sz w:val="24"/>
                <w:highlight w:val="none"/>
                <w:shd w:val="clear" w:color="auto" w:fill="auto"/>
                <w:lang w:val="en-US" w:eastAsia="zh-CN"/>
              </w:rPr>
              <w:t>均为颗粒状，故混料过程中无粉尘产生。</w:t>
            </w:r>
          </w:p>
          <w:p w14:paraId="5531996D">
            <w:pPr>
              <w:numPr>
                <w:ilvl w:val="0"/>
                <w:numId w:val="0"/>
              </w:numPr>
              <w:spacing w:line="360" w:lineRule="auto"/>
              <w:ind w:firstLine="482"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吹膜</w:t>
            </w:r>
            <w:r>
              <w:rPr>
                <w:rFonts w:hint="default" w:ascii="Times New Roman" w:hAnsi="Times New Roman" w:eastAsia="宋体" w:cs="Times New Roman"/>
                <w:b/>
                <w:bCs/>
                <w:color w:val="auto"/>
                <w:sz w:val="24"/>
                <w:highlight w:val="none"/>
                <w:shd w:val="clear" w:color="auto" w:fill="auto"/>
                <w:lang w:val="en-US" w:eastAsia="zh-CN"/>
              </w:rPr>
              <w:t>：</w:t>
            </w:r>
            <w:r>
              <w:rPr>
                <w:rFonts w:hint="eastAsia" w:ascii="Times New Roman" w:hAnsi="Times New Roman" w:eastAsia="宋体" w:cs="Times New Roman"/>
                <w:b w:val="0"/>
                <w:bCs w:val="0"/>
                <w:color w:val="auto"/>
                <w:sz w:val="24"/>
                <w:highlight w:val="none"/>
                <w:shd w:val="clear" w:color="auto" w:fill="auto"/>
                <w:lang w:val="en-US" w:eastAsia="zh-CN"/>
              </w:rPr>
              <w:t>物料</w:t>
            </w:r>
            <w:r>
              <w:rPr>
                <w:rFonts w:hint="default" w:ascii="Times New Roman" w:hAnsi="Times New Roman" w:eastAsia="宋体" w:cs="Times New Roman"/>
                <w:b w:val="0"/>
                <w:bCs w:val="0"/>
                <w:color w:val="auto"/>
                <w:sz w:val="24"/>
                <w:highlight w:val="none"/>
                <w:shd w:val="clear" w:color="auto" w:fill="auto"/>
                <w:lang w:val="en-US" w:eastAsia="zh-CN"/>
              </w:rPr>
              <w:t>由自身的重力作用从进料斗进入螺杆腔，通过螺杆旋转不断向前推进并不断加热成熔融状态，加热方式为电加热，加热温度维持在1</w:t>
            </w:r>
            <w:r>
              <w:rPr>
                <w:rFonts w:hint="eastAsia" w:ascii="Times New Roman" w:hAnsi="Times New Roman" w:eastAsia="宋体" w:cs="Times New Roman"/>
                <w:b w:val="0"/>
                <w:bCs w:val="0"/>
                <w:color w:val="auto"/>
                <w:sz w:val="24"/>
                <w:highlight w:val="none"/>
                <w:shd w:val="clear" w:color="auto" w:fill="auto"/>
                <w:lang w:val="en-US" w:eastAsia="zh-CN"/>
              </w:rPr>
              <w:t>7</w:t>
            </w:r>
            <w:r>
              <w:rPr>
                <w:rFonts w:hint="default" w:ascii="Times New Roman" w:hAnsi="Times New Roman" w:eastAsia="宋体" w:cs="Times New Roman"/>
                <w:b w:val="0"/>
                <w:bCs w:val="0"/>
                <w:color w:val="auto"/>
                <w:sz w:val="24"/>
                <w:highlight w:val="none"/>
                <w:shd w:val="clear" w:color="auto" w:fill="auto"/>
                <w:lang w:val="en-US" w:eastAsia="zh-CN"/>
              </w:rPr>
              <w:t>0℃左右</w:t>
            </w:r>
            <w:r>
              <w:rPr>
                <w:rFonts w:hint="eastAsia" w:ascii="Times New Roman" w:hAnsi="Times New Roman" w:eastAsia="宋体" w:cs="Times New Roman"/>
                <w:b w:val="0"/>
                <w:bCs w:val="0"/>
                <w:color w:val="auto"/>
                <w:sz w:val="24"/>
                <w:highlight w:val="none"/>
                <w:shd w:val="clear" w:color="auto" w:fill="auto"/>
                <w:lang w:val="en-US" w:eastAsia="zh-CN"/>
              </w:rPr>
              <w:t>，低于LDPE的分解温度（300℃以上），因此不会产生裂解废气。</w:t>
            </w:r>
            <w:r>
              <w:rPr>
                <w:rFonts w:hint="default" w:ascii="Times New Roman" w:hAnsi="Times New Roman" w:eastAsia="宋体" w:cs="Times New Roman"/>
                <w:b w:val="0"/>
                <w:bCs w:val="0"/>
                <w:color w:val="auto"/>
                <w:sz w:val="24"/>
                <w:highlight w:val="none"/>
                <w:shd w:val="clear" w:color="auto" w:fill="auto"/>
                <w:lang w:val="en-US" w:eastAsia="zh-CN"/>
              </w:rPr>
              <w:t>熔融的</w:t>
            </w:r>
            <w:r>
              <w:rPr>
                <w:rFonts w:hint="eastAsia" w:ascii="Times New Roman" w:hAnsi="Times New Roman" w:eastAsia="宋体" w:cs="Times New Roman"/>
                <w:b w:val="0"/>
                <w:bCs w:val="0"/>
                <w:color w:val="auto"/>
                <w:sz w:val="24"/>
                <w:highlight w:val="none"/>
                <w:shd w:val="clear" w:color="auto" w:fill="auto"/>
                <w:lang w:val="en-US" w:eastAsia="zh-CN"/>
              </w:rPr>
              <w:t>LDPE粒子与色母粒</w:t>
            </w:r>
            <w:r>
              <w:rPr>
                <w:rFonts w:hint="default" w:ascii="Times New Roman" w:hAnsi="Times New Roman" w:eastAsia="宋体" w:cs="Times New Roman"/>
                <w:b w:val="0"/>
                <w:bCs w:val="0"/>
                <w:color w:val="auto"/>
                <w:sz w:val="24"/>
                <w:highlight w:val="none"/>
                <w:shd w:val="clear" w:color="auto" w:fill="auto"/>
                <w:lang w:val="en-US" w:eastAsia="zh-CN"/>
              </w:rPr>
              <w:t>在螺杆的旋转下被推送到膜口挤出形成管胚，借助空压机向管内吹入空气使其膨胀成膜，可根据不同需求使用不同型号的吹膜机进行吹膜，吹膜出来后直接进入风环对PE膜进行冷却。</w:t>
            </w:r>
            <w:r>
              <w:rPr>
                <w:rFonts w:hint="eastAsia" w:ascii="Times New Roman" w:hAnsi="Times New Roman" w:eastAsia="宋体" w:cs="Times New Roman"/>
                <w:b w:val="0"/>
                <w:bCs w:val="0"/>
                <w:color w:val="auto"/>
                <w:sz w:val="24"/>
                <w:highlight w:val="none"/>
                <w:shd w:val="clear" w:color="auto" w:fill="auto"/>
                <w:lang w:val="en-US" w:eastAsia="zh-CN"/>
              </w:rPr>
              <w:t>生产</w:t>
            </w:r>
            <w:r>
              <w:rPr>
                <w:rFonts w:hint="default" w:ascii="Times New Roman" w:hAnsi="Times New Roman" w:eastAsia="宋体" w:cs="Times New Roman"/>
                <w:color w:val="auto"/>
                <w:sz w:val="24"/>
                <w:highlight w:val="none"/>
                <w:shd w:val="clear" w:color="auto" w:fill="auto"/>
              </w:rPr>
              <w:t>速度</w:t>
            </w:r>
            <w:r>
              <w:rPr>
                <w:rFonts w:hint="eastAsia" w:ascii="Times New Roman" w:hAnsi="Times New Roman" w:eastAsia="宋体" w:cs="Times New Roman"/>
                <w:color w:val="auto"/>
                <w:sz w:val="24"/>
                <w:highlight w:val="none"/>
                <w:shd w:val="clear" w:color="auto" w:fill="auto"/>
                <w:lang w:val="en-US" w:eastAsia="zh-CN"/>
              </w:rPr>
              <w:t>为</w:t>
            </w:r>
            <w:r>
              <w:rPr>
                <w:rFonts w:hint="default" w:ascii="Times New Roman" w:hAnsi="Times New Roman" w:eastAsia="宋体" w:cs="Times New Roman"/>
                <w:color w:val="auto"/>
                <w:sz w:val="24"/>
                <w:highlight w:val="none"/>
                <w:shd w:val="clear" w:color="auto" w:fill="auto"/>
              </w:rPr>
              <w:t>20米/分钟，</w:t>
            </w:r>
            <w:r>
              <w:rPr>
                <w:rFonts w:hint="eastAsia" w:ascii="Times New Roman" w:hAnsi="Times New Roman" w:eastAsia="宋体" w:cs="Times New Roman"/>
                <w:color w:val="auto"/>
                <w:sz w:val="24"/>
                <w:highlight w:val="none"/>
                <w:shd w:val="clear" w:color="auto" w:fill="auto"/>
                <w:lang w:val="en-US" w:eastAsia="zh-CN"/>
              </w:rPr>
              <w:t>每批产品吹膜</w:t>
            </w:r>
            <w:r>
              <w:rPr>
                <w:rFonts w:hint="default" w:ascii="Times New Roman" w:hAnsi="Times New Roman" w:eastAsia="宋体" w:cs="Times New Roman"/>
                <w:color w:val="auto"/>
                <w:sz w:val="24"/>
                <w:highlight w:val="none"/>
                <w:shd w:val="clear" w:color="auto" w:fill="auto"/>
              </w:rPr>
              <w:t>需约50分钟</w:t>
            </w:r>
            <w:r>
              <w:rPr>
                <w:rFonts w:hint="eastAsia"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b w:val="0"/>
                <w:bCs w:val="0"/>
                <w:color w:val="auto"/>
                <w:sz w:val="24"/>
                <w:highlight w:val="none"/>
                <w:shd w:val="clear" w:color="auto" w:fill="auto"/>
                <w:lang w:val="en-US" w:eastAsia="zh-CN"/>
              </w:rPr>
              <w:t>此工序</w:t>
            </w:r>
            <w:r>
              <w:rPr>
                <w:rFonts w:hint="eastAsia" w:ascii="Times New Roman" w:hAnsi="Times New Roman" w:eastAsia="宋体" w:cs="Times New Roman"/>
                <w:b w:val="0"/>
                <w:bCs w:val="0"/>
                <w:color w:val="auto"/>
                <w:sz w:val="24"/>
                <w:highlight w:val="none"/>
                <w:shd w:val="clear" w:color="auto" w:fill="auto"/>
                <w:lang w:val="en-US" w:eastAsia="zh-CN"/>
              </w:rPr>
              <w:t>产生吹膜废气G1、不合格品S1</w:t>
            </w:r>
            <w:r>
              <w:rPr>
                <w:rFonts w:hint="default" w:ascii="Times New Roman" w:hAnsi="Times New Roman" w:eastAsia="宋体" w:cs="Times New Roman"/>
                <w:b w:val="0"/>
                <w:bCs w:val="0"/>
                <w:color w:val="auto"/>
                <w:sz w:val="24"/>
                <w:highlight w:val="none"/>
                <w:shd w:val="clear" w:color="auto" w:fill="auto"/>
                <w:lang w:val="en-US" w:eastAsia="zh-CN"/>
              </w:rPr>
              <w:t>和噪声</w:t>
            </w:r>
            <w:r>
              <w:rPr>
                <w:rFonts w:hint="eastAsia" w:ascii="Times New Roman" w:hAnsi="Times New Roman" w:eastAsia="宋体" w:cs="Times New Roman"/>
                <w:b w:val="0"/>
                <w:bCs w:val="0"/>
                <w:color w:val="auto"/>
                <w:sz w:val="24"/>
                <w:highlight w:val="none"/>
                <w:shd w:val="clear" w:color="auto" w:fill="auto"/>
                <w:lang w:val="en-US" w:eastAsia="zh-CN"/>
              </w:rPr>
              <w:t>N</w:t>
            </w:r>
            <w:r>
              <w:rPr>
                <w:rFonts w:hint="default" w:ascii="Times New Roman" w:hAnsi="Times New Roman" w:eastAsia="宋体" w:cs="Times New Roman"/>
                <w:b w:val="0"/>
                <w:bCs w:val="0"/>
                <w:color w:val="auto"/>
                <w:sz w:val="24"/>
                <w:highlight w:val="none"/>
                <w:shd w:val="clear" w:color="auto" w:fill="auto"/>
                <w:lang w:val="en-US" w:eastAsia="zh-CN"/>
              </w:rPr>
              <w:t>产生。</w:t>
            </w:r>
          </w:p>
          <w:p w14:paraId="2E010F6F">
            <w:pPr>
              <w:numPr>
                <w:ilvl w:val="0"/>
                <w:numId w:val="0"/>
              </w:numPr>
              <w:spacing w:line="360" w:lineRule="auto"/>
              <w:ind w:firstLine="482"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bCs/>
                <w:color w:val="auto"/>
                <w:sz w:val="24"/>
                <w:highlight w:val="none"/>
                <w:shd w:val="clear" w:color="auto" w:fill="auto"/>
                <w:lang w:val="en-US" w:eastAsia="zh-CN"/>
              </w:rPr>
              <w:t>破碎：</w:t>
            </w:r>
            <w:r>
              <w:rPr>
                <w:rFonts w:hint="eastAsia" w:ascii="Times New Roman" w:hAnsi="Times New Roman" w:eastAsia="宋体" w:cs="Times New Roman"/>
                <w:b w:val="0"/>
                <w:bCs w:val="0"/>
                <w:color w:val="auto"/>
                <w:sz w:val="24"/>
                <w:highlight w:val="none"/>
                <w:shd w:val="clear" w:color="auto" w:fill="auto"/>
                <w:lang w:val="en-US" w:eastAsia="zh-CN"/>
              </w:rPr>
              <w:t>吹膜</w:t>
            </w:r>
            <w:r>
              <w:rPr>
                <w:rFonts w:hint="default" w:ascii="Times New Roman" w:hAnsi="Times New Roman" w:eastAsia="宋体" w:cs="Times New Roman"/>
                <w:b w:val="0"/>
                <w:bCs w:val="0"/>
                <w:color w:val="auto"/>
                <w:sz w:val="24"/>
                <w:highlight w:val="none"/>
                <w:shd w:val="clear" w:color="auto" w:fill="auto"/>
                <w:lang w:val="en-US" w:eastAsia="zh-CN"/>
              </w:rPr>
              <w:t>产生的不合格品经过破碎机进行破碎，破碎后的塑料回用于混料工段进行生产，</w:t>
            </w:r>
            <w:r>
              <w:rPr>
                <w:rFonts w:hint="eastAsia" w:ascii="Times New Roman" w:hAnsi="Times New Roman" w:eastAsia="宋体" w:cs="Times New Roman"/>
                <w:b w:val="0"/>
                <w:bCs w:val="0"/>
                <w:color w:val="auto"/>
                <w:sz w:val="24"/>
                <w:highlight w:val="none"/>
                <w:shd w:val="clear" w:color="auto" w:fill="auto"/>
                <w:lang w:val="en-US" w:eastAsia="zh-CN"/>
              </w:rPr>
              <w:t>此工序产生破碎粉尘</w:t>
            </w:r>
            <w:r>
              <w:rPr>
                <w:rFonts w:hint="default" w:ascii="Times New Roman" w:hAnsi="Times New Roman" w:eastAsia="宋体" w:cs="Times New Roman"/>
                <w:b w:val="0"/>
                <w:bCs w:val="0"/>
                <w:color w:val="auto"/>
                <w:sz w:val="24"/>
                <w:highlight w:val="none"/>
                <w:shd w:val="clear" w:color="auto" w:fill="auto"/>
                <w:lang w:val="en-US" w:eastAsia="zh-CN"/>
              </w:rPr>
              <w:t>G</w:t>
            </w:r>
            <w:r>
              <w:rPr>
                <w:rFonts w:hint="eastAsia" w:ascii="Times New Roman" w:hAnsi="Times New Roman" w:eastAsia="宋体" w:cs="Times New Roman"/>
                <w:b w:val="0"/>
                <w:bCs w:val="0"/>
                <w:color w:val="auto"/>
                <w:sz w:val="24"/>
                <w:highlight w:val="none"/>
                <w:shd w:val="clear" w:color="auto" w:fill="auto"/>
                <w:lang w:val="en-US" w:eastAsia="zh-CN"/>
              </w:rPr>
              <w:t>2</w:t>
            </w:r>
            <w:r>
              <w:rPr>
                <w:rFonts w:hint="default" w:ascii="Times New Roman" w:hAnsi="Times New Roman" w:eastAsia="宋体" w:cs="Times New Roman"/>
                <w:b w:val="0"/>
                <w:bCs w:val="0"/>
                <w:color w:val="auto"/>
                <w:sz w:val="24"/>
                <w:highlight w:val="none"/>
                <w:shd w:val="clear" w:color="auto" w:fill="auto"/>
                <w:lang w:val="en-US" w:eastAsia="zh-CN"/>
              </w:rPr>
              <w:t>和噪声N。</w:t>
            </w:r>
          </w:p>
          <w:p w14:paraId="02121B35">
            <w:pPr>
              <w:numPr>
                <w:ilvl w:val="0"/>
                <w:numId w:val="0"/>
              </w:numPr>
              <w:spacing w:line="360" w:lineRule="auto"/>
              <w:ind w:firstLine="482"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印刷</w:t>
            </w:r>
            <w:r>
              <w:rPr>
                <w:rFonts w:hint="default" w:ascii="Times New Roman" w:hAnsi="Times New Roman" w:eastAsia="宋体" w:cs="Times New Roman"/>
                <w:b/>
                <w:bCs/>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本项目</w:t>
            </w:r>
            <w:r>
              <w:rPr>
                <w:rFonts w:hint="eastAsia" w:ascii="Times New Roman" w:hAnsi="Times New Roman" w:eastAsia="宋体" w:cs="Times New Roman"/>
                <w:b w:val="0"/>
                <w:bCs w:val="0"/>
                <w:color w:val="auto"/>
                <w:sz w:val="24"/>
                <w:highlight w:val="none"/>
                <w:shd w:val="clear" w:color="auto" w:fill="auto"/>
                <w:lang w:val="en-US" w:eastAsia="zh-CN"/>
              </w:rPr>
              <w:t>生产环保塑料袋，其中93%为</w:t>
            </w:r>
            <w:r>
              <w:rPr>
                <w:rFonts w:hint="default" w:ascii="Times New Roman" w:hAnsi="Times New Roman" w:eastAsia="宋体" w:cs="Times New Roman"/>
                <w:b w:val="0"/>
                <w:bCs w:val="0"/>
                <w:color w:val="auto"/>
                <w:sz w:val="24"/>
                <w:highlight w:val="none"/>
                <w:shd w:val="clear" w:color="auto" w:fill="auto"/>
                <w:lang w:val="en-US" w:eastAsia="zh-CN"/>
              </w:rPr>
              <w:t>冰袋外包装</w:t>
            </w:r>
            <w:r>
              <w:rPr>
                <w:rFonts w:hint="eastAsia" w:ascii="Times New Roman" w:hAnsi="Times New Roman" w:eastAsia="宋体" w:cs="Times New Roman"/>
                <w:b w:val="0"/>
                <w:bCs w:val="0"/>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使用水性油墨</w:t>
            </w:r>
            <w:r>
              <w:rPr>
                <w:rFonts w:hint="eastAsia" w:ascii="Times New Roman" w:hAnsi="Times New Roman" w:eastAsia="宋体" w:cs="Times New Roman"/>
                <w:b w:val="0"/>
                <w:bCs w:val="0"/>
                <w:color w:val="auto"/>
                <w:sz w:val="24"/>
                <w:highlight w:val="none"/>
                <w:shd w:val="clear" w:color="auto" w:fill="auto"/>
                <w:lang w:val="en-US" w:eastAsia="zh-CN"/>
              </w:rPr>
              <w:t>印刷</w:t>
            </w:r>
            <w:r>
              <w:rPr>
                <w:rFonts w:hint="default" w:ascii="Times New Roman" w:hAnsi="Times New Roman" w:eastAsia="宋体" w:cs="Times New Roman"/>
                <w:b w:val="0"/>
                <w:bCs w:val="0"/>
                <w:color w:val="auto"/>
                <w:sz w:val="24"/>
                <w:highlight w:val="none"/>
                <w:shd w:val="clear" w:color="auto" w:fill="auto"/>
                <w:lang w:val="en-US" w:eastAsia="zh-CN"/>
              </w:rPr>
              <w:t>，</w:t>
            </w:r>
            <w:r>
              <w:rPr>
                <w:rFonts w:hint="eastAsia" w:ascii="Times New Roman" w:hAnsi="Times New Roman" w:eastAsia="宋体" w:cs="Times New Roman"/>
                <w:b w:val="0"/>
                <w:bCs w:val="0"/>
                <w:color w:val="auto"/>
                <w:sz w:val="24"/>
                <w:highlight w:val="none"/>
                <w:shd w:val="clear" w:color="auto" w:fill="auto"/>
                <w:lang w:val="en-US" w:eastAsia="zh-CN"/>
              </w:rPr>
              <w:t>7%为</w:t>
            </w:r>
            <w:r>
              <w:rPr>
                <w:rFonts w:hint="default" w:ascii="Times New Roman" w:hAnsi="Times New Roman" w:eastAsia="宋体" w:cs="Times New Roman"/>
                <w:b w:val="0"/>
                <w:bCs w:val="0"/>
                <w:color w:val="auto"/>
                <w:sz w:val="24"/>
                <w:highlight w:val="none"/>
                <w:shd w:val="clear" w:color="auto" w:fill="auto"/>
                <w:lang w:val="en-US" w:eastAsia="zh-CN"/>
              </w:rPr>
              <w:t>食品外包装</w:t>
            </w:r>
            <w:r>
              <w:rPr>
                <w:rFonts w:hint="eastAsia" w:ascii="Times New Roman" w:hAnsi="Times New Roman" w:eastAsia="宋体" w:cs="Times New Roman"/>
                <w:b w:val="0"/>
                <w:bCs w:val="0"/>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使用油性油墨</w:t>
            </w:r>
            <w:r>
              <w:rPr>
                <w:rFonts w:hint="eastAsia" w:ascii="Times New Roman" w:hAnsi="Times New Roman" w:eastAsia="宋体" w:cs="Times New Roman"/>
                <w:b w:val="0"/>
                <w:bCs w:val="0"/>
                <w:color w:val="auto"/>
                <w:sz w:val="24"/>
                <w:highlight w:val="none"/>
                <w:shd w:val="clear" w:color="auto" w:fill="auto"/>
                <w:lang w:val="en-US" w:eastAsia="zh-CN"/>
              </w:rPr>
              <w:t>印刷</w:t>
            </w:r>
            <w:r>
              <w:rPr>
                <w:rFonts w:hint="default" w:ascii="Times New Roman" w:hAnsi="Times New Roman" w:eastAsia="宋体" w:cs="Times New Roman"/>
                <w:b w:val="0"/>
                <w:bCs w:val="0"/>
                <w:color w:val="auto"/>
                <w:sz w:val="24"/>
                <w:highlight w:val="none"/>
                <w:shd w:val="clear" w:color="auto" w:fill="auto"/>
                <w:lang w:val="en-US" w:eastAsia="zh-CN"/>
              </w:rPr>
              <w:t>。</w:t>
            </w:r>
            <w:r>
              <w:rPr>
                <w:rFonts w:hint="eastAsia" w:ascii="Times New Roman" w:hAnsi="Times New Roman" w:eastAsia="宋体" w:cs="Times New Roman"/>
                <w:b w:val="0"/>
                <w:bCs w:val="0"/>
                <w:color w:val="auto"/>
                <w:sz w:val="24"/>
                <w:highlight w:val="none"/>
                <w:shd w:val="clear" w:color="auto" w:fill="auto"/>
                <w:lang w:val="en-US" w:eastAsia="zh-CN"/>
              </w:rPr>
              <w:t>人工将油墨及稀释剂加入到设备自带的墨斗内，墨斗辊转动进行自动调墨，调墨完成后进行印刷，</w:t>
            </w:r>
            <w:r>
              <w:rPr>
                <w:rFonts w:hint="default" w:ascii="Times New Roman" w:hAnsi="Times New Roman" w:eastAsia="宋体" w:cs="Times New Roman"/>
                <w:b w:val="0"/>
                <w:bCs w:val="0"/>
                <w:color w:val="auto"/>
                <w:sz w:val="24"/>
                <w:highlight w:val="none"/>
                <w:shd w:val="clear" w:color="auto" w:fill="auto"/>
                <w:lang w:val="en-US" w:eastAsia="zh-CN"/>
              </w:rPr>
              <w:t>整个凹版印刷过程，是将其凹印印版全部浸入在墨槽内，上墨后用刮刀刮去平面上</w:t>
            </w:r>
            <w:r>
              <w:rPr>
                <w:rFonts w:hint="eastAsia" w:ascii="Times New Roman" w:hAnsi="Times New Roman" w:eastAsia="宋体" w:cs="Times New Roman"/>
                <w:b w:val="0"/>
                <w:bCs w:val="0"/>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空白部分</w:t>
            </w:r>
            <w:r>
              <w:rPr>
                <w:rFonts w:hint="eastAsia" w:ascii="Times New Roman" w:hAnsi="Times New Roman" w:eastAsia="宋体" w:cs="Times New Roman"/>
                <w:b w:val="0"/>
                <w:bCs w:val="0"/>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的油墨，将</w:t>
            </w:r>
            <w:r>
              <w:rPr>
                <w:rFonts w:hint="eastAsia" w:ascii="Times New Roman" w:hAnsi="Times New Roman" w:eastAsia="宋体" w:cs="Times New Roman"/>
                <w:b w:val="0"/>
                <w:bCs w:val="0"/>
                <w:color w:val="auto"/>
                <w:sz w:val="24"/>
                <w:highlight w:val="none"/>
                <w:shd w:val="clear" w:color="auto" w:fill="auto"/>
                <w:lang w:val="en-US" w:eastAsia="zh-CN"/>
              </w:rPr>
              <w:t>PET或BOPP膜</w:t>
            </w:r>
            <w:r>
              <w:rPr>
                <w:rFonts w:hint="default" w:ascii="Times New Roman" w:hAnsi="Times New Roman" w:eastAsia="宋体" w:cs="Times New Roman"/>
                <w:b w:val="0"/>
                <w:bCs w:val="0"/>
                <w:color w:val="auto"/>
                <w:sz w:val="24"/>
                <w:highlight w:val="none"/>
                <w:shd w:val="clear" w:color="auto" w:fill="auto"/>
                <w:lang w:val="en-US" w:eastAsia="zh-CN"/>
              </w:rPr>
              <w:t>加压，使版面低处的图文部分油墨转移至被印塑料薄膜上。图文层次和浓淡主要由凹版在制作过程中根据要求雕刻深浅而决定，根据上述凹版印刷工艺特点</w:t>
            </w:r>
            <w:r>
              <w:rPr>
                <w:rFonts w:hint="eastAsia" w:ascii="Times New Roman" w:hAnsi="Times New Roman" w:eastAsia="宋体" w:cs="Times New Roman"/>
                <w:b w:val="0"/>
                <w:bCs w:val="0"/>
                <w:color w:val="auto"/>
                <w:sz w:val="24"/>
                <w:highlight w:val="none"/>
                <w:shd w:val="clear" w:color="auto" w:fill="auto"/>
                <w:lang w:val="en-US" w:eastAsia="zh-CN"/>
              </w:rPr>
              <w:t>，PET或BOPP膜</w:t>
            </w:r>
            <w:r>
              <w:rPr>
                <w:rFonts w:hint="default" w:ascii="Times New Roman" w:hAnsi="Times New Roman" w:eastAsia="宋体" w:cs="Times New Roman"/>
                <w:b w:val="0"/>
                <w:bCs w:val="0"/>
                <w:color w:val="auto"/>
                <w:sz w:val="24"/>
                <w:highlight w:val="none"/>
                <w:shd w:val="clear" w:color="auto" w:fill="auto"/>
                <w:lang w:val="en-US" w:eastAsia="zh-CN"/>
              </w:rPr>
              <w:t>进入印刷装置后，辊筒凹版处于凹处的图文油墨转移到薄膜上，然后用热风</w:t>
            </w:r>
            <w:r>
              <w:rPr>
                <w:rFonts w:hint="eastAsia" w:ascii="Times New Roman" w:hAnsi="Times New Roman" w:eastAsia="宋体" w:cs="Times New Roman"/>
                <w:b w:val="0"/>
                <w:bCs w:val="0"/>
                <w:color w:val="auto"/>
                <w:sz w:val="24"/>
                <w:highlight w:val="none"/>
                <w:shd w:val="clear" w:color="auto" w:fill="auto"/>
                <w:lang w:val="en-US" w:eastAsia="zh-CN"/>
              </w:rPr>
              <w:t>对印刷好的PET或BOPP膜进行干燥，温度为50℃</w:t>
            </w:r>
            <w:r>
              <w:rPr>
                <w:rFonts w:hint="default" w:ascii="Times New Roman" w:hAnsi="Times New Roman" w:eastAsia="宋体" w:cs="Times New Roman"/>
                <w:b w:val="0"/>
                <w:bCs w:val="0"/>
                <w:color w:val="auto"/>
                <w:sz w:val="24"/>
                <w:highlight w:val="none"/>
                <w:shd w:val="clear" w:color="auto" w:fill="auto"/>
                <w:lang w:val="en-US" w:eastAsia="zh-CN"/>
              </w:rPr>
              <w:t>（电加热）</w:t>
            </w:r>
            <w:r>
              <w:rPr>
                <w:rFonts w:hint="eastAsia" w:ascii="Times New Roman" w:hAnsi="Times New Roman" w:eastAsia="宋体" w:cs="Times New Roman"/>
                <w:b w:val="0"/>
                <w:bCs w:val="0"/>
                <w:color w:val="auto"/>
                <w:sz w:val="24"/>
                <w:highlight w:val="none"/>
                <w:shd w:val="clear" w:color="auto" w:fill="auto"/>
                <w:lang w:val="en-US" w:eastAsia="zh-CN"/>
              </w:rPr>
              <w:t>。此工序产生调墨废气G3、印刷废气G4和噪声N。</w:t>
            </w:r>
          </w:p>
          <w:p w14:paraId="14105880">
            <w:pPr>
              <w:numPr>
                <w:ilvl w:val="0"/>
                <w:numId w:val="0"/>
              </w:numPr>
              <w:spacing w:line="360" w:lineRule="auto"/>
              <w:ind w:firstLine="482"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复合</w:t>
            </w:r>
            <w:r>
              <w:rPr>
                <w:rFonts w:hint="default" w:ascii="Times New Roman" w:hAnsi="Times New Roman" w:eastAsia="宋体" w:cs="Times New Roman"/>
                <w:b/>
                <w:bCs/>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利用</w:t>
            </w:r>
            <w:r>
              <w:rPr>
                <w:rFonts w:hint="eastAsia" w:ascii="Times New Roman" w:hAnsi="Times New Roman" w:eastAsia="宋体" w:cs="Times New Roman"/>
                <w:b w:val="0"/>
                <w:bCs w:val="0"/>
                <w:color w:val="auto"/>
                <w:sz w:val="24"/>
                <w:highlight w:val="none"/>
                <w:shd w:val="clear" w:color="auto" w:fill="auto"/>
                <w:lang w:val="en-US" w:eastAsia="zh-CN"/>
              </w:rPr>
              <w:t>无溶剂</w:t>
            </w:r>
            <w:r>
              <w:rPr>
                <w:rFonts w:hint="default" w:ascii="Times New Roman" w:hAnsi="Times New Roman" w:eastAsia="宋体" w:cs="Times New Roman"/>
                <w:b w:val="0"/>
                <w:bCs w:val="0"/>
                <w:color w:val="auto"/>
                <w:sz w:val="24"/>
                <w:highlight w:val="none"/>
                <w:shd w:val="clear" w:color="auto" w:fill="auto"/>
                <w:lang w:val="en-US" w:eastAsia="zh-CN"/>
              </w:rPr>
              <w:t>复合机对</w:t>
            </w:r>
            <w:r>
              <w:rPr>
                <w:rFonts w:hint="eastAsia" w:ascii="Times New Roman" w:hAnsi="Times New Roman" w:eastAsia="宋体" w:cs="Times New Roman"/>
                <w:b w:val="0"/>
                <w:bCs w:val="0"/>
                <w:color w:val="auto"/>
                <w:sz w:val="24"/>
                <w:highlight w:val="none"/>
                <w:shd w:val="clear" w:color="auto" w:fill="auto"/>
                <w:lang w:val="en-US" w:eastAsia="zh-CN"/>
              </w:rPr>
              <w:t>内层PE膜和</w:t>
            </w:r>
            <w:r>
              <w:rPr>
                <w:rFonts w:hint="default" w:ascii="Times New Roman" w:hAnsi="Times New Roman" w:eastAsia="宋体" w:cs="Times New Roman"/>
                <w:b w:val="0"/>
                <w:bCs w:val="0"/>
                <w:color w:val="auto"/>
                <w:sz w:val="24"/>
                <w:highlight w:val="none"/>
                <w:shd w:val="clear" w:color="auto" w:fill="auto"/>
                <w:lang w:val="en-US" w:eastAsia="zh-CN"/>
              </w:rPr>
              <w:t>印刷完成的</w:t>
            </w:r>
            <w:r>
              <w:rPr>
                <w:rFonts w:hint="eastAsia" w:ascii="Times New Roman" w:hAnsi="Times New Roman" w:eastAsia="宋体" w:cs="Times New Roman"/>
                <w:b w:val="0"/>
                <w:bCs w:val="0"/>
                <w:color w:val="auto"/>
                <w:sz w:val="24"/>
                <w:highlight w:val="none"/>
                <w:shd w:val="clear" w:color="auto" w:fill="auto"/>
                <w:lang w:val="en-US" w:eastAsia="zh-CN"/>
              </w:rPr>
              <w:t>外层PET或BOPP膜</w:t>
            </w:r>
            <w:r>
              <w:rPr>
                <w:rFonts w:hint="default" w:ascii="Times New Roman" w:hAnsi="Times New Roman" w:eastAsia="宋体" w:cs="Times New Roman"/>
                <w:b w:val="0"/>
                <w:bCs w:val="0"/>
                <w:color w:val="auto"/>
                <w:sz w:val="24"/>
                <w:highlight w:val="none"/>
                <w:shd w:val="clear" w:color="auto" w:fill="auto"/>
                <w:lang w:val="en-US" w:eastAsia="zh-CN"/>
              </w:rPr>
              <w:t>间涂上一层</w:t>
            </w:r>
            <w:r>
              <w:rPr>
                <w:rFonts w:hint="eastAsia" w:ascii="Times New Roman" w:hAnsi="Times New Roman" w:eastAsia="宋体" w:cs="Times New Roman"/>
                <w:b w:val="0"/>
                <w:bCs w:val="0"/>
                <w:color w:val="auto"/>
                <w:sz w:val="24"/>
                <w:highlight w:val="none"/>
                <w:shd w:val="clear" w:color="auto" w:fill="auto"/>
                <w:lang w:val="en-US" w:eastAsia="zh-CN"/>
              </w:rPr>
              <w:t>双组份无溶剂聚氨酯粘合剂</w:t>
            </w:r>
            <w:r>
              <w:rPr>
                <w:rFonts w:hint="default" w:ascii="Times New Roman" w:hAnsi="Times New Roman" w:eastAsia="宋体" w:cs="Times New Roman"/>
                <w:b w:val="0"/>
                <w:bCs w:val="0"/>
                <w:color w:val="auto"/>
                <w:sz w:val="24"/>
                <w:highlight w:val="none"/>
                <w:shd w:val="clear" w:color="auto" w:fill="auto"/>
                <w:lang w:val="en-US" w:eastAsia="zh-CN"/>
              </w:rPr>
              <w:t>，</w:t>
            </w:r>
            <w:r>
              <w:rPr>
                <w:rFonts w:hint="eastAsia" w:ascii="Times New Roman" w:hAnsi="Times New Roman" w:eastAsia="宋体" w:cs="Times New Roman"/>
                <w:b w:val="0"/>
                <w:bCs w:val="0"/>
                <w:color w:val="auto"/>
                <w:sz w:val="24"/>
                <w:highlight w:val="none"/>
                <w:shd w:val="clear" w:color="auto" w:fill="auto"/>
                <w:lang w:val="en-US" w:eastAsia="zh-CN"/>
              </w:rPr>
              <w:t>粘合剂</w:t>
            </w:r>
            <w:r>
              <w:rPr>
                <w:rFonts w:hint="default" w:ascii="Times New Roman" w:hAnsi="Times New Roman" w:eastAsia="宋体" w:cs="Times New Roman"/>
                <w:color w:val="auto"/>
                <w:sz w:val="24"/>
                <w:highlight w:val="none"/>
                <w:shd w:val="clear" w:color="auto" w:fill="auto"/>
              </w:rPr>
              <w:t>由A</w:t>
            </w:r>
            <w:r>
              <w:rPr>
                <w:rFonts w:hint="eastAsia" w:ascii="Times New Roman" w:hAnsi="Times New Roman" w:eastAsia="宋体" w:cs="Times New Roman"/>
                <w:color w:val="auto"/>
                <w:sz w:val="24"/>
                <w:highlight w:val="none"/>
                <w:shd w:val="clear" w:color="auto" w:fill="auto"/>
                <w:lang w:val="en-US" w:eastAsia="zh-CN"/>
              </w:rPr>
              <w:t>组份</w:t>
            </w:r>
            <w:r>
              <w:rPr>
                <w:rFonts w:hint="default" w:ascii="Times New Roman" w:hAnsi="Times New Roman" w:eastAsia="宋体" w:cs="Times New Roman"/>
                <w:color w:val="auto"/>
                <w:sz w:val="24"/>
                <w:highlight w:val="none"/>
                <w:shd w:val="clear" w:color="auto" w:fill="auto"/>
              </w:rPr>
              <w:t>和B</w:t>
            </w:r>
            <w:r>
              <w:rPr>
                <w:rFonts w:hint="eastAsia" w:ascii="Times New Roman" w:hAnsi="Times New Roman" w:eastAsia="宋体" w:cs="Times New Roman"/>
                <w:color w:val="auto"/>
                <w:sz w:val="24"/>
                <w:highlight w:val="none"/>
                <w:shd w:val="clear" w:color="auto" w:fill="auto"/>
                <w:lang w:val="en-US" w:eastAsia="zh-CN"/>
              </w:rPr>
              <w:t>组份组成</w:t>
            </w:r>
            <w:r>
              <w:rPr>
                <w:rFonts w:hint="eastAsia"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使用时分别从储胶桶通过管道输送到计量泵</w:t>
            </w:r>
            <w:r>
              <w:rPr>
                <w:rFonts w:hint="eastAsia"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按</w:t>
            </w:r>
            <w:r>
              <w:rPr>
                <w:rFonts w:hint="eastAsia" w:ascii="Times New Roman" w:hAnsi="Times New Roman" w:eastAsia="宋体" w:cs="Times New Roman"/>
                <w:color w:val="auto"/>
                <w:sz w:val="24"/>
                <w:highlight w:val="none"/>
                <w:shd w:val="clear" w:color="auto" w:fill="auto"/>
                <w:lang w:val="en-US" w:eastAsia="zh-CN"/>
              </w:rPr>
              <w:t>5:3</w:t>
            </w:r>
            <w:r>
              <w:rPr>
                <w:rFonts w:hint="default" w:ascii="Times New Roman" w:hAnsi="Times New Roman" w:eastAsia="宋体" w:cs="Times New Roman"/>
                <w:color w:val="auto"/>
                <w:sz w:val="24"/>
                <w:highlight w:val="none"/>
                <w:shd w:val="clear" w:color="auto" w:fill="auto"/>
              </w:rPr>
              <w:t>比例</w:t>
            </w:r>
            <w:r>
              <w:rPr>
                <w:rFonts w:hint="eastAsia" w:ascii="Times New Roman" w:hAnsi="Times New Roman" w:eastAsia="宋体" w:cs="Times New Roman"/>
                <w:color w:val="auto"/>
                <w:sz w:val="24"/>
                <w:highlight w:val="none"/>
                <w:shd w:val="clear" w:color="auto" w:fill="auto"/>
                <w:lang w:val="en-US" w:eastAsia="zh-CN"/>
              </w:rPr>
              <w:t>抽取</w:t>
            </w:r>
            <w:r>
              <w:rPr>
                <w:rFonts w:hint="eastAsia" w:ascii="Times New Roman" w:hAnsi="Times New Roman" w:eastAsia="宋体" w:cs="Times New Roman"/>
                <w:color w:val="auto"/>
                <w:sz w:val="24"/>
                <w:highlight w:val="none"/>
                <w:shd w:val="clear" w:color="auto" w:fill="auto"/>
                <w:lang w:eastAsia="zh-CN"/>
              </w:rPr>
              <w:t>，</w:t>
            </w:r>
            <w:r>
              <w:rPr>
                <w:rFonts w:hint="eastAsia" w:ascii="Times New Roman" w:hAnsi="Times New Roman" w:eastAsia="宋体" w:cs="Times New Roman"/>
                <w:color w:val="auto"/>
                <w:sz w:val="24"/>
                <w:highlight w:val="none"/>
                <w:shd w:val="clear" w:color="auto" w:fill="auto"/>
                <w:lang w:val="en-US" w:eastAsia="zh-CN"/>
              </w:rPr>
              <w:t>在</w:t>
            </w:r>
            <w:r>
              <w:rPr>
                <w:rFonts w:hint="eastAsia" w:ascii="Times New Roman" w:hAnsi="Times New Roman" w:eastAsia="宋体" w:cs="Times New Roman"/>
                <w:color w:val="auto"/>
                <w:sz w:val="24"/>
                <w:highlight w:val="none"/>
                <w:shd w:val="clear" w:color="auto" w:fill="auto"/>
              </w:rPr>
              <w:t>复合机</w:t>
            </w:r>
            <w:r>
              <w:rPr>
                <w:rFonts w:hint="eastAsia" w:ascii="Times New Roman" w:hAnsi="Times New Roman" w:eastAsia="宋体" w:cs="Times New Roman"/>
                <w:color w:val="auto"/>
                <w:sz w:val="24"/>
                <w:highlight w:val="none"/>
                <w:shd w:val="clear" w:color="auto" w:fill="auto"/>
                <w:lang w:val="en-US" w:eastAsia="zh-CN"/>
              </w:rPr>
              <w:t>内自动均匀混合</w:t>
            </w:r>
            <w:r>
              <w:rPr>
                <w:rFonts w:hint="eastAsia" w:ascii="Times New Roman" w:hAnsi="Times New Roman" w:eastAsia="宋体" w:cs="Times New Roman"/>
                <w:color w:val="auto"/>
                <w:sz w:val="24"/>
                <w:highlight w:val="none"/>
                <w:shd w:val="clear" w:color="auto" w:fill="auto"/>
                <w:lang w:eastAsia="zh-CN"/>
              </w:rPr>
              <w:t>。</w:t>
            </w:r>
            <w:r>
              <w:rPr>
                <w:rFonts w:hint="eastAsia" w:ascii="Times New Roman" w:hAnsi="Times New Roman" w:eastAsia="宋体" w:cs="Times New Roman"/>
                <w:color w:val="auto"/>
                <w:sz w:val="24"/>
                <w:highlight w:val="none"/>
                <w:shd w:val="clear" w:color="auto" w:fill="auto"/>
              </w:rPr>
              <w:t>将塑料</w:t>
            </w:r>
            <w:r>
              <w:rPr>
                <w:rFonts w:hint="eastAsia" w:ascii="Times New Roman" w:hAnsi="Times New Roman" w:eastAsia="宋体" w:cs="Times New Roman"/>
                <w:color w:val="auto"/>
                <w:sz w:val="24"/>
                <w:highlight w:val="none"/>
                <w:shd w:val="clear" w:color="auto" w:fill="auto"/>
                <w:lang w:val="en-US" w:eastAsia="zh-CN"/>
              </w:rPr>
              <w:t>薄</w:t>
            </w:r>
            <w:r>
              <w:rPr>
                <w:rFonts w:hint="eastAsia" w:ascii="Times New Roman" w:hAnsi="Times New Roman" w:eastAsia="宋体" w:cs="Times New Roman"/>
                <w:color w:val="auto"/>
                <w:sz w:val="24"/>
                <w:highlight w:val="none"/>
                <w:shd w:val="clear" w:color="auto" w:fill="auto"/>
              </w:rPr>
              <w:t>膜从旋转双位放卷机引出，通过边缘位置控制装置进入涂覆装置，在涂覆装置中，由于受压力辊的作用，使光滑辊上的粘</w:t>
            </w:r>
            <w:r>
              <w:rPr>
                <w:rFonts w:hint="eastAsia" w:ascii="Times New Roman" w:hAnsi="Times New Roman" w:eastAsia="宋体" w:cs="Times New Roman"/>
                <w:color w:val="auto"/>
                <w:sz w:val="24"/>
                <w:highlight w:val="none"/>
                <w:shd w:val="clear" w:color="auto" w:fill="auto"/>
                <w:lang w:val="en-US" w:eastAsia="zh-CN"/>
              </w:rPr>
              <w:t>合</w:t>
            </w:r>
            <w:r>
              <w:rPr>
                <w:rFonts w:hint="eastAsia" w:ascii="Times New Roman" w:hAnsi="Times New Roman" w:eastAsia="宋体" w:cs="Times New Roman"/>
                <w:color w:val="auto"/>
                <w:sz w:val="24"/>
                <w:highlight w:val="none"/>
                <w:shd w:val="clear" w:color="auto" w:fill="auto"/>
              </w:rPr>
              <w:t>剂均匀涂到</w:t>
            </w:r>
            <w:r>
              <w:rPr>
                <w:rFonts w:hint="eastAsia" w:ascii="Times New Roman" w:hAnsi="Times New Roman" w:eastAsia="宋体" w:cs="Times New Roman"/>
                <w:color w:val="auto"/>
                <w:sz w:val="24"/>
                <w:highlight w:val="none"/>
                <w:shd w:val="clear" w:color="auto" w:fill="auto"/>
                <w:lang w:val="en-US" w:eastAsia="zh-CN"/>
              </w:rPr>
              <w:t>塑料</w:t>
            </w:r>
            <w:r>
              <w:rPr>
                <w:rFonts w:hint="eastAsia" w:ascii="Times New Roman" w:hAnsi="Times New Roman" w:eastAsia="宋体" w:cs="Times New Roman"/>
                <w:color w:val="auto"/>
                <w:sz w:val="24"/>
                <w:highlight w:val="none"/>
                <w:shd w:val="clear" w:color="auto" w:fill="auto"/>
              </w:rPr>
              <w:t>薄膜上。复合装置是由三辊排列结构组成，即冷却辊、压力辊、后备辊，使产品均匀涂却，三辊之间的压力还可根据不同的复合材料所需强度要求进入适当调节，以达到最佳压力状态。</w:t>
            </w:r>
            <w:r>
              <w:rPr>
                <w:rFonts w:hint="eastAsia" w:ascii="Times New Roman" w:hAnsi="Times New Roman" w:eastAsia="宋体" w:cs="Times New Roman"/>
                <w:color w:val="auto"/>
                <w:sz w:val="24"/>
                <w:highlight w:val="none"/>
                <w:shd w:val="clear" w:color="auto" w:fill="auto"/>
                <w:lang w:val="en-US" w:eastAsia="zh-CN"/>
              </w:rPr>
              <w:t>复合过程中</w:t>
            </w:r>
            <w:r>
              <w:rPr>
                <w:rFonts w:hint="eastAsia" w:ascii="Times New Roman" w:hAnsi="Times New Roman" w:eastAsia="宋体" w:cs="Times New Roman"/>
                <w:b w:val="0"/>
                <w:bCs w:val="0"/>
                <w:color w:val="auto"/>
                <w:sz w:val="24"/>
                <w:highlight w:val="none"/>
                <w:shd w:val="clear" w:color="auto" w:fill="auto"/>
                <w:lang w:val="en-US" w:eastAsia="zh-CN"/>
              </w:rPr>
              <w:t>无需加热。此工序产生少量复合废气G5和噪声N。</w:t>
            </w:r>
          </w:p>
          <w:p w14:paraId="7F4F5F4E">
            <w:pPr>
              <w:numPr>
                <w:ilvl w:val="0"/>
                <w:numId w:val="0"/>
              </w:numPr>
              <w:spacing w:line="360" w:lineRule="auto"/>
              <w:ind w:firstLine="482"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熟化</w:t>
            </w:r>
            <w:r>
              <w:rPr>
                <w:rFonts w:hint="default" w:ascii="Times New Roman" w:hAnsi="Times New Roman" w:eastAsia="宋体" w:cs="Times New Roman"/>
                <w:b/>
                <w:bCs/>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复合后的</w:t>
            </w:r>
            <w:r>
              <w:rPr>
                <w:rFonts w:hint="eastAsia" w:ascii="Times New Roman" w:hAnsi="Times New Roman" w:eastAsia="宋体" w:cs="Times New Roman"/>
                <w:b w:val="0"/>
                <w:bCs w:val="0"/>
                <w:color w:val="auto"/>
                <w:sz w:val="24"/>
                <w:highlight w:val="none"/>
                <w:shd w:val="clear" w:color="auto" w:fill="auto"/>
                <w:lang w:val="en-US" w:eastAsia="zh-CN"/>
              </w:rPr>
              <w:t>多面薄膜</w:t>
            </w:r>
            <w:r>
              <w:rPr>
                <w:rFonts w:hint="default" w:ascii="Times New Roman" w:hAnsi="Times New Roman" w:eastAsia="宋体" w:cs="Times New Roman"/>
                <w:b w:val="0"/>
                <w:bCs w:val="0"/>
                <w:color w:val="auto"/>
                <w:sz w:val="24"/>
                <w:highlight w:val="none"/>
                <w:shd w:val="clear" w:color="auto" w:fill="auto"/>
                <w:lang w:val="en-US" w:eastAsia="zh-CN"/>
              </w:rPr>
              <w:t>需进入熟化箱内进行熟化（电加热），熟化保持50°C左右，</w:t>
            </w:r>
            <w:r>
              <w:rPr>
                <w:rFonts w:hint="eastAsia" w:ascii="Times New Roman" w:hAnsi="Times New Roman" w:eastAsia="宋体" w:cs="Times New Roman"/>
                <w:b w:val="0"/>
                <w:bCs w:val="0"/>
                <w:color w:val="auto"/>
                <w:sz w:val="24"/>
                <w:highlight w:val="none"/>
                <w:shd w:val="clear" w:color="auto" w:fill="auto"/>
                <w:lang w:val="en-US" w:eastAsia="zh-CN"/>
              </w:rPr>
              <w:t>时间为24h，</w:t>
            </w:r>
            <w:r>
              <w:rPr>
                <w:rFonts w:hint="default" w:ascii="Times New Roman" w:hAnsi="Times New Roman" w:eastAsia="宋体" w:cs="Times New Roman"/>
                <w:b w:val="0"/>
                <w:bCs w:val="0"/>
                <w:color w:val="auto"/>
                <w:sz w:val="24"/>
                <w:highlight w:val="none"/>
                <w:shd w:val="clear" w:color="auto" w:fill="auto"/>
                <w:lang w:val="en-US" w:eastAsia="zh-CN"/>
              </w:rPr>
              <w:t>熟化</w:t>
            </w:r>
            <w:r>
              <w:rPr>
                <w:rFonts w:hint="eastAsia" w:ascii="Times New Roman" w:hAnsi="Times New Roman" w:eastAsia="宋体" w:cs="Times New Roman"/>
                <w:b w:val="0"/>
                <w:bCs w:val="0"/>
                <w:color w:val="auto"/>
                <w:sz w:val="24"/>
                <w:highlight w:val="none"/>
                <w:shd w:val="clear" w:color="auto" w:fill="auto"/>
                <w:lang w:val="en-US" w:eastAsia="zh-CN"/>
              </w:rPr>
              <w:t>原理</w:t>
            </w:r>
            <w:r>
              <w:rPr>
                <w:rFonts w:hint="default" w:ascii="Times New Roman" w:hAnsi="Times New Roman" w:eastAsia="宋体" w:cs="Times New Roman"/>
                <w:b w:val="0"/>
                <w:bCs w:val="0"/>
                <w:color w:val="auto"/>
                <w:sz w:val="24"/>
                <w:highlight w:val="none"/>
                <w:shd w:val="clear" w:color="auto" w:fill="auto"/>
                <w:lang w:val="en-US" w:eastAsia="zh-CN"/>
              </w:rPr>
              <w:t>主要是</w:t>
            </w:r>
            <w:r>
              <w:rPr>
                <w:rFonts w:hint="default" w:ascii="Times New Roman" w:hAnsi="Times New Roman" w:eastAsia="宋体" w:cs="Times New Roman"/>
                <w:color w:val="auto"/>
                <w:sz w:val="24"/>
                <w:highlight w:val="none"/>
                <w:shd w:val="clear" w:color="auto" w:fill="auto"/>
              </w:rPr>
              <w:t>通过异氰酸酯基团（</w:t>
            </w:r>
            <w:r>
              <w:rPr>
                <w:rFonts w:hint="eastAsia"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rPr>
              <w:t>NCO）与羟基（</w:t>
            </w:r>
            <w:r>
              <w:rPr>
                <w:rFonts w:hint="eastAsia"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rPr>
              <w:t>OH）反应，形成聚氨酯交联网络</w:t>
            </w:r>
            <w:r>
              <w:rPr>
                <w:rFonts w:hint="eastAsia" w:ascii="Times New Roman" w:hAnsi="Times New Roman" w:eastAsia="宋体" w:cs="Times New Roman"/>
                <w:color w:val="auto"/>
                <w:sz w:val="24"/>
                <w:highlight w:val="none"/>
                <w:shd w:val="clear" w:color="auto" w:fill="auto"/>
                <w:lang w:eastAsia="zh-CN"/>
              </w:rPr>
              <w:t>，</w:t>
            </w:r>
            <w:r>
              <w:rPr>
                <w:rFonts w:hint="eastAsia" w:ascii="Times New Roman" w:hAnsi="Times New Roman" w:eastAsia="宋体" w:cs="Times New Roman"/>
                <w:color w:val="auto"/>
                <w:sz w:val="24"/>
                <w:highlight w:val="none"/>
                <w:shd w:val="clear" w:color="auto" w:fill="auto"/>
              </w:rPr>
              <w:t>交联反应逐步进行，分子量增大，粘度上升至固态</w:t>
            </w:r>
            <w:r>
              <w:rPr>
                <w:rFonts w:hint="eastAsia" w:ascii="Times New Roman" w:hAnsi="Times New Roman" w:eastAsia="宋体" w:cs="Times New Roman"/>
                <w:color w:val="auto"/>
                <w:sz w:val="24"/>
                <w:highlight w:val="none"/>
                <w:shd w:val="clear" w:color="auto" w:fill="auto"/>
                <w:lang w:eastAsia="zh-CN"/>
              </w:rPr>
              <w:t>，</w:t>
            </w:r>
            <w:r>
              <w:rPr>
                <w:rFonts w:hint="eastAsia" w:ascii="Times New Roman" w:hAnsi="Times New Roman" w:eastAsia="宋体" w:cs="Times New Roman"/>
                <w:color w:val="auto"/>
                <w:sz w:val="24"/>
                <w:highlight w:val="none"/>
                <w:shd w:val="clear" w:color="auto" w:fill="auto"/>
              </w:rPr>
              <w:t>完全固化后，粘接强度达到最大值</w:t>
            </w:r>
            <w:r>
              <w:rPr>
                <w:rFonts w:hint="default" w:ascii="Times New Roman" w:hAnsi="Times New Roman" w:eastAsia="宋体" w:cs="Times New Roman"/>
                <w:b w:val="0"/>
                <w:bCs w:val="0"/>
                <w:color w:val="auto"/>
                <w:sz w:val="24"/>
                <w:highlight w:val="none"/>
                <w:shd w:val="clear" w:color="auto" w:fill="auto"/>
                <w:lang w:val="en-US" w:eastAsia="zh-CN"/>
              </w:rPr>
              <w:t>。</w:t>
            </w:r>
            <w:r>
              <w:rPr>
                <w:rFonts w:hint="eastAsia" w:ascii="Times New Roman" w:hAnsi="Times New Roman" w:eastAsia="宋体" w:cs="Times New Roman"/>
                <w:b w:val="0"/>
                <w:bCs w:val="0"/>
                <w:color w:val="auto"/>
                <w:sz w:val="24"/>
                <w:highlight w:val="none"/>
                <w:shd w:val="clear" w:color="auto" w:fill="auto"/>
                <w:lang w:val="en-US" w:eastAsia="zh-CN"/>
              </w:rPr>
              <w:t>此工序产生熟化废气G6和噪声N。</w:t>
            </w:r>
          </w:p>
          <w:p w14:paraId="311073F4">
            <w:pPr>
              <w:numPr>
                <w:ilvl w:val="0"/>
                <w:numId w:val="0"/>
              </w:numPr>
              <w:spacing w:line="360" w:lineRule="auto"/>
              <w:ind w:firstLine="482"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分切</w:t>
            </w:r>
            <w:r>
              <w:rPr>
                <w:rFonts w:hint="default" w:ascii="Times New Roman" w:hAnsi="Times New Roman" w:eastAsia="宋体" w:cs="Times New Roman"/>
                <w:b/>
                <w:bCs/>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将进入分切工序的半成品放入分切机内按客户的需求进行分切</w:t>
            </w:r>
            <w:r>
              <w:rPr>
                <w:rFonts w:hint="eastAsia" w:ascii="Times New Roman" w:hAnsi="Times New Roman" w:eastAsia="宋体" w:cs="Times New Roman"/>
                <w:b w:val="0"/>
                <w:bCs w:val="0"/>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此工序</w:t>
            </w:r>
            <w:r>
              <w:rPr>
                <w:rFonts w:hint="eastAsia" w:ascii="Times New Roman" w:hAnsi="Times New Roman" w:eastAsia="宋体" w:cs="Times New Roman"/>
                <w:b w:val="0"/>
                <w:bCs w:val="0"/>
                <w:color w:val="auto"/>
                <w:sz w:val="24"/>
                <w:highlight w:val="none"/>
                <w:shd w:val="clear" w:color="auto" w:fill="auto"/>
                <w:lang w:val="en-US" w:eastAsia="zh-CN"/>
              </w:rPr>
              <w:t>产生</w:t>
            </w:r>
            <w:r>
              <w:rPr>
                <w:rFonts w:hint="default" w:ascii="Times New Roman" w:hAnsi="Times New Roman" w:eastAsia="宋体" w:cs="Times New Roman"/>
                <w:b w:val="0"/>
                <w:bCs w:val="0"/>
                <w:color w:val="auto"/>
                <w:sz w:val="24"/>
                <w:highlight w:val="none"/>
                <w:shd w:val="clear" w:color="auto" w:fill="auto"/>
                <w:lang w:val="en-US" w:eastAsia="zh-CN"/>
              </w:rPr>
              <w:t>边角料</w:t>
            </w:r>
            <w:r>
              <w:rPr>
                <w:rFonts w:hint="eastAsia" w:ascii="Times New Roman" w:hAnsi="Times New Roman" w:eastAsia="宋体" w:cs="Times New Roman"/>
                <w:b w:val="0"/>
                <w:bCs w:val="0"/>
                <w:color w:val="auto"/>
                <w:sz w:val="24"/>
                <w:highlight w:val="none"/>
                <w:shd w:val="clear" w:color="auto" w:fill="auto"/>
                <w:lang w:val="en-US" w:eastAsia="zh-CN"/>
              </w:rPr>
              <w:t>S2</w:t>
            </w:r>
            <w:r>
              <w:rPr>
                <w:rFonts w:hint="default" w:ascii="Times New Roman" w:hAnsi="Times New Roman" w:eastAsia="宋体" w:cs="Times New Roman"/>
                <w:b w:val="0"/>
                <w:bCs w:val="0"/>
                <w:color w:val="auto"/>
                <w:sz w:val="24"/>
                <w:highlight w:val="none"/>
                <w:shd w:val="clear" w:color="auto" w:fill="auto"/>
                <w:lang w:val="en-US" w:eastAsia="zh-CN"/>
              </w:rPr>
              <w:t>和噪声</w:t>
            </w:r>
            <w:r>
              <w:rPr>
                <w:rFonts w:hint="eastAsia" w:ascii="Times New Roman" w:hAnsi="Times New Roman" w:eastAsia="宋体" w:cs="Times New Roman"/>
                <w:b w:val="0"/>
                <w:bCs w:val="0"/>
                <w:color w:val="auto"/>
                <w:sz w:val="24"/>
                <w:highlight w:val="none"/>
                <w:shd w:val="clear" w:color="auto" w:fill="auto"/>
                <w:lang w:val="en-US" w:eastAsia="zh-CN"/>
              </w:rPr>
              <w:t>N</w:t>
            </w:r>
            <w:r>
              <w:rPr>
                <w:rFonts w:hint="default" w:ascii="Times New Roman" w:hAnsi="Times New Roman" w:eastAsia="宋体" w:cs="Times New Roman"/>
                <w:b w:val="0"/>
                <w:bCs w:val="0"/>
                <w:color w:val="auto"/>
                <w:sz w:val="24"/>
                <w:highlight w:val="none"/>
                <w:shd w:val="clear" w:color="auto" w:fill="auto"/>
                <w:lang w:val="en-US" w:eastAsia="zh-CN"/>
              </w:rPr>
              <w:t>。</w:t>
            </w:r>
          </w:p>
          <w:p w14:paraId="0F86B3EC">
            <w:pPr>
              <w:numPr>
                <w:ilvl w:val="0"/>
                <w:numId w:val="0"/>
              </w:numPr>
              <w:spacing w:line="360" w:lineRule="auto"/>
              <w:ind w:firstLine="482"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制袋</w:t>
            </w:r>
            <w:r>
              <w:rPr>
                <w:rFonts w:hint="default" w:ascii="Times New Roman" w:hAnsi="Times New Roman" w:eastAsia="宋体" w:cs="Times New Roman"/>
                <w:b/>
                <w:bCs/>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将需要进行制袋的半成品放入制袋机内进行热压制袋，热压温度为1</w:t>
            </w:r>
            <w:r>
              <w:rPr>
                <w:rFonts w:hint="eastAsia" w:ascii="Times New Roman" w:hAnsi="Times New Roman" w:eastAsia="宋体" w:cs="Times New Roman"/>
                <w:b w:val="0"/>
                <w:bCs w:val="0"/>
                <w:color w:val="auto"/>
                <w:sz w:val="24"/>
                <w:highlight w:val="none"/>
                <w:shd w:val="clear" w:color="auto" w:fill="auto"/>
                <w:lang w:val="en-US" w:eastAsia="zh-CN"/>
              </w:rPr>
              <w:t>0</w:t>
            </w:r>
            <w:r>
              <w:rPr>
                <w:rFonts w:hint="default" w:ascii="Times New Roman" w:hAnsi="Times New Roman" w:eastAsia="宋体" w:cs="Times New Roman"/>
                <w:b w:val="0"/>
                <w:bCs w:val="0"/>
                <w:color w:val="auto"/>
                <w:sz w:val="24"/>
                <w:highlight w:val="none"/>
                <w:shd w:val="clear" w:color="auto" w:fill="auto"/>
                <w:lang w:val="en-US" w:eastAsia="zh-CN"/>
              </w:rPr>
              <w:t>0℃</w:t>
            </w:r>
            <w:r>
              <w:rPr>
                <w:rFonts w:hint="eastAsia" w:ascii="Times New Roman" w:hAnsi="Times New Roman" w:eastAsia="宋体" w:cs="Times New Roman"/>
                <w:b w:val="0"/>
                <w:bCs w:val="0"/>
                <w:color w:val="auto"/>
                <w:sz w:val="24"/>
                <w:highlight w:val="none"/>
                <w:shd w:val="clear" w:color="auto" w:fill="auto"/>
                <w:lang w:val="en-US" w:eastAsia="zh-CN"/>
              </w:rPr>
              <w:t>左右，制袋加热只是使物料软化后在压力的作用下融合黏贴在一起，达不到PE、PET、BOPP的分解温度（PE300℃、PET300℃、BOPP300℃以上）。制袋机自带冷水机，对热封刀进行间接冷却，冷却水循环使用，定期添加，不外排。此工序产生制袋废气G7和噪声N</w:t>
            </w:r>
            <w:r>
              <w:rPr>
                <w:rFonts w:hint="default" w:ascii="Times New Roman" w:hAnsi="Times New Roman" w:eastAsia="宋体" w:cs="Times New Roman"/>
                <w:b w:val="0"/>
                <w:bCs w:val="0"/>
                <w:color w:val="auto"/>
                <w:sz w:val="24"/>
                <w:highlight w:val="none"/>
                <w:shd w:val="clear" w:color="auto" w:fill="auto"/>
                <w:lang w:val="en-US" w:eastAsia="zh-CN"/>
              </w:rPr>
              <w:t>。</w:t>
            </w:r>
          </w:p>
          <w:p w14:paraId="013F5741">
            <w:pPr>
              <w:numPr>
                <w:ilvl w:val="0"/>
                <w:numId w:val="0"/>
              </w:numPr>
              <w:spacing w:line="360" w:lineRule="auto"/>
              <w:ind w:firstLine="482"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检验</w:t>
            </w:r>
            <w:r>
              <w:rPr>
                <w:rFonts w:hint="default" w:ascii="Times New Roman" w:hAnsi="Times New Roman" w:eastAsia="宋体" w:cs="Times New Roman"/>
                <w:b/>
                <w:bCs/>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对产品进行质量检测，</w:t>
            </w:r>
            <w:r>
              <w:rPr>
                <w:rFonts w:hint="eastAsia" w:ascii="Times New Roman" w:hAnsi="Times New Roman" w:eastAsia="宋体" w:cs="Times New Roman"/>
                <w:b w:val="0"/>
                <w:bCs w:val="0"/>
                <w:color w:val="auto"/>
                <w:sz w:val="24"/>
                <w:highlight w:val="none"/>
                <w:shd w:val="clear" w:color="auto" w:fill="auto"/>
                <w:lang w:val="en-US" w:eastAsia="zh-CN"/>
              </w:rPr>
              <w:t>此工序产生不合格品S3</w:t>
            </w:r>
            <w:r>
              <w:rPr>
                <w:rFonts w:hint="default" w:ascii="Times New Roman" w:hAnsi="Times New Roman" w:eastAsia="宋体" w:cs="Times New Roman"/>
                <w:b w:val="0"/>
                <w:bCs w:val="0"/>
                <w:color w:val="auto"/>
                <w:sz w:val="24"/>
                <w:highlight w:val="none"/>
                <w:shd w:val="clear" w:color="auto" w:fill="auto"/>
                <w:lang w:val="en-US" w:eastAsia="zh-CN"/>
              </w:rPr>
              <w:t>。</w:t>
            </w:r>
          </w:p>
          <w:p w14:paraId="16778B8A">
            <w:pPr>
              <w:numPr>
                <w:ilvl w:val="0"/>
                <w:numId w:val="0"/>
              </w:numPr>
              <w:spacing w:line="360" w:lineRule="auto"/>
              <w:ind w:firstLine="482"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eastAsia" w:ascii="Times New Roman" w:hAnsi="Times New Roman" w:eastAsia="宋体" w:cs="Times New Roman"/>
                <w:b/>
                <w:bCs/>
                <w:color w:val="auto"/>
                <w:sz w:val="24"/>
                <w:highlight w:val="none"/>
                <w:shd w:val="clear" w:color="auto" w:fill="auto"/>
                <w:lang w:val="en-US" w:eastAsia="zh-CN"/>
              </w:rPr>
              <w:t>包装</w:t>
            </w:r>
            <w:r>
              <w:rPr>
                <w:rFonts w:hint="default" w:ascii="Times New Roman" w:hAnsi="Times New Roman" w:eastAsia="宋体" w:cs="Times New Roman"/>
                <w:b/>
                <w:bCs/>
                <w:color w:val="auto"/>
                <w:sz w:val="24"/>
                <w:highlight w:val="none"/>
                <w:shd w:val="clear" w:color="auto" w:fill="auto"/>
                <w:lang w:val="en-US" w:eastAsia="zh-CN"/>
              </w:rPr>
              <w:t>：</w:t>
            </w:r>
            <w:r>
              <w:rPr>
                <w:rFonts w:hint="default" w:ascii="Times New Roman" w:hAnsi="Times New Roman" w:eastAsia="宋体" w:cs="Times New Roman"/>
                <w:b w:val="0"/>
                <w:bCs w:val="0"/>
                <w:color w:val="auto"/>
                <w:sz w:val="24"/>
                <w:highlight w:val="none"/>
                <w:shd w:val="clear" w:color="auto" w:fill="auto"/>
                <w:lang w:val="en-US" w:eastAsia="zh-CN"/>
              </w:rPr>
              <w:t>将生产完成的产品使用纸箱进行包装入库待售。</w:t>
            </w:r>
          </w:p>
          <w:p w14:paraId="17B05785">
            <w:pPr>
              <w:spacing w:line="360" w:lineRule="auto"/>
              <w:ind w:firstLine="482" w:firstLineChars="200"/>
              <w:rPr>
                <w:rFonts w:hint="default" w:ascii="Times New Roman" w:hAnsi="Times New Roman" w:eastAsia="宋体" w:cs="Times New Roman"/>
                <w:b/>
                <w:bCs/>
                <w:color w:val="auto"/>
                <w:sz w:val="24"/>
                <w:highlight w:val="none"/>
                <w:shd w:val="clear" w:color="auto" w:fill="auto"/>
                <w:lang w:val="en-US" w:eastAsia="zh-CN"/>
              </w:rPr>
            </w:pPr>
            <w:r>
              <w:rPr>
                <w:rFonts w:hint="default" w:ascii="Times New Roman" w:hAnsi="Times New Roman" w:eastAsia="宋体" w:cs="Times New Roman"/>
                <w:b/>
                <w:bCs/>
                <w:color w:val="auto"/>
                <w:sz w:val="24"/>
                <w:highlight w:val="none"/>
                <w:shd w:val="clear" w:color="auto" w:fill="auto"/>
                <w:lang w:val="en-US" w:eastAsia="zh-CN"/>
              </w:rPr>
              <w:t>7、其他产污分析</w:t>
            </w:r>
          </w:p>
          <w:p w14:paraId="6D3C9611">
            <w:pPr>
              <w:spacing w:line="360" w:lineRule="auto"/>
              <w:ind w:firstLine="480" w:firstLineChars="200"/>
              <w:rPr>
                <w:rFonts w:hint="default" w:ascii="Times New Roman" w:hAnsi="Times New Roman" w:eastAsia="宋体" w:cs="Times New Roman"/>
                <w:b w:val="0"/>
                <w:bCs w:val="0"/>
                <w:color w:val="auto"/>
                <w:sz w:val="24"/>
                <w:highlight w:val="none"/>
                <w:shd w:val="clear" w:color="auto" w:fill="auto"/>
              </w:rPr>
            </w:pPr>
            <w:r>
              <w:rPr>
                <w:rFonts w:hint="default" w:ascii="Times New Roman" w:hAnsi="Times New Roman" w:eastAsia="宋体" w:cs="Times New Roman"/>
                <w:b w:val="0"/>
                <w:bCs w:val="0"/>
                <w:color w:val="auto"/>
                <w:sz w:val="24"/>
                <w:highlight w:val="none"/>
                <w:shd w:val="clear" w:color="auto" w:fill="auto"/>
              </w:rPr>
              <w:t>（1）原辅料使用</w:t>
            </w:r>
            <w:r>
              <w:rPr>
                <w:rFonts w:hint="default" w:ascii="Times New Roman" w:hAnsi="Times New Roman" w:eastAsia="宋体" w:cs="Times New Roman"/>
                <w:b w:val="0"/>
                <w:bCs w:val="0"/>
                <w:color w:val="auto"/>
                <w:sz w:val="24"/>
                <w:highlight w:val="none"/>
                <w:shd w:val="clear" w:color="auto" w:fill="auto"/>
                <w:lang w:val="en-US" w:eastAsia="zh-CN"/>
              </w:rPr>
              <w:t>及设备维护保养</w:t>
            </w:r>
            <w:r>
              <w:rPr>
                <w:rFonts w:hint="default" w:ascii="Times New Roman" w:hAnsi="Times New Roman" w:eastAsia="宋体" w:cs="Times New Roman"/>
                <w:b w:val="0"/>
                <w:bCs w:val="0"/>
                <w:color w:val="auto"/>
                <w:sz w:val="24"/>
                <w:highlight w:val="none"/>
                <w:shd w:val="clear" w:color="auto" w:fill="auto"/>
              </w:rPr>
              <w:t>产污分析</w:t>
            </w:r>
          </w:p>
          <w:p w14:paraId="671ED3E0">
            <w:pPr>
              <w:spacing w:line="360" w:lineRule="auto"/>
              <w:ind w:firstLine="480"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本项目辅料使用过程中有废包装</w:t>
            </w:r>
            <w:r>
              <w:rPr>
                <w:rFonts w:hint="eastAsia" w:ascii="Times New Roman" w:hAnsi="Times New Roman" w:eastAsia="宋体" w:cs="Times New Roman"/>
                <w:b w:val="0"/>
                <w:bCs w:val="0"/>
                <w:color w:val="auto"/>
                <w:sz w:val="24"/>
                <w:highlight w:val="none"/>
                <w:shd w:val="clear" w:color="auto" w:fill="auto"/>
                <w:lang w:val="en-US" w:eastAsia="zh-CN"/>
              </w:rPr>
              <w:t>桶</w:t>
            </w:r>
            <w:r>
              <w:rPr>
                <w:rFonts w:hint="default" w:ascii="Times New Roman" w:hAnsi="Times New Roman" w:eastAsia="宋体" w:cs="Times New Roman"/>
                <w:b w:val="0"/>
                <w:bCs w:val="0"/>
                <w:color w:val="auto"/>
                <w:sz w:val="24"/>
                <w:highlight w:val="none"/>
                <w:shd w:val="clear" w:color="auto" w:fill="auto"/>
                <w:lang w:val="en-US" w:eastAsia="zh-CN"/>
              </w:rPr>
              <w:t>S</w:t>
            </w:r>
            <w:r>
              <w:rPr>
                <w:rFonts w:hint="eastAsia" w:ascii="Times New Roman" w:hAnsi="Times New Roman" w:eastAsia="宋体" w:cs="Times New Roman"/>
                <w:b w:val="0"/>
                <w:bCs w:val="0"/>
                <w:color w:val="auto"/>
                <w:sz w:val="24"/>
                <w:highlight w:val="none"/>
                <w:shd w:val="clear" w:color="auto" w:fill="auto"/>
                <w:lang w:val="en-US" w:eastAsia="zh-CN"/>
              </w:rPr>
              <w:t>4</w:t>
            </w:r>
            <w:r>
              <w:rPr>
                <w:rFonts w:hint="default" w:ascii="Times New Roman" w:hAnsi="Times New Roman" w:eastAsia="宋体" w:cs="Times New Roman"/>
                <w:b w:val="0"/>
                <w:bCs w:val="0"/>
                <w:color w:val="auto"/>
                <w:sz w:val="24"/>
                <w:highlight w:val="none"/>
                <w:shd w:val="clear" w:color="auto" w:fill="auto"/>
                <w:lang w:val="en-US" w:eastAsia="zh-CN"/>
              </w:rPr>
              <w:t>产生。</w:t>
            </w:r>
          </w:p>
          <w:p w14:paraId="17CFFCEB">
            <w:pPr>
              <w:spacing w:line="360" w:lineRule="auto"/>
              <w:ind w:firstLine="480"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本项目机械设备定期添加</w:t>
            </w:r>
            <w:r>
              <w:rPr>
                <w:rFonts w:hint="eastAsia" w:ascii="Times New Roman" w:hAnsi="Times New Roman" w:eastAsia="宋体" w:cs="Times New Roman"/>
                <w:b w:val="0"/>
                <w:bCs w:val="0"/>
                <w:color w:val="auto"/>
                <w:sz w:val="24"/>
                <w:highlight w:val="none"/>
                <w:shd w:val="clear" w:color="auto" w:fill="auto"/>
                <w:lang w:val="en-US" w:eastAsia="zh-CN"/>
              </w:rPr>
              <w:t>黄油</w:t>
            </w:r>
            <w:r>
              <w:rPr>
                <w:rFonts w:hint="default" w:ascii="Times New Roman" w:hAnsi="Times New Roman" w:eastAsia="宋体" w:cs="Times New Roman"/>
                <w:b w:val="0"/>
                <w:bCs w:val="0"/>
                <w:color w:val="auto"/>
                <w:sz w:val="24"/>
                <w:highlight w:val="none"/>
                <w:shd w:val="clear" w:color="auto" w:fill="auto"/>
                <w:lang w:val="en-US" w:eastAsia="zh-CN"/>
              </w:rPr>
              <w:t>，进行维护保养，</w:t>
            </w:r>
            <w:r>
              <w:rPr>
                <w:rFonts w:hint="eastAsia" w:ascii="Times New Roman" w:hAnsi="Times New Roman" w:eastAsia="宋体" w:cs="Times New Roman"/>
                <w:b w:val="0"/>
                <w:bCs w:val="0"/>
                <w:color w:val="auto"/>
                <w:sz w:val="24"/>
                <w:highlight w:val="none"/>
                <w:shd w:val="clear" w:color="auto" w:fill="auto"/>
                <w:lang w:val="en-US" w:eastAsia="zh-CN"/>
              </w:rPr>
              <w:t>黄油在使用过程中消耗</w:t>
            </w:r>
            <w:r>
              <w:rPr>
                <w:rFonts w:hint="default" w:ascii="Times New Roman" w:hAnsi="Times New Roman" w:eastAsia="宋体" w:cs="Times New Roman"/>
                <w:b w:val="0"/>
                <w:bCs w:val="0"/>
                <w:color w:val="auto"/>
                <w:sz w:val="24"/>
                <w:highlight w:val="none"/>
                <w:shd w:val="clear" w:color="auto" w:fill="auto"/>
                <w:lang w:val="en-US" w:eastAsia="zh-CN"/>
              </w:rPr>
              <w:t>，无废</w:t>
            </w:r>
            <w:r>
              <w:rPr>
                <w:rFonts w:hint="eastAsia" w:ascii="Times New Roman" w:hAnsi="Times New Roman" w:eastAsia="宋体" w:cs="Times New Roman"/>
                <w:b w:val="0"/>
                <w:bCs w:val="0"/>
                <w:color w:val="auto"/>
                <w:sz w:val="24"/>
                <w:highlight w:val="none"/>
                <w:shd w:val="clear" w:color="auto" w:fill="auto"/>
                <w:lang w:val="en-US" w:eastAsia="zh-CN"/>
              </w:rPr>
              <w:t>黄</w:t>
            </w:r>
            <w:r>
              <w:rPr>
                <w:rFonts w:hint="default" w:ascii="Times New Roman" w:hAnsi="Times New Roman" w:eastAsia="宋体" w:cs="Times New Roman"/>
                <w:b w:val="0"/>
                <w:bCs w:val="0"/>
                <w:color w:val="auto"/>
                <w:sz w:val="24"/>
                <w:highlight w:val="none"/>
                <w:shd w:val="clear" w:color="auto" w:fill="auto"/>
                <w:lang w:val="en-US" w:eastAsia="zh-CN"/>
              </w:rPr>
              <w:t>油产生</w:t>
            </w:r>
            <w:r>
              <w:rPr>
                <w:rFonts w:hint="default" w:ascii="Times New Roman" w:hAnsi="Times New Roman" w:eastAsia="宋体" w:cs="Times New Roman"/>
                <w:b w:val="0"/>
                <w:bCs w:val="0"/>
                <w:color w:val="auto"/>
                <w:sz w:val="24"/>
                <w:lang w:val="en-US" w:eastAsia="zh-CN"/>
              </w:rPr>
              <w:t>，该工序产生</w:t>
            </w:r>
            <w:r>
              <w:rPr>
                <w:rFonts w:hint="eastAsia" w:ascii="Times New Roman" w:hAnsi="Times New Roman" w:eastAsia="宋体" w:cs="Times New Roman"/>
                <w:b w:val="0"/>
                <w:bCs w:val="0"/>
                <w:color w:val="auto"/>
                <w:sz w:val="24"/>
                <w:lang w:val="en-US" w:eastAsia="zh-CN"/>
              </w:rPr>
              <w:t>含油抹布手套</w:t>
            </w:r>
            <w:r>
              <w:rPr>
                <w:rFonts w:hint="default" w:ascii="Times New Roman" w:hAnsi="Times New Roman" w:eastAsia="宋体" w:cs="Times New Roman"/>
                <w:b w:val="0"/>
                <w:bCs w:val="0"/>
                <w:color w:val="auto"/>
                <w:sz w:val="24"/>
                <w:lang w:val="en-US" w:eastAsia="zh-CN"/>
              </w:rPr>
              <w:t>S</w:t>
            </w:r>
            <w:r>
              <w:rPr>
                <w:rFonts w:hint="eastAsia" w:ascii="Times New Roman" w:hAnsi="Times New Roman" w:eastAsia="宋体" w:cs="Times New Roman"/>
                <w:b w:val="0"/>
                <w:bCs w:val="0"/>
                <w:color w:val="auto"/>
                <w:sz w:val="24"/>
                <w:lang w:val="en-US" w:eastAsia="zh-CN"/>
              </w:rPr>
              <w:t>5</w:t>
            </w:r>
            <w:r>
              <w:rPr>
                <w:rFonts w:hint="default" w:ascii="Times New Roman" w:hAnsi="Times New Roman" w:eastAsia="宋体" w:cs="Times New Roman"/>
                <w:b w:val="0"/>
                <w:bCs w:val="0"/>
                <w:color w:val="auto"/>
                <w:sz w:val="24"/>
                <w:highlight w:val="none"/>
                <w:shd w:val="clear" w:color="auto" w:fill="auto"/>
                <w:lang w:val="en-US" w:eastAsia="zh-CN"/>
              </w:rPr>
              <w:t>。</w:t>
            </w:r>
          </w:p>
          <w:p w14:paraId="609097C8">
            <w:pPr>
              <w:spacing w:line="360" w:lineRule="auto"/>
              <w:ind w:firstLine="480" w:firstLineChars="200"/>
              <w:rPr>
                <w:rFonts w:hint="default" w:ascii="Times New Roman" w:hAnsi="Times New Roman" w:eastAsia="宋体" w:cs="Times New Roman"/>
                <w:b w:val="0"/>
                <w:bCs w:val="0"/>
                <w:color w:val="auto"/>
                <w:sz w:val="24"/>
                <w:highlight w:val="none"/>
                <w:shd w:val="clear" w:color="auto" w:fill="auto"/>
              </w:rPr>
            </w:pPr>
            <w:r>
              <w:rPr>
                <w:rFonts w:hint="eastAsia" w:ascii="Times New Roman" w:hAnsi="Times New Roman" w:eastAsia="宋体" w:cs="Times New Roman"/>
                <w:b w:val="0"/>
                <w:bCs w:val="0"/>
                <w:color w:val="auto"/>
                <w:sz w:val="24"/>
                <w:lang w:val="en-US" w:eastAsia="zh-CN"/>
              </w:rPr>
              <w:t>印刷、复合</w:t>
            </w:r>
            <w:r>
              <w:rPr>
                <w:rFonts w:hint="default" w:ascii="Times New Roman" w:hAnsi="Times New Roman" w:eastAsia="宋体" w:cs="Times New Roman"/>
                <w:b w:val="0"/>
                <w:bCs w:val="0"/>
                <w:color w:val="auto"/>
                <w:sz w:val="24"/>
                <w:lang w:val="en-US" w:eastAsia="zh-CN"/>
              </w:rPr>
              <w:t>后，使用</w:t>
            </w:r>
            <w:r>
              <w:rPr>
                <w:rFonts w:hint="eastAsia" w:ascii="Times New Roman" w:hAnsi="Times New Roman" w:eastAsia="宋体" w:cs="Times New Roman"/>
                <w:b w:val="0"/>
                <w:bCs w:val="0"/>
                <w:color w:val="auto"/>
                <w:sz w:val="24"/>
                <w:lang w:val="en-US" w:eastAsia="zh-CN"/>
              </w:rPr>
              <w:t>乙酸乙酯</w:t>
            </w:r>
            <w:r>
              <w:rPr>
                <w:rFonts w:hint="default" w:ascii="Times New Roman" w:hAnsi="Times New Roman" w:eastAsia="宋体" w:cs="Times New Roman"/>
                <w:b w:val="0"/>
                <w:bCs w:val="0"/>
                <w:color w:val="auto"/>
                <w:sz w:val="24"/>
                <w:lang w:val="en-US" w:eastAsia="zh-CN"/>
              </w:rPr>
              <w:t>对</w:t>
            </w:r>
            <w:r>
              <w:rPr>
                <w:rFonts w:hint="eastAsia" w:ascii="Times New Roman" w:hAnsi="Times New Roman" w:eastAsia="宋体" w:cs="Times New Roman"/>
                <w:b w:val="0"/>
                <w:bCs w:val="0"/>
                <w:color w:val="auto"/>
                <w:sz w:val="24"/>
                <w:lang w:val="en-US" w:eastAsia="zh-CN"/>
              </w:rPr>
              <w:t>印刷机、复合机</w:t>
            </w:r>
            <w:r>
              <w:rPr>
                <w:rFonts w:hint="default" w:ascii="Times New Roman" w:hAnsi="Times New Roman" w:eastAsia="宋体" w:cs="Times New Roman"/>
                <w:b w:val="0"/>
                <w:bCs w:val="0"/>
                <w:color w:val="auto"/>
                <w:sz w:val="24"/>
                <w:lang w:val="en-US" w:eastAsia="zh-CN"/>
              </w:rPr>
              <w:t>进行</w:t>
            </w:r>
            <w:r>
              <w:rPr>
                <w:rFonts w:hint="eastAsia" w:ascii="Times New Roman" w:hAnsi="Times New Roman" w:eastAsia="宋体" w:cs="Times New Roman"/>
                <w:b w:val="0"/>
                <w:bCs w:val="0"/>
                <w:color w:val="auto"/>
                <w:sz w:val="24"/>
                <w:lang w:val="en-US" w:eastAsia="zh-CN"/>
              </w:rPr>
              <w:t>擦拭清洁</w:t>
            </w:r>
            <w:r>
              <w:rPr>
                <w:rFonts w:hint="default" w:ascii="Times New Roman" w:hAnsi="Times New Roman" w:eastAsia="宋体" w:cs="Times New Roman"/>
                <w:b w:val="0"/>
                <w:bCs w:val="0"/>
                <w:color w:val="auto"/>
                <w:sz w:val="24"/>
                <w:lang w:val="en-US" w:eastAsia="zh-CN"/>
              </w:rPr>
              <w:t>，该工序产生清洗废气G</w:t>
            </w:r>
            <w:r>
              <w:rPr>
                <w:rFonts w:hint="eastAsia" w:ascii="Times New Roman" w:hAnsi="Times New Roman" w:eastAsia="宋体" w:cs="Times New Roman"/>
                <w:b w:val="0"/>
                <w:bCs w:val="0"/>
                <w:color w:val="auto"/>
                <w:sz w:val="24"/>
                <w:lang w:val="en-US" w:eastAsia="zh-CN"/>
              </w:rPr>
              <w:t>8</w:t>
            </w:r>
            <w:r>
              <w:rPr>
                <w:rFonts w:hint="default" w:ascii="Times New Roman" w:hAnsi="Times New Roman" w:eastAsia="宋体" w:cs="Times New Roman"/>
                <w:b w:val="0"/>
                <w:bCs w:val="0"/>
                <w:color w:val="auto"/>
                <w:sz w:val="24"/>
                <w:lang w:val="en-US" w:eastAsia="zh-CN"/>
              </w:rPr>
              <w:t>、废</w:t>
            </w:r>
            <w:r>
              <w:rPr>
                <w:rFonts w:hint="eastAsia" w:ascii="Times New Roman" w:hAnsi="Times New Roman" w:eastAsia="宋体" w:cs="Times New Roman"/>
                <w:b w:val="0"/>
                <w:bCs w:val="0"/>
                <w:color w:val="auto"/>
                <w:sz w:val="24"/>
                <w:lang w:val="en-US" w:eastAsia="zh-CN"/>
              </w:rPr>
              <w:t>抹布</w:t>
            </w:r>
            <w:r>
              <w:rPr>
                <w:rFonts w:hint="default" w:ascii="Times New Roman" w:hAnsi="Times New Roman" w:eastAsia="宋体" w:cs="Times New Roman"/>
                <w:b w:val="0"/>
                <w:bCs w:val="0"/>
                <w:color w:val="auto"/>
                <w:sz w:val="24"/>
                <w:lang w:val="en-US" w:eastAsia="zh-CN"/>
              </w:rPr>
              <w:t>S</w:t>
            </w:r>
            <w:r>
              <w:rPr>
                <w:rFonts w:hint="eastAsia" w:ascii="Times New Roman" w:hAnsi="Times New Roman" w:eastAsia="宋体" w:cs="Times New Roman"/>
                <w:b w:val="0"/>
                <w:bCs w:val="0"/>
                <w:color w:val="auto"/>
                <w:sz w:val="24"/>
                <w:lang w:val="en-US" w:eastAsia="zh-CN"/>
              </w:rPr>
              <w:t>6</w:t>
            </w:r>
            <w:r>
              <w:rPr>
                <w:rFonts w:hint="default" w:ascii="Times New Roman" w:hAnsi="Times New Roman" w:eastAsia="宋体" w:cs="Times New Roman"/>
                <w:b w:val="0"/>
                <w:bCs w:val="0"/>
                <w:color w:val="auto"/>
                <w:sz w:val="24"/>
                <w:lang w:val="en-US" w:eastAsia="zh-CN"/>
              </w:rPr>
              <w:t>。</w:t>
            </w:r>
          </w:p>
          <w:p w14:paraId="42866E4F">
            <w:pPr>
              <w:numPr>
                <w:ilvl w:val="0"/>
                <w:numId w:val="0"/>
              </w:numPr>
              <w:spacing w:line="360" w:lineRule="auto"/>
              <w:ind w:firstLine="480"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kern w:val="2"/>
                <w:sz w:val="24"/>
                <w:szCs w:val="22"/>
                <w:highlight w:val="none"/>
                <w:shd w:val="clear" w:color="auto" w:fill="auto"/>
                <w:lang w:val="en-US" w:eastAsia="zh-CN" w:bidi="ar-SA"/>
              </w:rPr>
              <w:t>（</w:t>
            </w:r>
            <w:r>
              <w:rPr>
                <w:rFonts w:hint="eastAsia" w:ascii="Times New Roman" w:hAnsi="Times New Roman" w:eastAsia="宋体" w:cs="Times New Roman"/>
                <w:b w:val="0"/>
                <w:bCs w:val="0"/>
                <w:color w:val="auto"/>
                <w:kern w:val="2"/>
                <w:sz w:val="24"/>
                <w:szCs w:val="22"/>
                <w:highlight w:val="none"/>
                <w:shd w:val="clear" w:color="auto" w:fill="auto"/>
                <w:lang w:val="en-US" w:eastAsia="zh-CN" w:bidi="ar-SA"/>
              </w:rPr>
              <w:t>2</w:t>
            </w:r>
            <w:r>
              <w:rPr>
                <w:rFonts w:hint="default" w:ascii="Times New Roman" w:hAnsi="Times New Roman" w:eastAsia="宋体" w:cs="Times New Roman"/>
                <w:b w:val="0"/>
                <w:bCs w:val="0"/>
                <w:color w:val="auto"/>
                <w:kern w:val="2"/>
                <w:sz w:val="24"/>
                <w:szCs w:val="22"/>
                <w:highlight w:val="none"/>
                <w:shd w:val="clear" w:color="auto" w:fill="auto"/>
                <w:lang w:val="en-US" w:eastAsia="zh-CN" w:bidi="ar-SA"/>
              </w:rPr>
              <w:t>）</w:t>
            </w:r>
            <w:r>
              <w:rPr>
                <w:rFonts w:hint="default" w:ascii="Times New Roman" w:hAnsi="Times New Roman" w:eastAsia="宋体" w:cs="Times New Roman"/>
                <w:b w:val="0"/>
                <w:bCs w:val="0"/>
                <w:color w:val="auto"/>
                <w:sz w:val="24"/>
                <w:highlight w:val="none"/>
                <w:shd w:val="clear" w:color="auto" w:fill="auto"/>
                <w:lang w:val="en-US" w:eastAsia="zh-CN"/>
              </w:rPr>
              <w:t>废气处理产</w:t>
            </w:r>
            <w:r>
              <w:rPr>
                <w:rFonts w:hint="default" w:ascii="Times New Roman" w:hAnsi="Times New Roman" w:eastAsia="宋体" w:cs="Times New Roman"/>
                <w:b w:val="0"/>
                <w:bCs w:val="0"/>
                <w:color w:val="auto"/>
                <w:sz w:val="24"/>
                <w:highlight w:val="none"/>
                <w:shd w:val="clear" w:color="auto" w:fill="auto"/>
              </w:rPr>
              <w:t>污</w:t>
            </w:r>
            <w:r>
              <w:rPr>
                <w:rFonts w:hint="default" w:ascii="Times New Roman" w:hAnsi="Times New Roman" w:eastAsia="宋体" w:cs="Times New Roman"/>
                <w:b w:val="0"/>
                <w:bCs w:val="0"/>
                <w:color w:val="auto"/>
                <w:sz w:val="24"/>
                <w:highlight w:val="none"/>
                <w:shd w:val="clear" w:color="auto" w:fill="auto"/>
                <w:lang w:val="en-US" w:eastAsia="zh-CN"/>
              </w:rPr>
              <w:t>分析</w:t>
            </w:r>
          </w:p>
          <w:p w14:paraId="117FC54E">
            <w:pPr>
              <w:numPr>
                <w:ilvl w:val="0"/>
                <w:numId w:val="0"/>
              </w:numPr>
              <w:spacing w:line="360" w:lineRule="auto"/>
              <w:ind w:firstLine="480"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eastAsia" w:ascii="Times New Roman" w:hAnsi="Times New Roman" w:eastAsia="宋体" w:cs="Times New Roman"/>
                <w:b w:val="0"/>
                <w:bCs w:val="0"/>
                <w:color w:val="auto"/>
                <w:sz w:val="24"/>
                <w:highlight w:val="none"/>
                <w:shd w:val="clear" w:color="auto" w:fill="auto"/>
                <w:lang w:val="en-US" w:eastAsia="zh-CN"/>
              </w:rPr>
              <w:t>本项目废气设备二级活性炭</w:t>
            </w:r>
            <w:r>
              <w:rPr>
                <w:rFonts w:hint="default" w:ascii="Times New Roman" w:hAnsi="Times New Roman" w:eastAsia="宋体" w:cs="Times New Roman"/>
                <w:b w:val="0"/>
                <w:bCs w:val="0"/>
                <w:color w:val="auto"/>
                <w:sz w:val="24"/>
                <w:highlight w:val="none"/>
                <w:shd w:val="clear" w:color="auto" w:fill="auto"/>
                <w:lang w:val="en-US" w:eastAsia="zh-CN"/>
              </w:rPr>
              <w:t>定期</w:t>
            </w:r>
            <w:r>
              <w:rPr>
                <w:rFonts w:hint="eastAsia" w:ascii="Times New Roman" w:hAnsi="Times New Roman" w:eastAsia="宋体" w:cs="Times New Roman"/>
                <w:b w:val="0"/>
                <w:bCs w:val="0"/>
                <w:color w:val="auto"/>
                <w:sz w:val="24"/>
                <w:highlight w:val="none"/>
                <w:shd w:val="clear" w:color="auto" w:fill="auto"/>
                <w:lang w:val="en-US" w:eastAsia="zh-CN"/>
              </w:rPr>
              <w:t>更换活性炭</w:t>
            </w:r>
            <w:r>
              <w:rPr>
                <w:rFonts w:hint="default" w:ascii="Times New Roman" w:hAnsi="Times New Roman" w:eastAsia="宋体" w:cs="Times New Roman"/>
                <w:b w:val="0"/>
                <w:bCs w:val="0"/>
                <w:color w:val="auto"/>
                <w:sz w:val="24"/>
                <w:highlight w:val="none"/>
                <w:shd w:val="clear" w:color="auto" w:fill="auto"/>
                <w:lang w:val="en-US" w:eastAsia="zh-CN"/>
              </w:rPr>
              <w:t>，</w:t>
            </w:r>
            <w:r>
              <w:rPr>
                <w:rFonts w:hint="eastAsia" w:ascii="Times New Roman" w:hAnsi="Times New Roman" w:eastAsia="宋体" w:cs="Times New Roman"/>
                <w:b w:val="0"/>
                <w:bCs w:val="0"/>
                <w:color w:val="auto"/>
                <w:sz w:val="24"/>
                <w:highlight w:val="none"/>
                <w:shd w:val="clear" w:color="auto" w:fill="auto"/>
                <w:lang w:val="en-US" w:eastAsia="zh-CN"/>
              </w:rPr>
              <w:t>产生废活性炭S7</w:t>
            </w:r>
            <w:r>
              <w:rPr>
                <w:rFonts w:hint="default" w:ascii="Times New Roman" w:hAnsi="Times New Roman" w:eastAsia="宋体" w:cs="Times New Roman"/>
                <w:b w:val="0"/>
                <w:bCs w:val="0"/>
                <w:color w:val="auto"/>
                <w:sz w:val="24"/>
                <w:highlight w:val="none"/>
                <w:shd w:val="clear" w:color="auto" w:fill="auto"/>
                <w:lang w:val="en-US" w:eastAsia="zh-CN"/>
              </w:rPr>
              <w:t>。</w:t>
            </w:r>
          </w:p>
          <w:p w14:paraId="7A2A6687">
            <w:pPr>
              <w:numPr>
                <w:ilvl w:val="0"/>
                <w:numId w:val="0"/>
              </w:numPr>
              <w:spacing w:line="360" w:lineRule="auto"/>
              <w:ind w:firstLine="480" w:firstLineChars="200"/>
              <w:rPr>
                <w:rFonts w:hint="default" w:ascii="Times New Roman" w:hAnsi="Times New Roman" w:eastAsia="宋体" w:cs="Times New Roman"/>
                <w:b w:val="0"/>
                <w:bCs w:val="0"/>
                <w:color w:val="auto"/>
                <w:sz w:val="24"/>
                <w:highlight w:val="none"/>
                <w:shd w:val="clear" w:color="auto" w:fill="auto"/>
                <w:lang w:val="en-US" w:eastAsia="zh-CN"/>
              </w:rPr>
            </w:pPr>
            <w:r>
              <w:rPr>
                <w:rFonts w:hint="eastAsia" w:ascii="Times New Roman" w:hAnsi="Times New Roman" w:eastAsia="宋体" w:cs="Times New Roman"/>
                <w:b w:val="0"/>
                <w:bCs w:val="0"/>
                <w:color w:val="auto"/>
                <w:sz w:val="24"/>
                <w:highlight w:val="none"/>
                <w:shd w:val="clear" w:color="auto" w:fill="auto"/>
                <w:lang w:val="en-US" w:eastAsia="zh-CN"/>
              </w:rPr>
              <w:t>本项目废气设备布袋除尘器</w:t>
            </w:r>
            <w:r>
              <w:rPr>
                <w:rFonts w:hint="default" w:ascii="Times New Roman" w:hAnsi="Times New Roman" w:eastAsia="宋体" w:cs="Times New Roman"/>
                <w:b w:val="0"/>
                <w:bCs w:val="0"/>
                <w:color w:val="auto"/>
                <w:sz w:val="24"/>
                <w:highlight w:val="none"/>
                <w:shd w:val="clear" w:color="auto" w:fill="auto"/>
                <w:lang w:val="en-US" w:eastAsia="zh-CN"/>
              </w:rPr>
              <w:t>定期</w:t>
            </w:r>
            <w:r>
              <w:rPr>
                <w:rFonts w:hint="eastAsia" w:ascii="Times New Roman" w:hAnsi="Times New Roman" w:eastAsia="宋体" w:cs="Times New Roman"/>
                <w:b w:val="0"/>
                <w:bCs w:val="0"/>
                <w:color w:val="auto"/>
                <w:sz w:val="24"/>
                <w:highlight w:val="none"/>
                <w:shd w:val="clear" w:color="auto" w:fill="auto"/>
                <w:lang w:val="en-US" w:eastAsia="zh-CN"/>
              </w:rPr>
              <w:t>清理、更换布袋</w:t>
            </w:r>
            <w:r>
              <w:rPr>
                <w:rFonts w:hint="default" w:ascii="Times New Roman" w:hAnsi="Times New Roman" w:eastAsia="宋体" w:cs="Times New Roman"/>
                <w:b w:val="0"/>
                <w:bCs w:val="0"/>
                <w:color w:val="auto"/>
                <w:sz w:val="24"/>
                <w:highlight w:val="none"/>
                <w:shd w:val="clear" w:color="auto" w:fill="auto"/>
                <w:lang w:val="en-US" w:eastAsia="zh-CN"/>
              </w:rPr>
              <w:t>，</w:t>
            </w:r>
            <w:r>
              <w:rPr>
                <w:rFonts w:hint="eastAsia" w:ascii="Times New Roman" w:hAnsi="Times New Roman" w:eastAsia="宋体" w:cs="Times New Roman"/>
                <w:b w:val="0"/>
                <w:bCs w:val="0"/>
                <w:color w:val="auto"/>
                <w:sz w:val="24"/>
                <w:highlight w:val="none"/>
                <w:shd w:val="clear" w:color="auto" w:fill="auto"/>
                <w:lang w:val="en-US" w:eastAsia="zh-CN"/>
              </w:rPr>
              <w:t>产生除尘灰S8、废布袋S9</w:t>
            </w:r>
            <w:r>
              <w:rPr>
                <w:rFonts w:hint="default" w:ascii="Times New Roman" w:hAnsi="Times New Roman" w:eastAsia="宋体" w:cs="Times New Roman"/>
                <w:b w:val="0"/>
                <w:bCs w:val="0"/>
                <w:color w:val="auto"/>
                <w:sz w:val="24"/>
                <w:highlight w:val="none"/>
                <w:shd w:val="clear" w:color="auto" w:fill="auto"/>
                <w:lang w:val="en-US" w:eastAsia="zh-CN"/>
              </w:rPr>
              <w:t>。</w:t>
            </w:r>
          </w:p>
          <w:p w14:paraId="0E249290">
            <w:pPr>
              <w:spacing w:line="360" w:lineRule="auto"/>
              <w:rPr>
                <w:rFonts w:hint="default" w:ascii="Times New Roman" w:hAnsi="Times New Roman" w:eastAsia="宋体" w:cs="Times New Roman"/>
                <w:b/>
                <w:color w:val="auto"/>
                <w:sz w:val="24"/>
                <w:highlight w:val="none"/>
                <w:shd w:val="clear" w:color="auto" w:fill="auto"/>
                <w:lang w:val="en-US"/>
              </w:rPr>
            </w:pPr>
            <w:r>
              <w:rPr>
                <w:rFonts w:hint="eastAsia" w:ascii="Times New Roman" w:hAnsi="Times New Roman" w:eastAsia="宋体" w:cs="Times New Roman"/>
                <w:b/>
                <w:color w:val="auto"/>
                <w:sz w:val="24"/>
                <w:highlight w:val="none"/>
                <w:shd w:val="clear" w:color="auto" w:fill="auto"/>
                <w:lang w:val="en-US" w:eastAsia="zh-CN"/>
              </w:rPr>
              <w:t>三</w:t>
            </w:r>
            <w:r>
              <w:rPr>
                <w:rFonts w:hint="default" w:ascii="Times New Roman" w:hAnsi="Times New Roman" w:eastAsia="宋体" w:cs="Times New Roman"/>
                <w:b/>
                <w:color w:val="auto"/>
                <w:sz w:val="24"/>
                <w:highlight w:val="none"/>
                <w:shd w:val="clear" w:color="auto" w:fill="auto"/>
                <w:lang w:val="en-US" w:eastAsia="zh-CN"/>
              </w:rPr>
              <w:t>、</w:t>
            </w:r>
            <w:r>
              <w:rPr>
                <w:rFonts w:hint="default" w:ascii="Times New Roman" w:hAnsi="Times New Roman" w:eastAsia="宋体" w:cs="Times New Roman"/>
                <w:b/>
                <w:color w:val="auto"/>
                <w:sz w:val="24"/>
                <w:highlight w:val="none"/>
                <w:shd w:val="clear" w:color="auto" w:fill="auto"/>
                <w:lang w:val="en-US"/>
              </w:rPr>
              <w:t>产污环节分析</w:t>
            </w:r>
          </w:p>
          <w:p w14:paraId="605D0862">
            <w:pPr>
              <w:jc w:val="center"/>
              <w:rPr>
                <w:rFonts w:hint="default" w:ascii="Times New Roman" w:hAnsi="Times New Roman" w:eastAsia="宋体" w:cs="Times New Roman"/>
                <w:b/>
                <w:color w:val="auto"/>
                <w:sz w:val="24"/>
                <w:highlight w:val="none"/>
                <w:shd w:val="clear" w:color="auto" w:fill="auto"/>
                <w:lang w:val="en-US"/>
              </w:rPr>
            </w:pPr>
            <w:r>
              <w:rPr>
                <w:rFonts w:hint="default" w:ascii="Times New Roman" w:hAnsi="Times New Roman" w:eastAsia="宋体" w:cs="Times New Roman"/>
                <w:b/>
                <w:color w:val="auto"/>
                <w:sz w:val="24"/>
                <w:highlight w:val="none"/>
                <w:shd w:val="clear" w:color="auto" w:fill="auto"/>
                <w:lang w:val="en-US"/>
              </w:rPr>
              <w:t>表2-</w:t>
            </w:r>
            <w:r>
              <w:rPr>
                <w:rFonts w:hint="eastAsia" w:ascii="Times New Roman" w:hAnsi="Times New Roman" w:eastAsia="宋体" w:cs="Times New Roman"/>
                <w:b/>
                <w:color w:val="auto"/>
                <w:sz w:val="24"/>
                <w:highlight w:val="none"/>
                <w:shd w:val="clear" w:color="auto" w:fill="auto"/>
                <w:lang w:val="en-US" w:eastAsia="zh-CN"/>
              </w:rPr>
              <w:t>10</w:t>
            </w:r>
            <w:r>
              <w:rPr>
                <w:rFonts w:hint="default" w:ascii="Times New Roman" w:hAnsi="Times New Roman" w:eastAsia="宋体" w:cs="Times New Roman"/>
                <w:b/>
                <w:color w:val="auto"/>
                <w:sz w:val="24"/>
                <w:highlight w:val="none"/>
                <w:shd w:val="clear" w:color="auto" w:fill="auto"/>
                <w:lang w:val="en-US"/>
              </w:rPr>
              <w:t xml:space="preserve">  污染物产生情况分析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925"/>
              <w:gridCol w:w="1382"/>
              <w:gridCol w:w="1275"/>
              <w:gridCol w:w="1527"/>
              <w:gridCol w:w="2485"/>
            </w:tblGrid>
            <w:tr w14:paraId="793E6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vAlign w:val="center"/>
                </w:tcPr>
                <w:p w14:paraId="748E3B6A">
                  <w:pPr>
                    <w:jc w:val="center"/>
                    <w:rPr>
                      <w:rFonts w:hint="default" w:ascii="Times New Roman" w:hAnsi="Times New Roman" w:eastAsia="宋体" w:cs="Times New Roman"/>
                      <w:b/>
                      <w:color w:val="auto"/>
                      <w:szCs w:val="21"/>
                      <w:highlight w:val="none"/>
                      <w:shd w:val="clear" w:color="auto" w:fill="auto"/>
                      <w:lang w:val="en-US"/>
                    </w:rPr>
                  </w:pPr>
                  <w:r>
                    <w:rPr>
                      <w:rFonts w:hint="default" w:ascii="Times New Roman" w:hAnsi="Times New Roman" w:eastAsia="宋体" w:cs="Times New Roman"/>
                      <w:b/>
                      <w:color w:val="auto"/>
                      <w:szCs w:val="21"/>
                      <w:highlight w:val="none"/>
                      <w:shd w:val="clear" w:color="auto" w:fill="auto"/>
                      <w:lang w:val="en-US"/>
                    </w:rPr>
                    <w:t>废物类别</w:t>
                  </w:r>
                </w:p>
              </w:tc>
              <w:tc>
                <w:tcPr>
                  <w:tcW w:w="553" w:type="pct"/>
                  <w:tcBorders>
                    <w:tl2br w:val="nil"/>
                    <w:tr2bl w:val="nil"/>
                  </w:tcBorders>
                  <w:vAlign w:val="center"/>
                </w:tcPr>
                <w:p w14:paraId="0A35B0E9">
                  <w:pPr>
                    <w:jc w:val="center"/>
                    <w:rPr>
                      <w:rFonts w:hint="default" w:ascii="Times New Roman" w:hAnsi="Times New Roman" w:eastAsia="宋体" w:cs="Times New Roman"/>
                      <w:b/>
                      <w:color w:val="auto"/>
                      <w:szCs w:val="21"/>
                      <w:highlight w:val="none"/>
                      <w:shd w:val="clear" w:color="auto" w:fill="auto"/>
                      <w:lang w:val="en-US"/>
                    </w:rPr>
                  </w:pPr>
                  <w:r>
                    <w:rPr>
                      <w:rFonts w:hint="default" w:ascii="Times New Roman" w:hAnsi="Times New Roman" w:eastAsia="宋体" w:cs="Times New Roman"/>
                      <w:b/>
                      <w:color w:val="auto"/>
                      <w:szCs w:val="21"/>
                      <w:highlight w:val="none"/>
                      <w:shd w:val="clear" w:color="auto" w:fill="auto"/>
                      <w:lang w:val="en-US"/>
                    </w:rPr>
                    <w:t>编号</w:t>
                  </w:r>
                </w:p>
              </w:tc>
              <w:tc>
                <w:tcPr>
                  <w:tcW w:w="826" w:type="pct"/>
                  <w:tcBorders>
                    <w:tl2br w:val="nil"/>
                    <w:tr2bl w:val="nil"/>
                  </w:tcBorders>
                  <w:vAlign w:val="center"/>
                </w:tcPr>
                <w:p w14:paraId="20C24093">
                  <w:pPr>
                    <w:jc w:val="center"/>
                    <w:rPr>
                      <w:rFonts w:hint="default" w:ascii="Times New Roman" w:hAnsi="Times New Roman" w:eastAsia="宋体" w:cs="Times New Roman"/>
                      <w:b/>
                      <w:color w:val="auto"/>
                      <w:szCs w:val="21"/>
                      <w:highlight w:val="none"/>
                      <w:shd w:val="clear" w:color="auto" w:fill="auto"/>
                      <w:lang w:val="en-US"/>
                    </w:rPr>
                  </w:pPr>
                  <w:r>
                    <w:rPr>
                      <w:rFonts w:hint="default" w:ascii="Times New Roman" w:hAnsi="Times New Roman" w:eastAsia="宋体" w:cs="Times New Roman"/>
                      <w:b/>
                      <w:color w:val="auto"/>
                      <w:szCs w:val="21"/>
                      <w:highlight w:val="none"/>
                      <w:shd w:val="clear" w:color="auto" w:fill="auto"/>
                      <w:lang w:val="en-US"/>
                    </w:rPr>
                    <w:t>产生环节</w:t>
                  </w:r>
                </w:p>
              </w:tc>
              <w:tc>
                <w:tcPr>
                  <w:tcW w:w="762" w:type="pct"/>
                  <w:tcBorders>
                    <w:tl2br w:val="nil"/>
                    <w:tr2bl w:val="nil"/>
                  </w:tcBorders>
                  <w:vAlign w:val="center"/>
                </w:tcPr>
                <w:p w14:paraId="507E6076">
                  <w:pPr>
                    <w:jc w:val="center"/>
                    <w:rPr>
                      <w:rFonts w:hint="default" w:ascii="Times New Roman" w:hAnsi="Times New Roman" w:eastAsia="宋体" w:cs="Times New Roman"/>
                      <w:b/>
                      <w:color w:val="auto"/>
                      <w:szCs w:val="21"/>
                      <w:highlight w:val="none"/>
                      <w:shd w:val="clear" w:color="auto" w:fill="auto"/>
                      <w:lang w:val="en-US" w:eastAsia="zh-CN"/>
                    </w:rPr>
                  </w:pPr>
                  <w:r>
                    <w:rPr>
                      <w:rFonts w:hint="eastAsia" w:ascii="Times New Roman" w:hAnsi="Times New Roman" w:eastAsia="宋体" w:cs="Times New Roman"/>
                      <w:b/>
                      <w:color w:val="auto"/>
                      <w:szCs w:val="21"/>
                      <w:highlight w:val="none"/>
                      <w:shd w:val="clear" w:color="auto" w:fill="auto"/>
                      <w:lang w:val="en-US" w:eastAsia="zh-CN"/>
                    </w:rPr>
                    <w:t>生产设施</w:t>
                  </w:r>
                </w:p>
              </w:tc>
              <w:tc>
                <w:tcPr>
                  <w:tcW w:w="913" w:type="pct"/>
                  <w:tcBorders>
                    <w:tl2br w:val="nil"/>
                    <w:tr2bl w:val="nil"/>
                  </w:tcBorders>
                  <w:vAlign w:val="center"/>
                </w:tcPr>
                <w:p w14:paraId="09A1B7AE">
                  <w:pPr>
                    <w:jc w:val="center"/>
                    <w:rPr>
                      <w:rFonts w:hint="default" w:ascii="Times New Roman" w:hAnsi="Times New Roman" w:eastAsia="宋体" w:cs="Times New Roman"/>
                      <w:b/>
                      <w:color w:val="auto"/>
                      <w:szCs w:val="21"/>
                      <w:highlight w:val="none"/>
                      <w:shd w:val="clear" w:color="auto" w:fill="auto"/>
                      <w:lang w:val="en-US"/>
                    </w:rPr>
                  </w:pPr>
                  <w:r>
                    <w:rPr>
                      <w:rFonts w:hint="default" w:ascii="Times New Roman" w:hAnsi="Times New Roman" w:eastAsia="宋体" w:cs="Times New Roman"/>
                      <w:b/>
                      <w:color w:val="auto"/>
                      <w:szCs w:val="21"/>
                      <w:highlight w:val="none"/>
                      <w:shd w:val="clear" w:color="auto" w:fill="auto"/>
                      <w:lang w:val="en-US"/>
                    </w:rPr>
                    <w:t>污染物名称</w:t>
                  </w:r>
                </w:p>
              </w:tc>
              <w:tc>
                <w:tcPr>
                  <w:tcW w:w="1486" w:type="pct"/>
                  <w:tcBorders>
                    <w:tl2br w:val="nil"/>
                    <w:tr2bl w:val="nil"/>
                  </w:tcBorders>
                  <w:shd w:val="clear" w:color="auto" w:fill="auto"/>
                  <w:vAlign w:val="center"/>
                </w:tcPr>
                <w:p w14:paraId="23A152FD">
                  <w:pPr>
                    <w:jc w:val="center"/>
                    <w:rPr>
                      <w:rFonts w:hint="default" w:ascii="Times New Roman" w:hAnsi="Times New Roman" w:eastAsia="宋体" w:cs="Times New Roman"/>
                      <w:b/>
                      <w:color w:val="auto"/>
                      <w:szCs w:val="21"/>
                      <w:highlight w:val="none"/>
                      <w:shd w:val="clear" w:color="auto" w:fill="auto"/>
                      <w:lang w:val="en-US"/>
                    </w:rPr>
                  </w:pPr>
                  <w:r>
                    <w:rPr>
                      <w:rFonts w:hint="default" w:ascii="Times New Roman" w:hAnsi="Times New Roman" w:eastAsia="宋体" w:cs="Times New Roman"/>
                      <w:b/>
                      <w:color w:val="auto"/>
                      <w:szCs w:val="21"/>
                      <w:highlight w:val="none"/>
                      <w:shd w:val="clear" w:color="auto" w:fill="auto"/>
                      <w:lang w:val="en-US"/>
                    </w:rPr>
                    <w:t>处置措施</w:t>
                  </w:r>
                </w:p>
              </w:tc>
            </w:tr>
            <w:tr w14:paraId="64BB7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restart"/>
                  <w:tcBorders>
                    <w:tl2br w:val="nil"/>
                    <w:tr2bl w:val="nil"/>
                  </w:tcBorders>
                  <w:vAlign w:val="center"/>
                </w:tcPr>
                <w:p w14:paraId="292FBC64">
                  <w:pPr>
                    <w:jc w:val="center"/>
                    <w:rPr>
                      <w:rFonts w:hint="default" w:ascii="Times New Roman" w:hAnsi="Times New Roman" w:eastAsia="宋体" w:cs="Times New Roman"/>
                      <w:color w:val="auto"/>
                      <w:szCs w:val="21"/>
                      <w:highlight w:val="none"/>
                      <w:shd w:val="clear" w:color="auto" w:fill="auto"/>
                      <w:lang w:val="en-US"/>
                    </w:rPr>
                  </w:pPr>
                  <w:r>
                    <w:rPr>
                      <w:rFonts w:hint="default" w:ascii="Times New Roman" w:hAnsi="Times New Roman" w:eastAsia="宋体" w:cs="Times New Roman"/>
                      <w:color w:val="auto"/>
                      <w:szCs w:val="21"/>
                      <w:highlight w:val="none"/>
                      <w:shd w:val="clear" w:color="auto" w:fill="auto"/>
                      <w:lang w:val="en-US"/>
                    </w:rPr>
                    <w:t>废气</w:t>
                  </w:r>
                </w:p>
              </w:tc>
              <w:tc>
                <w:tcPr>
                  <w:tcW w:w="553" w:type="pct"/>
                  <w:tcBorders>
                    <w:tl2br w:val="nil"/>
                    <w:tr2bl w:val="nil"/>
                  </w:tcBorders>
                  <w:shd w:val="clear" w:color="auto" w:fill="auto"/>
                  <w:vAlign w:val="center"/>
                </w:tcPr>
                <w:p w14:paraId="04BEBD92">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G</w:t>
                  </w:r>
                  <w:r>
                    <w:rPr>
                      <w:rFonts w:hint="eastAsia" w:ascii="Times New Roman" w:hAnsi="Times New Roman" w:eastAsia="宋体" w:cs="Times New Roman"/>
                      <w:color w:val="auto"/>
                      <w:szCs w:val="21"/>
                      <w:highlight w:val="none"/>
                      <w:shd w:val="clear" w:color="auto" w:fill="auto"/>
                      <w:lang w:val="en-US" w:eastAsia="zh-CN"/>
                    </w:rPr>
                    <w:t>2</w:t>
                  </w:r>
                </w:p>
              </w:tc>
              <w:tc>
                <w:tcPr>
                  <w:tcW w:w="826" w:type="pct"/>
                  <w:tcBorders>
                    <w:tl2br w:val="nil"/>
                    <w:tr2bl w:val="nil"/>
                  </w:tcBorders>
                  <w:shd w:val="clear" w:color="auto" w:fill="auto"/>
                  <w:vAlign w:val="center"/>
                </w:tcPr>
                <w:p w14:paraId="77636978">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破碎</w:t>
                  </w:r>
                </w:p>
              </w:tc>
              <w:tc>
                <w:tcPr>
                  <w:tcW w:w="762" w:type="pct"/>
                  <w:tcBorders>
                    <w:tl2br w:val="nil"/>
                    <w:tr2bl w:val="nil"/>
                  </w:tcBorders>
                  <w:shd w:val="clear" w:color="auto" w:fill="auto"/>
                  <w:vAlign w:val="center"/>
                </w:tcPr>
                <w:p w14:paraId="74EDCD6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破碎机</w:t>
                  </w:r>
                </w:p>
              </w:tc>
              <w:tc>
                <w:tcPr>
                  <w:tcW w:w="913" w:type="pct"/>
                  <w:tcBorders>
                    <w:tl2br w:val="nil"/>
                    <w:tr2bl w:val="nil"/>
                  </w:tcBorders>
                  <w:shd w:val="clear" w:color="auto" w:fill="auto"/>
                  <w:vAlign w:val="center"/>
                </w:tcPr>
                <w:p w14:paraId="1107087C">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破碎粉尘</w:t>
                  </w:r>
                </w:p>
              </w:tc>
              <w:tc>
                <w:tcPr>
                  <w:tcW w:w="1486" w:type="pct"/>
                  <w:tcBorders>
                    <w:tl2br w:val="nil"/>
                    <w:tr2bl w:val="nil"/>
                  </w:tcBorders>
                  <w:shd w:val="clear" w:color="auto" w:fill="auto"/>
                  <w:vAlign w:val="center"/>
                </w:tcPr>
                <w:p w14:paraId="46B2C10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通过</w:t>
                  </w:r>
                  <w:r>
                    <w:rPr>
                      <w:rFonts w:hint="eastAsia" w:ascii="Times New Roman" w:hAnsi="Times New Roman" w:eastAsia="宋体" w:cs="Times New Roman"/>
                      <w:color w:val="auto"/>
                      <w:kern w:val="2"/>
                      <w:sz w:val="21"/>
                      <w:szCs w:val="21"/>
                      <w:highlight w:val="none"/>
                      <w:shd w:val="clear" w:color="auto" w:fill="auto"/>
                      <w:lang w:val="en-US" w:eastAsia="zh-CN" w:bidi="ar-SA"/>
                    </w:rPr>
                    <w:t>破碎机自带的布袋除尘器处理后无组织排放</w:t>
                  </w:r>
                </w:p>
              </w:tc>
            </w:tr>
            <w:tr w14:paraId="4F0FC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tcBorders>
                    <w:tl2br w:val="nil"/>
                    <w:tr2bl w:val="nil"/>
                  </w:tcBorders>
                  <w:vAlign w:val="center"/>
                </w:tcPr>
                <w:p w14:paraId="1AA34D78">
                  <w:pPr>
                    <w:jc w:val="center"/>
                    <w:rPr>
                      <w:rFonts w:hint="default" w:ascii="Times New Roman" w:hAnsi="Times New Roman" w:eastAsia="宋体" w:cs="Times New Roman"/>
                      <w:color w:val="auto"/>
                      <w:szCs w:val="21"/>
                      <w:highlight w:val="none"/>
                      <w:shd w:val="clear" w:color="auto" w:fill="auto"/>
                      <w:lang w:val="en-US"/>
                    </w:rPr>
                  </w:pPr>
                </w:p>
              </w:tc>
              <w:tc>
                <w:tcPr>
                  <w:tcW w:w="553" w:type="pct"/>
                  <w:tcBorders>
                    <w:tl2br w:val="nil"/>
                    <w:tr2bl w:val="nil"/>
                  </w:tcBorders>
                  <w:shd w:val="clear" w:color="auto" w:fill="auto"/>
                  <w:vAlign w:val="center"/>
                </w:tcPr>
                <w:p w14:paraId="0369989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G</w:t>
                  </w:r>
                  <w:r>
                    <w:rPr>
                      <w:rFonts w:hint="eastAsia" w:ascii="Times New Roman" w:hAnsi="Times New Roman" w:eastAsia="宋体" w:cs="Times New Roman"/>
                      <w:color w:val="auto"/>
                      <w:szCs w:val="21"/>
                      <w:highlight w:val="none"/>
                      <w:shd w:val="clear" w:color="auto" w:fill="auto"/>
                      <w:lang w:val="en-US" w:eastAsia="zh-CN"/>
                    </w:rPr>
                    <w:t>1</w:t>
                  </w:r>
                </w:p>
              </w:tc>
              <w:tc>
                <w:tcPr>
                  <w:tcW w:w="826" w:type="pct"/>
                  <w:tcBorders>
                    <w:tl2br w:val="nil"/>
                    <w:tr2bl w:val="nil"/>
                  </w:tcBorders>
                  <w:shd w:val="clear" w:color="auto" w:fill="auto"/>
                  <w:vAlign w:val="center"/>
                </w:tcPr>
                <w:p w14:paraId="5A7C79CD">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吹膜</w:t>
                  </w:r>
                </w:p>
              </w:tc>
              <w:tc>
                <w:tcPr>
                  <w:tcW w:w="762" w:type="pct"/>
                  <w:tcBorders>
                    <w:tl2br w:val="nil"/>
                    <w:tr2bl w:val="nil"/>
                  </w:tcBorders>
                  <w:shd w:val="clear" w:color="auto" w:fill="auto"/>
                  <w:vAlign w:val="center"/>
                </w:tcPr>
                <w:p w14:paraId="193A094D">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吹膜机</w:t>
                  </w:r>
                </w:p>
              </w:tc>
              <w:tc>
                <w:tcPr>
                  <w:tcW w:w="913" w:type="pct"/>
                  <w:tcBorders>
                    <w:tl2br w:val="nil"/>
                    <w:tr2bl w:val="nil"/>
                  </w:tcBorders>
                  <w:shd w:val="clear" w:color="auto" w:fill="auto"/>
                  <w:vAlign w:val="center"/>
                </w:tcPr>
                <w:p w14:paraId="298BD06D">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吹膜废气</w:t>
                  </w:r>
                </w:p>
              </w:tc>
              <w:tc>
                <w:tcPr>
                  <w:tcW w:w="1486" w:type="pct"/>
                  <w:vMerge w:val="restart"/>
                  <w:tcBorders>
                    <w:tl2br w:val="nil"/>
                    <w:tr2bl w:val="nil"/>
                  </w:tcBorders>
                  <w:shd w:val="clear" w:color="auto" w:fill="auto"/>
                  <w:vAlign w:val="center"/>
                </w:tcPr>
                <w:p w14:paraId="1627CA92">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通过一套</w:t>
                  </w:r>
                  <w:r>
                    <w:rPr>
                      <w:rFonts w:hint="eastAsia" w:ascii="Times New Roman" w:hAnsi="Times New Roman" w:eastAsia="宋体" w:cs="Times New Roman"/>
                      <w:color w:val="auto"/>
                      <w:kern w:val="2"/>
                      <w:sz w:val="21"/>
                      <w:szCs w:val="21"/>
                      <w:highlight w:val="none"/>
                      <w:shd w:val="clear" w:color="auto" w:fill="auto"/>
                      <w:lang w:val="en-US" w:eastAsia="zh-CN" w:bidi="ar-SA"/>
                    </w:rPr>
                    <w:t>2#</w:t>
                  </w:r>
                  <w:r>
                    <w:rPr>
                      <w:rFonts w:hint="default" w:ascii="Times New Roman" w:hAnsi="Times New Roman" w:eastAsia="宋体" w:cs="Times New Roman"/>
                      <w:color w:val="auto"/>
                      <w:kern w:val="2"/>
                      <w:sz w:val="21"/>
                      <w:szCs w:val="21"/>
                      <w:highlight w:val="none"/>
                      <w:shd w:val="clear" w:color="auto" w:fill="auto"/>
                      <w:lang w:val="en-US" w:eastAsia="zh-CN" w:bidi="ar-SA"/>
                    </w:rPr>
                    <w:t>二级活性炭吸附装置处理后通过1根18m高的排气筒</w:t>
                  </w:r>
                  <w:r>
                    <w:rPr>
                      <w:rFonts w:hint="eastAsia" w:ascii="Times New Roman" w:hAnsi="Times New Roman" w:eastAsia="宋体" w:cs="Times New Roman"/>
                      <w:color w:val="auto"/>
                      <w:kern w:val="2"/>
                      <w:sz w:val="21"/>
                      <w:szCs w:val="21"/>
                      <w:highlight w:val="none"/>
                      <w:shd w:val="clear" w:color="auto" w:fill="auto"/>
                      <w:lang w:val="en-US" w:eastAsia="zh-CN" w:bidi="ar-SA"/>
                    </w:rPr>
                    <w:t>2#</w:t>
                  </w:r>
                  <w:r>
                    <w:rPr>
                      <w:rFonts w:hint="default" w:ascii="Times New Roman" w:hAnsi="Times New Roman" w:eastAsia="宋体" w:cs="Times New Roman"/>
                      <w:color w:val="auto"/>
                      <w:kern w:val="2"/>
                      <w:sz w:val="21"/>
                      <w:szCs w:val="21"/>
                      <w:highlight w:val="none"/>
                      <w:shd w:val="clear" w:color="auto" w:fill="auto"/>
                      <w:lang w:val="en-US" w:eastAsia="zh-CN" w:bidi="ar-SA"/>
                    </w:rPr>
                    <w:t>排放</w:t>
                  </w:r>
                </w:p>
              </w:tc>
            </w:tr>
            <w:tr w14:paraId="7F27D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vMerge w:val="continue"/>
                  <w:tcBorders>
                    <w:tl2br w:val="nil"/>
                    <w:tr2bl w:val="nil"/>
                  </w:tcBorders>
                  <w:vAlign w:val="center"/>
                </w:tcPr>
                <w:p w14:paraId="4287AECA">
                  <w:pPr>
                    <w:jc w:val="center"/>
                    <w:rPr>
                      <w:rFonts w:hint="default" w:ascii="Times New Roman" w:hAnsi="Times New Roman" w:eastAsia="宋体" w:cs="Times New Roman"/>
                      <w:color w:val="auto"/>
                      <w:szCs w:val="21"/>
                      <w:highlight w:val="none"/>
                      <w:shd w:val="clear" w:color="auto" w:fill="auto"/>
                      <w:lang w:val="en-US"/>
                    </w:rPr>
                  </w:pPr>
                </w:p>
              </w:tc>
              <w:tc>
                <w:tcPr>
                  <w:tcW w:w="553" w:type="pct"/>
                  <w:tcBorders>
                    <w:tl2br w:val="nil"/>
                    <w:tr2bl w:val="nil"/>
                  </w:tcBorders>
                  <w:shd w:val="clear" w:color="auto" w:fill="auto"/>
                  <w:vAlign w:val="center"/>
                </w:tcPr>
                <w:p w14:paraId="23C092BB">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G7</w:t>
                  </w:r>
                </w:p>
              </w:tc>
              <w:tc>
                <w:tcPr>
                  <w:tcW w:w="826" w:type="pct"/>
                  <w:tcBorders>
                    <w:tl2br w:val="nil"/>
                    <w:tr2bl w:val="nil"/>
                  </w:tcBorders>
                  <w:shd w:val="clear" w:color="auto" w:fill="auto"/>
                  <w:vAlign w:val="center"/>
                </w:tcPr>
                <w:p w14:paraId="1E48461D">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制袋</w:t>
                  </w:r>
                </w:p>
              </w:tc>
              <w:tc>
                <w:tcPr>
                  <w:tcW w:w="762" w:type="pct"/>
                  <w:tcBorders>
                    <w:tl2br w:val="nil"/>
                    <w:tr2bl w:val="nil"/>
                  </w:tcBorders>
                  <w:shd w:val="clear" w:color="auto" w:fill="auto"/>
                  <w:vAlign w:val="center"/>
                </w:tcPr>
                <w:p w14:paraId="341A4967">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制袋机</w:t>
                  </w:r>
                </w:p>
              </w:tc>
              <w:tc>
                <w:tcPr>
                  <w:tcW w:w="913" w:type="pct"/>
                  <w:tcBorders>
                    <w:tl2br w:val="nil"/>
                    <w:tr2bl w:val="nil"/>
                  </w:tcBorders>
                  <w:shd w:val="clear" w:color="auto" w:fill="auto"/>
                  <w:vAlign w:val="center"/>
                </w:tcPr>
                <w:p w14:paraId="2DB63A72">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制袋废气</w:t>
                  </w:r>
                </w:p>
              </w:tc>
              <w:tc>
                <w:tcPr>
                  <w:tcW w:w="1486" w:type="pct"/>
                  <w:vMerge w:val="continue"/>
                  <w:tcBorders>
                    <w:tl2br w:val="nil"/>
                    <w:tr2bl w:val="nil"/>
                  </w:tcBorders>
                  <w:shd w:val="clear" w:color="auto" w:fill="auto"/>
                  <w:vAlign w:val="center"/>
                </w:tcPr>
                <w:p w14:paraId="1CB9D195">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2D8BE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57" w:type="pct"/>
                  <w:vMerge w:val="continue"/>
                  <w:tcBorders>
                    <w:tl2br w:val="nil"/>
                    <w:tr2bl w:val="nil"/>
                  </w:tcBorders>
                  <w:vAlign w:val="center"/>
                </w:tcPr>
                <w:p w14:paraId="3FB9AC37">
                  <w:pPr>
                    <w:jc w:val="center"/>
                    <w:rPr>
                      <w:rFonts w:hint="default" w:ascii="Times New Roman" w:hAnsi="Times New Roman" w:eastAsia="宋体" w:cs="Times New Roman"/>
                      <w:color w:val="auto"/>
                      <w:szCs w:val="21"/>
                      <w:highlight w:val="none"/>
                      <w:shd w:val="clear" w:color="auto" w:fill="auto"/>
                      <w:lang w:val="en-US"/>
                    </w:rPr>
                  </w:pPr>
                </w:p>
              </w:tc>
              <w:tc>
                <w:tcPr>
                  <w:tcW w:w="553" w:type="pct"/>
                  <w:tcBorders>
                    <w:tl2br w:val="nil"/>
                    <w:tr2bl w:val="nil"/>
                  </w:tcBorders>
                  <w:shd w:val="clear" w:color="auto" w:fill="auto"/>
                  <w:vAlign w:val="center"/>
                </w:tcPr>
                <w:p w14:paraId="0913AAC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rPr>
                    <w:t>G</w:t>
                  </w:r>
                  <w:r>
                    <w:rPr>
                      <w:rFonts w:hint="eastAsia" w:ascii="Times New Roman" w:hAnsi="Times New Roman" w:eastAsia="宋体" w:cs="Times New Roman"/>
                      <w:color w:val="auto"/>
                      <w:szCs w:val="21"/>
                      <w:highlight w:val="none"/>
                      <w:shd w:val="clear" w:color="auto" w:fill="auto"/>
                      <w:lang w:val="en-US" w:eastAsia="zh-CN"/>
                    </w:rPr>
                    <w:t>3</w:t>
                  </w:r>
                </w:p>
              </w:tc>
              <w:tc>
                <w:tcPr>
                  <w:tcW w:w="826" w:type="pct"/>
                  <w:tcBorders>
                    <w:tl2br w:val="nil"/>
                    <w:tr2bl w:val="nil"/>
                  </w:tcBorders>
                  <w:shd w:val="clear" w:color="auto" w:fill="auto"/>
                  <w:vAlign w:val="center"/>
                </w:tcPr>
                <w:p w14:paraId="64C8A6A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调墨</w:t>
                  </w:r>
                </w:p>
              </w:tc>
              <w:tc>
                <w:tcPr>
                  <w:tcW w:w="762" w:type="pct"/>
                  <w:tcBorders>
                    <w:tl2br w:val="nil"/>
                    <w:tr2bl w:val="nil"/>
                  </w:tcBorders>
                  <w:shd w:val="clear" w:color="auto" w:fill="auto"/>
                  <w:vAlign w:val="center"/>
                </w:tcPr>
                <w:p w14:paraId="4EAF3911">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印刷机</w:t>
                  </w:r>
                </w:p>
              </w:tc>
              <w:tc>
                <w:tcPr>
                  <w:tcW w:w="913" w:type="pct"/>
                  <w:tcBorders>
                    <w:tl2br w:val="nil"/>
                    <w:tr2bl w:val="nil"/>
                  </w:tcBorders>
                  <w:shd w:val="clear" w:color="auto" w:fill="auto"/>
                  <w:vAlign w:val="center"/>
                </w:tcPr>
                <w:p w14:paraId="7E520A56">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调墨废气</w:t>
                  </w:r>
                </w:p>
              </w:tc>
              <w:tc>
                <w:tcPr>
                  <w:tcW w:w="1486" w:type="pct"/>
                  <w:vMerge w:val="restart"/>
                  <w:tcBorders>
                    <w:tl2br w:val="nil"/>
                    <w:tr2bl w:val="nil"/>
                  </w:tcBorders>
                  <w:shd w:val="clear" w:color="auto" w:fill="auto"/>
                  <w:vAlign w:val="center"/>
                </w:tcPr>
                <w:p w14:paraId="7C2BB327">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通过一套</w:t>
                  </w:r>
                  <w:r>
                    <w:rPr>
                      <w:rFonts w:hint="eastAsia" w:ascii="Times New Roman" w:hAnsi="Times New Roman" w:eastAsia="宋体" w:cs="Times New Roman"/>
                      <w:color w:val="auto"/>
                      <w:kern w:val="2"/>
                      <w:sz w:val="21"/>
                      <w:szCs w:val="21"/>
                      <w:highlight w:val="none"/>
                      <w:shd w:val="clear" w:color="auto" w:fill="auto"/>
                      <w:lang w:val="en-US" w:eastAsia="zh-CN" w:bidi="ar-SA"/>
                    </w:rPr>
                    <w:t>1#</w:t>
                  </w:r>
                  <w:r>
                    <w:rPr>
                      <w:rFonts w:hint="default" w:ascii="Times New Roman" w:hAnsi="Times New Roman" w:eastAsia="宋体" w:cs="Times New Roman"/>
                      <w:color w:val="auto"/>
                      <w:kern w:val="2"/>
                      <w:sz w:val="21"/>
                      <w:szCs w:val="21"/>
                      <w:highlight w:val="none"/>
                      <w:shd w:val="clear" w:color="auto" w:fill="auto"/>
                      <w:lang w:val="en-US" w:eastAsia="zh-CN" w:bidi="ar-SA"/>
                    </w:rPr>
                    <w:t>二级活性炭吸附装置处理后通过1根18m高的排气筒</w:t>
                  </w:r>
                  <w:r>
                    <w:rPr>
                      <w:rFonts w:hint="eastAsia" w:ascii="Times New Roman" w:hAnsi="Times New Roman" w:eastAsia="宋体" w:cs="Times New Roman"/>
                      <w:color w:val="auto"/>
                      <w:kern w:val="2"/>
                      <w:sz w:val="21"/>
                      <w:szCs w:val="21"/>
                      <w:highlight w:val="none"/>
                      <w:shd w:val="clear" w:color="auto" w:fill="auto"/>
                      <w:lang w:val="en-US" w:eastAsia="zh-CN" w:bidi="ar-SA"/>
                    </w:rPr>
                    <w:t>1#</w:t>
                  </w:r>
                  <w:r>
                    <w:rPr>
                      <w:rFonts w:hint="default" w:ascii="Times New Roman" w:hAnsi="Times New Roman" w:eastAsia="宋体" w:cs="Times New Roman"/>
                      <w:color w:val="auto"/>
                      <w:kern w:val="2"/>
                      <w:sz w:val="21"/>
                      <w:szCs w:val="21"/>
                      <w:highlight w:val="none"/>
                      <w:shd w:val="clear" w:color="auto" w:fill="auto"/>
                      <w:lang w:val="en-US" w:eastAsia="zh-CN" w:bidi="ar-SA"/>
                    </w:rPr>
                    <w:t>排放</w:t>
                  </w:r>
                </w:p>
              </w:tc>
            </w:tr>
            <w:tr w14:paraId="7323F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6C0239E6">
                  <w:pPr>
                    <w:jc w:val="center"/>
                    <w:rPr>
                      <w:rFonts w:hint="default" w:ascii="Times New Roman" w:hAnsi="Times New Roman" w:eastAsia="宋体" w:cs="Times New Roman"/>
                      <w:color w:val="auto"/>
                      <w:szCs w:val="21"/>
                      <w:highlight w:val="none"/>
                      <w:shd w:val="clear" w:color="auto" w:fill="auto"/>
                      <w:lang w:val="en-US"/>
                    </w:rPr>
                  </w:pPr>
                </w:p>
              </w:tc>
              <w:tc>
                <w:tcPr>
                  <w:tcW w:w="553" w:type="pct"/>
                  <w:tcBorders>
                    <w:tl2br w:val="nil"/>
                    <w:tr2bl w:val="nil"/>
                  </w:tcBorders>
                  <w:shd w:val="clear" w:color="auto" w:fill="auto"/>
                  <w:vAlign w:val="center"/>
                </w:tcPr>
                <w:p w14:paraId="4604445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G</w:t>
                  </w:r>
                  <w:r>
                    <w:rPr>
                      <w:rFonts w:hint="eastAsia" w:ascii="Times New Roman" w:hAnsi="Times New Roman" w:eastAsia="宋体" w:cs="Times New Roman"/>
                      <w:color w:val="auto"/>
                      <w:szCs w:val="21"/>
                      <w:highlight w:val="none"/>
                      <w:shd w:val="clear" w:color="auto" w:fill="auto"/>
                      <w:lang w:val="en-US" w:eastAsia="zh-CN"/>
                    </w:rPr>
                    <w:t>4</w:t>
                  </w:r>
                </w:p>
              </w:tc>
              <w:tc>
                <w:tcPr>
                  <w:tcW w:w="826" w:type="pct"/>
                  <w:tcBorders>
                    <w:tl2br w:val="nil"/>
                    <w:tr2bl w:val="nil"/>
                  </w:tcBorders>
                  <w:shd w:val="clear" w:color="auto" w:fill="auto"/>
                  <w:vAlign w:val="center"/>
                </w:tcPr>
                <w:p w14:paraId="488B545E">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印刷</w:t>
                  </w:r>
                </w:p>
              </w:tc>
              <w:tc>
                <w:tcPr>
                  <w:tcW w:w="762" w:type="pct"/>
                  <w:tcBorders>
                    <w:tl2br w:val="nil"/>
                    <w:tr2bl w:val="nil"/>
                  </w:tcBorders>
                  <w:shd w:val="clear" w:color="auto" w:fill="auto"/>
                  <w:vAlign w:val="center"/>
                </w:tcPr>
                <w:p w14:paraId="4CB81A4F">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印刷机</w:t>
                  </w:r>
                </w:p>
              </w:tc>
              <w:tc>
                <w:tcPr>
                  <w:tcW w:w="913" w:type="pct"/>
                  <w:tcBorders>
                    <w:tl2br w:val="nil"/>
                    <w:tr2bl w:val="nil"/>
                  </w:tcBorders>
                  <w:shd w:val="clear" w:color="auto" w:fill="auto"/>
                  <w:vAlign w:val="center"/>
                </w:tcPr>
                <w:p w14:paraId="71182F5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印刷废气</w:t>
                  </w:r>
                </w:p>
              </w:tc>
              <w:tc>
                <w:tcPr>
                  <w:tcW w:w="1486" w:type="pct"/>
                  <w:vMerge w:val="continue"/>
                  <w:tcBorders>
                    <w:tl2br w:val="nil"/>
                    <w:tr2bl w:val="nil"/>
                  </w:tcBorders>
                  <w:shd w:val="clear" w:color="auto" w:fill="auto"/>
                  <w:vAlign w:val="center"/>
                </w:tcPr>
                <w:p w14:paraId="4184ADB2">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1B444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1A69576F">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shd w:val="clear" w:color="auto" w:fill="auto"/>
                  <w:vAlign w:val="center"/>
                </w:tcPr>
                <w:p w14:paraId="3B65FBB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G5</w:t>
                  </w:r>
                </w:p>
              </w:tc>
              <w:tc>
                <w:tcPr>
                  <w:tcW w:w="826" w:type="pct"/>
                  <w:tcBorders>
                    <w:tl2br w:val="nil"/>
                    <w:tr2bl w:val="nil"/>
                  </w:tcBorders>
                  <w:shd w:val="clear" w:color="auto" w:fill="auto"/>
                  <w:vAlign w:val="center"/>
                </w:tcPr>
                <w:p w14:paraId="2C3ABBC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复合</w:t>
                  </w:r>
                </w:p>
              </w:tc>
              <w:tc>
                <w:tcPr>
                  <w:tcW w:w="762" w:type="pct"/>
                  <w:tcBorders>
                    <w:tl2br w:val="nil"/>
                    <w:tr2bl w:val="nil"/>
                  </w:tcBorders>
                  <w:shd w:val="clear" w:color="auto" w:fill="auto"/>
                  <w:vAlign w:val="center"/>
                </w:tcPr>
                <w:p w14:paraId="7F53CE0B">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复合机</w:t>
                  </w:r>
                </w:p>
              </w:tc>
              <w:tc>
                <w:tcPr>
                  <w:tcW w:w="913" w:type="pct"/>
                  <w:tcBorders>
                    <w:tl2br w:val="nil"/>
                    <w:tr2bl w:val="nil"/>
                  </w:tcBorders>
                  <w:shd w:val="clear" w:color="auto" w:fill="auto"/>
                  <w:vAlign w:val="center"/>
                </w:tcPr>
                <w:p w14:paraId="423B1A5C">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复合废气</w:t>
                  </w:r>
                </w:p>
              </w:tc>
              <w:tc>
                <w:tcPr>
                  <w:tcW w:w="1486" w:type="pct"/>
                  <w:vMerge w:val="continue"/>
                  <w:tcBorders>
                    <w:tl2br w:val="nil"/>
                    <w:tr2bl w:val="nil"/>
                  </w:tcBorders>
                  <w:shd w:val="clear" w:color="auto" w:fill="auto"/>
                  <w:vAlign w:val="center"/>
                </w:tcPr>
                <w:p w14:paraId="749C8A88">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41D88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2C067A9A">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shd w:val="clear" w:color="auto" w:fill="auto"/>
                  <w:vAlign w:val="center"/>
                </w:tcPr>
                <w:p w14:paraId="4440C3AC">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G6</w:t>
                  </w:r>
                </w:p>
              </w:tc>
              <w:tc>
                <w:tcPr>
                  <w:tcW w:w="826" w:type="pct"/>
                  <w:tcBorders>
                    <w:tl2br w:val="nil"/>
                    <w:tr2bl w:val="nil"/>
                  </w:tcBorders>
                  <w:shd w:val="clear" w:color="auto" w:fill="auto"/>
                  <w:vAlign w:val="center"/>
                </w:tcPr>
                <w:p w14:paraId="359A3268">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熟化</w:t>
                  </w:r>
                </w:p>
              </w:tc>
              <w:tc>
                <w:tcPr>
                  <w:tcW w:w="762" w:type="pct"/>
                  <w:tcBorders>
                    <w:tl2br w:val="nil"/>
                    <w:tr2bl w:val="nil"/>
                  </w:tcBorders>
                  <w:shd w:val="clear" w:color="auto" w:fill="auto"/>
                  <w:vAlign w:val="center"/>
                </w:tcPr>
                <w:p w14:paraId="23A2EF72">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熟化箱</w:t>
                  </w:r>
                </w:p>
              </w:tc>
              <w:tc>
                <w:tcPr>
                  <w:tcW w:w="913" w:type="pct"/>
                  <w:tcBorders>
                    <w:tl2br w:val="nil"/>
                    <w:tr2bl w:val="nil"/>
                  </w:tcBorders>
                  <w:shd w:val="clear" w:color="auto" w:fill="auto"/>
                  <w:vAlign w:val="center"/>
                </w:tcPr>
                <w:p w14:paraId="0B1A92D3">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kern w:val="2"/>
                      <w:sz w:val="21"/>
                      <w:szCs w:val="21"/>
                      <w:highlight w:val="none"/>
                      <w:shd w:val="clear" w:color="auto" w:fill="auto"/>
                      <w:lang w:val="en-US" w:eastAsia="zh-CN" w:bidi="ar-SA"/>
                    </w:rPr>
                    <w:t>熟化废气</w:t>
                  </w:r>
                </w:p>
              </w:tc>
              <w:tc>
                <w:tcPr>
                  <w:tcW w:w="1486" w:type="pct"/>
                  <w:vMerge w:val="continue"/>
                  <w:tcBorders>
                    <w:tl2br w:val="nil"/>
                    <w:tr2bl w:val="nil"/>
                  </w:tcBorders>
                  <w:shd w:val="clear" w:color="auto" w:fill="auto"/>
                  <w:vAlign w:val="center"/>
                </w:tcPr>
                <w:p w14:paraId="05FF493F">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4567B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2D1583F3">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shd w:val="clear" w:color="auto" w:fill="auto"/>
                  <w:vAlign w:val="center"/>
                </w:tcPr>
                <w:p w14:paraId="7E174CBC">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G7</w:t>
                  </w:r>
                </w:p>
              </w:tc>
              <w:tc>
                <w:tcPr>
                  <w:tcW w:w="826" w:type="pct"/>
                  <w:tcBorders>
                    <w:tl2br w:val="nil"/>
                    <w:tr2bl w:val="nil"/>
                  </w:tcBorders>
                  <w:shd w:val="clear" w:color="auto" w:fill="auto"/>
                  <w:vAlign w:val="center"/>
                </w:tcPr>
                <w:p w14:paraId="7EDBBD39">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制袋</w:t>
                  </w:r>
                </w:p>
              </w:tc>
              <w:tc>
                <w:tcPr>
                  <w:tcW w:w="762" w:type="pct"/>
                  <w:tcBorders>
                    <w:tl2br w:val="nil"/>
                    <w:tr2bl w:val="nil"/>
                  </w:tcBorders>
                  <w:shd w:val="clear" w:color="auto" w:fill="auto"/>
                  <w:vAlign w:val="center"/>
                </w:tcPr>
                <w:p w14:paraId="2159687B">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制袋机</w:t>
                  </w:r>
                </w:p>
              </w:tc>
              <w:tc>
                <w:tcPr>
                  <w:tcW w:w="913" w:type="pct"/>
                  <w:tcBorders>
                    <w:tl2br w:val="nil"/>
                    <w:tr2bl w:val="nil"/>
                  </w:tcBorders>
                  <w:shd w:val="clear" w:color="auto" w:fill="auto"/>
                  <w:vAlign w:val="center"/>
                </w:tcPr>
                <w:p w14:paraId="51509739">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制袋废气</w:t>
                  </w:r>
                </w:p>
              </w:tc>
              <w:tc>
                <w:tcPr>
                  <w:tcW w:w="1486" w:type="pct"/>
                  <w:vMerge w:val="continue"/>
                  <w:tcBorders>
                    <w:tl2br w:val="nil"/>
                    <w:tr2bl w:val="nil"/>
                  </w:tcBorders>
                  <w:shd w:val="clear" w:color="auto" w:fill="auto"/>
                  <w:vAlign w:val="center"/>
                </w:tcPr>
                <w:p w14:paraId="25F2336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4C975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6B6D4F63">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shd w:val="clear" w:color="auto" w:fill="auto"/>
                  <w:vAlign w:val="center"/>
                </w:tcPr>
                <w:p w14:paraId="6D2972A1">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G8</w:t>
                  </w:r>
                </w:p>
              </w:tc>
              <w:tc>
                <w:tcPr>
                  <w:tcW w:w="826" w:type="pct"/>
                  <w:tcBorders>
                    <w:tl2br w:val="nil"/>
                    <w:tr2bl w:val="nil"/>
                  </w:tcBorders>
                  <w:shd w:val="clear" w:color="auto" w:fill="auto"/>
                  <w:vAlign w:val="center"/>
                </w:tcPr>
                <w:p w14:paraId="17B9CC1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清洗</w:t>
                  </w:r>
                </w:p>
              </w:tc>
              <w:tc>
                <w:tcPr>
                  <w:tcW w:w="762" w:type="pct"/>
                  <w:tcBorders>
                    <w:tl2br w:val="nil"/>
                    <w:tr2bl w:val="nil"/>
                  </w:tcBorders>
                  <w:shd w:val="clear" w:color="auto" w:fill="auto"/>
                  <w:vAlign w:val="center"/>
                </w:tcPr>
                <w:p w14:paraId="2EE2DF7F">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印刷机、复合机</w:t>
                  </w:r>
                </w:p>
              </w:tc>
              <w:tc>
                <w:tcPr>
                  <w:tcW w:w="913" w:type="pct"/>
                  <w:tcBorders>
                    <w:tl2br w:val="nil"/>
                    <w:tr2bl w:val="nil"/>
                  </w:tcBorders>
                  <w:shd w:val="clear" w:color="auto" w:fill="auto"/>
                  <w:vAlign w:val="center"/>
                </w:tcPr>
                <w:p w14:paraId="60C5BEA5">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清洗废气</w:t>
                  </w:r>
                </w:p>
              </w:tc>
              <w:tc>
                <w:tcPr>
                  <w:tcW w:w="1486" w:type="pct"/>
                  <w:vMerge w:val="continue"/>
                  <w:tcBorders>
                    <w:tl2br w:val="nil"/>
                    <w:tr2bl w:val="nil"/>
                  </w:tcBorders>
                  <w:shd w:val="clear" w:color="auto" w:fill="auto"/>
                  <w:vAlign w:val="center"/>
                </w:tcPr>
                <w:p w14:paraId="391457D2">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40398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tcBorders>
                    <w:tl2br w:val="nil"/>
                    <w:tr2bl w:val="nil"/>
                  </w:tcBorders>
                  <w:vAlign w:val="center"/>
                </w:tcPr>
                <w:p w14:paraId="455F64E5">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废水</w:t>
                  </w:r>
                </w:p>
              </w:tc>
              <w:tc>
                <w:tcPr>
                  <w:tcW w:w="553" w:type="pct"/>
                  <w:tcBorders>
                    <w:tl2br w:val="nil"/>
                    <w:tr2bl w:val="nil"/>
                  </w:tcBorders>
                  <w:vAlign w:val="center"/>
                </w:tcPr>
                <w:p w14:paraId="5BA3564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W1</w:t>
                  </w:r>
                </w:p>
              </w:tc>
              <w:tc>
                <w:tcPr>
                  <w:tcW w:w="826" w:type="pct"/>
                  <w:tcBorders>
                    <w:tl2br w:val="nil"/>
                    <w:tr2bl w:val="nil"/>
                  </w:tcBorders>
                  <w:shd w:val="clear" w:color="auto" w:fill="auto"/>
                  <w:vAlign w:val="center"/>
                </w:tcPr>
                <w:p w14:paraId="0C4B94B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员工生活</w:t>
                  </w:r>
                </w:p>
              </w:tc>
              <w:tc>
                <w:tcPr>
                  <w:tcW w:w="762" w:type="pct"/>
                  <w:tcBorders>
                    <w:tl2br w:val="nil"/>
                    <w:tr2bl w:val="nil"/>
                  </w:tcBorders>
                  <w:shd w:val="clear" w:color="auto" w:fill="auto"/>
                  <w:vAlign w:val="center"/>
                </w:tcPr>
                <w:p w14:paraId="519D50F7">
                  <w:pPr>
                    <w:jc w:val="center"/>
                    <w:rPr>
                      <w:rFonts w:hint="default" w:ascii="Times New Roman" w:hAnsi="Times New Roman" w:eastAsia="宋体" w:cs="Times New Roman"/>
                      <w:color w:val="auto"/>
                      <w:szCs w:val="21"/>
                      <w:highlight w:val="none"/>
                      <w:shd w:val="clear" w:color="auto" w:fill="auto"/>
                    </w:rPr>
                  </w:pPr>
                  <w:r>
                    <w:rPr>
                      <w:rFonts w:hint="eastAsia" w:ascii="Times New Roman" w:hAnsi="Times New Roman" w:eastAsia="宋体" w:cs="Times New Roman"/>
                      <w:color w:val="auto"/>
                      <w:szCs w:val="21"/>
                      <w:highlight w:val="none"/>
                      <w:shd w:val="clear" w:color="auto" w:fill="auto"/>
                      <w:lang w:val="en-US" w:eastAsia="zh-CN"/>
                    </w:rPr>
                    <w:t>/</w:t>
                  </w:r>
                </w:p>
              </w:tc>
              <w:tc>
                <w:tcPr>
                  <w:tcW w:w="913" w:type="pct"/>
                  <w:tcBorders>
                    <w:tl2br w:val="nil"/>
                    <w:tr2bl w:val="nil"/>
                  </w:tcBorders>
                  <w:shd w:val="clear" w:color="auto" w:fill="auto"/>
                  <w:vAlign w:val="center"/>
                </w:tcPr>
                <w:p w14:paraId="46E48CE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生活污水</w:t>
                  </w:r>
                </w:p>
              </w:tc>
              <w:tc>
                <w:tcPr>
                  <w:tcW w:w="1486" w:type="pct"/>
                  <w:tcBorders>
                    <w:tl2br w:val="nil"/>
                    <w:tr2bl w:val="nil"/>
                  </w:tcBorders>
                  <w:shd w:val="clear" w:color="auto" w:fill="auto"/>
                  <w:vAlign w:val="center"/>
                </w:tcPr>
                <w:p w14:paraId="50ADA08B">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接管至常州市金坛区第二污水处理厂集中处理</w:t>
                  </w:r>
                </w:p>
              </w:tc>
            </w:tr>
            <w:tr w14:paraId="62266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restart"/>
                  <w:tcBorders>
                    <w:tl2br w:val="nil"/>
                    <w:tr2bl w:val="nil"/>
                  </w:tcBorders>
                  <w:vAlign w:val="center"/>
                </w:tcPr>
                <w:p w14:paraId="35B23036">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固废</w:t>
                  </w:r>
                </w:p>
              </w:tc>
              <w:tc>
                <w:tcPr>
                  <w:tcW w:w="553" w:type="pct"/>
                  <w:tcBorders>
                    <w:tl2br w:val="nil"/>
                    <w:tr2bl w:val="nil"/>
                  </w:tcBorders>
                  <w:vAlign w:val="center"/>
                </w:tcPr>
                <w:p w14:paraId="1580B729">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rPr>
                    <w:t>S</w:t>
                  </w:r>
                  <w:r>
                    <w:rPr>
                      <w:rFonts w:hint="default" w:ascii="Times New Roman" w:hAnsi="Times New Roman" w:eastAsia="宋体" w:cs="Times New Roman"/>
                      <w:color w:val="auto"/>
                      <w:szCs w:val="21"/>
                      <w:highlight w:val="none"/>
                      <w:shd w:val="clear" w:color="auto" w:fill="auto"/>
                      <w:lang w:val="en-US" w:eastAsia="zh-CN"/>
                    </w:rPr>
                    <w:t>1</w:t>
                  </w:r>
                </w:p>
              </w:tc>
              <w:tc>
                <w:tcPr>
                  <w:tcW w:w="826" w:type="pct"/>
                  <w:tcBorders>
                    <w:tl2br w:val="nil"/>
                    <w:tr2bl w:val="nil"/>
                  </w:tcBorders>
                  <w:vAlign w:val="center"/>
                </w:tcPr>
                <w:p w14:paraId="632223CB">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吹膜</w:t>
                  </w:r>
                </w:p>
              </w:tc>
              <w:tc>
                <w:tcPr>
                  <w:tcW w:w="762" w:type="pct"/>
                  <w:tcBorders>
                    <w:tl2br w:val="nil"/>
                    <w:tr2bl w:val="nil"/>
                  </w:tcBorders>
                  <w:vAlign w:val="center"/>
                </w:tcPr>
                <w:p w14:paraId="02E57628">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吹膜机</w:t>
                  </w:r>
                </w:p>
              </w:tc>
              <w:tc>
                <w:tcPr>
                  <w:tcW w:w="913" w:type="pct"/>
                  <w:tcBorders>
                    <w:tl2br w:val="nil"/>
                    <w:tr2bl w:val="nil"/>
                  </w:tcBorders>
                  <w:vAlign w:val="center"/>
                </w:tcPr>
                <w:p w14:paraId="0191AA6A">
                  <w:pPr>
                    <w:jc w:val="center"/>
                    <w:rPr>
                      <w:rFonts w:hint="eastAsia"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不合格品</w:t>
                  </w:r>
                </w:p>
              </w:tc>
              <w:tc>
                <w:tcPr>
                  <w:tcW w:w="1486" w:type="pct"/>
                  <w:tcBorders>
                    <w:tl2br w:val="nil"/>
                    <w:tr2bl w:val="nil"/>
                  </w:tcBorders>
                  <w:shd w:val="clear" w:color="auto" w:fill="auto"/>
                  <w:vAlign w:val="center"/>
                </w:tcPr>
                <w:p w14:paraId="2FA0A8CE">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经企业破碎后回用于混料</w:t>
                  </w:r>
                </w:p>
              </w:tc>
            </w:tr>
            <w:tr w14:paraId="75211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79F74573">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vAlign w:val="center"/>
                </w:tcPr>
                <w:p w14:paraId="760A8B1E">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S</w:t>
                  </w:r>
                  <w:r>
                    <w:rPr>
                      <w:rFonts w:hint="default" w:ascii="Times New Roman" w:hAnsi="Times New Roman" w:eastAsia="宋体" w:cs="Times New Roman"/>
                      <w:color w:val="auto"/>
                      <w:szCs w:val="21"/>
                      <w:highlight w:val="none"/>
                      <w:shd w:val="clear" w:color="auto" w:fill="auto"/>
                      <w:lang w:val="en-US" w:eastAsia="zh-CN"/>
                    </w:rPr>
                    <w:t>2</w:t>
                  </w:r>
                </w:p>
              </w:tc>
              <w:tc>
                <w:tcPr>
                  <w:tcW w:w="826" w:type="pct"/>
                  <w:tcBorders>
                    <w:tl2br w:val="nil"/>
                    <w:tr2bl w:val="nil"/>
                  </w:tcBorders>
                  <w:vAlign w:val="center"/>
                </w:tcPr>
                <w:p w14:paraId="14D6C11A">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分切</w:t>
                  </w:r>
                </w:p>
              </w:tc>
              <w:tc>
                <w:tcPr>
                  <w:tcW w:w="762" w:type="pct"/>
                  <w:tcBorders>
                    <w:tl2br w:val="nil"/>
                    <w:tr2bl w:val="nil"/>
                  </w:tcBorders>
                  <w:vAlign w:val="center"/>
                </w:tcPr>
                <w:p w14:paraId="1B6301EC">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分切机</w:t>
                  </w:r>
                </w:p>
              </w:tc>
              <w:tc>
                <w:tcPr>
                  <w:tcW w:w="913" w:type="pct"/>
                  <w:tcBorders>
                    <w:tl2br w:val="nil"/>
                    <w:tr2bl w:val="nil"/>
                  </w:tcBorders>
                  <w:vAlign w:val="center"/>
                </w:tcPr>
                <w:p w14:paraId="07D4A28D">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边角料</w:t>
                  </w:r>
                </w:p>
              </w:tc>
              <w:tc>
                <w:tcPr>
                  <w:tcW w:w="1486" w:type="pct"/>
                  <w:tcBorders>
                    <w:tl2br w:val="nil"/>
                    <w:tr2bl w:val="nil"/>
                  </w:tcBorders>
                  <w:shd w:val="clear" w:color="auto" w:fill="auto"/>
                  <w:vAlign w:val="center"/>
                </w:tcPr>
                <w:p w14:paraId="0F750BA4">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收集后外售</w:t>
                  </w:r>
                </w:p>
              </w:tc>
            </w:tr>
            <w:tr w14:paraId="11ED1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7A45B6CB">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shd w:val="clear" w:color="auto" w:fill="auto"/>
                  <w:vAlign w:val="center"/>
                </w:tcPr>
                <w:p w14:paraId="64BFA79E">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S</w:t>
                  </w:r>
                  <w:r>
                    <w:rPr>
                      <w:rFonts w:hint="default" w:ascii="Times New Roman" w:hAnsi="Times New Roman" w:eastAsia="宋体" w:cs="Times New Roman"/>
                      <w:color w:val="auto"/>
                      <w:szCs w:val="21"/>
                      <w:highlight w:val="none"/>
                      <w:shd w:val="clear" w:color="auto" w:fill="auto"/>
                      <w:lang w:val="en-US" w:eastAsia="zh-CN"/>
                    </w:rPr>
                    <w:t>3</w:t>
                  </w:r>
                </w:p>
              </w:tc>
              <w:tc>
                <w:tcPr>
                  <w:tcW w:w="826" w:type="pct"/>
                  <w:tcBorders>
                    <w:tl2br w:val="nil"/>
                    <w:tr2bl w:val="nil"/>
                  </w:tcBorders>
                  <w:vAlign w:val="center"/>
                </w:tcPr>
                <w:p w14:paraId="45DAD1A7">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检验</w:t>
                  </w:r>
                </w:p>
              </w:tc>
              <w:tc>
                <w:tcPr>
                  <w:tcW w:w="762" w:type="pct"/>
                  <w:tcBorders>
                    <w:tl2br w:val="nil"/>
                    <w:tr2bl w:val="nil"/>
                  </w:tcBorders>
                  <w:vAlign w:val="center"/>
                </w:tcPr>
                <w:p w14:paraId="7FBB101C">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w:t>
                  </w:r>
                </w:p>
              </w:tc>
              <w:tc>
                <w:tcPr>
                  <w:tcW w:w="913" w:type="pct"/>
                  <w:tcBorders>
                    <w:tl2br w:val="nil"/>
                    <w:tr2bl w:val="nil"/>
                  </w:tcBorders>
                  <w:vAlign w:val="center"/>
                </w:tcPr>
                <w:p w14:paraId="5366E05A">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不合格品</w:t>
                  </w:r>
                </w:p>
              </w:tc>
              <w:tc>
                <w:tcPr>
                  <w:tcW w:w="1486" w:type="pct"/>
                  <w:tcBorders>
                    <w:tl2br w:val="nil"/>
                    <w:tr2bl w:val="nil"/>
                  </w:tcBorders>
                  <w:shd w:val="clear" w:color="auto" w:fill="auto"/>
                  <w:vAlign w:val="center"/>
                </w:tcPr>
                <w:p w14:paraId="418B3B0F">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收集后外售</w:t>
                  </w:r>
                </w:p>
              </w:tc>
            </w:tr>
            <w:tr w14:paraId="67DFB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6F8D6433">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shd w:val="clear" w:color="auto" w:fill="auto"/>
                  <w:vAlign w:val="center"/>
                </w:tcPr>
                <w:p w14:paraId="51810BCC">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S</w:t>
                  </w:r>
                  <w:r>
                    <w:rPr>
                      <w:rFonts w:hint="default" w:ascii="Times New Roman" w:hAnsi="Times New Roman" w:eastAsia="宋体" w:cs="Times New Roman"/>
                      <w:color w:val="auto"/>
                      <w:szCs w:val="21"/>
                      <w:highlight w:val="none"/>
                      <w:shd w:val="clear" w:color="auto" w:fill="auto"/>
                      <w:lang w:val="en-US" w:eastAsia="zh-CN"/>
                    </w:rPr>
                    <w:t>4</w:t>
                  </w:r>
                </w:p>
              </w:tc>
              <w:tc>
                <w:tcPr>
                  <w:tcW w:w="826" w:type="pct"/>
                  <w:tcBorders>
                    <w:tl2br w:val="nil"/>
                    <w:tr2bl w:val="nil"/>
                  </w:tcBorders>
                  <w:vAlign w:val="center"/>
                </w:tcPr>
                <w:p w14:paraId="6471365A">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原料包装</w:t>
                  </w:r>
                </w:p>
              </w:tc>
              <w:tc>
                <w:tcPr>
                  <w:tcW w:w="762" w:type="pct"/>
                  <w:tcBorders>
                    <w:tl2br w:val="nil"/>
                    <w:tr2bl w:val="nil"/>
                  </w:tcBorders>
                  <w:vAlign w:val="center"/>
                </w:tcPr>
                <w:p w14:paraId="50A219DE">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w:t>
                  </w:r>
                </w:p>
              </w:tc>
              <w:tc>
                <w:tcPr>
                  <w:tcW w:w="913" w:type="pct"/>
                  <w:tcBorders>
                    <w:tl2br w:val="nil"/>
                    <w:tr2bl w:val="nil"/>
                  </w:tcBorders>
                  <w:vAlign w:val="center"/>
                </w:tcPr>
                <w:p w14:paraId="3D6EABA9">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废包装桶</w:t>
                  </w:r>
                </w:p>
              </w:tc>
              <w:tc>
                <w:tcPr>
                  <w:tcW w:w="1486" w:type="pct"/>
                  <w:tcBorders>
                    <w:tl2br w:val="nil"/>
                    <w:tr2bl w:val="nil"/>
                  </w:tcBorders>
                  <w:shd w:val="clear" w:color="auto" w:fill="auto"/>
                  <w:vAlign w:val="center"/>
                </w:tcPr>
                <w:p w14:paraId="3CCA503C">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收集后委托有资质单位处置</w:t>
                  </w:r>
                </w:p>
              </w:tc>
            </w:tr>
            <w:tr w14:paraId="7D696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2C31DDF6">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shd w:val="clear" w:color="auto" w:fill="auto"/>
                  <w:vAlign w:val="center"/>
                </w:tcPr>
                <w:p w14:paraId="2F99CE1B">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S</w:t>
                  </w:r>
                  <w:r>
                    <w:rPr>
                      <w:rFonts w:hint="default" w:ascii="Times New Roman" w:hAnsi="Times New Roman" w:eastAsia="宋体" w:cs="Times New Roman"/>
                      <w:color w:val="auto"/>
                      <w:szCs w:val="21"/>
                      <w:highlight w:val="none"/>
                      <w:shd w:val="clear" w:color="auto" w:fill="auto"/>
                      <w:lang w:val="en-US" w:eastAsia="zh-CN"/>
                    </w:rPr>
                    <w:t>5</w:t>
                  </w:r>
                </w:p>
              </w:tc>
              <w:tc>
                <w:tcPr>
                  <w:tcW w:w="826" w:type="pct"/>
                  <w:tcBorders>
                    <w:tl2br w:val="nil"/>
                    <w:tr2bl w:val="nil"/>
                  </w:tcBorders>
                  <w:shd w:val="clear" w:color="auto" w:fill="auto"/>
                  <w:vAlign w:val="center"/>
                </w:tcPr>
                <w:p w14:paraId="34664F24">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设备维护</w:t>
                  </w:r>
                </w:p>
              </w:tc>
              <w:tc>
                <w:tcPr>
                  <w:tcW w:w="762" w:type="pct"/>
                  <w:tcBorders>
                    <w:tl2br w:val="nil"/>
                    <w:tr2bl w:val="nil"/>
                  </w:tcBorders>
                  <w:shd w:val="clear" w:color="auto" w:fill="auto"/>
                  <w:vAlign w:val="center"/>
                </w:tcPr>
                <w:p w14:paraId="0F591135">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w:t>
                  </w:r>
                </w:p>
              </w:tc>
              <w:tc>
                <w:tcPr>
                  <w:tcW w:w="913" w:type="pct"/>
                  <w:tcBorders>
                    <w:tl2br w:val="nil"/>
                    <w:tr2bl w:val="nil"/>
                  </w:tcBorders>
                  <w:shd w:val="clear" w:color="auto" w:fill="auto"/>
                  <w:vAlign w:val="center"/>
                </w:tcPr>
                <w:p w14:paraId="104BC37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含油抹布手套</w:t>
                  </w:r>
                </w:p>
              </w:tc>
              <w:tc>
                <w:tcPr>
                  <w:tcW w:w="1486" w:type="pct"/>
                  <w:tcBorders>
                    <w:tl2br w:val="nil"/>
                    <w:tr2bl w:val="nil"/>
                  </w:tcBorders>
                  <w:shd w:val="clear" w:color="auto" w:fill="auto"/>
                  <w:vAlign w:val="center"/>
                </w:tcPr>
                <w:p w14:paraId="4FDA7F9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收集后委托有资质单位处置</w:t>
                  </w:r>
                </w:p>
              </w:tc>
            </w:tr>
            <w:tr w14:paraId="742A8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6C0BE05C">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shd w:val="clear" w:color="auto" w:fill="auto"/>
                  <w:vAlign w:val="center"/>
                </w:tcPr>
                <w:p w14:paraId="59E103AD">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S</w:t>
                  </w:r>
                  <w:r>
                    <w:rPr>
                      <w:rFonts w:hint="eastAsia" w:ascii="Times New Roman" w:hAnsi="Times New Roman" w:eastAsia="宋体" w:cs="Times New Roman"/>
                      <w:color w:val="auto"/>
                      <w:szCs w:val="21"/>
                      <w:highlight w:val="none"/>
                      <w:shd w:val="clear" w:color="auto" w:fill="auto"/>
                      <w:lang w:val="en-US" w:eastAsia="zh-CN"/>
                    </w:rPr>
                    <w:t>6</w:t>
                  </w:r>
                </w:p>
              </w:tc>
              <w:tc>
                <w:tcPr>
                  <w:tcW w:w="826" w:type="pct"/>
                  <w:tcBorders>
                    <w:tl2br w:val="nil"/>
                    <w:tr2bl w:val="nil"/>
                  </w:tcBorders>
                  <w:shd w:val="clear" w:color="auto" w:fill="auto"/>
                  <w:vAlign w:val="center"/>
                </w:tcPr>
                <w:p w14:paraId="760F6DD7">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清洗</w:t>
                  </w:r>
                </w:p>
              </w:tc>
              <w:tc>
                <w:tcPr>
                  <w:tcW w:w="762" w:type="pct"/>
                  <w:tcBorders>
                    <w:tl2br w:val="nil"/>
                    <w:tr2bl w:val="nil"/>
                  </w:tcBorders>
                  <w:shd w:val="clear" w:color="auto" w:fill="auto"/>
                  <w:vAlign w:val="center"/>
                </w:tcPr>
                <w:p w14:paraId="56858CFC">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w:t>
                  </w:r>
                </w:p>
              </w:tc>
              <w:tc>
                <w:tcPr>
                  <w:tcW w:w="913" w:type="pct"/>
                  <w:tcBorders>
                    <w:tl2br w:val="nil"/>
                    <w:tr2bl w:val="nil"/>
                  </w:tcBorders>
                  <w:shd w:val="clear" w:color="auto" w:fill="auto"/>
                  <w:vAlign w:val="center"/>
                </w:tcPr>
                <w:p w14:paraId="7A45E2D9">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废抹布</w:t>
                  </w:r>
                </w:p>
              </w:tc>
              <w:tc>
                <w:tcPr>
                  <w:tcW w:w="1486" w:type="pct"/>
                  <w:tcBorders>
                    <w:tl2br w:val="nil"/>
                    <w:tr2bl w:val="nil"/>
                  </w:tcBorders>
                  <w:shd w:val="clear" w:color="auto" w:fill="auto"/>
                  <w:vAlign w:val="center"/>
                </w:tcPr>
                <w:p w14:paraId="2D18292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收集后委托有资质单位处置</w:t>
                  </w:r>
                </w:p>
              </w:tc>
            </w:tr>
            <w:tr w14:paraId="406EF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6B474AEB">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shd w:val="clear" w:color="auto" w:fill="auto"/>
                  <w:vAlign w:val="center"/>
                </w:tcPr>
                <w:p w14:paraId="564A38CB">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S7</w:t>
                  </w:r>
                </w:p>
              </w:tc>
              <w:tc>
                <w:tcPr>
                  <w:tcW w:w="826" w:type="pct"/>
                  <w:tcBorders>
                    <w:tl2br w:val="nil"/>
                    <w:tr2bl w:val="nil"/>
                  </w:tcBorders>
                  <w:vAlign w:val="center"/>
                </w:tcPr>
                <w:p w14:paraId="7C55805B">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废气处理</w:t>
                  </w:r>
                </w:p>
              </w:tc>
              <w:tc>
                <w:tcPr>
                  <w:tcW w:w="762" w:type="pct"/>
                  <w:tcBorders>
                    <w:tl2br w:val="nil"/>
                    <w:tr2bl w:val="nil"/>
                  </w:tcBorders>
                  <w:vAlign w:val="center"/>
                </w:tcPr>
                <w:p w14:paraId="0041F54A">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913" w:type="pct"/>
                  <w:tcBorders>
                    <w:tl2br w:val="nil"/>
                    <w:tr2bl w:val="nil"/>
                  </w:tcBorders>
                  <w:vAlign w:val="center"/>
                </w:tcPr>
                <w:p w14:paraId="22CB6FB3">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废活性炭</w:t>
                  </w:r>
                </w:p>
              </w:tc>
              <w:tc>
                <w:tcPr>
                  <w:tcW w:w="1486" w:type="pct"/>
                  <w:tcBorders>
                    <w:tl2br w:val="nil"/>
                    <w:tr2bl w:val="nil"/>
                  </w:tcBorders>
                  <w:shd w:val="clear" w:color="auto" w:fill="auto"/>
                  <w:vAlign w:val="center"/>
                </w:tcPr>
                <w:p w14:paraId="3FB14917">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收集后委托有资质单位处置</w:t>
                  </w:r>
                </w:p>
              </w:tc>
            </w:tr>
            <w:tr w14:paraId="6AE5B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530DCB01">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shd w:val="clear" w:color="auto" w:fill="auto"/>
                  <w:vAlign w:val="center"/>
                </w:tcPr>
                <w:p w14:paraId="30B0FA0B">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S</w:t>
                  </w:r>
                  <w:r>
                    <w:rPr>
                      <w:rFonts w:hint="eastAsia" w:ascii="Times New Roman" w:hAnsi="Times New Roman" w:eastAsia="宋体" w:cs="Times New Roman"/>
                      <w:color w:val="auto"/>
                      <w:szCs w:val="21"/>
                      <w:highlight w:val="none"/>
                      <w:shd w:val="clear" w:color="auto" w:fill="auto"/>
                      <w:lang w:val="en-US" w:eastAsia="zh-CN"/>
                    </w:rPr>
                    <w:t>8</w:t>
                  </w:r>
                </w:p>
              </w:tc>
              <w:tc>
                <w:tcPr>
                  <w:tcW w:w="826" w:type="pct"/>
                  <w:tcBorders>
                    <w:tl2br w:val="nil"/>
                    <w:tr2bl w:val="nil"/>
                  </w:tcBorders>
                  <w:vAlign w:val="center"/>
                </w:tcPr>
                <w:p w14:paraId="28617701">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废气处理</w:t>
                  </w:r>
                </w:p>
              </w:tc>
              <w:tc>
                <w:tcPr>
                  <w:tcW w:w="762" w:type="pct"/>
                  <w:tcBorders>
                    <w:tl2br w:val="nil"/>
                    <w:tr2bl w:val="nil"/>
                  </w:tcBorders>
                  <w:vAlign w:val="center"/>
                </w:tcPr>
                <w:p w14:paraId="091F3C43">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913" w:type="pct"/>
                  <w:tcBorders>
                    <w:tl2br w:val="nil"/>
                    <w:tr2bl w:val="nil"/>
                  </w:tcBorders>
                  <w:vAlign w:val="center"/>
                </w:tcPr>
                <w:p w14:paraId="161D446C">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除尘灰</w:t>
                  </w:r>
                </w:p>
              </w:tc>
              <w:tc>
                <w:tcPr>
                  <w:tcW w:w="1486" w:type="pct"/>
                  <w:tcBorders>
                    <w:tl2br w:val="nil"/>
                    <w:tr2bl w:val="nil"/>
                  </w:tcBorders>
                  <w:shd w:val="clear" w:color="auto" w:fill="auto"/>
                  <w:vAlign w:val="center"/>
                </w:tcPr>
                <w:p w14:paraId="2E256014">
                  <w:pPr>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收集后外售</w:t>
                  </w:r>
                </w:p>
              </w:tc>
            </w:tr>
            <w:tr w14:paraId="69957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vMerge w:val="continue"/>
                  <w:tcBorders>
                    <w:tl2br w:val="nil"/>
                    <w:tr2bl w:val="nil"/>
                  </w:tcBorders>
                  <w:vAlign w:val="center"/>
                </w:tcPr>
                <w:p w14:paraId="0357CAF5">
                  <w:pPr>
                    <w:jc w:val="center"/>
                    <w:rPr>
                      <w:rFonts w:hint="default" w:ascii="Times New Roman" w:hAnsi="Times New Roman" w:eastAsia="宋体" w:cs="Times New Roman"/>
                      <w:color w:val="auto"/>
                      <w:szCs w:val="21"/>
                      <w:highlight w:val="none"/>
                      <w:shd w:val="clear" w:color="auto" w:fill="auto"/>
                    </w:rPr>
                  </w:pPr>
                </w:p>
              </w:tc>
              <w:tc>
                <w:tcPr>
                  <w:tcW w:w="553" w:type="pct"/>
                  <w:tcBorders>
                    <w:tl2br w:val="nil"/>
                    <w:tr2bl w:val="nil"/>
                  </w:tcBorders>
                  <w:vAlign w:val="center"/>
                </w:tcPr>
                <w:p w14:paraId="45EAC579">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S9</w:t>
                  </w:r>
                </w:p>
              </w:tc>
              <w:tc>
                <w:tcPr>
                  <w:tcW w:w="826" w:type="pct"/>
                  <w:tcBorders>
                    <w:tl2br w:val="nil"/>
                    <w:tr2bl w:val="nil"/>
                  </w:tcBorders>
                  <w:shd w:val="clear" w:color="auto" w:fill="auto"/>
                  <w:vAlign w:val="center"/>
                </w:tcPr>
                <w:p w14:paraId="1A55BC6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废气处理</w:t>
                  </w:r>
                </w:p>
              </w:tc>
              <w:tc>
                <w:tcPr>
                  <w:tcW w:w="762" w:type="pct"/>
                  <w:tcBorders>
                    <w:tl2br w:val="nil"/>
                    <w:tr2bl w:val="nil"/>
                  </w:tcBorders>
                  <w:shd w:val="clear" w:color="auto" w:fill="auto"/>
                  <w:vAlign w:val="center"/>
                </w:tcPr>
                <w:p w14:paraId="1A282215">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913" w:type="pct"/>
                  <w:tcBorders>
                    <w:tl2br w:val="nil"/>
                    <w:tr2bl w:val="nil"/>
                  </w:tcBorders>
                  <w:shd w:val="clear" w:color="auto" w:fill="auto"/>
                  <w:vAlign w:val="center"/>
                </w:tcPr>
                <w:p w14:paraId="2D8B060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废布袋</w:t>
                  </w:r>
                </w:p>
              </w:tc>
              <w:tc>
                <w:tcPr>
                  <w:tcW w:w="1486" w:type="pct"/>
                  <w:tcBorders>
                    <w:tl2br w:val="nil"/>
                    <w:tr2bl w:val="nil"/>
                  </w:tcBorders>
                  <w:shd w:val="clear" w:color="auto" w:fill="auto"/>
                  <w:vAlign w:val="center"/>
                </w:tcPr>
                <w:p w14:paraId="53AC0A02">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收集后外售</w:t>
                  </w:r>
                </w:p>
              </w:tc>
            </w:tr>
          </w:tbl>
          <w:p w14:paraId="405FB618">
            <w:pPr>
              <w:spacing w:line="360" w:lineRule="auto"/>
              <w:rPr>
                <w:rFonts w:hint="default" w:ascii="Times New Roman" w:hAnsi="Times New Roman" w:eastAsia="宋体" w:cs="Times New Roman"/>
                <w:color w:val="auto"/>
                <w:kern w:val="2"/>
                <w:sz w:val="24"/>
                <w:szCs w:val="22"/>
                <w:highlight w:val="none"/>
                <w:shd w:val="clear" w:color="auto" w:fill="auto"/>
                <w:lang w:val="en-US" w:eastAsia="zh-CN" w:bidi="ar-SA"/>
              </w:rPr>
            </w:pPr>
          </w:p>
        </w:tc>
      </w:tr>
      <w:tr w14:paraId="75B5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 w:type="pct"/>
            <w:shd w:val="clear" w:color="auto" w:fill="auto"/>
            <w:vAlign w:val="center"/>
          </w:tcPr>
          <w:p w14:paraId="56A27D21">
            <w:pPr>
              <w:jc w:val="center"/>
              <w:rPr>
                <w:rFonts w:hint="default" w:ascii="Times New Roman" w:hAnsi="Times New Roman" w:eastAsia="宋体" w:cs="Times New Roman"/>
                <w:b/>
                <w:color w:val="auto"/>
                <w:kern w:val="2"/>
                <w:sz w:val="24"/>
                <w:szCs w:val="22"/>
                <w:highlight w:val="none"/>
                <w:lang w:val="en-US" w:eastAsia="zh-CN" w:bidi="ar-SA"/>
              </w:rPr>
            </w:pPr>
            <w:r>
              <w:rPr>
                <w:rFonts w:hint="default" w:ascii="Times New Roman" w:hAnsi="Times New Roman" w:eastAsia="宋体" w:cs="Times New Roman"/>
                <w:b/>
                <w:color w:val="auto"/>
                <w:sz w:val="24"/>
                <w:highlight w:val="none"/>
              </w:rPr>
              <w:t>与项目有关的原有环境污染问题</w:t>
            </w:r>
          </w:p>
        </w:tc>
        <w:tc>
          <w:tcPr>
            <w:tcW w:w="4623" w:type="pct"/>
            <w:shd w:val="clear" w:color="auto" w:fill="auto"/>
            <w:vAlign w:val="top"/>
          </w:tcPr>
          <w:p w14:paraId="26663193">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一、本项目有关的原有污染情况及主要环境问题</w:t>
            </w:r>
          </w:p>
          <w:p w14:paraId="6B1443B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本项目为迁建项目，公司原址位于常州市金坛经济开发区东康路89号，租用常州安臣美合成材料有限公司厂房进行生产，原有项目无行政处罚以及居民投诉记录。由于厂房租约到期，现迁建至江苏省常州市金坛区晨风路188号，租赁江苏高高制衣有限公司现有空置的厂房车间四进行生产</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所在地</w:t>
            </w:r>
            <w:r>
              <w:rPr>
                <w:rFonts w:hint="default" w:ascii="Times New Roman" w:hAnsi="Times New Roman" w:eastAsia="宋体" w:cs="Times New Roman"/>
                <w:color w:val="auto"/>
                <w:sz w:val="24"/>
                <w:highlight w:val="none"/>
              </w:rPr>
              <w:t>不存在原有污染源和遗留环境问题。</w:t>
            </w:r>
            <w:r>
              <w:rPr>
                <w:rFonts w:hint="eastAsia" w:ascii="Times New Roman" w:hAnsi="Times New Roman" w:eastAsia="宋体" w:cs="Times New Roman"/>
                <w:color w:val="auto"/>
                <w:sz w:val="24"/>
                <w:highlight w:val="none"/>
                <w:shd w:val="clear" w:color="auto" w:fill="auto"/>
                <w:lang w:val="en-US" w:eastAsia="zh-CN"/>
              </w:rPr>
              <w:t>厂区内有江苏高高制衣有限公司和璞丽服饰等其他企业。</w:t>
            </w:r>
          </w:p>
          <w:p w14:paraId="7EED1EBD">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二、本项目与</w:t>
            </w:r>
            <w:r>
              <w:rPr>
                <w:rFonts w:hint="eastAsia" w:ascii="Times New Roman" w:hAnsi="Times New Roman" w:eastAsia="宋体" w:cs="Times New Roman"/>
                <w:b/>
                <w:color w:val="auto"/>
                <w:sz w:val="24"/>
                <w:highlight w:val="none"/>
                <w:lang w:val="en-US" w:eastAsia="zh-CN"/>
              </w:rPr>
              <w:t>江苏高高制衣有限公司</w:t>
            </w:r>
            <w:r>
              <w:rPr>
                <w:rFonts w:hint="default" w:ascii="Times New Roman" w:hAnsi="Times New Roman" w:eastAsia="宋体" w:cs="Times New Roman"/>
                <w:b/>
                <w:color w:val="auto"/>
                <w:sz w:val="24"/>
                <w:highlight w:val="none"/>
              </w:rPr>
              <w:t>依托关系：</w:t>
            </w:r>
          </w:p>
          <w:p w14:paraId="60397054">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shd w:val="clear" w:color="auto" w:fill="auto"/>
              </w:rPr>
              <w:t>本项目</w:t>
            </w:r>
            <w:r>
              <w:rPr>
                <w:rFonts w:hint="eastAsia" w:ascii="Times New Roman" w:hAnsi="Times New Roman" w:eastAsia="宋体" w:cs="Times New Roman"/>
                <w:b w:val="0"/>
                <w:bCs/>
                <w:color w:val="auto"/>
                <w:sz w:val="24"/>
                <w:highlight w:val="none"/>
                <w:shd w:val="clear" w:color="auto" w:fill="auto"/>
                <w:lang w:val="en-US" w:eastAsia="zh-CN"/>
              </w:rPr>
              <w:t>租用</w:t>
            </w:r>
            <w:r>
              <w:rPr>
                <w:rFonts w:hint="eastAsia" w:ascii="Times New Roman" w:hAnsi="Times New Roman" w:eastAsia="宋体" w:cs="Times New Roman"/>
                <w:color w:val="auto"/>
                <w:sz w:val="24"/>
                <w:lang w:eastAsia="zh-CN"/>
              </w:rPr>
              <w:t>江苏高高制衣有限公司</w:t>
            </w:r>
            <w:r>
              <w:rPr>
                <w:rFonts w:hint="default" w:ascii="Times New Roman" w:hAnsi="Times New Roman" w:eastAsia="宋体" w:cs="Times New Roman"/>
                <w:color w:val="auto"/>
                <w:sz w:val="24"/>
                <w:lang w:eastAsia="zh-CN"/>
              </w:rPr>
              <w:t>位于江苏省常州市金坛区晨风路188号的现有空置厂房</w:t>
            </w:r>
            <w:r>
              <w:rPr>
                <w:rFonts w:hint="eastAsia" w:ascii="Times New Roman" w:hAnsi="Times New Roman" w:eastAsia="宋体" w:cs="Times New Roman"/>
                <w:color w:val="auto"/>
                <w:sz w:val="24"/>
                <w:lang w:val="en-US" w:eastAsia="zh-CN"/>
              </w:rPr>
              <w:t>车间四</w:t>
            </w:r>
            <w:r>
              <w:rPr>
                <w:rFonts w:hint="eastAsia" w:ascii="Times New Roman" w:hAnsi="Times New Roman" w:eastAsia="宋体" w:cs="Times New Roman"/>
                <w:color w:val="auto"/>
                <w:sz w:val="24"/>
                <w:highlight w:val="none"/>
                <w:lang w:val="en-US" w:eastAsia="zh-CN"/>
              </w:rPr>
              <w:t>进行生产</w:t>
            </w:r>
            <w:r>
              <w:rPr>
                <w:rFonts w:hint="eastAsia" w:ascii="Times New Roman" w:hAnsi="Times New Roman" w:eastAsia="宋体" w:cs="Times New Roman"/>
                <w:b/>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厂</w:t>
            </w:r>
            <w:r>
              <w:rPr>
                <w:rFonts w:hint="default" w:ascii="Times New Roman" w:hAnsi="Times New Roman" w:eastAsia="宋体" w:cs="Times New Roman"/>
                <w:b w:val="0"/>
                <w:bCs/>
                <w:color w:val="auto"/>
                <w:sz w:val="24"/>
                <w:highlight w:val="none"/>
              </w:rPr>
              <w:t>区已按照“雨污分流”的原则进行建设。经与建设单位核实，本项目与其依托关系如下：</w:t>
            </w:r>
          </w:p>
          <w:p w14:paraId="2AAAC3E4">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1、本项目废水依托</w:t>
            </w:r>
            <w:r>
              <w:rPr>
                <w:rFonts w:hint="eastAsia" w:ascii="Times New Roman" w:hAnsi="Times New Roman" w:eastAsia="宋体" w:cs="Times New Roman"/>
                <w:b w:val="0"/>
                <w:bCs/>
                <w:color w:val="auto"/>
                <w:sz w:val="24"/>
                <w:highlight w:val="none"/>
                <w:lang w:val="en-US" w:eastAsia="zh-CN"/>
              </w:rPr>
              <w:t>厂</w:t>
            </w:r>
            <w:r>
              <w:rPr>
                <w:rFonts w:hint="default" w:ascii="Times New Roman" w:hAnsi="Times New Roman" w:eastAsia="宋体" w:cs="Times New Roman"/>
                <w:b w:val="0"/>
                <w:bCs/>
                <w:color w:val="auto"/>
                <w:sz w:val="24"/>
                <w:highlight w:val="none"/>
              </w:rPr>
              <w:t>区内现有污水管网和排污口接入区域污水管网，</w:t>
            </w:r>
            <w:r>
              <w:rPr>
                <w:rFonts w:hint="eastAsia" w:ascii="Times New Roman" w:hAnsi="Times New Roman" w:eastAsia="宋体" w:cs="Times New Roman"/>
                <w:b w:val="0"/>
                <w:bCs/>
                <w:color w:val="auto"/>
                <w:sz w:val="24"/>
                <w:highlight w:val="none"/>
                <w:lang w:eastAsia="zh-CN"/>
              </w:rPr>
              <w:t>进入</w:t>
            </w:r>
            <w:r>
              <w:rPr>
                <w:rFonts w:hint="default" w:ascii="Times New Roman" w:hAnsi="Times New Roman" w:eastAsia="宋体" w:cs="Times New Roman"/>
                <w:b w:val="0"/>
                <w:bCs/>
                <w:color w:val="auto"/>
                <w:sz w:val="24"/>
                <w:highlight w:val="none"/>
              </w:rPr>
              <w:t>常州金坛区第二污水处理有限公司处理。</w:t>
            </w:r>
          </w:p>
          <w:p w14:paraId="07E7A6A6">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2、</w:t>
            </w:r>
            <w:r>
              <w:rPr>
                <w:rFonts w:hint="eastAsia" w:ascii="Times New Roman" w:hAnsi="Times New Roman" w:eastAsia="宋体" w:cs="Times New Roman"/>
                <w:b w:val="0"/>
                <w:bCs/>
                <w:color w:val="auto"/>
                <w:sz w:val="24"/>
                <w:highlight w:val="none"/>
                <w:lang w:eastAsia="zh-CN"/>
              </w:rPr>
              <w:t>江苏冠龙新材料科技有限公司</w:t>
            </w:r>
            <w:r>
              <w:rPr>
                <w:rFonts w:hint="default" w:ascii="Times New Roman" w:hAnsi="Times New Roman" w:eastAsia="宋体" w:cs="Times New Roman"/>
                <w:b w:val="0"/>
                <w:bCs/>
                <w:color w:val="auto"/>
                <w:sz w:val="24"/>
                <w:highlight w:val="none"/>
              </w:rPr>
              <w:t>应确保本项目仅排放员工的生活污水，严禁向排污口倾倒其他废水、废液等。</w:t>
            </w:r>
          </w:p>
          <w:p w14:paraId="02D8CC5D">
            <w:pPr>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3、</w:t>
            </w:r>
            <w:r>
              <w:rPr>
                <w:rFonts w:hint="eastAsia" w:ascii="Times New Roman" w:hAnsi="Times New Roman" w:eastAsia="宋体" w:cs="Times New Roman"/>
                <w:b w:val="0"/>
                <w:bCs/>
                <w:color w:val="auto"/>
                <w:sz w:val="24"/>
                <w:highlight w:val="none"/>
                <w:lang w:eastAsia="zh-CN"/>
              </w:rPr>
              <w:t>江苏冠龙新材料科技有限公司</w:t>
            </w:r>
            <w:r>
              <w:rPr>
                <w:rFonts w:hint="default" w:ascii="Times New Roman" w:hAnsi="Times New Roman" w:eastAsia="宋体" w:cs="Times New Roman"/>
                <w:b w:val="0"/>
                <w:bCs/>
                <w:color w:val="auto"/>
                <w:sz w:val="24"/>
                <w:highlight w:val="none"/>
              </w:rPr>
              <w:t>在接入厂区的接管口前单独设置采样井及环境保护提示牌。</w:t>
            </w:r>
          </w:p>
          <w:p w14:paraId="19E22EBF">
            <w:pPr>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4</w:t>
            </w:r>
            <w:r>
              <w:rPr>
                <w:rFonts w:hint="default" w:ascii="Times New Roman" w:hAnsi="Times New Roman" w:eastAsia="宋体" w:cs="Times New Roman"/>
                <w:b w:val="0"/>
                <w:bCs/>
                <w:color w:val="auto"/>
                <w:sz w:val="24"/>
                <w:highlight w:val="none"/>
              </w:rPr>
              <w:t>、本项目供水管网、供电管网、雨水管网</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雨水排口</w:t>
            </w:r>
            <w:r>
              <w:rPr>
                <w:rFonts w:hint="eastAsia" w:ascii="Times New Roman" w:hAnsi="Times New Roman" w:eastAsia="宋体" w:cs="Times New Roman"/>
                <w:b w:val="0"/>
                <w:bCs/>
                <w:color w:val="auto"/>
                <w:sz w:val="24"/>
                <w:highlight w:val="none"/>
                <w:lang w:val="en-US" w:eastAsia="zh-CN"/>
              </w:rPr>
              <w:t>及消防水池</w:t>
            </w:r>
            <w:r>
              <w:rPr>
                <w:rFonts w:hint="default" w:ascii="Times New Roman" w:hAnsi="Times New Roman" w:eastAsia="宋体" w:cs="Times New Roman"/>
                <w:b w:val="0"/>
                <w:bCs/>
                <w:color w:val="auto"/>
                <w:sz w:val="24"/>
                <w:highlight w:val="none"/>
              </w:rPr>
              <w:t>等基础设施均依托</w:t>
            </w:r>
            <w:r>
              <w:rPr>
                <w:rFonts w:hint="eastAsia" w:ascii="Times New Roman" w:hAnsi="Times New Roman" w:eastAsia="宋体" w:cs="Times New Roman"/>
                <w:b w:val="0"/>
                <w:bCs/>
                <w:color w:val="auto"/>
                <w:sz w:val="24"/>
                <w:highlight w:val="none"/>
                <w:lang w:val="en-US" w:eastAsia="zh-CN"/>
              </w:rPr>
              <w:t>厂房所在的</w:t>
            </w:r>
            <w:r>
              <w:rPr>
                <w:rFonts w:hint="eastAsia" w:ascii="Times New Roman" w:hAnsi="Times New Roman" w:eastAsia="宋体" w:cs="Times New Roman"/>
                <w:color w:val="auto"/>
                <w:sz w:val="24"/>
                <w:highlight w:val="none"/>
                <w:lang w:eastAsia="zh-CN"/>
              </w:rPr>
              <w:t>江苏高高制衣有限公司</w:t>
            </w:r>
            <w:r>
              <w:rPr>
                <w:rFonts w:hint="eastAsia" w:ascii="Times New Roman" w:hAnsi="Times New Roman" w:eastAsia="宋体" w:cs="Times New Roman"/>
                <w:color w:val="auto"/>
                <w:sz w:val="24"/>
                <w:highlight w:val="none"/>
                <w:lang w:val="en-US" w:eastAsia="zh-CN"/>
              </w:rPr>
              <w:t>厂区内</w:t>
            </w:r>
            <w:r>
              <w:rPr>
                <w:rFonts w:hint="default" w:ascii="Times New Roman" w:hAnsi="Times New Roman" w:eastAsia="宋体" w:cs="Times New Roman"/>
                <w:b w:val="0"/>
                <w:bCs/>
                <w:color w:val="auto"/>
                <w:sz w:val="24"/>
                <w:highlight w:val="none"/>
              </w:rPr>
              <w:t>。</w:t>
            </w:r>
            <w:r>
              <w:rPr>
                <w:rFonts w:hint="eastAsia" w:ascii="Times New Roman" w:hAnsi="Times New Roman" w:eastAsia="宋体" w:cs="Times New Roman"/>
                <w:b w:val="0"/>
                <w:bCs/>
                <w:color w:val="auto"/>
                <w:sz w:val="24"/>
                <w:highlight w:val="none"/>
                <w:lang w:val="en-US" w:eastAsia="zh-CN"/>
              </w:rPr>
              <w:t xml:space="preserve"> </w:t>
            </w:r>
          </w:p>
          <w:p w14:paraId="26658DDD">
            <w:pPr>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5、</w:t>
            </w:r>
            <w:r>
              <w:rPr>
                <w:rFonts w:hint="eastAsia" w:ascii="Times New Roman" w:hAnsi="Times New Roman" w:eastAsia="宋体" w:cs="Times New Roman"/>
                <w:color w:val="auto"/>
                <w:sz w:val="24"/>
                <w:highlight w:val="none"/>
                <w:lang w:eastAsia="zh-CN"/>
              </w:rPr>
              <w:t>江苏高高制衣有限公司</w:t>
            </w:r>
            <w:r>
              <w:rPr>
                <w:rFonts w:hint="eastAsia" w:ascii="Times New Roman" w:hAnsi="Times New Roman" w:eastAsia="宋体" w:cs="Times New Roman"/>
                <w:color w:val="auto"/>
                <w:sz w:val="24"/>
                <w:highlight w:val="none"/>
                <w:lang w:val="en-US" w:eastAsia="zh-CN"/>
              </w:rPr>
              <w:t>未在厂区内建设</w:t>
            </w:r>
            <w:r>
              <w:rPr>
                <w:rFonts w:hint="default" w:ascii="Times New Roman" w:hAnsi="Times New Roman" w:eastAsia="宋体" w:cs="Times New Roman"/>
                <w:b w:val="0"/>
                <w:color w:val="auto"/>
                <w:kern w:val="0"/>
                <w:sz w:val="24"/>
                <w:szCs w:val="24"/>
                <w:highlight w:val="none"/>
                <w:shd w:val="clear" w:color="auto" w:fill="auto"/>
              </w:rPr>
              <w:t>事故应急池</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b w:val="0"/>
                <w:color w:val="auto"/>
                <w:kern w:val="0"/>
                <w:sz w:val="24"/>
                <w:szCs w:val="24"/>
                <w:highlight w:val="none"/>
                <w:shd w:val="clear" w:color="auto" w:fill="auto"/>
              </w:rPr>
              <w:t>江苏冠龙新材料科技有限公司</w:t>
            </w:r>
            <w:r>
              <w:rPr>
                <w:rFonts w:hint="default" w:ascii="Times New Roman" w:hAnsi="Times New Roman" w:eastAsia="宋体" w:cs="Times New Roman"/>
                <w:b w:val="0"/>
                <w:color w:val="auto"/>
                <w:kern w:val="0"/>
                <w:sz w:val="24"/>
                <w:szCs w:val="24"/>
                <w:highlight w:val="none"/>
                <w:shd w:val="clear" w:color="auto" w:fill="auto"/>
                <w:lang w:val="en-US" w:eastAsia="zh-CN"/>
              </w:rPr>
              <w:t>拟建设</w:t>
            </w:r>
            <w:r>
              <w:rPr>
                <w:rFonts w:hint="eastAsia" w:ascii="Times New Roman" w:hAnsi="Times New Roman" w:eastAsia="宋体" w:cs="Times New Roman"/>
                <w:b w:val="0"/>
                <w:color w:val="auto"/>
                <w:kern w:val="0"/>
                <w:sz w:val="24"/>
                <w:szCs w:val="24"/>
                <w:highlight w:val="none"/>
                <w:shd w:val="clear" w:color="auto" w:fill="auto"/>
                <w:lang w:val="en-US" w:eastAsia="zh-CN"/>
              </w:rPr>
              <w:t>2</w:t>
            </w:r>
            <w:r>
              <w:rPr>
                <w:rFonts w:hint="default" w:ascii="Times New Roman" w:hAnsi="Times New Roman" w:eastAsia="宋体" w:cs="Times New Roman"/>
                <w:b w:val="0"/>
                <w:color w:val="auto"/>
                <w:kern w:val="0"/>
                <w:sz w:val="24"/>
                <w:szCs w:val="24"/>
                <w:highlight w:val="none"/>
                <w:shd w:val="clear" w:color="auto" w:fill="auto"/>
                <w:lang w:val="en-US" w:eastAsia="zh-CN"/>
              </w:rPr>
              <w:t>0</w:t>
            </w:r>
            <w:r>
              <w:rPr>
                <w:rFonts w:hint="default" w:ascii="Times New Roman" w:hAnsi="Times New Roman" w:eastAsia="宋体" w:cs="Times New Roman"/>
                <w:b w:val="0"/>
                <w:color w:val="auto"/>
                <w:kern w:val="0"/>
                <w:sz w:val="24"/>
                <w:szCs w:val="24"/>
                <w:highlight w:val="none"/>
                <w:shd w:val="clear" w:color="auto" w:fill="auto"/>
              </w:rPr>
              <w:t>m</w:t>
            </w:r>
            <w:r>
              <w:rPr>
                <w:rFonts w:hint="default" w:ascii="Times New Roman" w:hAnsi="Times New Roman" w:eastAsia="宋体" w:cs="Times New Roman"/>
                <w:b w:val="0"/>
                <w:color w:val="auto"/>
                <w:kern w:val="0"/>
                <w:sz w:val="24"/>
                <w:szCs w:val="24"/>
                <w:highlight w:val="none"/>
                <w:shd w:val="clear" w:color="auto" w:fill="auto"/>
                <w:vertAlign w:val="superscript"/>
              </w:rPr>
              <w:t>3</w:t>
            </w:r>
            <w:r>
              <w:rPr>
                <w:rFonts w:hint="default" w:ascii="Times New Roman" w:hAnsi="Times New Roman" w:eastAsia="宋体" w:cs="Times New Roman"/>
                <w:b w:val="0"/>
                <w:color w:val="auto"/>
                <w:kern w:val="0"/>
                <w:sz w:val="24"/>
                <w:szCs w:val="24"/>
                <w:highlight w:val="none"/>
                <w:shd w:val="clear" w:color="auto" w:fill="auto"/>
              </w:rPr>
              <w:t>事故应急池</w:t>
            </w:r>
            <w:r>
              <w:rPr>
                <w:rFonts w:hint="default" w:ascii="Times New Roman" w:hAnsi="Times New Roman" w:eastAsia="宋体" w:cs="Times New Roman"/>
                <w:b w:val="0"/>
                <w:color w:val="auto"/>
                <w:kern w:val="0"/>
                <w:sz w:val="24"/>
                <w:szCs w:val="24"/>
                <w:highlight w:val="none"/>
                <w:shd w:val="clear" w:color="auto" w:fill="auto"/>
                <w:lang w:eastAsia="zh-CN"/>
              </w:rPr>
              <w:t>（</w:t>
            </w:r>
            <w:r>
              <w:rPr>
                <w:rFonts w:hint="default" w:ascii="Times New Roman" w:hAnsi="Times New Roman" w:eastAsia="宋体" w:cs="Times New Roman"/>
                <w:b w:val="0"/>
                <w:color w:val="auto"/>
                <w:kern w:val="0"/>
                <w:sz w:val="24"/>
                <w:szCs w:val="24"/>
                <w:highlight w:val="none"/>
                <w:shd w:val="clear" w:color="auto" w:fill="auto"/>
                <w:lang w:val="en-US" w:eastAsia="zh-CN"/>
              </w:rPr>
              <w:t>并设置截止阀），</w:t>
            </w:r>
            <w:r>
              <w:rPr>
                <w:rFonts w:hint="default" w:ascii="Times New Roman" w:hAnsi="Times New Roman" w:eastAsia="宋体" w:cs="Times New Roman"/>
                <w:b w:val="0"/>
                <w:color w:val="auto"/>
                <w:sz w:val="24"/>
                <w:szCs w:val="24"/>
                <w:highlight w:val="none"/>
                <w:shd w:val="clear" w:color="auto" w:fill="auto"/>
                <w:lang w:val="en-US" w:eastAsia="zh-CN"/>
              </w:rPr>
              <w:t>用于</w:t>
            </w:r>
            <w:r>
              <w:rPr>
                <w:rFonts w:hint="eastAsia" w:ascii="Times New Roman" w:hAnsi="Times New Roman" w:eastAsia="宋体" w:cs="Times New Roman"/>
                <w:b w:val="0"/>
                <w:color w:val="auto"/>
                <w:sz w:val="24"/>
                <w:szCs w:val="24"/>
                <w:highlight w:val="none"/>
                <w:shd w:val="clear" w:color="auto" w:fill="auto"/>
                <w:lang w:val="en-US" w:eastAsia="zh-CN"/>
              </w:rPr>
              <w:t>本企业</w:t>
            </w:r>
            <w:r>
              <w:rPr>
                <w:rFonts w:hint="default" w:ascii="Times New Roman" w:hAnsi="Times New Roman" w:eastAsia="宋体" w:cs="Times New Roman"/>
                <w:b w:val="0"/>
                <w:color w:val="auto"/>
                <w:sz w:val="24"/>
                <w:szCs w:val="24"/>
                <w:highlight w:val="none"/>
                <w:shd w:val="clear" w:color="auto" w:fill="auto"/>
                <w:lang w:val="en-US" w:eastAsia="zh-CN"/>
              </w:rPr>
              <w:t>事故状态下事故废水的收集，紧急情况下手动关闭雨水切换阀门，开启通往事故池阀门，将事故废水收集于事故池和雨水管道暂存</w:t>
            </w:r>
            <w:r>
              <w:rPr>
                <w:rFonts w:hint="default" w:ascii="Times New Roman" w:hAnsi="Times New Roman" w:eastAsia="宋体" w:cs="Times New Roman"/>
                <w:b w:val="0"/>
                <w:color w:val="auto"/>
                <w:sz w:val="24"/>
                <w:szCs w:val="24"/>
                <w:highlight w:val="none"/>
                <w:shd w:val="clear" w:color="auto" w:fill="auto"/>
              </w:rPr>
              <w:t>。</w:t>
            </w:r>
          </w:p>
          <w:p w14:paraId="31DC152A">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三</w:t>
            </w:r>
            <w:r>
              <w:rPr>
                <w:rFonts w:hint="default" w:ascii="Times New Roman" w:hAnsi="Times New Roman" w:eastAsia="宋体" w:cs="Times New Roman"/>
                <w:b/>
                <w:color w:val="auto"/>
                <w:sz w:val="24"/>
                <w:highlight w:val="none"/>
              </w:rPr>
              <w:t>、责任主体</w:t>
            </w:r>
          </w:p>
          <w:p w14:paraId="61A45CB9">
            <w:pPr>
              <w:keepNext w:val="0"/>
              <w:keepLines w:val="0"/>
              <w:pageBreakBefore w:val="0"/>
              <w:widowControl w:val="0"/>
              <w:numPr>
                <w:ilvl w:val="-1"/>
                <w:numId w:val="0"/>
              </w:numPr>
              <w:kinsoku/>
              <w:wordWrap w:val="0"/>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eastAsia="zh-CN"/>
              </w:rPr>
              <w:t>江苏高高制衣有限公司主要从事服装制造与销售，</w:t>
            </w:r>
            <w:r>
              <w:rPr>
                <w:rFonts w:hint="eastAsia" w:ascii="Times New Roman" w:hAnsi="Times New Roman" w:eastAsia="宋体" w:cs="Times New Roman"/>
                <w:b w:val="0"/>
                <w:bCs/>
                <w:color w:val="auto"/>
                <w:sz w:val="24"/>
                <w:highlight w:val="none"/>
                <w:lang w:val="en-US" w:eastAsia="zh-CN"/>
              </w:rPr>
              <w:t>属于纺织服装、服饰业，企业生产规模较小，生产工艺简单，仅包含裁剪、缝纫、熨烫（使用电熨斗，且不涉及锅炉）、检验、包装等，不涉及水洗、印染等高污染工艺，因此豁免环评手续。企业于2020年4月20日进行了排污许可登记（编号：913204137036381826001Z），目前正常运营中。</w:t>
            </w:r>
          </w:p>
          <w:p w14:paraId="5DAE8ABD">
            <w:pPr>
              <w:numPr>
                <w:ilvl w:val="-1"/>
                <w:numId w:val="0"/>
              </w:numPr>
              <w:spacing w:line="500" w:lineRule="exact"/>
              <w:ind w:firstLine="480" w:firstLineChars="200"/>
              <w:jc w:val="left"/>
              <w:rPr>
                <w:rFonts w:hint="default"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eastAsia="zh-CN"/>
              </w:rPr>
              <w:t>江苏高高制衣有限公司</w:t>
            </w:r>
            <w:r>
              <w:rPr>
                <w:rFonts w:hint="default" w:ascii="Times New Roman" w:hAnsi="Times New Roman" w:eastAsia="宋体" w:cs="Times New Roman"/>
                <w:b w:val="0"/>
                <w:bCs/>
                <w:color w:val="auto"/>
                <w:sz w:val="24"/>
                <w:highlight w:val="none"/>
              </w:rPr>
              <w:t>应加强管理，确保厂区内废水总排污口各因子可达常州金坛区第二污水处理有限公司接管标准要求。若厂区接管口的采样井出现超标排放，由</w:t>
            </w:r>
            <w:r>
              <w:rPr>
                <w:rFonts w:hint="eastAsia" w:ascii="Times New Roman" w:hAnsi="Times New Roman" w:eastAsia="宋体" w:cs="Times New Roman"/>
                <w:b w:val="0"/>
                <w:bCs/>
                <w:color w:val="auto"/>
                <w:sz w:val="24"/>
                <w:highlight w:val="none"/>
                <w:lang w:eastAsia="zh-CN"/>
              </w:rPr>
              <w:t>江苏高高制衣有限公司</w:t>
            </w:r>
            <w:r>
              <w:rPr>
                <w:rFonts w:hint="default" w:ascii="Times New Roman" w:hAnsi="Times New Roman" w:eastAsia="宋体" w:cs="Times New Roman"/>
                <w:b w:val="0"/>
                <w:bCs/>
                <w:color w:val="auto"/>
                <w:sz w:val="24"/>
                <w:highlight w:val="none"/>
              </w:rPr>
              <w:t>承担相关责任。若</w:t>
            </w:r>
            <w:r>
              <w:rPr>
                <w:rFonts w:hint="eastAsia" w:ascii="Times New Roman" w:hAnsi="Times New Roman" w:eastAsia="宋体" w:cs="Times New Roman"/>
                <w:b w:val="0"/>
                <w:bCs/>
                <w:color w:val="auto"/>
                <w:sz w:val="24"/>
                <w:highlight w:val="none"/>
                <w:lang w:eastAsia="zh-CN"/>
              </w:rPr>
              <w:t>江苏冠龙新材料科技有限公司</w:t>
            </w:r>
            <w:r>
              <w:rPr>
                <w:rFonts w:hint="default" w:ascii="Times New Roman" w:hAnsi="Times New Roman" w:eastAsia="宋体" w:cs="Times New Roman"/>
                <w:b w:val="0"/>
                <w:bCs/>
                <w:color w:val="auto"/>
                <w:sz w:val="24"/>
                <w:highlight w:val="none"/>
              </w:rPr>
              <w:t>设置的单独接管口的采样井出现超标排放，废气排放口出现超标排放，固废未按要求收集及处理</w:t>
            </w:r>
            <w:r>
              <w:rPr>
                <w:rFonts w:hint="default" w:ascii="Times New Roman" w:hAnsi="Times New Roman" w:eastAsia="宋体" w:cs="Times New Roman"/>
                <w:b w:val="0"/>
                <w:bCs/>
                <w:color w:val="auto"/>
                <w:sz w:val="24"/>
                <w:highlight w:val="none"/>
                <w:lang w:val="en-US" w:eastAsia="zh-CN"/>
              </w:rPr>
              <w:t>等</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rPr>
              <w:t>由</w:t>
            </w:r>
            <w:r>
              <w:rPr>
                <w:rFonts w:hint="eastAsia" w:ascii="Times New Roman" w:hAnsi="Times New Roman" w:eastAsia="宋体" w:cs="Times New Roman"/>
                <w:b w:val="0"/>
                <w:bCs/>
                <w:color w:val="auto"/>
                <w:sz w:val="24"/>
                <w:highlight w:val="none"/>
                <w:lang w:eastAsia="zh-CN"/>
              </w:rPr>
              <w:t>江苏冠龙新材料科技有限公司</w:t>
            </w:r>
            <w:r>
              <w:rPr>
                <w:rFonts w:hint="default" w:ascii="Times New Roman" w:hAnsi="Times New Roman" w:eastAsia="宋体" w:cs="Times New Roman"/>
                <w:b w:val="0"/>
                <w:bCs/>
                <w:color w:val="auto"/>
                <w:sz w:val="24"/>
                <w:highlight w:val="none"/>
              </w:rPr>
              <w:t>承担相关责任。厂界噪声出现超标排放</w:t>
            </w:r>
            <w:r>
              <w:rPr>
                <w:rFonts w:hint="default" w:ascii="Times New Roman" w:hAnsi="Times New Roman" w:eastAsia="宋体" w:cs="Times New Roman"/>
                <w:b w:val="0"/>
                <w:bCs/>
                <w:color w:val="auto"/>
                <w:sz w:val="24"/>
                <w:highlight w:val="none"/>
                <w:lang w:val="en-US" w:eastAsia="zh-CN"/>
              </w:rPr>
              <w:t>时，相关监管部门关停厂区其他厂并进行厂界噪声监测，若检测数据超标，由</w:t>
            </w:r>
            <w:r>
              <w:rPr>
                <w:rFonts w:hint="eastAsia" w:ascii="Times New Roman" w:hAnsi="Times New Roman" w:eastAsia="宋体" w:cs="Times New Roman"/>
                <w:b w:val="0"/>
                <w:bCs/>
                <w:color w:val="auto"/>
                <w:sz w:val="24"/>
                <w:highlight w:val="none"/>
                <w:lang w:eastAsia="zh-CN"/>
              </w:rPr>
              <w:t>江苏冠龙新材料科技有限公司</w:t>
            </w:r>
            <w:r>
              <w:rPr>
                <w:rFonts w:hint="default" w:ascii="Times New Roman" w:hAnsi="Times New Roman" w:eastAsia="宋体" w:cs="Times New Roman"/>
                <w:b w:val="0"/>
                <w:bCs/>
                <w:color w:val="auto"/>
                <w:sz w:val="24"/>
                <w:highlight w:val="none"/>
              </w:rPr>
              <w:t>承担相关责任</w:t>
            </w:r>
            <w:r>
              <w:rPr>
                <w:rFonts w:hint="default" w:ascii="Times New Roman" w:hAnsi="Times New Roman" w:eastAsia="宋体" w:cs="Times New Roman"/>
                <w:b w:val="0"/>
                <w:bCs/>
                <w:color w:val="auto"/>
                <w:sz w:val="24"/>
                <w:highlight w:val="none"/>
                <w:lang w:eastAsia="zh-CN"/>
              </w:rPr>
              <w:t>。</w:t>
            </w:r>
          </w:p>
          <w:p w14:paraId="5C63344B">
            <w:pPr>
              <w:numPr>
                <w:ilvl w:val="-1"/>
                <w:numId w:val="0"/>
              </w:numPr>
              <w:spacing w:line="500" w:lineRule="exact"/>
              <w:ind w:firstLine="482" w:firstLineChars="200"/>
              <w:jc w:val="left"/>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四、原有项目情况</w:t>
            </w:r>
          </w:p>
          <w:p w14:paraId="7B3FA2AD">
            <w:pPr>
              <w:numPr>
                <w:ilvl w:val="-1"/>
                <w:numId w:val="0"/>
              </w:numPr>
              <w:spacing w:line="500" w:lineRule="exact"/>
              <w:ind w:firstLine="480" w:firstLineChars="200"/>
              <w:jc w:val="left"/>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企业</w:t>
            </w:r>
            <w:r>
              <w:rPr>
                <w:rFonts w:hint="eastAsia" w:ascii="Times New Roman" w:hAnsi="Times New Roman" w:eastAsia="宋体" w:cs="Times New Roman"/>
                <w:color w:val="auto"/>
                <w:sz w:val="24"/>
              </w:rPr>
              <w:t>于20</w:t>
            </w:r>
            <w:r>
              <w:rPr>
                <w:rFonts w:hint="eastAsia" w:ascii="Times New Roman" w:hAnsi="Times New Roman" w:eastAsia="宋体" w:cs="Times New Roman"/>
                <w:color w:val="auto"/>
                <w:sz w:val="24"/>
                <w:lang w:val="en-US" w:eastAsia="zh-CN"/>
              </w:rPr>
              <w:t>17</w:t>
            </w:r>
            <w:r>
              <w:rPr>
                <w:rFonts w:hint="eastAsia" w:ascii="Times New Roman" w:hAnsi="Times New Roman" w:eastAsia="宋体" w:cs="Times New Roman"/>
                <w:color w:val="auto"/>
                <w:sz w:val="24"/>
              </w:rPr>
              <w:t>年年报批了《</w:t>
            </w:r>
            <w:r>
              <w:rPr>
                <w:rFonts w:hint="eastAsia" w:ascii="Times New Roman" w:hAnsi="Times New Roman" w:eastAsia="宋体" w:cs="Times New Roman"/>
                <w:color w:val="auto"/>
                <w:sz w:val="24"/>
                <w:highlight w:val="none"/>
                <w:shd w:val="clear" w:color="auto" w:fill="auto"/>
                <w:lang w:val="en-US" w:eastAsia="zh-CN"/>
              </w:rPr>
              <w:t>江苏冠龙新材料科技有限公司</w:t>
            </w:r>
            <w:r>
              <w:rPr>
                <w:rFonts w:hint="eastAsia" w:ascii="Times New Roman" w:hAnsi="Times New Roman" w:eastAsia="宋体" w:cs="Times New Roman"/>
                <w:color w:val="auto"/>
                <w:sz w:val="24"/>
                <w:lang w:val="en-US" w:eastAsia="zh-CN"/>
              </w:rPr>
              <w:t>新建包装膜研发、生产</w:t>
            </w:r>
            <w:r>
              <w:rPr>
                <w:rFonts w:hint="eastAsia" w:ascii="Times New Roman" w:hAnsi="Times New Roman" w:eastAsia="宋体" w:cs="Times New Roman"/>
                <w:color w:val="auto"/>
                <w:sz w:val="24"/>
              </w:rPr>
              <w:t>项目》环境影响报告表，于20</w:t>
            </w:r>
            <w:r>
              <w:rPr>
                <w:rFonts w:hint="eastAsia" w:ascii="Times New Roman" w:hAnsi="Times New Roman" w:eastAsia="宋体" w:cs="Times New Roman"/>
                <w:color w:val="auto"/>
                <w:sz w:val="24"/>
                <w:lang w:val="en-US" w:eastAsia="zh-CN"/>
              </w:rPr>
              <w:t>17</w:t>
            </w:r>
            <w:r>
              <w:rPr>
                <w:rFonts w:hint="eastAsia" w:ascii="Times New Roman" w:hAnsi="Times New Roman" w:eastAsia="宋体" w:cs="Times New Roman"/>
                <w:color w:val="auto"/>
                <w:sz w:val="24"/>
              </w:rPr>
              <w:t>年6月</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rPr>
              <w:t>日取得</w:t>
            </w:r>
            <w:r>
              <w:rPr>
                <w:rFonts w:hint="eastAsia" w:ascii="Times New Roman" w:hAnsi="Times New Roman" w:eastAsia="宋体" w:cs="Times New Roman"/>
                <w:color w:val="auto"/>
                <w:sz w:val="24"/>
                <w:lang w:val="en-US" w:eastAsia="zh-CN"/>
              </w:rPr>
              <w:t>原金坛市环保局</w:t>
            </w:r>
            <w:r>
              <w:rPr>
                <w:rFonts w:hint="eastAsia" w:ascii="Times New Roman" w:hAnsi="Times New Roman" w:eastAsia="宋体" w:cs="Times New Roman"/>
                <w:color w:val="auto"/>
                <w:sz w:val="24"/>
              </w:rPr>
              <w:t>环评批复（</w:t>
            </w:r>
            <w:r>
              <w:rPr>
                <w:rFonts w:hint="eastAsia" w:ascii="Times New Roman" w:hAnsi="Times New Roman" w:eastAsia="宋体" w:cs="Times New Roman"/>
                <w:color w:val="auto"/>
                <w:sz w:val="24"/>
                <w:lang w:val="en-US" w:eastAsia="zh-CN"/>
              </w:rPr>
              <w:t>坛环开审</w:t>
            </w:r>
            <w:r>
              <w:rPr>
                <w:rFonts w:hint="eastAsia"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17</w:t>
            </w:r>
            <w:r>
              <w:rPr>
                <w:rFonts w:hint="eastAsia"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lang w:val="en-US" w:eastAsia="zh-CN"/>
              </w:rPr>
              <w:t>37</w:t>
            </w:r>
            <w:r>
              <w:rPr>
                <w:rFonts w:hint="eastAsia" w:ascii="Times New Roman" w:hAnsi="Times New Roman" w:eastAsia="宋体" w:cs="Times New Roman"/>
                <w:color w:val="auto"/>
                <w:sz w:val="24"/>
              </w:rPr>
              <w:t>号），并于20</w:t>
            </w:r>
            <w:r>
              <w:rPr>
                <w:rFonts w:hint="eastAsia" w:ascii="Times New Roman" w:hAnsi="Times New Roman" w:eastAsia="宋体" w:cs="Times New Roman"/>
                <w:color w:val="auto"/>
                <w:sz w:val="24"/>
                <w:lang w:val="en-US" w:eastAsia="zh-CN"/>
              </w:rPr>
              <w:t>18</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rPr>
              <w:t>月2</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日取得自主验收意见。</w:t>
            </w:r>
          </w:p>
          <w:p w14:paraId="707F0DB0">
            <w:pPr>
              <w:numPr>
                <w:ilvl w:val="0"/>
                <w:numId w:val="0"/>
              </w:numPr>
              <w:spacing w:line="500" w:lineRule="exact"/>
              <w:ind w:firstLine="480" w:firstLineChars="200"/>
              <w:jc w:val="left"/>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企业于202</w:t>
            </w:r>
            <w:r>
              <w:rPr>
                <w:rFonts w:hint="eastAsia" w:ascii="Times New Roman" w:hAnsi="Times New Roman" w:eastAsia="宋体" w:cs="Times New Roman"/>
                <w:bCs/>
                <w:color w:val="auto"/>
                <w:sz w:val="24"/>
                <w:highlight w:val="none"/>
                <w:lang w:val="en-US" w:eastAsia="zh-CN"/>
              </w:rPr>
              <w:t>4</w:t>
            </w:r>
            <w:r>
              <w:rPr>
                <w:rFonts w:hint="eastAsia" w:ascii="Times New Roman" w:hAnsi="Times New Roman" w:eastAsia="宋体" w:cs="Times New Roman"/>
                <w:bCs/>
                <w:color w:val="auto"/>
                <w:sz w:val="24"/>
                <w:highlight w:val="none"/>
              </w:rPr>
              <w:t>年</w:t>
            </w:r>
            <w:r>
              <w:rPr>
                <w:rFonts w:hint="eastAsia" w:ascii="Times New Roman" w:hAnsi="Times New Roman" w:eastAsia="宋体" w:cs="Times New Roman"/>
                <w:bCs/>
                <w:color w:val="auto"/>
                <w:sz w:val="24"/>
                <w:highlight w:val="none"/>
                <w:lang w:val="en-US" w:eastAsia="zh-CN"/>
              </w:rPr>
              <w:t>4</w:t>
            </w:r>
            <w:r>
              <w:rPr>
                <w:rFonts w:hint="eastAsia" w:ascii="Times New Roman" w:hAnsi="Times New Roman" w:eastAsia="宋体" w:cs="Times New Roman"/>
                <w:bCs/>
                <w:color w:val="auto"/>
                <w:sz w:val="24"/>
                <w:highlight w:val="none"/>
              </w:rPr>
              <w:t>月</w:t>
            </w:r>
            <w:r>
              <w:rPr>
                <w:rFonts w:hint="eastAsia" w:ascii="Times New Roman" w:hAnsi="Times New Roman" w:eastAsia="宋体" w:cs="Times New Roman"/>
                <w:bCs/>
                <w:color w:val="auto"/>
                <w:sz w:val="24"/>
                <w:highlight w:val="none"/>
                <w:lang w:val="en-US" w:eastAsia="zh-CN"/>
              </w:rPr>
              <w:t>申请</w:t>
            </w:r>
            <w:r>
              <w:rPr>
                <w:rFonts w:hint="eastAsia" w:ascii="Times New Roman" w:hAnsi="Times New Roman" w:eastAsia="宋体" w:cs="Times New Roman"/>
                <w:bCs/>
                <w:color w:val="auto"/>
                <w:sz w:val="24"/>
                <w:highlight w:val="none"/>
              </w:rPr>
              <w:t>排污许可，登记编号：91320413MA1MTBKW63001X。</w:t>
            </w:r>
          </w:p>
          <w:p w14:paraId="276BD024">
            <w:pPr>
              <w:numPr>
                <w:ilvl w:val="0"/>
                <w:numId w:val="0"/>
              </w:numPr>
              <w:spacing w:line="500" w:lineRule="exact"/>
              <w:ind w:firstLine="480" w:firstLineChars="200"/>
              <w:jc w:val="left"/>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1、原有项目环保手续履行情况见下表</w:t>
            </w:r>
          </w:p>
          <w:p w14:paraId="4C25FF01">
            <w:pPr>
              <w:numPr>
                <w:ilvl w:val="0"/>
                <w:numId w:val="0"/>
              </w:numPr>
              <w:spacing w:line="500" w:lineRule="exact"/>
              <w:jc w:val="center"/>
              <w:rPr>
                <w:rFonts w:hint="eastAsia" w:ascii="Times New Roman" w:hAnsi="Times New Roman" w:eastAsia="宋体" w:cs="Times New Roman"/>
                <w:b/>
                <w:bCs w:val="0"/>
                <w:color w:val="auto"/>
                <w:sz w:val="24"/>
                <w:szCs w:val="22"/>
                <w:highlight w:val="none"/>
                <w:lang w:val="en-US" w:eastAsia="zh-CN"/>
              </w:rPr>
            </w:pPr>
            <w:r>
              <w:rPr>
                <w:rFonts w:hint="eastAsia" w:ascii="Times New Roman" w:hAnsi="Times New Roman" w:eastAsia="宋体" w:cs="Times New Roman"/>
                <w:b/>
                <w:bCs w:val="0"/>
                <w:color w:val="auto"/>
                <w:sz w:val="24"/>
                <w:szCs w:val="22"/>
                <w:highlight w:val="none"/>
                <w:lang w:val="en-US" w:eastAsia="zh-CN"/>
              </w:rPr>
              <w:t xml:space="preserve">表2-11  </w:t>
            </w:r>
            <w:r>
              <w:rPr>
                <w:rFonts w:hint="eastAsia" w:ascii="Times New Roman" w:hAnsi="Times New Roman" w:eastAsia="宋体" w:cs="Times New Roman"/>
                <w:b/>
                <w:bCs w:val="0"/>
                <w:color w:val="auto"/>
                <w:sz w:val="24"/>
                <w:szCs w:val="22"/>
                <w:highlight w:val="none"/>
              </w:rPr>
              <w:t>原有项目环保审批、验收情况</w:t>
            </w:r>
            <w:r>
              <w:rPr>
                <w:rFonts w:hint="eastAsia" w:ascii="Times New Roman" w:hAnsi="Times New Roman" w:eastAsia="宋体" w:cs="Times New Roman"/>
                <w:b/>
                <w:bCs w:val="0"/>
                <w:color w:val="auto"/>
                <w:sz w:val="24"/>
                <w:szCs w:val="22"/>
                <w:highlight w:val="none"/>
                <w:lang w:val="en-US" w:eastAsia="zh-CN"/>
              </w:rPr>
              <w:t>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3179"/>
              <w:gridCol w:w="3007"/>
              <w:gridCol w:w="1424"/>
            </w:tblGrid>
            <w:tr w14:paraId="1550E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4" w:type="dxa"/>
                  <w:tcBorders>
                    <w:tl2br w:val="nil"/>
                    <w:tr2bl w:val="nil"/>
                  </w:tcBorders>
                  <w:vAlign w:val="center"/>
                </w:tcPr>
                <w:p w14:paraId="2EE1C8E0">
                  <w:pPr>
                    <w:numPr>
                      <w:ilvl w:val="0"/>
                      <w:numId w:val="0"/>
                    </w:num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序号</w:t>
                  </w:r>
                </w:p>
              </w:tc>
              <w:tc>
                <w:tcPr>
                  <w:tcW w:w="3176" w:type="dxa"/>
                  <w:tcBorders>
                    <w:tl2br w:val="nil"/>
                    <w:tr2bl w:val="nil"/>
                  </w:tcBorders>
                  <w:vAlign w:val="center"/>
                </w:tcPr>
                <w:p w14:paraId="42464526">
                  <w:pPr>
                    <w:numPr>
                      <w:ilvl w:val="0"/>
                      <w:numId w:val="0"/>
                    </w:num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项目名称</w:t>
                  </w:r>
                </w:p>
              </w:tc>
              <w:tc>
                <w:tcPr>
                  <w:tcW w:w="3004" w:type="dxa"/>
                  <w:tcBorders>
                    <w:tl2br w:val="nil"/>
                    <w:tr2bl w:val="nil"/>
                  </w:tcBorders>
                  <w:vAlign w:val="center"/>
                </w:tcPr>
                <w:p w14:paraId="30EF69CC">
                  <w:pPr>
                    <w:numPr>
                      <w:ilvl w:val="0"/>
                      <w:numId w:val="0"/>
                    </w:num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批复情况</w:t>
                  </w:r>
                </w:p>
              </w:tc>
              <w:tc>
                <w:tcPr>
                  <w:tcW w:w="1422" w:type="dxa"/>
                  <w:tcBorders>
                    <w:tl2br w:val="nil"/>
                    <w:tr2bl w:val="nil"/>
                  </w:tcBorders>
                  <w:vAlign w:val="center"/>
                </w:tcPr>
                <w:p w14:paraId="7163FF24">
                  <w:pPr>
                    <w:numPr>
                      <w:ilvl w:val="0"/>
                      <w:numId w:val="0"/>
                    </w:num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验收情况</w:t>
                  </w:r>
                </w:p>
              </w:tc>
            </w:tr>
            <w:tr w14:paraId="50364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4" w:type="dxa"/>
                  <w:tcBorders>
                    <w:tl2br w:val="nil"/>
                    <w:tr2bl w:val="nil"/>
                  </w:tcBorders>
                  <w:vAlign w:val="center"/>
                </w:tcPr>
                <w:p w14:paraId="539EC4EC">
                  <w:pPr>
                    <w:numPr>
                      <w:ilvl w:val="0"/>
                      <w:numId w:val="0"/>
                    </w:num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3176" w:type="dxa"/>
                  <w:tcBorders>
                    <w:tl2br w:val="nil"/>
                    <w:tr2bl w:val="nil"/>
                  </w:tcBorders>
                  <w:vAlign w:val="center"/>
                </w:tcPr>
                <w:p w14:paraId="22579CDC">
                  <w:pPr>
                    <w:numPr>
                      <w:ilvl w:val="0"/>
                      <w:numId w:val="0"/>
                    </w:num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Cs w:val="21"/>
                      <w:highlight w:val="none"/>
                    </w:rPr>
                    <w:t>江苏冠龙新材料科技有限公司新建包装膜研发、生产项目</w:t>
                  </w:r>
                </w:p>
              </w:tc>
              <w:tc>
                <w:tcPr>
                  <w:tcW w:w="3004" w:type="dxa"/>
                  <w:tcBorders>
                    <w:tl2br w:val="nil"/>
                    <w:tr2bl w:val="nil"/>
                  </w:tcBorders>
                  <w:vAlign w:val="center"/>
                </w:tcPr>
                <w:p w14:paraId="6A933A18">
                  <w:pPr>
                    <w:numPr>
                      <w:ilvl w:val="0"/>
                      <w:numId w:val="0"/>
                    </w:num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w:t>
                  </w:r>
                  <w:r>
                    <w:rPr>
                      <w:rFonts w:hint="eastAsia" w:ascii="Times New Roman" w:hAnsi="Times New Roman" w:eastAsia="宋体" w:cs="Times New Roman"/>
                      <w:bCs/>
                      <w:color w:val="auto"/>
                      <w:sz w:val="21"/>
                      <w:szCs w:val="21"/>
                      <w:highlight w:val="none"/>
                      <w:lang w:val="en-US" w:eastAsia="zh-CN"/>
                    </w:rPr>
                    <w:t>17</w:t>
                  </w:r>
                  <w:r>
                    <w:rPr>
                      <w:rFonts w:hint="default" w:ascii="Times New Roman" w:hAnsi="Times New Roman" w:eastAsia="宋体" w:cs="Times New Roman"/>
                      <w:bCs/>
                      <w:color w:val="auto"/>
                      <w:sz w:val="21"/>
                      <w:szCs w:val="21"/>
                      <w:highlight w:val="none"/>
                    </w:rPr>
                    <w:t>年6月</w:t>
                  </w:r>
                  <w:r>
                    <w:rPr>
                      <w:rFonts w:hint="eastAsia" w:ascii="Times New Roman" w:hAnsi="Times New Roman" w:eastAsia="宋体"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rPr>
                    <w:t>日取得环评批复（</w:t>
                  </w:r>
                  <w:r>
                    <w:rPr>
                      <w:rFonts w:hint="default" w:ascii="Times New Roman" w:hAnsi="Times New Roman" w:eastAsia="宋体" w:cs="Times New Roman"/>
                      <w:bCs/>
                      <w:color w:val="auto"/>
                      <w:szCs w:val="21"/>
                      <w:highlight w:val="none"/>
                    </w:rPr>
                    <w:t>坛环开审〔2017〕37号</w:t>
                  </w:r>
                  <w:r>
                    <w:rPr>
                      <w:rFonts w:hint="default" w:ascii="Times New Roman" w:hAnsi="Times New Roman" w:eastAsia="宋体" w:cs="Times New Roman"/>
                      <w:bCs/>
                      <w:color w:val="auto"/>
                      <w:sz w:val="21"/>
                      <w:szCs w:val="21"/>
                      <w:highlight w:val="none"/>
                    </w:rPr>
                    <w:t>）</w:t>
                  </w:r>
                </w:p>
              </w:tc>
              <w:tc>
                <w:tcPr>
                  <w:tcW w:w="1422" w:type="dxa"/>
                  <w:tcBorders>
                    <w:tl2br w:val="nil"/>
                    <w:tr2bl w:val="nil"/>
                  </w:tcBorders>
                  <w:vAlign w:val="center"/>
                </w:tcPr>
                <w:p w14:paraId="07E590DA">
                  <w:pPr>
                    <w:numPr>
                      <w:ilvl w:val="0"/>
                      <w:numId w:val="0"/>
                    </w:num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w:t>
                  </w:r>
                  <w:r>
                    <w:rPr>
                      <w:rFonts w:hint="eastAsia" w:ascii="Times New Roman" w:hAnsi="Times New Roman" w:eastAsia="宋体" w:cs="Times New Roman"/>
                      <w:bCs/>
                      <w:color w:val="auto"/>
                      <w:sz w:val="21"/>
                      <w:szCs w:val="21"/>
                      <w:highlight w:val="none"/>
                      <w:lang w:val="en-US" w:eastAsia="zh-CN"/>
                    </w:rPr>
                    <w:t>18</w:t>
                  </w:r>
                  <w:r>
                    <w:rPr>
                      <w:rFonts w:hint="default" w:ascii="Times New Roman" w:hAnsi="Times New Roman" w:eastAsia="宋体" w:cs="Times New Roman"/>
                      <w:bCs/>
                      <w:color w:val="auto"/>
                      <w:sz w:val="21"/>
                      <w:szCs w:val="21"/>
                      <w:highlight w:val="none"/>
                    </w:rPr>
                    <w:t>年</w:t>
                  </w:r>
                  <w:r>
                    <w:rPr>
                      <w:rFonts w:hint="eastAsia" w:ascii="Times New Roman" w:hAnsi="Times New Roman" w:eastAsia="宋体"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月2</w:t>
                  </w:r>
                  <w:r>
                    <w:rPr>
                      <w:rFonts w:hint="eastAsia" w:ascii="Times New Roman" w:hAnsi="Times New Roman" w:eastAsia="宋体" w:cs="Times New Roman"/>
                      <w:bCs/>
                      <w:color w:val="auto"/>
                      <w:sz w:val="21"/>
                      <w:szCs w:val="21"/>
                      <w:highlight w:val="none"/>
                      <w:lang w:val="en-US" w:eastAsia="zh-CN"/>
                    </w:rPr>
                    <w:t>9</w:t>
                  </w:r>
                  <w:r>
                    <w:rPr>
                      <w:rFonts w:hint="default" w:ascii="Times New Roman" w:hAnsi="Times New Roman" w:eastAsia="宋体" w:cs="Times New Roman"/>
                      <w:bCs/>
                      <w:color w:val="auto"/>
                      <w:sz w:val="21"/>
                      <w:szCs w:val="21"/>
                      <w:highlight w:val="none"/>
                    </w:rPr>
                    <w:t>日取得自主验收意见</w:t>
                  </w:r>
                </w:p>
              </w:tc>
            </w:tr>
            <w:tr w14:paraId="01AF5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4" w:type="dxa"/>
                  <w:tcBorders>
                    <w:tl2br w:val="nil"/>
                    <w:tr2bl w:val="nil"/>
                  </w:tcBorders>
                  <w:vAlign w:val="center"/>
                </w:tcPr>
                <w:p w14:paraId="6C39C60E">
                  <w:pPr>
                    <w:numPr>
                      <w:ilvl w:val="0"/>
                      <w:numId w:val="0"/>
                    </w:numPr>
                    <w:spacing w:line="240" w:lineRule="auto"/>
                    <w:jc w:val="center"/>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2</w:t>
                  </w:r>
                </w:p>
              </w:tc>
              <w:tc>
                <w:tcPr>
                  <w:tcW w:w="7602" w:type="dxa"/>
                  <w:gridSpan w:val="3"/>
                  <w:tcBorders>
                    <w:tl2br w:val="nil"/>
                    <w:tr2bl w:val="nil"/>
                  </w:tcBorders>
                  <w:vAlign w:val="center"/>
                </w:tcPr>
                <w:p w14:paraId="6995FCE0">
                  <w:pPr>
                    <w:numPr>
                      <w:ilvl w:val="0"/>
                      <w:numId w:val="0"/>
                    </w:numPr>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已申领排污登记，登记编号：</w:t>
                  </w:r>
                  <w:r>
                    <w:rPr>
                      <w:rFonts w:hint="default" w:ascii="Times New Roman" w:hAnsi="Times New Roman" w:eastAsia="宋体" w:cs="Times New Roman"/>
                      <w:bCs/>
                      <w:color w:val="auto"/>
                      <w:szCs w:val="21"/>
                      <w:highlight w:val="none"/>
                    </w:rPr>
                    <w:t>91320413MA1MTBKW63001X</w:t>
                  </w:r>
                  <w:r>
                    <w:rPr>
                      <w:rFonts w:hint="default" w:ascii="Times New Roman" w:hAnsi="Times New Roman" w:eastAsia="宋体" w:cs="Times New Roman"/>
                      <w:bCs/>
                      <w:color w:val="auto"/>
                      <w:sz w:val="21"/>
                      <w:szCs w:val="21"/>
                      <w:highlight w:val="none"/>
                    </w:rPr>
                    <w:t>。</w:t>
                  </w:r>
                </w:p>
              </w:tc>
            </w:tr>
          </w:tbl>
          <w:p w14:paraId="11F557F9">
            <w:pPr>
              <w:numPr>
                <w:ilvl w:val="-1"/>
                <w:numId w:val="0"/>
              </w:numPr>
              <w:spacing w:line="500" w:lineRule="exact"/>
              <w:ind w:firstLine="480" w:firstLineChars="200"/>
              <w:jc w:val="left"/>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val="en-US" w:eastAsia="zh-CN"/>
              </w:rPr>
              <w:t>2、</w:t>
            </w:r>
            <w:r>
              <w:rPr>
                <w:rFonts w:hint="eastAsia" w:ascii="Times New Roman" w:hAnsi="Times New Roman" w:eastAsia="宋体" w:cs="Times New Roman"/>
                <w:bCs/>
                <w:color w:val="auto"/>
                <w:sz w:val="24"/>
                <w:highlight w:val="none"/>
              </w:rPr>
              <w:t>原有项目生产规模及产品方案</w:t>
            </w:r>
          </w:p>
          <w:p w14:paraId="4861DD3D">
            <w:pPr>
              <w:numPr>
                <w:ilvl w:val="0"/>
                <w:numId w:val="0"/>
              </w:numPr>
              <w:spacing w:line="500" w:lineRule="exact"/>
              <w:jc w:val="center"/>
              <w:rPr>
                <w:rFonts w:hint="eastAsia" w:ascii="Times New Roman" w:hAnsi="Times New Roman" w:eastAsia="宋体" w:cs="Times New Roman"/>
                <w:b/>
                <w:bCs w:val="0"/>
                <w:color w:val="auto"/>
                <w:sz w:val="24"/>
                <w:highlight w:val="none"/>
              </w:rPr>
            </w:pPr>
            <w:r>
              <w:rPr>
                <w:rFonts w:hint="eastAsia" w:ascii="Times New Roman" w:hAnsi="Times New Roman" w:eastAsia="宋体" w:cs="Times New Roman"/>
                <w:b/>
                <w:bCs w:val="0"/>
                <w:color w:val="auto"/>
                <w:sz w:val="24"/>
                <w:szCs w:val="22"/>
                <w:highlight w:val="none"/>
                <w:lang w:val="en-US" w:eastAsia="zh-CN"/>
              </w:rPr>
              <w:t xml:space="preserve"> 表2-12  </w:t>
            </w:r>
            <w:r>
              <w:rPr>
                <w:rFonts w:hint="eastAsia" w:ascii="Times New Roman" w:hAnsi="Times New Roman" w:eastAsia="宋体" w:cs="Times New Roman"/>
                <w:b/>
                <w:bCs w:val="0"/>
                <w:color w:val="auto"/>
                <w:sz w:val="24"/>
                <w:szCs w:val="22"/>
                <w:highlight w:val="none"/>
              </w:rPr>
              <w:t>原有项目产品方案表</w:t>
            </w:r>
          </w:p>
          <w:tbl>
            <w:tblPr>
              <w:tblStyle w:val="27"/>
              <w:tblW w:w="83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2423"/>
              <w:gridCol w:w="2286"/>
              <w:gridCol w:w="1711"/>
            </w:tblGrid>
            <w:tr w14:paraId="08EDB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8" w:type="dxa"/>
                  <w:tcBorders>
                    <w:tl2br w:val="nil"/>
                    <w:tr2bl w:val="nil"/>
                  </w:tcBorders>
                  <w:vAlign w:val="center"/>
                </w:tcPr>
                <w:p w14:paraId="6ECAC0A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产品名称</w:t>
                  </w:r>
                </w:p>
              </w:tc>
              <w:tc>
                <w:tcPr>
                  <w:tcW w:w="2423" w:type="dxa"/>
                  <w:tcBorders>
                    <w:tl2br w:val="nil"/>
                    <w:tr2bl w:val="nil"/>
                  </w:tcBorders>
                  <w:vAlign w:val="center"/>
                </w:tcPr>
                <w:p w14:paraId="1DE973E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设计生产能力（/年）</w:t>
                  </w:r>
                </w:p>
              </w:tc>
              <w:tc>
                <w:tcPr>
                  <w:tcW w:w="2286" w:type="dxa"/>
                  <w:tcBorders>
                    <w:tl2br w:val="nil"/>
                    <w:tr2bl w:val="nil"/>
                  </w:tcBorders>
                  <w:vAlign w:val="center"/>
                </w:tcPr>
                <w:p w14:paraId="06368C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实际生产能力（/年）</w:t>
                  </w:r>
                </w:p>
              </w:tc>
              <w:tc>
                <w:tcPr>
                  <w:tcW w:w="1711" w:type="dxa"/>
                  <w:tcBorders>
                    <w:tl2br w:val="nil"/>
                    <w:tr2bl w:val="nil"/>
                  </w:tcBorders>
                  <w:vAlign w:val="center"/>
                </w:tcPr>
                <w:p w14:paraId="39E581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年运行时间</w:t>
                  </w:r>
                </w:p>
              </w:tc>
            </w:tr>
            <w:tr w14:paraId="77109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8" w:type="dxa"/>
                  <w:tcBorders>
                    <w:tl2br w:val="nil"/>
                    <w:tr2bl w:val="nil"/>
                  </w:tcBorders>
                  <w:vAlign w:val="center"/>
                </w:tcPr>
                <w:p w14:paraId="6A2D9E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包装膜</w:t>
                  </w:r>
                </w:p>
              </w:tc>
              <w:tc>
                <w:tcPr>
                  <w:tcW w:w="2423" w:type="dxa"/>
                  <w:tcBorders>
                    <w:tl2br w:val="nil"/>
                    <w:tr2bl w:val="nil"/>
                  </w:tcBorders>
                  <w:vAlign w:val="center"/>
                </w:tcPr>
                <w:p w14:paraId="0AB8B036">
                  <w:pPr>
                    <w:numPr>
                      <w:ilvl w:val="0"/>
                      <w:numId w:val="0"/>
                    </w:num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8000万卷/年</w:t>
                  </w:r>
                </w:p>
              </w:tc>
              <w:tc>
                <w:tcPr>
                  <w:tcW w:w="2286" w:type="dxa"/>
                  <w:tcBorders>
                    <w:tl2br w:val="nil"/>
                    <w:tr2bl w:val="nil"/>
                  </w:tcBorders>
                  <w:vAlign w:val="center"/>
                </w:tcPr>
                <w:p w14:paraId="251B710C">
                  <w:pPr>
                    <w:numPr>
                      <w:ilvl w:val="0"/>
                      <w:numId w:val="0"/>
                    </w:numPr>
                    <w:spacing w:line="240" w:lineRule="auto"/>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8000万卷/年</w:t>
                  </w:r>
                </w:p>
              </w:tc>
              <w:tc>
                <w:tcPr>
                  <w:tcW w:w="1711" w:type="dxa"/>
                  <w:tcBorders>
                    <w:tl2br w:val="nil"/>
                    <w:tr2bl w:val="nil"/>
                  </w:tcBorders>
                  <w:vAlign w:val="center"/>
                </w:tcPr>
                <w:p w14:paraId="239E70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2400h</w:t>
                  </w:r>
                </w:p>
              </w:tc>
            </w:tr>
          </w:tbl>
          <w:p w14:paraId="3D49CC14">
            <w:pPr>
              <w:numPr>
                <w:ilvl w:val="0"/>
                <w:numId w:val="0"/>
              </w:numPr>
              <w:spacing w:line="500" w:lineRule="exact"/>
              <w:jc w:val="left"/>
              <w:rPr>
                <w:rFonts w:hint="eastAsia" w:ascii="Times New Roman" w:hAnsi="Times New Roman" w:eastAsia="宋体" w:cs="Times New Roman"/>
                <w:b/>
                <w:bCs w:val="0"/>
                <w:color w:val="auto"/>
                <w:sz w:val="24"/>
                <w:highlight w:val="none"/>
              </w:rPr>
            </w:pPr>
            <w:r>
              <w:rPr>
                <w:rFonts w:hint="eastAsia" w:ascii="Times New Roman" w:hAnsi="Times New Roman" w:eastAsia="宋体" w:cs="Times New Roman"/>
                <w:b/>
                <w:bCs w:val="0"/>
                <w:color w:val="auto"/>
                <w:sz w:val="24"/>
                <w:highlight w:val="none"/>
                <w:lang w:val="en-US" w:eastAsia="zh-CN"/>
              </w:rPr>
              <w:t>五</w:t>
            </w:r>
            <w:r>
              <w:rPr>
                <w:rFonts w:hint="eastAsia" w:ascii="Times New Roman" w:hAnsi="Times New Roman" w:eastAsia="宋体" w:cs="Times New Roman"/>
                <w:b/>
                <w:bCs w:val="0"/>
                <w:color w:val="auto"/>
                <w:sz w:val="24"/>
                <w:highlight w:val="none"/>
              </w:rPr>
              <w:t>、原有项目工艺流程</w:t>
            </w:r>
          </w:p>
          <w:p w14:paraId="07B54364">
            <w:pPr>
              <w:numPr>
                <w:ilvl w:val="0"/>
                <w:numId w:val="0"/>
              </w:numPr>
              <w:spacing w:line="500" w:lineRule="exact"/>
              <w:ind w:firstLine="480" w:firstLineChars="200"/>
              <w:jc w:val="left"/>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原有项目工艺流程见下图。</w:t>
            </w:r>
          </w:p>
          <w:p w14:paraId="760627BD">
            <w:pPr>
              <w:numPr>
                <w:ilvl w:val="0"/>
                <w:numId w:val="0"/>
              </w:numPr>
              <w:spacing w:line="500" w:lineRule="exact"/>
              <w:jc w:val="center"/>
              <w:rPr>
                <w:rFonts w:hint="default" w:ascii="Times New Roman" w:hAnsi="Times New Roman" w:eastAsia="宋体" w:cs="Times New Roman"/>
                <w:b/>
                <w:bCs/>
                <w:color w:val="auto"/>
                <w:kern w:val="2"/>
                <w:sz w:val="24"/>
                <w:szCs w:val="24"/>
                <w:highlight w:val="none"/>
                <w:lang w:val="en-US" w:eastAsia="zh-CN" w:bidi="ar-SA"/>
              </w:rPr>
            </w:pPr>
            <w:r>
              <w:rPr>
                <w:b/>
                <w:bCs/>
                <w:color w:val="auto"/>
                <w:sz w:val="24"/>
                <w:szCs w:val="24"/>
              </w:rPr>
              <w:drawing>
                <wp:anchor distT="0" distB="0" distL="114300" distR="114300" simplePos="0" relativeHeight="251659264" behindDoc="0" locked="0" layoutInCell="1" allowOverlap="1">
                  <wp:simplePos x="0" y="0"/>
                  <wp:positionH relativeFrom="column">
                    <wp:posOffset>487680</wp:posOffset>
                  </wp:positionH>
                  <wp:positionV relativeFrom="paragraph">
                    <wp:posOffset>193040</wp:posOffset>
                  </wp:positionV>
                  <wp:extent cx="4210050" cy="4127500"/>
                  <wp:effectExtent l="0" t="0" r="6350" b="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4210050" cy="4127500"/>
                          </a:xfrm>
                          <a:prstGeom prst="rect">
                            <a:avLst/>
                          </a:prstGeom>
                          <a:noFill/>
                          <a:ln>
                            <a:noFill/>
                          </a:ln>
                        </pic:spPr>
                      </pic:pic>
                    </a:graphicData>
                  </a:graphic>
                </wp:anchor>
              </w:drawing>
            </w:r>
            <w:r>
              <w:rPr>
                <w:rFonts w:hint="eastAsia" w:ascii="Times New Roman" w:hAnsi="Times New Roman" w:eastAsia="宋体" w:cs="Times New Roman"/>
                <w:b/>
                <w:bCs/>
                <w:color w:val="auto"/>
                <w:kern w:val="2"/>
                <w:sz w:val="24"/>
                <w:szCs w:val="24"/>
                <w:highlight w:val="none"/>
                <w:lang w:val="en-US" w:eastAsia="zh-CN" w:bidi="ar-SA"/>
              </w:rPr>
              <w:t>图2-4  包装膜生产工艺流程图</w:t>
            </w:r>
          </w:p>
          <w:p w14:paraId="655F539D">
            <w:pPr>
              <w:numPr>
                <w:ilvl w:val="-1"/>
                <w:numId w:val="0"/>
              </w:numPr>
              <w:spacing w:line="500" w:lineRule="exact"/>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印刷</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将外购的Bopp薄膜进行印刷,主要是为了使产品上有客户需求的文字等</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将水性油墨与颜料直接加入机器内，机器自动混合，无需另行配置。此过程产生印刷废气G1，印刷失败产生的废料S1</w:t>
            </w:r>
            <w:r>
              <w:rPr>
                <w:rFonts w:hint="eastAsia" w:ascii="Times New Roman" w:hAnsi="Times New Roman" w:eastAsia="宋体" w:cs="Times New Roman"/>
                <w:color w:val="auto"/>
                <w:sz w:val="24"/>
                <w:lang w:val="en-US" w:eastAsia="zh-CN"/>
              </w:rPr>
              <w:t>。</w:t>
            </w:r>
          </w:p>
          <w:p w14:paraId="2EE9BD85">
            <w:pPr>
              <w:numPr>
                <w:ilvl w:val="-1"/>
                <w:numId w:val="0"/>
              </w:numPr>
              <w:spacing w:line="500" w:lineRule="exact"/>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胶水制备</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将外购的压敏胶与蒸汽冷凝水在密闭的搅拌罐内进行混合，混合比例为1:10，在常温下进行。</w:t>
            </w:r>
          </w:p>
          <w:p w14:paraId="5942318E">
            <w:pPr>
              <w:numPr>
                <w:ilvl w:val="-1"/>
                <w:numId w:val="0"/>
              </w:numPr>
              <w:spacing w:line="500" w:lineRule="exact"/>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涂布、烘干</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在搅拌罐内制备的胶水先通过管道打入成品罐内，然后再用泵送至涂布机内，将胶水均匀的涂在薄膜表面，之后直接进入烘干通道，涂布失败产生的废料S</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涂布后进入烘箱烘干，烘箱温度达到70℃左右，采用蒸气烘干。烘干后进入冷却塔进行冷却至50℃左右，此过程产生少量废气G2(以VOCs计)</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厂内共设4条涂布烘干线。涂布机定期清洗会产生废液S3。</w:t>
            </w:r>
          </w:p>
          <w:p w14:paraId="4DE67F91">
            <w:pPr>
              <w:numPr>
                <w:ilvl w:val="-1"/>
                <w:numId w:val="0"/>
              </w:numPr>
              <w:spacing w:line="500" w:lineRule="exact"/>
              <w:ind w:left="479" w:leftChars="228" w:firstLine="0" w:firstLineChars="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冷却</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烘千后需对产品进行冷却，冷却使用间接水冷却，冷却水循环使用。复卷</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将加工好的薄膜卷制在纸简上。</w:t>
            </w:r>
          </w:p>
          <w:p w14:paraId="2081D23D">
            <w:pPr>
              <w:numPr>
                <w:ilvl w:val="-1"/>
                <w:numId w:val="0"/>
              </w:numPr>
              <w:spacing w:line="500" w:lineRule="exact"/>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分切</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根据客户需求将薄膜分切成不同规格大小，包装后即为成品。</w:t>
            </w:r>
          </w:p>
          <w:p w14:paraId="4FB36995">
            <w:pPr>
              <w:numPr>
                <w:ilvl w:val="-1"/>
                <w:numId w:val="0"/>
              </w:numPr>
              <w:spacing w:line="500" w:lineRule="exact"/>
              <w:jc w:val="left"/>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六</w:t>
            </w:r>
            <w:r>
              <w:rPr>
                <w:rFonts w:hint="default" w:ascii="Times New Roman" w:hAnsi="Times New Roman" w:eastAsia="宋体" w:cs="Times New Roman"/>
                <w:b/>
                <w:bCs/>
                <w:color w:val="auto"/>
                <w:sz w:val="24"/>
              </w:rPr>
              <w:t>、原有项目污染情况</w:t>
            </w:r>
          </w:p>
          <w:p w14:paraId="32C4614C">
            <w:pPr>
              <w:numPr>
                <w:ilvl w:val="-1"/>
                <w:numId w:val="0"/>
              </w:numPr>
              <w:spacing w:line="500" w:lineRule="exact"/>
              <w:ind w:firstLine="480"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废水污染物防治措施及排放情况</w:t>
            </w:r>
          </w:p>
          <w:p w14:paraId="5470D35C">
            <w:pPr>
              <w:numPr>
                <w:ilvl w:val="-1"/>
                <w:numId w:val="0"/>
              </w:numPr>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防治措施：</w:t>
            </w:r>
          </w:p>
          <w:p w14:paraId="5D29DEA2">
            <w:pPr>
              <w:numPr>
                <w:ilvl w:val="-1"/>
                <w:numId w:val="0"/>
              </w:numPr>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厂区已实行“雨污分流、清污分流”原则。</w:t>
            </w:r>
            <w:r>
              <w:rPr>
                <w:rFonts w:hint="eastAsia" w:ascii="Times New Roman" w:hAnsi="Times New Roman" w:eastAsia="宋体" w:cs="Times New Roman"/>
                <w:color w:val="auto"/>
                <w:sz w:val="24"/>
                <w:lang w:val="en-US" w:eastAsia="zh-CN"/>
              </w:rPr>
              <w:t>原有</w:t>
            </w:r>
            <w:r>
              <w:rPr>
                <w:rFonts w:hint="default" w:ascii="Times New Roman" w:hAnsi="Times New Roman" w:eastAsia="宋体" w:cs="Times New Roman"/>
                <w:color w:val="auto"/>
                <w:sz w:val="24"/>
              </w:rPr>
              <w:t>项目产生</w:t>
            </w:r>
            <w:r>
              <w:rPr>
                <w:rFonts w:hint="eastAsia" w:ascii="Times New Roman" w:hAnsi="Times New Roman" w:eastAsia="宋体" w:cs="Times New Roman"/>
                <w:color w:val="auto"/>
                <w:sz w:val="24"/>
                <w:lang w:val="en-US" w:eastAsia="zh-CN"/>
              </w:rPr>
              <w:t>的循环冷却水作为清下水排入雨水管网</w:t>
            </w:r>
            <w:r>
              <w:rPr>
                <w:rFonts w:hint="default" w:ascii="Times New Roman" w:hAnsi="Times New Roman" w:eastAsia="宋体" w:cs="Times New Roman"/>
                <w:color w:val="auto"/>
                <w:sz w:val="24"/>
              </w:rPr>
              <w:t>，生活污水接管至</w:t>
            </w:r>
            <w:r>
              <w:rPr>
                <w:rFonts w:hint="eastAsia" w:ascii="Times New Roman" w:hAnsi="Times New Roman" w:eastAsia="宋体" w:cs="Times New Roman"/>
                <w:color w:val="auto"/>
                <w:sz w:val="24"/>
                <w:lang w:val="en-US" w:eastAsia="zh-CN"/>
              </w:rPr>
              <w:t>金坛第二</w:t>
            </w:r>
            <w:r>
              <w:rPr>
                <w:rFonts w:hint="default" w:ascii="Times New Roman" w:hAnsi="Times New Roman" w:eastAsia="宋体" w:cs="Times New Roman"/>
                <w:color w:val="auto"/>
                <w:sz w:val="24"/>
              </w:rPr>
              <w:t>污水处理厂处理。</w:t>
            </w:r>
          </w:p>
          <w:p w14:paraId="4207C51F">
            <w:pPr>
              <w:numPr>
                <w:ilvl w:val="-1"/>
                <w:numId w:val="0"/>
              </w:numPr>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排放情况：根据企业检测报告【JS</w:t>
            </w:r>
            <w:r>
              <w:rPr>
                <w:rFonts w:hint="eastAsia" w:ascii="Times New Roman" w:hAnsi="Times New Roman" w:eastAsia="宋体" w:cs="Times New Roman"/>
                <w:color w:val="auto"/>
                <w:sz w:val="24"/>
                <w:lang w:val="en-US" w:eastAsia="zh-CN"/>
              </w:rPr>
              <w:t>JLW2502166</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废</w:t>
            </w:r>
            <w:r>
              <w:rPr>
                <w:rFonts w:hint="eastAsia" w:ascii="Times New Roman" w:hAnsi="Times New Roman" w:eastAsia="宋体" w:cs="Times New Roman"/>
                <w:color w:val="auto"/>
                <w:sz w:val="24"/>
                <w:lang w:val="en-US" w:eastAsia="zh-CN"/>
              </w:rPr>
              <w:t>水</w:t>
            </w:r>
            <w:r>
              <w:rPr>
                <w:rFonts w:hint="default" w:ascii="Times New Roman" w:hAnsi="Times New Roman" w:eastAsia="宋体" w:cs="Times New Roman"/>
                <w:color w:val="auto"/>
                <w:sz w:val="24"/>
              </w:rPr>
              <w:t>具体排放情况见下表。</w:t>
            </w:r>
          </w:p>
          <w:p w14:paraId="4D36FCD7">
            <w:pPr>
              <w:snapToGrid w:val="0"/>
              <w:spacing w:line="500" w:lineRule="atLeast"/>
              <w:ind w:firstLine="482"/>
              <w:jc w:val="center"/>
              <w:rPr>
                <w:b/>
                <w:bCs/>
                <w:color w:val="auto"/>
                <w:kern w:val="0"/>
              </w:rPr>
            </w:pPr>
            <w:r>
              <w:rPr>
                <w:rFonts w:hint="eastAsia" w:ascii="Times New Roman" w:hAnsi="Times New Roman" w:eastAsia="宋体" w:cs="Times New Roman"/>
                <w:b/>
                <w:bCs w:val="0"/>
                <w:color w:val="auto"/>
                <w:kern w:val="2"/>
                <w:sz w:val="24"/>
                <w:highlight w:val="none"/>
              </w:rPr>
              <w:t>表2-</w:t>
            </w:r>
            <w:r>
              <w:rPr>
                <w:rFonts w:hint="eastAsia" w:ascii="Times New Roman" w:hAnsi="Times New Roman" w:eastAsia="宋体" w:cs="Times New Roman"/>
                <w:b/>
                <w:bCs w:val="0"/>
                <w:color w:val="auto"/>
                <w:kern w:val="2"/>
                <w:sz w:val="24"/>
                <w:highlight w:val="none"/>
                <w:lang w:eastAsia="zh-CN"/>
              </w:rPr>
              <w:t>1</w:t>
            </w:r>
            <w:r>
              <w:rPr>
                <w:rFonts w:hint="eastAsia" w:ascii="Times New Roman" w:hAnsi="Times New Roman" w:eastAsia="宋体" w:cs="Times New Roman"/>
                <w:b/>
                <w:bCs w:val="0"/>
                <w:color w:val="auto"/>
                <w:kern w:val="2"/>
                <w:sz w:val="24"/>
                <w:highlight w:val="none"/>
                <w:lang w:val="en-US" w:eastAsia="zh-CN"/>
              </w:rPr>
              <w:t>3</w:t>
            </w:r>
            <w:r>
              <w:rPr>
                <w:rFonts w:hint="eastAsia" w:ascii="Times New Roman" w:hAnsi="Times New Roman" w:eastAsia="宋体" w:cs="Times New Roman"/>
                <w:b/>
                <w:bCs w:val="0"/>
                <w:color w:val="auto"/>
                <w:kern w:val="2"/>
                <w:sz w:val="24"/>
                <w:highlight w:val="none"/>
              </w:rPr>
              <w:t xml:space="preserve"> </w:t>
            </w:r>
            <w:r>
              <w:rPr>
                <w:rFonts w:hint="eastAsia" w:ascii="Times New Roman" w:hAnsi="Times New Roman" w:eastAsia="宋体" w:cs="Times New Roman"/>
                <w:b/>
                <w:bCs w:val="0"/>
                <w:color w:val="auto"/>
                <w:kern w:val="2"/>
                <w:sz w:val="24"/>
                <w:highlight w:val="none"/>
                <w:lang w:val="en-US" w:eastAsia="zh-CN"/>
              </w:rPr>
              <w:t xml:space="preserve"> </w:t>
            </w:r>
            <w:r>
              <w:rPr>
                <w:rFonts w:hint="eastAsia" w:ascii="Times New Roman" w:hAnsi="Times New Roman" w:eastAsia="宋体" w:cs="Times New Roman"/>
                <w:b/>
                <w:bCs w:val="0"/>
                <w:color w:val="auto"/>
                <w:kern w:val="2"/>
                <w:sz w:val="24"/>
                <w:highlight w:val="none"/>
              </w:rPr>
              <w:t>废水监测结果 单位：mg/L</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321"/>
              <w:gridCol w:w="2939"/>
              <w:gridCol w:w="2618"/>
            </w:tblGrid>
            <w:tr w14:paraId="28E44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5" w:type="pct"/>
                  <w:tcBorders>
                    <w:tl2br w:val="nil"/>
                    <w:tr2bl w:val="nil"/>
                  </w:tcBorders>
                  <w:noWrap w:val="0"/>
                  <w:vAlign w:val="center"/>
                </w:tcPr>
                <w:p w14:paraId="0D45603E">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790" w:type="pct"/>
                  <w:tcBorders>
                    <w:tl2br w:val="nil"/>
                    <w:tr2bl w:val="nil"/>
                  </w:tcBorders>
                  <w:noWrap w:val="0"/>
                  <w:vAlign w:val="center"/>
                </w:tcPr>
                <w:p w14:paraId="61DA2CC8">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监测日期</w:t>
                  </w:r>
                </w:p>
              </w:tc>
              <w:tc>
                <w:tcPr>
                  <w:tcW w:w="1758" w:type="pct"/>
                  <w:tcBorders>
                    <w:tl2br w:val="nil"/>
                    <w:tr2bl w:val="nil"/>
                  </w:tcBorders>
                  <w:noWrap w:val="0"/>
                  <w:vAlign w:val="center"/>
                </w:tcPr>
                <w:p w14:paraId="3AB4D7A2">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1566" w:type="pct"/>
                  <w:tcBorders>
                    <w:tl2br w:val="nil"/>
                    <w:tr2bl w:val="nil"/>
                  </w:tcBorders>
                  <w:noWrap w:val="0"/>
                  <w:vAlign w:val="center"/>
                </w:tcPr>
                <w:p w14:paraId="5048B17F">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监测结果</w:t>
                  </w:r>
                </w:p>
              </w:tc>
            </w:tr>
            <w:tr w14:paraId="0F598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pct"/>
                  <w:vMerge w:val="restart"/>
                  <w:tcBorders>
                    <w:tl2br w:val="nil"/>
                    <w:tr2bl w:val="nil"/>
                  </w:tcBorders>
                  <w:noWrap w:val="0"/>
                  <w:vAlign w:val="center"/>
                </w:tcPr>
                <w:p w14:paraId="2EE353C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污水总排口（DW001）</w:t>
                  </w:r>
                </w:p>
              </w:tc>
              <w:tc>
                <w:tcPr>
                  <w:tcW w:w="790" w:type="pct"/>
                  <w:vMerge w:val="restart"/>
                  <w:tcBorders>
                    <w:tl2br w:val="nil"/>
                    <w:tr2bl w:val="nil"/>
                  </w:tcBorders>
                  <w:noWrap w:val="0"/>
                  <w:vAlign w:val="center"/>
                </w:tcPr>
                <w:p w14:paraId="7F57E24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25</w:t>
                  </w:r>
                </w:p>
              </w:tc>
              <w:tc>
                <w:tcPr>
                  <w:tcW w:w="1758" w:type="pct"/>
                  <w:tcBorders>
                    <w:tl2br w:val="nil"/>
                    <w:tr2bl w:val="nil"/>
                  </w:tcBorders>
                  <w:noWrap w:val="0"/>
                  <w:vAlign w:val="center"/>
                </w:tcPr>
                <w:p w14:paraId="257A40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悬浮物</w:t>
                  </w:r>
                </w:p>
              </w:tc>
              <w:tc>
                <w:tcPr>
                  <w:tcW w:w="1566" w:type="pct"/>
                  <w:tcBorders>
                    <w:tl2br w:val="nil"/>
                    <w:tr2bl w:val="nil"/>
                  </w:tcBorders>
                  <w:noWrap w:val="0"/>
                  <w:vAlign w:val="center"/>
                </w:tcPr>
                <w:p w14:paraId="1D9BD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w:t>
                  </w:r>
                </w:p>
              </w:tc>
            </w:tr>
            <w:tr w14:paraId="17ABB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pct"/>
                  <w:vMerge w:val="continue"/>
                  <w:tcBorders>
                    <w:tl2br w:val="nil"/>
                    <w:tr2bl w:val="nil"/>
                  </w:tcBorders>
                  <w:noWrap w:val="0"/>
                  <w:vAlign w:val="center"/>
                </w:tcPr>
                <w:p w14:paraId="00A2B34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90" w:type="pct"/>
                  <w:vMerge w:val="continue"/>
                  <w:tcBorders>
                    <w:tl2br w:val="nil"/>
                    <w:tr2bl w:val="nil"/>
                  </w:tcBorders>
                  <w:noWrap w:val="0"/>
                  <w:vAlign w:val="center"/>
                </w:tcPr>
                <w:p w14:paraId="599DAC3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58" w:type="pct"/>
                  <w:tcBorders>
                    <w:tl2br w:val="nil"/>
                    <w:tr2bl w:val="nil"/>
                  </w:tcBorders>
                  <w:noWrap w:val="0"/>
                  <w:vAlign w:val="center"/>
                </w:tcPr>
                <w:p w14:paraId="213D71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化学需氧量</w:t>
                  </w:r>
                </w:p>
              </w:tc>
              <w:tc>
                <w:tcPr>
                  <w:tcW w:w="1566" w:type="pct"/>
                  <w:tcBorders>
                    <w:tl2br w:val="nil"/>
                    <w:tr2bl w:val="nil"/>
                  </w:tcBorders>
                  <w:noWrap w:val="0"/>
                  <w:vAlign w:val="center"/>
                </w:tcPr>
                <w:p w14:paraId="3C9BE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117</w:t>
                  </w:r>
                </w:p>
              </w:tc>
            </w:tr>
            <w:tr w14:paraId="73DF6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pct"/>
                  <w:vMerge w:val="continue"/>
                  <w:tcBorders>
                    <w:tl2br w:val="nil"/>
                    <w:tr2bl w:val="nil"/>
                  </w:tcBorders>
                  <w:noWrap w:val="0"/>
                  <w:vAlign w:val="center"/>
                </w:tcPr>
                <w:p w14:paraId="60938C3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90" w:type="pct"/>
                  <w:vMerge w:val="continue"/>
                  <w:tcBorders>
                    <w:tl2br w:val="nil"/>
                    <w:tr2bl w:val="nil"/>
                  </w:tcBorders>
                  <w:noWrap w:val="0"/>
                  <w:vAlign w:val="center"/>
                </w:tcPr>
                <w:p w14:paraId="68F9BB1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58" w:type="pct"/>
                  <w:tcBorders>
                    <w:tl2br w:val="nil"/>
                    <w:tr2bl w:val="nil"/>
                  </w:tcBorders>
                  <w:noWrap w:val="0"/>
                  <w:vAlign w:val="center"/>
                </w:tcPr>
                <w:p w14:paraId="7E9F5C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1566" w:type="pct"/>
                  <w:tcBorders>
                    <w:tl2br w:val="nil"/>
                    <w:tr2bl w:val="nil"/>
                  </w:tcBorders>
                  <w:noWrap w:val="0"/>
                  <w:vAlign w:val="center"/>
                </w:tcPr>
                <w:p w14:paraId="4DCE1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0.706</w:t>
                  </w:r>
                </w:p>
              </w:tc>
            </w:tr>
            <w:tr w14:paraId="24EE8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5" w:type="pct"/>
                  <w:vMerge w:val="continue"/>
                  <w:tcBorders>
                    <w:tl2br w:val="nil"/>
                    <w:tr2bl w:val="nil"/>
                  </w:tcBorders>
                  <w:noWrap w:val="0"/>
                  <w:vAlign w:val="center"/>
                </w:tcPr>
                <w:p w14:paraId="1057F03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90" w:type="pct"/>
                  <w:vMerge w:val="continue"/>
                  <w:tcBorders>
                    <w:tl2br w:val="nil"/>
                    <w:tr2bl w:val="nil"/>
                  </w:tcBorders>
                  <w:noWrap w:val="0"/>
                  <w:vAlign w:val="center"/>
                </w:tcPr>
                <w:p w14:paraId="77C518A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758" w:type="pct"/>
                  <w:tcBorders>
                    <w:tl2br w:val="nil"/>
                    <w:tr2bl w:val="nil"/>
                  </w:tcBorders>
                  <w:noWrap w:val="0"/>
                  <w:vAlign w:val="center"/>
                </w:tcPr>
                <w:p w14:paraId="739901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总磷</w:t>
                  </w:r>
                </w:p>
              </w:tc>
              <w:tc>
                <w:tcPr>
                  <w:tcW w:w="1566" w:type="pct"/>
                  <w:tcBorders>
                    <w:tl2br w:val="nil"/>
                    <w:tr2bl w:val="nil"/>
                  </w:tcBorders>
                  <w:noWrap w:val="0"/>
                  <w:vAlign w:val="center"/>
                </w:tcPr>
                <w:p w14:paraId="3CD69F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r>
          </w:tbl>
          <w:p w14:paraId="3FD15920">
            <w:pPr>
              <w:numPr>
                <w:ilvl w:val="-1"/>
                <w:numId w:val="0"/>
              </w:numPr>
              <w:spacing w:line="500" w:lineRule="exact"/>
              <w:ind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经监测，企业污水总排口中化学需氧量、悬浮物、氨氮、总磷排放浓度均符合金坛第二污水处理厂接管标准。</w:t>
            </w:r>
          </w:p>
          <w:p w14:paraId="5E7E7738">
            <w:pPr>
              <w:numPr>
                <w:ilvl w:val="-1"/>
                <w:numId w:val="0"/>
              </w:numPr>
              <w:spacing w:line="500" w:lineRule="exact"/>
              <w:ind w:firstLine="480"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大气污染防治措施及排放情况</w:t>
            </w:r>
          </w:p>
          <w:p w14:paraId="347170D9">
            <w:pPr>
              <w:numPr>
                <w:ilvl w:val="-1"/>
                <w:numId w:val="0"/>
              </w:numPr>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防治措施：</w:t>
            </w:r>
          </w:p>
          <w:p w14:paraId="086C93E0">
            <w:pPr>
              <w:numPr>
                <w:ilvl w:val="-1"/>
                <w:numId w:val="0"/>
              </w:numPr>
              <w:spacing w:line="500" w:lineRule="exact"/>
              <w:ind w:firstLine="480" w:firstLineChars="200"/>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原有</w:t>
            </w:r>
            <w:r>
              <w:rPr>
                <w:rFonts w:hint="default" w:ascii="Times New Roman" w:hAnsi="Times New Roman" w:eastAsia="宋体" w:cs="Times New Roman"/>
                <w:color w:val="auto"/>
                <w:sz w:val="24"/>
              </w:rPr>
              <w:t>项目涂布、烘干废气通过二级活性炭装置处理后通过15m高1#排气筒排放。</w:t>
            </w:r>
            <w:r>
              <w:rPr>
                <w:rFonts w:hint="eastAsia" w:ascii="Times New Roman" w:hAnsi="Times New Roman" w:eastAsia="宋体" w:cs="Times New Roman"/>
                <w:color w:val="auto"/>
                <w:sz w:val="24"/>
                <w:lang w:val="en-US" w:eastAsia="zh-CN"/>
              </w:rPr>
              <w:t>印刷废气直接无组织排放</w:t>
            </w:r>
            <w:r>
              <w:rPr>
                <w:rFonts w:hint="default" w:ascii="Times New Roman" w:hAnsi="Times New Roman" w:eastAsia="宋体" w:cs="Times New Roman"/>
                <w:color w:val="auto"/>
                <w:sz w:val="24"/>
              </w:rPr>
              <w:t>。</w:t>
            </w:r>
          </w:p>
          <w:p w14:paraId="792F8051">
            <w:pPr>
              <w:snapToGrid w:val="0"/>
              <w:spacing w:line="500" w:lineRule="atLeast"/>
              <w:ind w:firstLine="482"/>
              <w:jc w:val="center"/>
              <w:rPr>
                <w:b/>
                <w:bCs/>
                <w:color w:val="auto"/>
                <w:kern w:val="0"/>
              </w:rPr>
            </w:pPr>
            <w:r>
              <w:rPr>
                <w:rFonts w:hint="default" w:ascii="Times New Roman" w:hAnsi="Times New Roman" w:eastAsia="宋体" w:cs="Times New Roman"/>
                <w:color w:val="auto"/>
                <w:sz w:val="24"/>
              </w:rPr>
              <w:t>排放情况：根据企业检测报告【JS</w:t>
            </w:r>
            <w:r>
              <w:rPr>
                <w:rFonts w:hint="eastAsia" w:ascii="Times New Roman" w:hAnsi="Times New Roman" w:eastAsia="宋体" w:cs="Times New Roman"/>
                <w:color w:val="auto"/>
                <w:sz w:val="24"/>
                <w:lang w:val="en-US" w:eastAsia="zh-CN"/>
              </w:rPr>
              <w:t>JLW2502166</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废气具体排放情况见下表。</w:t>
            </w:r>
            <w:r>
              <w:rPr>
                <w:rFonts w:hint="eastAsia" w:ascii="Times New Roman" w:hAnsi="Times New Roman" w:eastAsia="宋体" w:cs="Times New Roman"/>
                <w:b/>
                <w:bCs w:val="0"/>
                <w:color w:val="auto"/>
                <w:kern w:val="2"/>
                <w:sz w:val="24"/>
                <w:highlight w:val="none"/>
              </w:rPr>
              <w:t>表2-1</w:t>
            </w:r>
            <w:r>
              <w:rPr>
                <w:rFonts w:hint="eastAsia" w:ascii="Times New Roman" w:hAnsi="Times New Roman" w:eastAsia="宋体" w:cs="Times New Roman"/>
                <w:b/>
                <w:bCs w:val="0"/>
                <w:color w:val="auto"/>
                <w:kern w:val="2"/>
                <w:sz w:val="24"/>
                <w:highlight w:val="none"/>
                <w:lang w:eastAsia="zh-CN"/>
              </w:rPr>
              <w:t>4</w:t>
            </w:r>
            <w:r>
              <w:rPr>
                <w:rFonts w:hint="eastAsia" w:ascii="Times New Roman" w:hAnsi="Times New Roman" w:eastAsia="宋体" w:cs="Times New Roman"/>
                <w:b/>
                <w:bCs w:val="0"/>
                <w:color w:val="auto"/>
                <w:kern w:val="2"/>
                <w:sz w:val="24"/>
                <w:highlight w:val="none"/>
              </w:rPr>
              <w:t xml:space="preserve"> </w:t>
            </w:r>
            <w:r>
              <w:rPr>
                <w:rFonts w:hint="eastAsia" w:ascii="Times New Roman" w:hAnsi="Times New Roman" w:eastAsia="宋体" w:cs="Times New Roman"/>
                <w:b/>
                <w:bCs w:val="0"/>
                <w:color w:val="auto"/>
                <w:kern w:val="2"/>
                <w:sz w:val="24"/>
                <w:highlight w:val="none"/>
                <w:lang w:val="en-US" w:eastAsia="zh-CN"/>
              </w:rPr>
              <w:t xml:space="preserve"> </w:t>
            </w:r>
            <w:r>
              <w:rPr>
                <w:rFonts w:hint="eastAsia" w:ascii="Times New Roman" w:hAnsi="Times New Roman" w:eastAsia="宋体" w:cs="Times New Roman"/>
                <w:b/>
                <w:bCs w:val="0"/>
                <w:color w:val="auto"/>
                <w:kern w:val="2"/>
                <w:sz w:val="24"/>
                <w:highlight w:val="none"/>
              </w:rPr>
              <w:t>有组织废气监测结果</w:t>
            </w:r>
            <w:r>
              <w:rPr>
                <w:b/>
                <w:bCs/>
                <w:color w:val="auto"/>
                <w:kern w:val="0"/>
              </w:rPr>
              <w:t xml:space="preserve"> </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746"/>
              <w:gridCol w:w="3532"/>
              <w:gridCol w:w="1652"/>
            </w:tblGrid>
            <w:tr w14:paraId="19254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54" w:type="pct"/>
                  <w:tcBorders>
                    <w:tl2br w:val="nil"/>
                    <w:tr2bl w:val="nil"/>
                  </w:tcBorders>
                  <w:noWrap w:val="0"/>
                  <w:vAlign w:val="center"/>
                </w:tcPr>
                <w:p w14:paraId="2894C38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监测时间</w:t>
                  </w:r>
                </w:p>
              </w:tc>
              <w:tc>
                <w:tcPr>
                  <w:tcW w:w="1044" w:type="pct"/>
                  <w:tcBorders>
                    <w:tl2br w:val="nil"/>
                    <w:tr2bl w:val="nil"/>
                  </w:tcBorders>
                  <w:noWrap w:val="0"/>
                  <w:vAlign w:val="center"/>
                </w:tcPr>
                <w:p w14:paraId="6F6C2957">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2112" w:type="pct"/>
                  <w:tcBorders>
                    <w:tl2br w:val="nil"/>
                    <w:tr2bl w:val="nil"/>
                  </w:tcBorders>
                  <w:noWrap w:val="0"/>
                  <w:vAlign w:val="center"/>
                </w:tcPr>
                <w:p w14:paraId="151525AC">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988" w:type="pct"/>
                  <w:tcBorders>
                    <w:tl2br w:val="nil"/>
                    <w:tr2bl w:val="nil"/>
                  </w:tcBorders>
                  <w:noWrap w:val="0"/>
                  <w:vAlign w:val="center"/>
                </w:tcPr>
                <w:p w14:paraId="41642FF4">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监测结果</w:t>
                  </w:r>
                </w:p>
              </w:tc>
            </w:tr>
            <w:tr w14:paraId="7E3A5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vMerge w:val="restart"/>
                  <w:tcBorders>
                    <w:tl2br w:val="nil"/>
                    <w:tr2bl w:val="nil"/>
                  </w:tcBorders>
                  <w:noWrap w:val="0"/>
                  <w:vAlign w:val="center"/>
                </w:tcPr>
                <w:p w14:paraId="2D135AE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2025.2.25</w:t>
                  </w:r>
                </w:p>
              </w:tc>
              <w:tc>
                <w:tcPr>
                  <w:tcW w:w="1044" w:type="pct"/>
                  <w:vMerge w:val="restart"/>
                  <w:tcBorders>
                    <w:tl2br w:val="nil"/>
                    <w:tr2bl w:val="nil"/>
                  </w:tcBorders>
                  <w:noWrap w:val="0"/>
                  <w:vAlign w:val="center"/>
                </w:tcPr>
                <w:p w14:paraId="797A0134">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1#出口</w:t>
                  </w:r>
                </w:p>
              </w:tc>
              <w:tc>
                <w:tcPr>
                  <w:tcW w:w="2112" w:type="pct"/>
                  <w:tcBorders>
                    <w:tl2br w:val="nil"/>
                    <w:tr2bl w:val="nil"/>
                  </w:tcBorders>
                  <w:noWrap w:val="0"/>
                  <w:vAlign w:val="center"/>
                </w:tcPr>
                <w:p w14:paraId="0A6D86D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挥发性有机物</w:t>
                  </w:r>
                  <w:r>
                    <w:rPr>
                      <w:rFonts w:hint="default" w:ascii="Times New Roman" w:hAnsi="Times New Roman" w:eastAsia="宋体" w:cs="Times New Roman"/>
                      <w:color w:val="auto"/>
                      <w:sz w:val="21"/>
                      <w:szCs w:val="21"/>
                    </w:rPr>
                    <w:t>排放速率（kg/h）</w:t>
                  </w:r>
                </w:p>
              </w:tc>
              <w:tc>
                <w:tcPr>
                  <w:tcW w:w="988" w:type="pct"/>
                  <w:tcBorders>
                    <w:tl2br w:val="nil"/>
                    <w:tr2bl w:val="nil"/>
                  </w:tcBorders>
                  <w:noWrap w:val="0"/>
                  <w:vAlign w:val="center"/>
                </w:tcPr>
                <w:p w14:paraId="381ADA19">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10</w:t>
                  </w:r>
                </w:p>
              </w:tc>
            </w:tr>
            <w:tr w14:paraId="38E7C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vMerge w:val="continue"/>
                  <w:tcBorders>
                    <w:tl2br w:val="nil"/>
                    <w:tr2bl w:val="nil"/>
                  </w:tcBorders>
                  <w:noWrap w:val="0"/>
                  <w:vAlign w:val="center"/>
                </w:tcPr>
                <w:p w14:paraId="61D7910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44" w:type="pct"/>
                  <w:vMerge w:val="continue"/>
                  <w:tcBorders>
                    <w:tl2br w:val="nil"/>
                    <w:tr2bl w:val="nil"/>
                  </w:tcBorders>
                  <w:noWrap w:val="0"/>
                  <w:vAlign w:val="center"/>
                </w:tcPr>
                <w:p w14:paraId="4592447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2112" w:type="pct"/>
                  <w:tcBorders>
                    <w:tl2br w:val="nil"/>
                    <w:tr2bl w:val="nil"/>
                  </w:tcBorders>
                  <w:noWrap w:val="0"/>
                  <w:vAlign w:val="center"/>
                </w:tcPr>
                <w:p w14:paraId="44DD79A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挥发性有机物</w:t>
                  </w: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988" w:type="pct"/>
                  <w:tcBorders>
                    <w:tl2br w:val="nil"/>
                    <w:tr2bl w:val="nil"/>
                  </w:tcBorders>
                  <w:noWrap w:val="0"/>
                  <w:vAlign w:val="center"/>
                </w:tcPr>
                <w:p w14:paraId="4CD380AC">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1.05</w:t>
                  </w:r>
                </w:p>
              </w:tc>
            </w:tr>
          </w:tbl>
          <w:p w14:paraId="5282D3B6">
            <w:pPr>
              <w:snapToGrid w:val="0"/>
              <w:spacing w:line="500" w:lineRule="atLeast"/>
              <w:ind w:firstLine="482"/>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经监测，</w:t>
            </w:r>
            <w:r>
              <w:rPr>
                <w:rFonts w:hint="default"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排气筒中</w:t>
            </w:r>
            <w:r>
              <w:rPr>
                <w:rFonts w:hint="eastAsia" w:ascii="Times New Roman" w:hAnsi="Times New Roman" w:eastAsia="宋体" w:cs="Times New Roman"/>
                <w:color w:val="auto"/>
                <w:kern w:val="0"/>
                <w:sz w:val="24"/>
                <w:szCs w:val="24"/>
                <w:lang w:val="en-US" w:eastAsia="zh-CN"/>
              </w:rPr>
              <w:t>挥发性有机物（以非甲烷总烃计）</w:t>
            </w:r>
            <w:r>
              <w:rPr>
                <w:rFonts w:hint="default" w:ascii="Times New Roman" w:hAnsi="Times New Roman" w:eastAsia="宋体" w:cs="Times New Roman"/>
                <w:color w:val="auto"/>
                <w:kern w:val="0"/>
                <w:sz w:val="24"/>
                <w:szCs w:val="24"/>
              </w:rPr>
              <w:t>排放速率、浓度符合《大气污染物综合排放标准》（DB32/4041-2021）表</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限值。</w:t>
            </w:r>
          </w:p>
          <w:p w14:paraId="2C59BCD1">
            <w:pPr>
              <w:snapToGrid w:val="0"/>
              <w:spacing w:line="500" w:lineRule="atLeast"/>
              <w:ind w:firstLine="482"/>
              <w:jc w:val="center"/>
              <w:rPr>
                <w:b/>
                <w:bCs/>
                <w:color w:val="auto"/>
                <w:kern w:val="0"/>
              </w:rPr>
            </w:pPr>
            <w:r>
              <w:rPr>
                <w:rFonts w:hint="eastAsia" w:ascii="Times New Roman" w:hAnsi="Times New Roman" w:eastAsia="宋体" w:cs="Times New Roman"/>
                <w:b/>
                <w:bCs w:val="0"/>
                <w:color w:val="auto"/>
                <w:kern w:val="2"/>
                <w:sz w:val="24"/>
                <w:highlight w:val="none"/>
              </w:rPr>
              <w:t>表2-1</w:t>
            </w:r>
            <w:r>
              <w:rPr>
                <w:rFonts w:hint="eastAsia" w:ascii="Times New Roman" w:hAnsi="Times New Roman" w:eastAsia="宋体" w:cs="Times New Roman"/>
                <w:b/>
                <w:bCs w:val="0"/>
                <w:color w:val="auto"/>
                <w:kern w:val="2"/>
                <w:sz w:val="24"/>
                <w:highlight w:val="none"/>
                <w:lang w:eastAsia="zh-CN"/>
              </w:rPr>
              <w:t>5</w:t>
            </w:r>
            <w:r>
              <w:rPr>
                <w:rFonts w:hint="eastAsia" w:ascii="Times New Roman" w:hAnsi="Times New Roman" w:eastAsia="宋体" w:cs="Times New Roman"/>
                <w:b/>
                <w:bCs w:val="0"/>
                <w:color w:val="auto"/>
                <w:kern w:val="2"/>
                <w:sz w:val="24"/>
                <w:highlight w:val="none"/>
                <w:lang w:val="en-US" w:eastAsia="zh-CN"/>
              </w:rPr>
              <w:t xml:space="preserve"> </w:t>
            </w:r>
            <w:r>
              <w:rPr>
                <w:rFonts w:hint="eastAsia" w:ascii="Times New Roman" w:hAnsi="Times New Roman" w:eastAsia="宋体" w:cs="Times New Roman"/>
                <w:b/>
                <w:bCs w:val="0"/>
                <w:color w:val="auto"/>
                <w:kern w:val="2"/>
                <w:sz w:val="24"/>
                <w:highlight w:val="none"/>
              </w:rPr>
              <w:t xml:space="preserve"> 无组织废气监测结果</w:t>
            </w:r>
            <w:r>
              <w:rPr>
                <w:b/>
                <w:bCs/>
                <w:color w:val="auto"/>
                <w:kern w:val="0"/>
              </w:rPr>
              <w:t xml:space="preserve"> </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576"/>
              <w:gridCol w:w="1815"/>
              <w:gridCol w:w="1179"/>
              <w:gridCol w:w="1179"/>
              <w:gridCol w:w="1196"/>
            </w:tblGrid>
            <w:tr w14:paraId="455A4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45" w:type="pct"/>
                  <w:vMerge w:val="restart"/>
                  <w:tcBorders>
                    <w:bottom w:val="single" w:color="auto" w:sz="12" w:space="0"/>
                  </w:tcBorders>
                  <w:noWrap w:val="0"/>
                  <w:vAlign w:val="center"/>
                </w:tcPr>
                <w:p w14:paraId="35FF11AD">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942" w:type="pct"/>
                  <w:vMerge w:val="restart"/>
                  <w:tcBorders>
                    <w:bottom w:val="single" w:color="auto" w:sz="12" w:space="0"/>
                  </w:tcBorders>
                  <w:noWrap w:val="0"/>
                  <w:vAlign w:val="center"/>
                </w:tcPr>
                <w:p w14:paraId="555E6141">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监测日期</w:t>
                  </w:r>
                </w:p>
              </w:tc>
              <w:tc>
                <w:tcPr>
                  <w:tcW w:w="1085" w:type="pct"/>
                  <w:vMerge w:val="restart"/>
                  <w:tcBorders>
                    <w:bottom w:val="single" w:color="auto" w:sz="12" w:space="0"/>
                  </w:tcBorders>
                  <w:noWrap w:val="0"/>
                  <w:vAlign w:val="center"/>
                </w:tcPr>
                <w:p w14:paraId="31AF016A">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2125" w:type="pct"/>
                  <w:gridSpan w:val="3"/>
                  <w:noWrap w:val="0"/>
                  <w:vAlign w:val="center"/>
                </w:tcPr>
                <w:p w14:paraId="008904A9">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监测结果（mg/m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r>
            <w:tr w14:paraId="3B8C0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Merge w:val="continue"/>
                  <w:tcBorders>
                    <w:top w:val="single" w:color="auto" w:sz="12" w:space="0"/>
                    <w:bottom w:val="single" w:color="auto" w:sz="12" w:space="0"/>
                    <w:tl2br w:val="nil"/>
                    <w:tr2bl w:val="nil"/>
                  </w:tcBorders>
                  <w:noWrap w:val="0"/>
                  <w:vAlign w:val="center"/>
                </w:tcPr>
                <w:p w14:paraId="33D1A81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942" w:type="pct"/>
                  <w:vMerge w:val="continue"/>
                  <w:tcBorders>
                    <w:top w:val="single" w:color="auto" w:sz="12" w:space="0"/>
                    <w:bottom w:val="single" w:color="auto" w:sz="12" w:space="0"/>
                    <w:tl2br w:val="nil"/>
                    <w:tr2bl w:val="nil"/>
                  </w:tcBorders>
                  <w:noWrap w:val="0"/>
                  <w:vAlign w:val="center"/>
                </w:tcPr>
                <w:p w14:paraId="6E56ECB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85" w:type="pct"/>
                  <w:vMerge w:val="continue"/>
                  <w:tcBorders>
                    <w:top w:val="single" w:color="auto" w:sz="12" w:space="0"/>
                    <w:bottom w:val="single" w:color="auto" w:sz="12" w:space="0"/>
                    <w:tl2br w:val="nil"/>
                    <w:tr2bl w:val="nil"/>
                  </w:tcBorders>
                  <w:noWrap w:val="0"/>
                  <w:vAlign w:val="center"/>
                </w:tcPr>
                <w:p w14:paraId="4554184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05" w:type="pct"/>
                  <w:tcBorders>
                    <w:bottom w:val="single" w:color="auto" w:sz="12" w:space="0"/>
                  </w:tcBorders>
                  <w:noWrap w:val="0"/>
                  <w:vAlign w:val="center"/>
                </w:tcPr>
                <w:p w14:paraId="7E238F5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05" w:type="pct"/>
                  <w:tcBorders>
                    <w:bottom w:val="single" w:color="auto" w:sz="12" w:space="0"/>
                  </w:tcBorders>
                  <w:noWrap w:val="0"/>
                  <w:vAlign w:val="center"/>
                </w:tcPr>
                <w:p w14:paraId="5F19B71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15" w:type="pct"/>
                  <w:tcBorders>
                    <w:bottom w:val="single" w:color="auto" w:sz="12" w:space="0"/>
                  </w:tcBorders>
                  <w:noWrap w:val="0"/>
                  <w:vAlign w:val="center"/>
                </w:tcPr>
                <w:p w14:paraId="63413B1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14:paraId="7F9469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Merge w:val="restart"/>
                  <w:tcBorders>
                    <w:top w:val="single" w:color="auto" w:sz="12" w:space="0"/>
                    <w:tl2br w:val="nil"/>
                    <w:tr2bl w:val="nil"/>
                  </w:tcBorders>
                  <w:noWrap w:val="0"/>
                  <w:vAlign w:val="center"/>
                </w:tcPr>
                <w:p w14:paraId="420D10F7">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挥发性有机物</w:t>
                  </w:r>
                </w:p>
              </w:tc>
              <w:tc>
                <w:tcPr>
                  <w:tcW w:w="942" w:type="pct"/>
                  <w:vMerge w:val="restart"/>
                  <w:tcBorders>
                    <w:top w:val="single" w:color="auto" w:sz="12" w:space="0"/>
                    <w:tl2br w:val="nil"/>
                    <w:tr2bl w:val="nil"/>
                  </w:tcBorders>
                  <w:noWrap w:val="0"/>
                  <w:vAlign w:val="center"/>
                </w:tcPr>
                <w:p w14:paraId="5D60E66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2025.2.25</w:t>
                  </w:r>
                </w:p>
              </w:tc>
              <w:tc>
                <w:tcPr>
                  <w:tcW w:w="1085" w:type="pct"/>
                  <w:tcBorders>
                    <w:top w:val="single" w:color="auto" w:sz="12" w:space="0"/>
                    <w:tl2br w:val="nil"/>
                    <w:tr2bl w:val="nil"/>
                  </w:tcBorders>
                  <w:noWrap w:val="0"/>
                  <w:vAlign w:val="center"/>
                </w:tcPr>
                <w:p w14:paraId="1E49637C">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G1</w:t>
                  </w:r>
                </w:p>
              </w:tc>
              <w:tc>
                <w:tcPr>
                  <w:tcW w:w="705" w:type="pct"/>
                  <w:tcBorders>
                    <w:top w:val="single" w:color="auto" w:sz="12" w:space="0"/>
                    <w:tl2br w:val="nil"/>
                    <w:tr2bl w:val="nil"/>
                  </w:tcBorders>
                  <w:noWrap w:val="0"/>
                  <w:vAlign w:val="center"/>
                </w:tcPr>
                <w:p w14:paraId="0D9FCFAC">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0.74</w:t>
                  </w:r>
                </w:p>
              </w:tc>
              <w:tc>
                <w:tcPr>
                  <w:tcW w:w="705" w:type="pct"/>
                  <w:tcBorders>
                    <w:top w:val="single" w:color="auto" w:sz="12" w:space="0"/>
                    <w:tl2br w:val="nil"/>
                    <w:tr2bl w:val="nil"/>
                  </w:tcBorders>
                  <w:noWrap w:val="0"/>
                  <w:vAlign w:val="center"/>
                </w:tcPr>
                <w:p w14:paraId="2B05EC48">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0.70</w:t>
                  </w:r>
                </w:p>
              </w:tc>
              <w:tc>
                <w:tcPr>
                  <w:tcW w:w="715" w:type="pct"/>
                  <w:tcBorders>
                    <w:top w:val="single" w:color="auto" w:sz="12" w:space="0"/>
                    <w:tl2br w:val="nil"/>
                    <w:tr2bl w:val="nil"/>
                  </w:tcBorders>
                  <w:noWrap w:val="0"/>
                  <w:vAlign w:val="center"/>
                </w:tcPr>
                <w:p w14:paraId="0BFCF2EB">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0.63</w:t>
                  </w:r>
                </w:p>
              </w:tc>
            </w:tr>
            <w:tr w14:paraId="2F9F3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Merge w:val="continue"/>
                  <w:tcBorders>
                    <w:tl2br w:val="nil"/>
                    <w:tr2bl w:val="nil"/>
                  </w:tcBorders>
                  <w:noWrap w:val="0"/>
                  <w:vAlign w:val="center"/>
                </w:tcPr>
                <w:p w14:paraId="356A571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942" w:type="pct"/>
                  <w:vMerge w:val="continue"/>
                  <w:tcBorders>
                    <w:tl2br w:val="nil"/>
                    <w:tr2bl w:val="nil"/>
                  </w:tcBorders>
                  <w:noWrap w:val="0"/>
                  <w:vAlign w:val="center"/>
                </w:tcPr>
                <w:p w14:paraId="34E423A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85" w:type="pct"/>
                  <w:tcBorders>
                    <w:tl2br w:val="nil"/>
                    <w:tr2bl w:val="nil"/>
                  </w:tcBorders>
                  <w:noWrap w:val="0"/>
                  <w:vAlign w:val="center"/>
                </w:tcPr>
                <w:p w14:paraId="06BABD9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G2</w:t>
                  </w:r>
                </w:p>
              </w:tc>
              <w:tc>
                <w:tcPr>
                  <w:tcW w:w="705" w:type="pct"/>
                  <w:tcBorders>
                    <w:tl2br w:val="nil"/>
                    <w:tr2bl w:val="nil"/>
                  </w:tcBorders>
                  <w:noWrap w:val="0"/>
                  <w:vAlign w:val="center"/>
                </w:tcPr>
                <w:p w14:paraId="6E0869CB">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99</w:t>
                  </w:r>
                </w:p>
              </w:tc>
              <w:tc>
                <w:tcPr>
                  <w:tcW w:w="705" w:type="pct"/>
                  <w:tcBorders>
                    <w:tl2br w:val="nil"/>
                    <w:tr2bl w:val="nil"/>
                  </w:tcBorders>
                  <w:noWrap w:val="0"/>
                  <w:vAlign w:val="center"/>
                </w:tcPr>
                <w:p w14:paraId="64B58A68">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1.17</w:t>
                  </w:r>
                </w:p>
              </w:tc>
              <w:tc>
                <w:tcPr>
                  <w:tcW w:w="715" w:type="pct"/>
                  <w:tcBorders>
                    <w:tl2br w:val="nil"/>
                    <w:tr2bl w:val="nil"/>
                  </w:tcBorders>
                  <w:noWrap w:val="0"/>
                  <w:vAlign w:val="center"/>
                </w:tcPr>
                <w:p w14:paraId="41F7DC81">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05</w:t>
                  </w:r>
                </w:p>
              </w:tc>
            </w:tr>
            <w:tr w14:paraId="6CBC2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Merge w:val="continue"/>
                  <w:tcBorders>
                    <w:tl2br w:val="nil"/>
                    <w:tr2bl w:val="nil"/>
                  </w:tcBorders>
                  <w:noWrap w:val="0"/>
                  <w:vAlign w:val="center"/>
                </w:tcPr>
                <w:p w14:paraId="563D6B2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942" w:type="pct"/>
                  <w:vMerge w:val="continue"/>
                  <w:tcBorders>
                    <w:tl2br w:val="nil"/>
                    <w:tr2bl w:val="nil"/>
                  </w:tcBorders>
                  <w:noWrap w:val="0"/>
                  <w:vAlign w:val="center"/>
                </w:tcPr>
                <w:p w14:paraId="1D560D9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85" w:type="pct"/>
                  <w:tcBorders>
                    <w:tl2br w:val="nil"/>
                    <w:tr2bl w:val="nil"/>
                  </w:tcBorders>
                  <w:noWrap w:val="0"/>
                  <w:vAlign w:val="center"/>
                </w:tcPr>
                <w:p w14:paraId="4603C97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G3</w:t>
                  </w:r>
                </w:p>
              </w:tc>
              <w:tc>
                <w:tcPr>
                  <w:tcW w:w="705" w:type="pct"/>
                  <w:tcBorders>
                    <w:tl2br w:val="nil"/>
                    <w:tr2bl w:val="nil"/>
                  </w:tcBorders>
                  <w:noWrap w:val="0"/>
                  <w:vAlign w:val="center"/>
                </w:tcPr>
                <w:p w14:paraId="768C5739">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06</w:t>
                  </w:r>
                </w:p>
              </w:tc>
              <w:tc>
                <w:tcPr>
                  <w:tcW w:w="705" w:type="pct"/>
                  <w:tcBorders>
                    <w:tl2br w:val="nil"/>
                    <w:tr2bl w:val="nil"/>
                  </w:tcBorders>
                  <w:noWrap w:val="0"/>
                  <w:vAlign w:val="center"/>
                </w:tcPr>
                <w:p w14:paraId="7DD20929">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04</w:t>
                  </w:r>
                </w:p>
              </w:tc>
              <w:tc>
                <w:tcPr>
                  <w:tcW w:w="715" w:type="pct"/>
                  <w:tcBorders>
                    <w:tl2br w:val="nil"/>
                    <w:tr2bl w:val="nil"/>
                  </w:tcBorders>
                  <w:noWrap w:val="0"/>
                  <w:vAlign w:val="center"/>
                </w:tcPr>
                <w:p w14:paraId="126CB696">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08</w:t>
                  </w:r>
                </w:p>
              </w:tc>
            </w:tr>
            <w:tr w14:paraId="24D58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Merge w:val="continue"/>
                  <w:tcBorders>
                    <w:tl2br w:val="nil"/>
                    <w:tr2bl w:val="nil"/>
                  </w:tcBorders>
                  <w:noWrap w:val="0"/>
                  <w:vAlign w:val="center"/>
                </w:tcPr>
                <w:p w14:paraId="7305B66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942" w:type="pct"/>
                  <w:vMerge w:val="continue"/>
                  <w:tcBorders>
                    <w:tl2br w:val="nil"/>
                    <w:tr2bl w:val="nil"/>
                  </w:tcBorders>
                  <w:noWrap w:val="0"/>
                  <w:vAlign w:val="center"/>
                </w:tcPr>
                <w:p w14:paraId="4890B5F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085" w:type="pct"/>
                  <w:tcBorders>
                    <w:tl2br w:val="nil"/>
                    <w:tr2bl w:val="nil"/>
                  </w:tcBorders>
                  <w:noWrap w:val="0"/>
                  <w:vAlign w:val="center"/>
                </w:tcPr>
                <w:p w14:paraId="369952CE">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G4</w:t>
                  </w:r>
                </w:p>
              </w:tc>
              <w:tc>
                <w:tcPr>
                  <w:tcW w:w="705" w:type="pct"/>
                  <w:tcBorders>
                    <w:tl2br w:val="nil"/>
                    <w:tr2bl w:val="nil"/>
                  </w:tcBorders>
                  <w:noWrap w:val="0"/>
                  <w:vAlign w:val="center"/>
                </w:tcPr>
                <w:p w14:paraId="33C7F90D">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1.12</w:t>
                  </w:r>
                </w:p>
              </w:tc>
              <w:tc>
                <w:tcPr>
                  <w:tcW w:w="705" w:type="pct"/>
                  <w:tcBorders>
                    <w:tl2br w:val="nil"/>
                    <w:tr2bl w:val="nil"/>
                  </w:tcBorders>
                  <w:noWrap w:val="0"/>
                  <w:vAlign w:val="center"/>
                </w:tcPr>
                <w:p w14:paraId="533F9E64">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21</w:t>
                  </w:r>
                </w:p>
              </w:tc>
              <w:tc>
                <w:tcPr>
                  <w:tcW w:w="715" w:type="pct"/>
                  <w:tcBorders>
                    <w:tl2br w:val="nil"/>
                    <w:tr2bl w:val="nil"/>
                  </w:tcBorders>
                  <w:noWrap w:val="0"/>
                  <w:vAlign w:val="center"/>
                </w:tcPr>
                <w:p w14:paraId="6940BA8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r>
          </w:tbl>
          <w:p w14:paraId="7DB8D8B5">
            <w:pPr>
              <w:numPr>
                <w:ilvl w:val="-1"/>
                <w:numId w:val="0"/>
              </w:numPr>
              <w:spacing w:line="500" w:lineRule="exact"/>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经监测，</w:t>
            </w:r>
            <w:r>
              <w:rPr>
                <w:rFonts w:hint="eastAsia" w:ascii="Times New Roman" w:hAnsi="Times New Roman" w:eastAsia="宋体" w:cs="Times New Roman"/>
                <w:color w:val="auto"/>
                <w:kern w:val="0"/>
                <w:sz w:val="24"/>
                <w:szCs w:val="24"/>
                <w:lang w:val="en-US" w:eastAsia="zh-CN"/>
              </w:rPr>
              <w:t>挥发性有机物（以非甲烷总烃计）</w:t>
            </w:r>
            <w:r>
              <w:rPr>
                <w:rFonts w:hint="default" w:ascii="Times New Roman" w:hAnsi="Times New Roman" w:eastAsia="宋体" w:cs="Times New Roman"/>
                <w:color w:val="auto"/>
                <w:kern w:val="0"/>
                <w:sz w:val="24"/>
                <w:szCs w:val="24"/>
              </w:rPr>
              <w:t>排放浓度符合《大气污染物综合排放标准》（DB32/4041-2021）表</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限值。</w:t>
            </w:r>
          </w:p>
          <w:p w14:paraId="3B333859">
            <w:pPr>
              <w:numPr>
                <w:ilvl w:val="-1"/>
                <w:numId w:val="0"/>
              </w:numPr>
              <w:spacing w:line="500" w:lineRule="exact"/>
              <w:ind w:firstLine="480" w:firstLineChars="200"/>
              <w:jc w:val="left"/>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噪声污染防治措施及排放情况</w:t>
            </w:r>
          </w:p>
          <w:p w14:paraId="6AFC1096">
            <w:pPr>
              <w:numPr>
                <w:ilvl w:val="-1"/>
                <w:numId w:val="0"/>
              </w:numPr>
              <w:spacing w:line="500" w:lineRule="exact"/>
              <w:ind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防治措施：项目合理布置厂房，高噪声生产设备设置在厂房内远离厂界的位置，对机械噪声采取隔声、减震、安装隔声垫等降噪措施。</w:t>
            </w:r>
          </w:p>
          <w:p w14:paraId="4FA4EF05">
            <w:pPr>
              <w:snapToGrid w:val="0"/>
              <w:spacing w:line="500" w:lineRule="atLeast"/>
              <w:ind w:left="0" w:leftChars="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根据企业检测报告【JS</w:t>
            </w:r>
            <w:r>
              <w:rPr>
                <w:rFonts w:hint="eastAsia" w:ascii="Times New Roman" w:hAnsi="Times New Roman" w:eastAsia="宋体" w:cs="Times New Roman"/>
                <w:color w:val="auto"/>
                <w:sz w:val="24"/>
                <w:lang w:val="en-US" w:eastAsia="zh-CN"/>
              </w:rPr>
              <w:t>JLW2502166</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噪声检测</w:t>
            </w:r>
            <w:r>
              <w:rPr>
                <w:rFonts w:hint="default" w:ascii="Times New Roman" w:hAnsi="Times New Roman" w:eastAsia="宋体" w:cs="Times New Roman"/>
                <w:color w:val="auto"/>
                <w:sz w:val="24"/>
              </w:rPr>
              <w:t>情况见下表。</w:t>
            </w:r>
          </w:p>
          <w:p w14:paraId="38AD32B2">
            <w:pPr>
              <w:snapToGrid w:val="0"/>
              <w:spacing w:line="500" w:lineRule="atLeast"/>
              <w:ind w:left="0" w:leftChars="0" w:firstLine="0" w:firstLineChars="0"/>
              <w:jc w:val="center"/>
              <w:rPr>
                <w:b/>
                <w:bCs/>
                <w:color w:val="auto"/>
                <w:kern w:val="0"/>
              </w:rPr>
            </w:pPr>
            <w:r>
              <w:rPr>
                <w:rFonts w:hint="eastAsia" w:ascii="Times New Roman" w:hAnsi="Times New Roman" w:eastAsia="宋体" w:cs="Times New Roman"/>
                <w:b/>
                <w:bCs w:val="0"/>
                <w:color w:val="auto"/>
                <w:kern w:val="2"/>
                <w:sz w:val="24"/>
                <w:highlight w:val="none"/>
              </w:rPr>
              <w:t>表2-1</w:t>
            </w:r>
            <w:r>
              <w:rPr>
                <w:rFonts w:hint="eastAsia" w:ascii="Times New Roman" w:hAnsi="Times New Roman" w:eastAsia="宋体" w:cs="Times New Roman"/>
                <w:b/>
                <w:bCs w:val="0"/>
                <w:color w:val="auto"/>
                <w:kern w:val="2"/>
                <w:sz w:val="24"/>
                <w:highlight w:val="none"/>
                <w:lang w:eastAsia="zh-CN"/>
              </w:rPr>
              <w:t>6</w:t>
            </w:r>
            <w:r>
              <w:rPr>
                <w:rFonts w:hint="eastAsia" w:ascii="Times New Roman" w:hAnsi="Times New Roman" w:eastAsia="宋体" w:cs="Times New Roman"/>
                <w:b/>
                <w:bCs w:val="0"/>
                <w:color w:val="auto"/>
                <w:kern w:val="2"/>
                <w:sz w:val="24"/>
                <w:highlight w:val="none"/>
              </w:rPr>
              <w:t xml:space="preserve"> </w:t>
            </w:r>
            <w:r>
              <w:rPr>
                <w:rFonts w:hint="eastAsia" w:ascii="Times New Roman" w:hAnsi="Times New Roman" w:eastAsia="宋体" w:cs="Times New Roman"/>
                <w:b/>
                <w:bCs w:val="0"/>
                <w:color w:val="auto"/>
                <w:kern w:val="2"/>
                <w:sz w:val="24"/>
                <w:highlight w:val="none"/>
                <w:lang w:val="en-US" w:eastAsia="zh-CN"/>
              </w:rPr>
              <w:t xml:space="preserve"> </w:t>
            </w:r>
            <w:r>
              <w:rPr>
                <w:rFonts w:hint="eastAsia" w:ascii="Times New Roman" w:hAnsi="Times New Roman" w:eastAsia="宋体" w:cs="Times New Roman"/>
                <w:b/>
                <w:bCs w:val="0"/>
                <w:color w:val="auto"/>
                <w:kern w:val="2"/>
                <w:sz w:val="24"/>
                <w:highlight w:val="none"/>
              </w:rPr>
              <w:t>噪声监测结果</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2090"/>
              <w:gridCol w:w="4180"/>
            </w:tblGrid>
            <w:tr w14:paraId="377B8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restart"/>
                  <w:tcBorders>
                    <w:tl2br w:val="nil"/>
                    <w:tr2bl w:val="nil"/>
                  </w:tcBorders>
                  <w:noWrap w:val="0"/>
                  <w:vAlign w:val="center"/>
                </w:tcPr>
                <w:p w14:paraId="67DE483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监测时间</w:t>
                  </w:r>
                </w:p>
              </w:tc>
              <w:tc>
                <w:tcPr>
                  <w:tcW w:w="1250" w:type="pct"/>
                  <w:vMerge w:val="restart"/>
                  <w:tcBorders>
                    <w:tl2br w:val="nil"/>
                    <w:tr2bl w:val="nil"/>
                  </w:tcBorders>
                  <w:noWrap w:val="0"/>
                  <w:vAlign w:val="center"/>
                </w:tcPr>
                <w:p w14:paraId="53358C8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监测点位</w:t>
                  </w:r>
                </w:p>
              </w:tc>
              <w:tc>
                <w:tcPr>
                  <w:tcW w:w="2500" w:type="pct"/>
                  <w:tcBorders>
                    <w:tl2br w:val="nil"/>
                    <w:tr2bl w:val="nil"/>
                  </w:tcBorders>
                  <w:noWrap w:val="0"/>
                  <w:vAlign w:val="center"/>
                </w:tcPr>
                <w:p w14:paraId="419A53C2">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昼间</w:t>
                  </w:r>
                </w:p>
              </w:tc>
            </w:tr>
            <w:tr w14:paraId="70996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48C40EB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250" w:type="pct"/>
                  <w:vMerge w:val="continue"/>
                  <w:tcBorders>
                    <w:tl2br w:val="nil"/>
                    <w:tr2bl w:val="nil"/>
                  </w:tcBorders>
                  <w:noWrap w:val="0"/>
                  <w:vAlign w:val="center"/>
                </w:tcPr>
                <w:p w14:paraId="4FD4F44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2500" w:type="pct"/>
                  <w:tcBorders>
                    <w:tl2br w:val="nil"/>
                    <w:tr2bl w:val="nil"/>
                  </w:tcBorders>
                  <w:noWrap w:val="0"/>
                  <w:vAlign w:val="center"/>
                </w:tcPr>
                <w:p w14:paraId="4EDFBC9A">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监测结果dB（A）</w:t>
                  </w:r>
                </w:p>
              </w:tc>
            </w:tr>
            <w:tr w14:paraId="2EAE5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restart"/>
                  <w:tcBorders>
                    <w:tl2br w:val="nil"/>
                    <w:tr2bl w:val="nil"/>
                  </w:tcBorders>
                  <w:noWrap w:val="0"/>
                  <w:vAlign w:val="center"/>
                </w:tcPr>
                <w:p w14:paraId="1056684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2025.2.25</w:t>
                  </w:r>
                </w:p>
              </w:tc>
              <w:tc>
                <w:tcPr>
                  <w:tcW w:w="1250" w:type="pct"/>
                  <w:tcBorders>
                    <w:tl2br w:val="nil"/>
                    <w:tr2bl w:val="nil"/>
                  </w:tcBorders>
                  <w:noWrap w:val="0"/>
                  <w:vAlign w:val="center"/>
                </w:tcPr>
                <w:p w14:paraId="5480250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东厂界</w:t>
                  </w:r>
                </w:p>
              </w:tc>
              <w:tc>
                <w:tcPr>
                  <w:tcW w:w="2500" w:type="pct"/>
                  <w:tcBorders>
                    <w:tl2br w:val="nil"/>
                    <w:tr2bl w:val="nil"/>
                  </w:tcBorders>
                  <w:noWrap w:val="0"/>
                  <w:vAlign w:val="center"/>
                </w:tcPr>
                <w:p w14:paraId="118782E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9</w:t>
                  </w:r>
                </w:p>
              </w:tc>
            </w:tr>
            <w:tr w14:paraId="4C33E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26C6D17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250" w:type="pct"/>
                  <w:tcBorders>
                    <w:tl2br w:val="nil"/>
                    <w:tr2bl w:val="nil"/>
                  </w:tcBorders>
                  <w:noWrap w:val="0"/>
                  <w:vAlign w:val="center"/>
                </w:tcPr>
                <w:p w14:paraId="6EEF098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南厂界</w:t>
                  </w:r>
                </w:p>
              </w:tc>
              <w:tc>
                <w:tcPr>
                  <w:tcW w:w="2500" w:type="pct"/>
                  <w:tcBorders>
                    <w:tl2br w:val="nil"/>
                    <w:tr2bl w:val="nil"/>
                  </w:tcBorders>
                  <w:noWrap w:val="0"/>
                  <w:vAlign w:val="center"/>
                </w:tcPr>
                <w:p w14:paraId="51DE293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9</w:t>
                  </w:r>
                </w:p>
              </w:tc>
            </w:tr>
            <w:tr w14:paraId="7A69D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674A781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250" w:type="pct"/>
                  <w:tcBorders>
                    <w:tl2br w:val="nil"/>
                    <w:tr2bl w:val="nil"/>
                  </w:tcBorders>
                  <w:noWrap w:val="0"/>
                  <w:vAlign w:val="center"/>
                </w:tcPr>
                <w:p w14:paraId="6C532DB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西厂界</w:t>
                  </w:r>
                </w:p>
              </w:tc>
              <w:tc>
                <w:tcPr>
                  <w:tcW w:w="2500" w:type="pct"/>
                  <w:tcBorders>
                    <w:tl2br w:val="nil"/>
                    <w:tr2bl w:val="nil"/>
                  </w:tcBorders>
                  <w:noWrap w:val="0"/>
                  <w:vAlign w:val="center"/>
                </w:tcPr>
                <w:p w14:paraId="4C3E8374">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lang w:val="en-US" w:eastAsia="zh-CN"/>
                    </w:rPr>
                    <w:t>9</w:t>
                  </w:r>
                </w:p>
              </w:tc>
            </w:tr>
            <w:tr w14:paraId="65184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noWrap w:val="0"/>
                  <w:vAlign w:val="center"/>
                </w:tcPr>
                <w:p w14:paraId="2534102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250" w:type="pct"/>
                  <w:tcBorders>
                    <w:tl2br w:val="nil"/>
                    <w:tr2bl w:val="nil"/>
                  </w:tcBorders>
                  <w:noWrap w:val="0"/>
                  <w:vAlign w:val="center"/>
                </w:tcPr>
                <w:p w14:paraId="4D6E784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北厂界</w:t>
                  </w:r>
                </w:p>
              </w:tc>
              <w:tc>
                <w:tcPr>
                  <w:tcW w:w="2500" w:type="pct"/>
                  <w:tcBorders>
                    <w:tl2br w:val="nil"/>
                    <w:tr2bl w:val="nil"/>
                  </w:tcBorders>
                  <w:noWrap w:val="0"/>
                  <w:vAlign w:val="center"/>
                </w:tcPr>
                <w:p w14:paraId="027052C8">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r>
          </w:tbl>
          <w:p w14:paraId="62CAFDFF">
            <w:pPr>
              <w:numPr>
                <w:ilvl w:val="-1"/>
                <w:numId w:val="0"/>
              </w:numPr>
              <w:spacing w:line="500" w:lineRule="exact"/>
              <w:ind w:firstLine="480" w:firstLineChars="200"/>
              <w:rPr>
                <w:color w:val="auto"/>
                <w:sz w:val="24"/>
              </w:rPr>
            </w:pPr>
            <w:r>
              <w:rPr>
                <w:rFonts w:hint="default" w:ascii="Times New Roman" w:hAnsi="Times New Roman" w:eastAsia="宋体" w:cs="Times New Roman"/>
                <w:color w:val="auto"/>
                <w:kern w:val="0"/>
                <w:sz w:val="24"/>
                <w:szCs w:val="24"/>
              </w:rPr>
              <w:t>经监测，</w:t>
            </w:r>
            <w:r>
              <w:rPr>
                <w:rFonts w:hint="eastAsia" w:ascii="Times New Roman" w:hAnsi="Times New Roman" w:eastAsia="宋体" w:cs="Times New Roman"/>
                <w:color w:val="auto"/>
                <w:kern w:val="0"/>
                <w:sz w:val="24"/>
                <w:szCs w:val="24"/>
                <w:lang w:val="en-US" w:eastAsia="zh-CN"/>
              </w:rPr>
              <w:t>原有</w:t>
            </w:r>
            <w:r>
              <w:rPr>
                <w:rFonts w:hint="default" w:ascii="Times New Roman" w:hAnsi="Times New Roman" w:eastAsia="宋体" w:cs="Times New Roman"/>
                <w:color w:val="auto"/>
                <w:kern w:val="0"/>
                <w:sz w:val="24"/>
                <w:szCs w:val="24"/>
              </w:rPr>
              <w:t>项目东、南、西、北厂界昼间噪声均符合《工业企业厂界环境噪声排放标准》（GB12348-2008）表1中</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类标准。</w:t>
            </w:r>
          </w:p>
          <w:p w14:paraId="01FDB3B9">
            <w:pPr>
              <w:numPr>
                <w:ilvl w:val="-1"/>
                <w:numId w:val="0"/>
              </w:numPr>
              <w:spacing w:line="500" w:lineRule="exact"/>
              <w:ind w:firstLine="480" w:firstLineChars="200"/>
              <w:rPr>
                <w:color w:val="auto"/>
                <w:sz w:val="24"/>
              </w:rPr>
            </w:pPr>
            <w:r>
              <w:rPr>
                <w:rFonts w:hint="eastAsia" w:ascii="Times New Roman" w:hAnsi="Times New Roman" w:eastAsia="宋体" w:cs="Times New Roman"/>
                <w:color w:val="auto"/>
                <w:kern w:val="0"/>
                <w:sz w:val="24"/>
                <w:szCs w:val="24"/>
                <w:lang w:val="en-US" w:eastAsia="zh-CN"/>
              </w:rPr>
              <w:t>4、</w:t>
            </w:r>
            <w:r>
              <w:rPr>
                <w:rFonts w:hint="eastAsia" w:ascii="Times New Roman" w:hAnsi="Times New Roman" w:eastAsia="宋体" w:cs="Times New Roman"/>
                <w:color w:val="auto"/>
                <w:kern w:val="0"/>
                <w:sz w:val="24"/>
                <w:szCs w:val="24"/>
              </w:rPr>
              <w:t>固废污染防治措施及排放情况</w:t>
            </w:r>
          </w:p>
          <w:p w14:paraId="76FAC380">
            <w:pPr>
              <w:pStyle w:val="46"/>
              <w:numPr>
                <w:ilvl w:val="-1"/>
                <w:numId w:val="0"/>
              </w:numPr>
              <w:adjustRightInd w:val="0"/>
              <w:snapToGrid w:val="0"/>
              <w:spacing w:line="420" w:lineRule="exact"/>
              <w:ind w:left="0" w:firstLine="0" w:firstLineChars="0"/>
              <w:jc w:val="center"/>
              <w:rPr>
                <w:rFonts w:ascii="Times New Roman" w:hAnsi="Times New Roman"/>
                <w:b/>
                <w:bCs/>
                <w:color w:val="auto"/>
                <w:szCs w:val="21"/>
              </w:rPr>
            </w:pPr>
            <w:r>
              <w:rPr>
                <w:rFonts w:hint="eastAsia" w:ascii="Times New Roman" w:hAnsi="Times New Roman" w:eastAsia="宋体" w:cs="Times New Roman"/>
                <w:b/>
                <w:bCs w:val="0"/>
                <w:color w:val="auto"/>
                <w:kern w:val="2"/>
                <w:sz w:val="24"/>
                <w:szCs w:val="22"/>
                <w:highlight w:val="none"/>
                <w:lang w:val="en-US" w:eastAsia="zh-CN" w:bidi="ar-SA"/>
              </w:rPr>
              <w:t>表2-17  原有项目固体废物产生及排放情况</w:t>
            </w:r>
          </w:p>
          <w:tbl>
            <w:tblPr>
              <w:tblStyle w:val="27"/>
              <w:tblW w:w="8358"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30"/>
              <w:gridCol w:w="1602"/>
              <w:gridCol w:w="1726"/>
              <w:gridCol w:w="1420"/>
              <w:gridCol w:w="818"/>
              <w:gridCol w:w="1862"/>
            </w:tblGrid>
            <w:tr w14:paraId="20221D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930" w:type="dxa"/>
                  <w:tcBorders>
                    <w:tl2br w:val="nil"/>
                    <w:tr2bl w:val="nil"/>
                  </w:tcBorders>
                  <w:shd w:val="clear" w:color="auto" w:fill="auto"/>
                  <w:vAlign w:val="center"/>
                </w:tcPr>
                <w:p w14:paraId="3B8F55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02" w:type="dxa"/>
                  <w:tcBorders>
                    <w:tl2br w:val="nil"/>
                    <w:tr2bl w:val="nil"/>
                  </w:tcBorders>
                  <w:shd w:val="clear" w:color="auto" w:fill="auto"/>
                  <w:vAlign w:val="center"/>
                </w:tcPr>
                <w:p w14:paraId="75092F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726" w:type="dxa"/>
                  <w:tcBorders>
                    <w:tl2br w:val="nil"/>
                    <w:tr2bl w:val="nil"/>
                  </w:tcBorders>
                  <w:shd w:val="clear" w:color="auto" w:fill="auto"/>
                  <w:vAlign w:val="center"/>
                </w:tcPr>
                <w:p w14:paraId="30F3C8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分类编号</w:t>
                  </w:r>
                </w:p>
              </w:tc>
              <w:tc>
                <w:tcPr>
                  <w:tcW w:w="1420" w:type="dxa"/>
                  <w:tcBorders>
                    <w:tl2br w:val="nil"/>
                    <w:tr2bl w:val="nil"/>
                  </w:tcBorders>
                  <w:shd w:val="clear" w:color="auto" w:fill="auto"/>
                  <w:vAlign w:val="center"/>
                </w:tcPr>
                <w:p w14:paraId="4DA1D9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818" w:type="dxa"/>
                  <w:tcBorders>
                    <w:tl2br w:val="nil"/>
                    <w:tr2bl w:val="nil"/>
                  </w:tcBorders>
                  <w:shd w:val="clear" w:color="auto" w:fill="auto"/>
                  <w:vAlign w:val="center"/>
                </w:tcPr>
                <w:p w14:paraId="1BC0E7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性状</w:t>
                  </w:r>
                </w:p>
              </w:tc>
              <w:tc>
                <w:tcPr>
                  <w:tcW w:w="1862" w:type="dxa"/>
                  <w:tcBorders>
                    <w:tl2br w:val="nil"/>
                    <w:tr2bl w:val="nil"/>
                  </w:tcBorders>
                  <w:shd w:val="clear" w:color="auto" w:fill="auto"/>
                  <w:vAlign w:val="center"/>
                </w:tcPr>
                <w:p w14:paraId="6B5721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利用和处置方式</w:t>
                  </w:r>
                </w:p>
              </w:tc>
            </w:tr>
            <w:tr w14:paraId="37A570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930" w:type="dxa"/>
                  <w:tcBorders>
                    <w:tl2br w:val="nil"/>
                    <w:tr2bl w:val="nil"/>
                  </w:tcBorders>
                  <w:shd w:val="clear" w:color="auto" w:fill="auto"/>
                  <w:vAlign w:val="center"/>
                </w:tcPr>
                <w:p w14:paraId="08E275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02" w:type="dxa"/>
                  <w:tcBorders>
                    <w:tl2br w:val="nil"/>
                    <w:tr2bl w:val="nil"/>
                  </w:tcBorders>
                  <w:shd w:val="clear" w:color="auto" w:fill="auto"/>
                  <w:vAlign w:val="center"/>
                </w:tcPr>
                <w:p w14:paraId="2F76F94A">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废料</w:t>
                  </w:r>
                </w:p>
              </w:tc>
              <w:tc>
                <w:tcPr>
                  <w:tcW w:w="1726" w:type="dxa"/>
                  <w:tcBorders>
                    <w:tl2br w:val="nil"/>
                    <w:tr2bl w:val="nil"/>
                  </w:tcBorders>
                  <w:shd w:val="clear" w:color="auto" w:fill="auto"/>
                  <w:vAlign w:val="center"/>
                </w:tcPr>
                <w:p w14:paraId="33740856">
                  <w:pPr>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20" w:type="dxa"/>
                  <w:tcBorders>
                    <w:tl2br w:val="nil"/>
                    <w:tr2bl w:val="nil"/>
                  </w:tcBorders>
                  <w:shd w:val="clear" w:color="auto" w:fill="auto"/>
                  <w:vAlign w:val="center"/>
                </w:tcPr>
                <w:p w14:paraId="298BE625">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818" w:type="dxa"/>
                  <w:tcBorders>
                    <w:tl2br w:val="nil"/>
                    <w:tr2bl w:val="nil"/>
                  </w:tcBorders>
                  <w:shd w:val="clear" w:color="auto" w:fill="auto"/>
                  <w:vAlign w:val="center"/>
                </w:tcPr>
                <w:p w14:paraId="6DB63C66">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1862" w:type="dxa"/>
                  <w:vMerge w:val="restart"/>
                  <w:tcBorders>
                    <w:tl2br w:val="nil"/>
                    <w:tr2bl w:val="nil"/>
                  </w:tcBorders>
                  <w:shd w:val="clear" w:color="auto" w:fill="auto"/>
                  <w:vAlign w:val="center"/>
                </w:tcPr>
                <w:p w14:paraId="76C2E778">
                  <w:pPr>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外售综合利用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Cs w:val="21"/>
                    </w:rPr>
                    <w:t>常州市碧沙环保科技有限公司</w:t>
                  </w:r>
                  <w:r>
                    <w:rPr>
                      <w:rFonts w:hint="eastAsia" w:ascii="Times New Roman" w:hAnsi="Times New Roman" w:eastAsia="宋体" w:cs="Times New Roman"/>
                      <w:color w:val="auto"/>
                      <w:sz w:val="21"/>
                      <w:szCs w:val="21"/>
                      <w:lang w:eastAsia="zh-CN"/>
                    </w:rPr>
                    <w:t>）</w:t>
                  </w:r>
                </w:p>
              </w:tc>
            </w:tr>
            <w:tr w14:paraId="66F5EF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930" w:type="dxa"/>
                  <w:tcBorders>
                    <w:tl2br w:val="nil"/>
                    <w:tr2bl w:val="nil"/>
                  </w:tcBorders>
                  <w:shd w:val="clear" w:color="auto" w:fill="auto"/>
                  <w:vAlign w:val="center"/>
                </w:tcPr>
                <w:p w14:paraId="1D3894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02" w:type="dxa"/>
                  <w:tcBorders>
                    <w:tl2br w:val="nil"/>
                    <w:tr2bl w:val="nil"/>
                  </w:tcBorders>
                  <w:shd w:val="clear" w:color="auto" w:fill="auto"/>
                  <w:vAlign w:val="center"/>
                </w:tcPr>
                <w:p w14:paraId="015F462E">
                  <w:pPr>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污泥</w:t>
                  </w:r>
                </w:p>
              </w:tc>
              <w:tc>
                <w:tcPr>
                  <w:tcW w:w="1726" w:type="dxa"/>
                  <w:tcBorders>
                    <w:tl2br w:val="nil"/>
                    <w:tr2bl w:val="nil"/>
                  </w:tcBorders>
                  <w:shd w:val="clear" w:color="auto" w:fill="auto"/>
                  <w:vAlign w:val="center"/>
                </w:tcPr>
                <w:p w14:paraId="569B666B">
                  <w:pPr>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c>
                <w:tcPr>
                  <w:tcW w:w="1420" w:type="dxa"/>
                  <w:tcBorders>
                    <w:tl2br w:val="nil"/>
                    <w:tr2bl w:val="nil"/>
                  </w:tcBorders>
                  <w:shd w:val="clear" w:color="auto" w:fill="auto"/>
                  <w:vAlign w:val="center"/>
                </w:tcPr>
                <w:p w14:paraId="65656F51">
                  <w:pPr>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0.5</w:t>
                  </w:r>
                </w:p>
              </w:tc>
              <w:tc>
                <w:tcPr>
                  <w:tcW w:w="818" w:type="dxa"/>
                  <w:tcBorders>
                    <w:tl2br w:val="nil"/>
                    <w:tr2bl w:val="nil"/>
                  </w:tcBorders>
                  <w:shd w:val="clear" w:color="auto" w:fill="auto"/>
                  <w:vAlign w:val="center"/>
                </w:tcPr>
                <w:p w14:paraId="2A5A6EB6">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1862" w:type="dxa"/>
                  <w:vMerge w:val="continue"/>
                  <w:tcBorders>
                    <w:tl2br w:val="nil"/>
                    <w:tr2bl w:val="nil"/>
                  </w:tcBorders>
                  <w:shd w:val="clear" w:color="auto" w:fill="auto"/>
                  <w:vAlign w:val="center"/>
                </w:tcPr>
                <w:p w14:paraId="6C0F4A93">
                  <w:pPr>
                    <w:snapToGrid w:val="0"/>
                    <w:jc w:val="center"/>
                    <w:rPr>
                      <w:rFonts w:hint="default" w:ascii="Times New Roman" w:hAnsi="Times New Roman" w:eastAsia="宋体" w:cs="Times New Roman"/>
                      <w:color w:val="auto"/>
                      <w:sz w:val="21"/>
                      <w:szCs w:val="21"/>
                    </w:rPr>
                  </w:pPr>
                </w:p>
              </w:tc>
            </w:tr>
            <w:tr w14:paraId="0026EB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930" w:type="dxa"/>
                  <w:tcBorders>
                    <w:tl2br w:val="nil"/>
                    <w:tr2bl w:val="nil"/>
                  </w:tcBorders>
                  <w:shd w:val="clear" w:color="auto" w:fill="auto"/>
                  <w:vAlign w:val="center"/>
                </w:tcPr>
                <w:p w14:paraId="10DD76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02" w:type="dxa"/>
                  <w:tcBorders>
                    <w:tl2br w:val="nil"/>
                    <w:tr2bl w:val="nil"/>
                  </w:tcBorders>
                  <w:shd w:val="clear" w:color="auto" w:fill="auto"/>
                  <w:vAlign w:val="center"/>
                </w:tcPr>
                <w:p w14:paraId="6BAC944F">
                  <w:pPr>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1726" w:type="dxa"/>
                  <w:tcBorders>
                    <w:tl2br w:val="nil"/>
                    <w:tr2bl w:val="nil"/>
                  </w:tcBorders>
                  <w:shd w:val="clear" w:color="auto" w:fill="auto"/>
                  <w:vAlign w:val="center"/>
                </w:tcPr>
                <w:p w14:paraId="26873BF6">
                  <w:pPr>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420" w:type="dxa"/>
                  <w:tcBorders>
                    <w:tl2br w:val="nil"/>
                    <w:tr2bl w:val="nil"/>
                  </w:tcBorders>
                  <w:shd w:val="clear" w:color="auto" w:fill="auto"/>
                  <w:vAlign w:val="center"/>
                </w:tcPr>
                <w:p w14:paraId="14E20B07">
                  <w:pPr>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0.5</w:t>
                  </w:r>
                </w:p>
              </w:tc>
              <w:tc>
                <w:tcPr>
                  <w:tcW w:w="818" w:type="dxa"/>
                  <w:tcBorders>
                    <w:tl2br w:val="nil"/>
                    <w:tr2bl w:val="nil"/>
                  </w:tcBorders>
                  <w:shd w:val="clear" w:color="auto" w:fill="auto"/>
                  <w:vAlign w:val="center"/>
                </w:tcPr>
                <w:p w14:paraId="7C5156DF">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1862" w:type="dxa"/>
                  <w:vMerge w:val="continue"/>
                  <w:tcBorders>
                    <w:tl2br w:val="nil"/>
                    <w:tr2bl w:val="nil"/>
                  </w:tcBorders>
                  <w:shd w:val="clear" w:color="auto" w:fill="auto"/>
                  <w:vAlign w:val="center"/>
                </w:tcPr>
                <w:p w14:paraId="5CE70FE8">
                  <w:pPr>
                    <w:snapToGrid w:val="0"/>
                    <w:jc w:val="center"/>
                    <w:rPr>
                      <w:rFonts w:hint="default" w:ascii="Times New Roman" w:hAnsi="Times New Roman" w:eastAsia="宋体" w:cs="Times New Roman"/>
                      <w:color w:val="auto"/>
                      <w:sz w:val="21"/>
                      <w:szCs w:val="21"/>
                    </w:rPr>
                  </w:pPr>
                </w:p>
              </w:tc>
            </w:tr>
            <w:tr w14:paraId="6E02EB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930" w:type="dxa"/>
                  <w:tcBorders>
                    <w:tl2br w:val="nil"/>
                    <w:tr2bl w:val="nil"/>
                  </w:tcBorders>
                  <w:shd w:val="clear" w:color="auto" w:fill="auto"/>
                  <w:vAlign w:val="center"/>
                </w:tcPr>
                <w:p w14:paraId="53F2E0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02" w:type="dxa"/>
                  <w:tcBorders>
                    <w:tl2br w:val="nil"/>
                    <w:tr2bl w:val="nil"/>
                  </w:tcBorders>
                  <w:shd w:val="clear" w:color="auto" w:fill="auto"/>
                  <w:vAlign w:val="center"/>
                </w:tcPr>
                <w:p w14:paraId="0ACDC1ED">
                  <w:pPr>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清洗废液</w:t>
                  </w:r>
                </w:p>
              </w:tc>
              <w:tc>
                <w:tcPr>
                  <w:tcW w:w="1726" w:type="dxa"/>
                  <w:tcBorders>
                    <w:tl2br w:val="nil"/>
                    <w:tr2bl w:val="nil"/>
                  </w:tcBorders>
                  <w:shd w:val="clear" w:color="auto" w:fill="auto"/>
                  <w:vAlign w:val="center"/>
                </w:tcPr>
                <w:p w14:paraId="45C066D6">
                  <w:pPr>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06</w:t>
                  </w:r>
                </w:p>
                <w:p w14:paraId="05075F81">
                  <w:pPr>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900-</w:t>
                  </w:r>
                  <w:r>
                    <w:rPr>
                      <w:rFonts w:hint="eastAsia" w:ascii="Times New Roman" w:hAnsi="Times New Roman" w:eastAsia="宋体" w:cs="Times New Roman"/>
                      <w:color w:val="auto"/>
                      <w:sz w:val="21"/>
                      <w:szCs w:val="21"/>
                      <w:lang w:val="en-US" w:eastAsia="zh-CN"/>
                    </w:rPr>
                    <w:t>404</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06</w:t>
                  </w:r>
                </w:p>
              </w:tc>
              <w:tc>
                <w:tcPr>
                  <w:tcW w:w="1420" w:type="dxa"/>
                  <w:tcBorders>
                    <w:tl2br w:val="nil"/>
                    <w:tr2bl w:val="nil"/>
                  </w:tcBorders>
                  <w:shd w:val="clear" w:color="auto" w:fill="auto"/>
                  <w:vAlign w:val="center"/>
                </w:tcPr>
                <w:p w14:paraId="3C75C215">
                  <w:pPr>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818" w:type="dxa"/>
                  <w:tcBorders>
                    <w:tl2br w:val="nil"/>
                    <w:tr2bl w:val="nil"/>
                  </w:tcBorders>
                  <w:shd w:val="clear" w:color="auto" w:fill="auto"/>
                  <w:vAlign w:val="center"/>
                </w:tcPr>
                <w:p w14:paraId="5191D98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w:t>
                  </w:r>
                </w:p>
              </w:tc>
              <w:tc>
                <w:tcPr>
                  <w:tcW w:w="1862" w:type="dxa"/>
                  <w:vMerge w:val="restart"/>
                  <w:tcBorders>
                    <w:tl2br w:val="nil"/>
                    <w:tr2bl w:val="nil"/>
                  </w:tcBorders>
                  <w:shd w:val="clear" w:color="auto" w:fill="auto"/>
                  <w:vAlign w:val="center"/>
                </w:tcPr>
                <w:p w14:paraId="70869CEF">
                  <w:pPr>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Cs w:val="21"/>
                    </w:rPr>
                    <w:t>委托有资质单位处置（常州坤坛环保有限公司）</w:t>
                  </w:r>
                </w:p>
              </w:tc>
            </w:tr>
            <w:tr w14:paraId="5E4859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930" w:type="dxa"/>
                  <w:vMerge w:val="restart"/>
                  <w:tcBorders>
                    <w:tl2br w:val="nil"/>
                    <w:tr2bl w:val="nil"/>
                  </w:tcBorders>
                  <w:shd w:val="clear" w:color="auto" w:fill="auto"/>
                  <w:vAlign w:val="center"/>
                </w:tcPr>
                <w:p w14:paraId="621398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02" w:type="dxa"/>
                  <w:vMerge w:val="restart"/>
                  <w:tcBorders>
                    <w:tl2br w:val="nil"/>
                    <w:tr2bl w:val="nil"/>
                  </w:tcBorders>
                  <w:shd w:val="clear" w:color="auto" w:fill="auto"/>
                  <w:vAlign w:val="center"/>
                </w:tcPr>
                <w:p w14:paraId="27F830B7">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废活性炭</w:t>
                  </w:r>
                </w:p>
              </w:tc>
              <w:tc>
                <w:tcPr>
                  <w:tcW w:w="1726" w:type="dxa"/>
                  <w:vMerge w:val="restart"/>
                  <w:tcBorders>
                    <w:tl2br w:val="nil"/>
                    <w:tr2bl w:val="nil"/>
                  </w:tcBorders>
                  <w:shd w:val="clear" w:color="auto" w:fill="auto"/>
                  <w:vAlign w:val="center"/>
                </w:tcPr>
                <w:p w14:paraId="783C3B1F">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w:t>
                  </w:r>
                </w:p>
                <w:p w14:paraId="1AFD4489">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w:t>
                  </w:r>
                  <w:r>
                    <w:rPr>
                      <w:rFonts w:hint="eastAsia" w:ascii="Times New Roman" w:hAnsi="Times New Roman" w:eastAsia="宋体" w:cs="Times New Roman"/>
                      <w:color w:val="auto"/>
                      <w:sz w:val="21"/>
                      <w:szCs w:val="21"/>
                      <w:lang w:val="en-US" w:eastAsia="zh-CN"/>
                    </w:rPr>
                    <w:t>41</w:t>
                  </w:r>
                  <w:r>
                    <w:rPr>
                      <w:rFonts w:hint="default" w:ascii="Times New Roman" w:hAnsi="Times New Roman" w:eastAsia="宋体" w:cs="Times New Roman"/>
                      <w:color w:val="auto"/>
                      <w:sz w:val="21"/>
                      <w:szCs w:val="21"/>
                    </w:rPr>
                    <w:t>-49</w:t>
                  </w:r>
                </w:p>
              </w:tc>
              <w:tc>
                <w:tcPr>
                  <w:tcW w:w="1420" w:type="dxa"/>
                  <w:vMerge w:val="restart"/>
                  <w:tcBorders>
                    <w:tl2br w:val="nil"/>
                    <w:tr2bl w:val="nil"/>
                  </w:tcBorders>
                  <w:shd w:val="clear" w:color="auto" w:fill="auto"/>
                  <w:vAlign w:val="center"/>
                </w:tcPr>
                <w:p w14:paraId="699DE2E5">
                  <w:pPr>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2.9</w:t>
                  </w:r>
                </w:p>
              </w:tc>
              <w:tc>
                <w:tcPr>
                  <w:tcW w:w="818" w:type="dxa"/>
                  <w:vMerge w:val="restart"/>
                  <w:tcBorders>
                    <w:tl2br w:val="nil"/>
                    <w:tr2bl w:val="nil"/>
                  </w:tcBorders>
                  <w:shd w:val="clear" w:color="auto" w:fill="auto"/>
                  <w:vAlign w:val="center"/>
                </w:tcPr>
                <w:p w14:paraId="018FAAE4">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w:t>
                  </w:r>
                </w:p>
              </w:tc>
              <w:tc>
                <w:tcPr>
                  <w:tcW w:w="1862" w:type="dxa"/>
                  <w:vMerge w:val="continue"/>
                  <w:tcBorders>
                    <w:tl2br w:val="nil"/>
                    <w:tr2bl w:val="nil"/>
                  </w:tcBorders>
                  <w:shd w:val="clear" w:color="auto" w:fill="auto"/>
                  <w:vAlign w:val="center"/>
                </w:tcPr>
                <w:p w14:paraId="646B3B74">
                  <w:pPr>
                    <w:snapToGrid w:val="0"/>
                    <w:jc w:val="center"/>
                    <w:rPr>
                      <w:rFonts w:hint="default" w:ascii="Times New Roman" w:hAnsi="Times New Roman" w:eastAsia="宋体" w:cs="Times New Roman"/>
                      <w:color w:val="auto"/>
                      <w:sz w:val="21"/>
                      <w:szCs w:val="21"/>
                    </w:rPr>
                  </w:pPr>
                </w:p>
              </w:tc>
            </w:tr>
            <w:tr w14:paraId="57C14C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930" w:type="dxa"/>
                  <w:vMerge w:val="restart"/>
                  <w:tcBorders>
                    <w:tl2br w:val="nil"/>
                    <w:tr2bl w:val="nil"/>
                  </w:tcBorders>
                  <w:shd w:val="clear" w:color="auto" w:fill="auto"/>
                  <w:vAlign w:val="center"/>
                </w:tcPr>
                <w:p w14:paraId="637A66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02" w:type="dxa"/>
                  <w:vMerge w:val="restart"/>
                  <w:tcBorders>
                    <w:tl2br w:val="nil"/>
                    <w:tr2bl w:val="nil"/>
                  </w:tcBorders>
                  <w:shd w:val="clear" w:color="auto" w:fill="auto"/>
                  <w:vAlign w:val="center"/>
                </w:tcPr>
                <w:p w14:paraId="543F24D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726" w:type="dxa"/>
                  <w:vMerge w:val="restart"/>
                  <w:tcBorders>
                    <w:tl2br w:val="nil"/>
                    <w:tr2bl w:val="nil"/>
                  </w:tcBorders>
                  <w:shd w:val="clear" w:color="auto" w:fill="auto"/>
                  <w:vAlign w:val="center"/>
                </w:tcPr>
                <w:p w14:paraId="6490276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20" w:type="dxa"/>
                  <w:vMerge w:val="restart"/>
                  <w:tcBorders>
                    <w:tl2br w:val="nil"/>
                    <w:tr2bl w:val="nil"/>
                  </w:tcBorders>
                  <w:shd w:val="clear" w:color="auto" w:fill="auto"/>
                  <w:vAlign w:val="center"/>
                </w:tcPr>
                <w:p w14:paraId="6229AAAF">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w:t>
                  </w:r>
                </w:p>
              </w:tc>
              <w:tc>
                <w:tcPr>
                  <w:tcW w:w="818" w:type="dxa"/>
                  <w:vMerge w:val="restart"/>
                  <w:tcBorders>
                    <w:tl2br w:val="nil"/>
                    <w:tr2bl w:val="nil"/>
                  </w:tcBorders>
                  <w:shd w:val="clear" w:color="auto" w:fill="auto"/>
                  <w:vAlign w:val="center"/>
                </w:tcPr>
                <w:p w14:paraId="4DE0E577">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1862" w:type="dxa"/>
                  <w:vMerge w:val="restart"/>
                  <w:tcBorders>
                    <w:tl2br w:val="nil"/>
                    <w:tr2bl w:val="nil"/>
                  </w:tcBorders>
                  <w:shd w:val="clear" w:color="auto" w:fill="auto"/>
                  <w:vAlign w:val="center"/>
                </w:tcPr>
                <w:p w14:paraId="7FE3BB71">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环卫清运</w:t>
                  </w:r>
                </w:p>
              </w:tc>
            </w:tr>
            <w:tr w14:paraId="7ADC49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930" w:type="dxa"/>
                  <w:vMerge w:val="continue"/>
                  <w:tcBorders>
                    <w:tl2br w:val="nil"/>
                    <w:tr2bl w:val="nil"/>
                  </w:tcBorders>
                  <w:shd w:val="clear" w:color="auto" w:fill="auto"/>
                  <w:vAlign w:val="center"/>
                </w:tcPr>
                <w:p w14:paraId="44B56235">
                  <w:pPr>
                    <w:jc w:val="center"/>
                    <w:rPr>
                      <w:rFonts w:hint="default" w:ascii="Times New Roman" w:hAnsi="Times New Roman" w:eastAsia="宋体" w:cs="Times New Roman"/>
                      <w:color w:val="auto"/>
                      <w:sz w:val="21"/>
                      <w:szCs w:val="21"/>
                    </w:rPr>
                  </w:pPr>
                </w:p>
              </w:tc>
              <w:tc>
                <w:tcPr>
                  <w:tcW w:w="1602" w:type="dxa"/>
                  <w:vMerge w:val="continue"/>
                  <w:tcBorders>
                    <w:tl2br w:val="nil"/>
                    <w:tr2bl w:val="nil"/>
                  </w:tcBorders>
                  <w:shd w:val="clear" w:color="auto" w:fill="auto"/>
                  <w:vAlign w:val="center"/>
                </w:tcPr>
                <w:p w14:paraId="4126473D">
                  <w:pPr>
                    <w:jc w:val="center"/>
                    <w:rPr>
                      <w:rFonts w:hint="default" w:ascii="Times New Roman" w:hAnsi="Times New Roman" w:eastAsia="宋体" w:cs="Times New Roman"/>
                      <w:color w:val="auto"/>
                      <w:sz w:val="21"/>
                      <w:szCs w:val="21"/>
                    </w:rPr>
                  </w:pPr>
                </w:p>
              </w:tc>
              <w:tc>
                <w:tcPr>
                  <w:tcW w:w="1726" w:type="dxa"/>
                  <w:vMerge w:val="continue"/>
                  <w:tcBorders>
                    <w:tl2br w:val="nil"/>
                    <w:tr2bl w:val="nil"/>
                  </w:tcBorders>
                  <w:shd w:val="clear" w:color="auto" w:fill="auto"/>
                  <w:vAlign w:val="center"/>
                </w:tcPr>
                <w:p w14:paraId="469665F4">
                  <w:pPr>
                    <w:jc w:val="center"/>
                    <w:rPr>
                      <w:rFonts w:hint="default" w:ascii="Times New Roman" w:hAnsi="Times New Roman" w:eastAsia="宋体" w:cs="Times New Roman"/>
                      <w:color w:val="auto"/>
                      <w:sz w:val="21"/>
                      <w:szCs w:val="21"/>
                    </w:rPr>
                  </w:pPr>
                </w:p>
              </w:tc>
              <w:tc>
                <w:tcPr>
                  <w:tcW w:w="1420" w:type="dxa"/>
                  <w:vMerge w:val="continue"/>
                  <w:tcBorders>
                    <w:tl2br w:val="nil"/>
                    <w:tr2bl w:val="nil"/>
                  </w:tcBorders>
                  <w:shd w:val="clear" w:color="auto" w:fill="auto"/>
                  <w:vAlign w:val="center"/>
                </w:tcPr>
                <w:p w14:paraId="78777853">
                  <w:pPr>
                    <w:jc w:val="center"/>
                    <w:rPr>
                      <w:rFonts w:hint="default" w:ascii="Times New Roman" w:hAnsi="Times New Roman" w:eastAsia="宋体" w:cs="Times New Roman"/>
                      <w:color w:val="auto"/>
                      <w:sz w:val="21"/>
                      <w:szCs w:val="21"/>
                    </w:rPr>
                  </w:pPr>
                </w:p>
              </w:tc>
              <w:tc>
                <w:tcPr>
                  <w:tcW w:w="818" w:type="dxa"/>
                  <w:vMerge w:val="continue"/>
                  <w:tcBorders>
                    <w:tl2br w:val="nil"/>
                    <w:tr2bl w:val="nil"/>
                  </w:tcBorders>
                  <w:shd w:val="clear" w:color="auto" w:fill="auto"/>
                  <w:vAlign w:val="center"/>
                </w:tcPr>
                <w:p w14:paraId="74F30AD3">
                  <w:pPr>
                    <w:jc w:val="center"/>
                    <w:rPr>
                      <w:rFonts w:hint="default" w:ascii="Times New Roman" w:hAnsi="Times New Roman" w:eastAsia="宋体" w:cs="Times New Roman"/>
                      <w:color w:val="auto"/>
                      <w:sz w:val="21"/>
                      <w:szCs w:val="21"/>
                    </w:rPr>
                  </w:pPr>
                </w:p>
              </w:tc>
              <w:tc>
                <w:tcPr>
                  <w:tcW w:w="1862" w:type="dxa"/>
                  <w:vMerge w:val="continue"/>
                  <w:tcBorders>
                    <w:tl2br w:val="nil"/>
                    <w:tr2bl w:val="nil"/>
                  </w:tcBorders>
                  <w:shd w:val="clear" w:color="auto" w:fill="auto"/>
                  <w:vAlign w:val="center"/>
                </w:tcPr>
                <w:p w14:paraId="4E4946D6">
                  <w:pPr>
                    <w:jc w:val="center"/>
                    <w:rPr>
                      <w:rFonts w:hint="default" w:ascii="Times New Roman" w:hAnsi="Times New Roman" w:eastAsia="宋体" w:cs="Times New Roman"/>
                      <w:color w:val="auto"/>
                      <w:sz w:val="21"/>
                      <w:szCs w:val="21"/>
                    </w:rPr>
                  </w:pPr>
                </w:p>
              </w:tc>
            </w:tr>
          </w:tbl>
          <w:p w14:paraId="78350ED9">
            <w:pPr>
              <w:spacing w:line="500" w:lineRule="exac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七</w:t>
            </w:r>
            <w:r>
              <w:rPr>
                <w:rFonts w:hint="default" w:ascii="Times New Roman" w:hAnsi="Times New Roman" w:eastAsia="宋体" w:cs="Times New Roman"/>
                <w:b/>
                <w:color w:val="auto"/>
                <w:sz w:val="24"/>
                <w:szCs w:val="24"/>
              </w:rPr>
              <w:t>、原有项目存在的问题及措施</w:t>
            </w:r>
          </w:p>
          <w:p w14:paraId="4813A055">
            <w:pPr>
              <w:spacing w:line="50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w:t>
            </w:r>
            <w:r>
              <w:rPr>
                <w:rFonts w:hint="eastAsia" w:ascii="Times New Roman" w:hAnsi="Times New Roman" w:eastAsia="宋体" w:cs="Times New Roman"/>
                <w:color w:val="auto"/>
                <w:sz w:val="24"/>
                <w:szCs w:val="24"/>
                <w:lang w:val="en-US" w:eastAsia="zh-CN"/>
              </w:rPr>
              <w:t>迁建</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对原址建设内容进行拆除，</w:t>
            </w:r>
            <w:r>
              <w:rPr>
                <w:rFonts w:hint="default" w:ascii="Times New Roman" w:hAnsi="Times New Roman" w:eastAsia="宋体" w:cs="Times New Roman"/>
                <w:color w:val="auto"/>
                <w:sz w:val="24"/>
                <w:szCs w:val="24"/>
              </w:rPr>
              <w:t>拆除完成后，对场地进行彻底清理，清除残留的建筑垃圾和有害物质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搬迁后原址不再生产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无环境遗留问题</w:t>
            </w:r>
            <w:r>
              <w:rPr>
                <w:rFonts w:hint="default" w:ascii="Times New Roman" w:hAnsi="Times New Roman" w:eastAsia="宋体" w:cs="Times New Roman"/>
                <w:color w:val="auto"/>
                <w:sz w:val="24"/>
                <w:szCs w:val="24"/>
              </w:rPr>
              <w:t>，利用搬迁后租赁的厂房生产。企业原有项目均已完善履行环保手续，通过竣工环境保护验收，并且已落实环评及批复各项污染防治措施要求，废水、废气、噪声污染物均可达标排放，固废妥善处理，污染物排放总量符合审批要求，原有项目不存在环境问题。</w:t>
            </w:r>
          </w:p>
          <w:p w14:paraId="7A11453C">
            <w:pPr>
              <w:spacing w:line="360" w:lineRule="auto"/>
              <w:ind w:firstLine="480" w:firstLineChars="200"/>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sz w:val="24"/>
                <w:szCs w:val="24"/>
                <w:lang w:val="en-US" w:eastAsia="zh-CN"/>
              </w:rPr>
              <w:t>搬迁后</w:t>
            </w:r>
            <w:r>
              <w:rPr>
                <w:rFonts w:hint="default" w:ascii="Times New Roman" w:hAnsi="Times New Roman" w:eastAsia="宋体" w:cs="Times New Roman"/>
                <w:color w:val="auto"/>
                <w:sz w:val="24"/>
                <w:szCs w:val="24"/>
              </w:rPr>
              <w:t>企业江苏高高制衣有限公司现有空置的厂房车间四，</w:t>
            </w:r>
            <w:r>
              <w:rPr>
                <w:rFonts w:hint="default" w:ascii="Times New Roman" w:hAnsi="Times New Roman" w:eastAsia="宋体" w:cs="Times New Roman"/>
                <w:color w:val="auto"/>
                <w:sz w:val="24"/>
                <w:szCs w:val="24"/>
                <w:lang w:val="en-US" w:eastAsia="zh-CN"/>
              </w:rPr>
              <w:t>生产设备、工艺和产能</w:t>
            </w:r>
            <w:r>
              <w:rPr>
                <w:rFonts w:hint="eastAsia" w:ascii="Times New Roman" w:hAnsi="Times New Roman" w:eastAsia="宋体" w:cs="Times New Roman"/>
                <w:color w:val="auto"/>
                <w:sz w:val="24"/>
                <w:szCs w:val="24"/>
                <w:lang w:val="en-US" w:eastAsia="zh-CN"/>
              </w:rPr>
              <w:t>均进行了优化，淘汰的原有生产设备</w:t>
            </w:r>
            <w:r>
              <w:rPr>
                <w:rFonts w:hint="eastAsia" w:ascii="Times New Roman" w:hAnsi="Times New Roman" w:eastAsia="宋体" w:cs="Times New Roman"/>
                <w:color w:val="auto"/>
                <w:sz w:val="24"/>
                <w:szCs w:val="24"/>
              </w:rPr>
              <w:t>已寻找有资质单位处置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搬迁后将会进一步提升企业环保管理水平，</w:t>
            </w:r>
            <w:r>
              <w:rPr>
                <w:rFonts w:hint="default" w:ascii="Times New Roman" w:hAnsi="Times New Roman" w:eastAsia="宋体" w:cs="Times New Roman"/>
                <w:color w:val="auto"/>
                <w:sz w:val="24"/>
                <w:szCs w:val="24"/>
              </w:rPr>
              <w:t>将环保教育纳入企业培训体系，提高员工的环保意识和责任感</w:t>
            </w:r>
            <w:r>
              <w:rPr>
                <w:rFonts w:hint="default" w:ascii="Times New Roman" w:hAnsi="Times New Roman" w:eastAsia="宋体" w:cs="Times New Roman"/>
                <w:color w:val="auto"/>
                <w:sz w:val="24"/>
                <w:szCs w:val="24"/>
                <w:lang w:val="en-US" w:eastAsia="zh-CN"/>
              </w:rPr>
              <w:t>。</w:t>
            </w:r>
          </w:p>
        </w:tc>
      </w:tr>
    </w:tbl>
    <w:p w14:paraId="1DF73670">
      <w:pPr>
        <w:jc w:val="both"/>
        <w:rPr>
          <w:rFonts w:hint="default" w:ascii="Times New Roman" w:hAnsi="Times New Roman" w:eastAsia="宋体" w:cs="Times New Roman"/>
          <w:b/>
          <w:color w:val="auto"/>
          <w:sz w:val="24"/>
          <w:highlight w:val="none"/>
          <w:shd w:val="clear" w:color="auto" w:fill="auto"/>
        </w:rPr>
      </w:pPr>
    </w:p>
    <w:p w14:paraId="7C905E6E">
      <w:pPr>
        <w:rPr>
          <w:rFonts w:hint="default" w:ascii="Times New Roman" w:hAnsi="Times New Roman" w:eastAsia="宋体" w:cs="Times New Roman"/>
          <w:color w:val="auto"/>
          <w:highlight w:val="none"/>
          <w:shd w:val="clear" w:color="auto" w:fill="auto"/>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CB36419">
      <w:pPr>
        <w:pStyle w:val="4"/>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三、区域环境现状、环境保护目标及评价标准</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510"/>
      </w:tblGrid>
      <w:tr w14:paraId="0C20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5AA08CAC">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区域环境质量现状</w:t>
            </w:r>
          </w:p>
        </w:tc>
        <w:tc>
          <w:tcPr>
            <w:tcW w:w="4581" w:type="pct"/>
          </w:tcPr>
          <w:p w14:paraId="724F23EA">
            <w:pPr>
              <w:spacing w:line="360" w:lineRule="auto"/>
              <w:ind w:firstLine="482" w:firstLineChars="200"/>
              <w:rPr>
                <w:rFonts w:hint="default" w:ascii="Times New Roman" w:hAnsi="Times New Roman" w:eastAsia="宋体" w:cs="Times New Roman"/>
                <w:b/>
                <w:bCs w:val="0"/>
                <w:color w:val="auto"/>
                <w:sz w:val="24"/>
                <w:highlight w:val="none"/>
                <w:shd w:val="clear" w:color="auto" w:fill="auto"/>
              </w:rPr>
            </w:pPr>
            <w:r>
              <w:rPr>
                <w:rFonts w:hint="default" w:ascii="Times New Roman" w:hAnsi="Times New Roman" w:eastAsia="宋体" w:cs="Times New Roman"/>
                <w:b/>
                <w:bCs w:val="0"/>
                <w:color w:val="auto"/>
                <w:sz w:val="24"/>
                <w:highlight w:val="none"/>
                <w:shd w:val="clear" w:color="auto" w:fill="auto"/>
              </w:rPr>
              <w:t>1、大气环境</w:t>
            </w:r>
          </w:p>
          <w:p w14:paraId="3DD78230">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（1）大气基准污染物环境质量现状</w:t>
            </w:r>
          </w:p>
          <w:p w14:paraId="39D78AA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14:paraId="54150E97">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eastAsia="宋体" w:cs="Times New Roman"/>
                <w:caps w:val="0"/>
                <w:smallCaps w:val="0"/>
                <w:color w:val="auto"/>
                <w:spacing w:val="0"/>
                <w:sz w:val="24"/>
                <w:szCs w:val="24"/>
                <w:highlight w:val="none"/>
                <w:shd w:val="clear" w:color="auto" w:fill="auto"/>
              </w:rPr>
            </w:pPr>
            <w:r>
              <w:rPr>
                <w:rFonts w:hint="default" w:ascii="Times New Roman" w:hAnsi="Times New Roman" w:eastAsia="宋体" w:cs="Times New Roman"/>
                <w:caps w:val="0"/>
                <w:smallCaps w:val="0"/>
                <w:color w:val="auto"/>
                <w:spacing w:val="0"/>
                <w:sz w:val="24"/>
                <w:szCs w:val="24"/>
                <w:highlight w:val="none"/>
                <w:shd w:val="clear" w:color="auto" w:fill="auto"/>
              </w:rPr>
              <w:t>本次评价选取202</w:t>
            </w:r>
            <w:r>
              <w:rPr>
                <w:rFonts w:hint="eastAsia" w:ascii="Times New Roman" w:hAnsi="Times New Roman" w:eastAsia="宋体" w:cs="Times New Roman"/>
                <w:caps w:val="0"/>
                <w:smallCaps w:val="0"/>
                <w:color w:val="auto"/>
                <w:spacing w:val="0"/>
                <w:sz w:val="24"/>
                <w:szCs w:val="24"/>
                <w:highlight w:val="none"/>
                <w:shd w:val="clear" w:color="auto" w:fill="auto"/>
                <w:lang w:val="en-US" w:eastAsia="zh-CN"/>
              </w:rPr>
              <w:t>4</w:t>
            </w:r>
            <w:r>
              <w:rPr>
                <w:rFonts w:hint="default" w:ascii="Times New Roman" w:hAnsi="Times New Roman" w:eastAsia="宋体" w:cs="Times New Roman"/>
                <w:caps w:val="0"/>
                <w:smallCaps w:val="0"/>
                <w:color w:val="auto"/>
                <w:spacing w:val="0"/>
                <w:sz w:val="24"/>
                <w:szCs w:val="24"/>
                <w:highlight w:val="none"/>
                <w:shd w:val="clear" w:color="auto" w:fill="auto"/>
              </w:rPr>
              <w:t>年作为评价基准年，根据《202</w:t>
            </w:r>
            <w:r>
              <w:rPr>
                <w:rFonts w:hint="eastAsia" w:ascii="Times New Roman" w:hAnsi="Times New Roman" w:eastAsia="宋体" w:cs="Times New Roman"/>
                <w:caps w:val="0"/>
                <w:smallCaps w:val="0"/>
                <w:color w:val="auto"/>
                <w:spacing w:val="0"/>
                <w:sz w:val="24"/>
                <w:szCs w:val="24"/>
                <w:highlight w:val="none"/>
                <w:shd w:val="clear" w:color="auto" w:fill="auto"/>
                <w:lang w:val="en-US" w:eastAsia="zh-CN"/>
              </w:rPr>
              <w:t>4</w:t>
            </w:r>
            <w:r>
              <w:rPr>
                <w:rFonts w:hint="default" w:ascii="Times New Roman" w:hAnsi="Times New Roman" w:eastAsia="宋体" w:cs="Times New Roman"/>
                <w:caps w:val="0"/>
                <w:smallCaps w:val="0"/>
                <w:color w:val="auto"/>
                <w:spacing w:val="0"/>
                <w:sz w:val="24"/>
                <w:szCs w:val="24"/>
                <w:highlight w:val="none"/>
                <w:shd w:val="clear" w:color="auto" w:fill="auto"/>
              </w:rPr>
              <w:t>年常州市生态环境质量状况公报》，项目所在区域常州市各评价因子数据见表</w:t>
            </w:r>
            <w:r>
              <w:rPr>
                <w:rFonts w:hint="default" w:ascii="Times New Roman" w:hAnsi="Times New Roman" w:eastAsia="宋体" w:cs="Times New Roman"/>
                <w:caps w:val="0"/>
                <w:smallCaps w:val="0"/>
                <w:color w:val="auto"/>
                <w:spacing w:val="0"/>
                <w:sz w:val="24"/>
                <w:szCs w:val="24"/>
                <w:highlight w:val="none"/>
                <w:shd w:val="clear" w:color="auto" w:fill="auto"/>
                <w:lang w:val="en-US" w:eastAsia="zh-CN"/>
              </w:rPr>
              <w:t>3-1</w:t>
            </w:r>
            <w:r>
              <w:rPr>
                <w:rFonts w:hint="default" w:ascii="Times New Roman" w:hAnsi="Times New Roman" w:eastAsia="宋体" w:cs="Times New Roman"/>
                <w:caps w:val="0"/>
                <w:smallCaps w:val="0"/>
                <w:color w:val="auto"/>
                <w:spacing w:val="0"/>
                <w:sz w:val="24"/>
                <w:szCs w:val="24"/>
                <w:highlight w:val="none"/>
                <w:shd w:val="clear" w:color="auto" w:fill="auto"/>
              </w:rPr>
              <w:t>。</w:t>
            </w:r>
          </w:p>
          <w:p w14:paraId="5AADB9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aps w:val="0"/>
                <w:smallCaps w:val="0"/>
                <w:color w:val="auto"/>
                <w:spacing w:val="0"/>
                <w:sz w:val="24"/>
                <w:szCs w:val="24"/>
                <w:highlight w:val="none"/>
                <w:shd w:val="clear" w:color="auto" w:fill="auto"/>
              </w:rPr>
            </w:pPr>
            <w:r>
              <w:rPr>
                <w:rFonts w:hint="default" w:ascii="Times New Roman" w:hAnsi="Times New Roman" w:eastAsia="宋体" w:cs="Times New Roman"/>
                <w:b/>
                <w:bCs/>
                <w:caps w:val="0"/>
                <w:smallCaps w:val="0"/>
                <w:color w:val="auto"/>
                <w:spacing w:val="0"/>
                <w:sz w:val="24"/>
                <w:szCs w:val="24"/>
                <w:highlight w:val="none"/>
                <w:shd w:val="clear" w:color="auto" w:fill="auto"/>
              </w:rPr>
              <w:t>表</w:t>
            </w:r>
            <w:r>
              <w:rPr>
                <w:rFonts w:hint="default" w:ascii="Times New Roman" w:hAnsi="Times New Roman" w:eastAsia="宋体" w:cs="Times New Roman"/>
                <w:b/>
                <w:bCs/>
                <w:caps w:val="0"/>
                <w:smallCaps w:val="0"/>
                <w:color w:val="auto"/>
                <w:spacing w:val="0"/>
                <w:sz w:val="24"/>
                <w:szCs w:val="24"/>
                <w:highlight w:val="none"/>
                <w:shd w:val="clear" w:color="auto" w:fill="auto"/>
                <w:lang w:val="en-US" w:eastAsia="zh-CN"/>
              </w:rPr>
              <w:t xml:space="preserve">3-1 </w:t>
            </w:r>
            <w:r>
              <w:rPr>
                <w:rFonts w:hint="default" w:ascii="Times New Roman" w:hAnsi="Times New Roman" w:eastAsia="宋体" w:cs="Times New Roman"/>
                <w:b/>
                <w:bCs/>
                <w:caps w:val="0"/>
                <w:smallCaps w:val="0"/>
                <w:color w:val="auto"/>
                <w:spacing w:val="0"/>
                <w:sz w:val="24"/>
                <w:szCs w:val="24"/>
                <w:highlight w:val="none"/>
                <w:shd w:val="clear" w:color="auto" w:fill="auto"/>
              </w:rPr>
              <w:t>大气基本污染物环境质量现状</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75"/>
              <w:gridCol w:w="691"/>
              <w:gridCol w:w="2052"/>
              <w:gridCol w:w="994"/>
              <w:gridCol w:w="864"/>
              <w:gridCol w:w="1110"/>
              <w:gridCol w:w="1054"/>
              <w:gridCol w:w="1054"/>
            </w:tblGrid>
            <w:tr w14:paraId="59730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6" w:type="pct"/>
                  <w:noWrap w:val="0"/>
                  <w:vAlign w:val="center"/>
                </w:tcPr>
                <w:p w14:paraId="620F3E15">
                  <w:pPr>
                    <w:spacing w:line="240" w:lineRule="auto"/>
                    <w:jc w:val="center"/>
                    <w:rPr>
                      <w:rFonts w:hint="default" w:ascii="Times New Roman" w:hAnsi="Times New Roman" w:eastAsia="宋体" w:cs="Times New Roman"/>
                      <w:b/>
                      <w:bCs/>
                      <w:caps w:val="0"/>
                      <w:smallCaps w:val="0"/>
                      <w:color w:val="auto"/>
                      <w:spacing w:val="0"/>
                      <w:highlight w:val="none"/>
                      <w:shd w:val="clear" w:color="auto" w:fill="auto"/>
                    </w:rPr>
                  </w:pPr>
                  <w:r>
                    <w:rPr>
                      <w:rFonts w:hint="default" w:ascii="Times New Roman" w:hAnsi="Times New Roman" w:eastAsia="宋体" w:cs="Times New Roman"/>
                      <w:b/>
                      <w:bCs/>
                      <w:caps w:val="0"/>
                      <w:smallCaps w:val="0"/>
                      <w:color w:val="auto"/>
                      <w:spacing w:val="0"/>
                      <w:highlight w:val="none"/>
                      <w:shd w:val="clear" w:color="auto" w:fill="auto"/>
                    </w:rPr>
                    <w:t>区域</w:t>
                  </w:r>
                </w:p>
              </w:tc>
              <w:tc>
                <w:tcPr>
                  <w:tcW w:w="416" w:type="pct"/>
                  <w:noWrap w:val="0"/>
                  <w:vAlign w:val="center"/>
                </w:tcPr>
                <w:p w14:paraId="5958A7FF">
                  <w:pPr>
                    <w:spacing w:line="240" w:lineRule="auto"/>
                    <w:jc w:val="center"/>
                    <w:rPr>
                      <w:rFonts w:hint="default" w:ascii="Times New Roman" w:hAnsi="Times New Roman" w:eastAsia="宋体" w:cs="Times New Roman"/>
                      <w:b/>
                      <w:bCs/>
                      <w:caps w:val="0"/>
                      <w:smallCaps w:val="0"/>
                      <w:color w:val="auto"/>
                      <w:spacing w:val="0"/>
                      <w:highlight w:val="none"/>
                      <w:shd w:val="clear" w:color="auto" w:fill="auto"/>
                    </w:rPr>
                  </w:pPr>
                  <w:r>
                    <w:rPr>
                      <w:rFonts w:hint="default" w:ascii="Times New Roman" w:hAnsi="Times New Roman" w:eastAsia="宋体" w:cs="Times New Roman"/>
                      <w:b/>
                      <w:bCs/>
                      <w:caps w:val="0"/>
                      <w:smallCaps w:val="0"/>
                      <w:color w:val="auto"/>
                      <w:spacing w:val="0"/>
                      <w:highlight w:val="none"/>
                      <w:shd w:val="clear" w:color="auto" w:fill="auto"/>
                    </w:rPr>
                    <w:t>污染物</w:t>
                  </w:r>
                </w:p>
              </w:tc>
              <w:tc>
                <w:tcPr>
                  <w:tcW w:w="1237" w:type="pct"/>
                  <w:noWrap w:val="0"/>
                  <w:vAlign w:val="center"/>
                </w:tcPr>
                <w:p w14:paraId="27F2F174">
                  <w:pPr>
                    <w:spacing w:line="240" w:lineRule="auto"/>
                    <w:jc w:val="center"/>
                    <w:rPr>
                      <w:rFonts w:hint="default" w:ascii="Times New Roman" w:hAnsi="Times New Roman" w:eastAsia="宋体" w:cs="Times New Roman"/>
                      <w:b/>
                      <w:bCs/>
                      <w:caps w:val="0"/>
                      <w:smallCaps w:val="0"/>
                      <w:color w:val="auto"/>
                      <w:spacing w:val="0"/>
                      <w:highlight w:val="none"/>
                      <w:shd w:val="clear" w:color="auto" w:fill="auto"/>
                    </w:rPr>
                  </w:pPr>
                  <w:r>
                    <w:rPr>
                      <w:rFonts w:hint="default" w:ascii="Times New Roman" w:hAnsi="Times New Roman" w:eastAsia="宋体" w:cs="Times New Roman"/>
                      <w:b/>
                      <w:bCs/>
                      <w:caps w:val="0"/>
                      <w:smallCaps w:val="0"/>
                      <w:color w:val="auto"/>
                      <w:spacing w:val="0"/>
                      <w:highlight w:val="none"/>
                      <w:shd w:val="clear" w:color="auto" w:fill="auto"/>
                    </w:rPr>
                    <w:t>年评价指标</w:t>
                  </w:r>
                </w:p>
              </w:tc>
              <w:tc>
                <w:tcPr>
                  <w:tcW w:w="599" w:type="pct"/>
                  <w:noWrap w:val="0"/>
                  <w:vAlign w:val="center"/>
                </w:tcPr>
                <w:p w14:paraId="2BED1A13">
                  <w:pPr>
                    <w:spacing w:line="240" w:lineRule="auto"/>
                    <w:jc w:val="center"/>
                    <w:rPr>
                      <w:rFonts w:hint="default" w:ascii="Times New Roman" w:hAnsi="Times New Roman" w:eastAsia="宋体" w:cs="Times New Roman"/>
                      <w:b/>
                      <w:bCs/>
                      <w:caps w:val="0"/>
                      <w:smallCaps w:val="0"/>
                      <w:color w:val="auto"/>
                      <w:spacing w:val="0"/>
                      <w:highlight w:val="none"/>
                      <w:shd w:val="clear" w:color="auto" w:fill="auto"/>
                    </w:rPr>
                  </w:pPr>
                  <w:r>
                    <w:rPr>
                      <w:rFonts w:hint="default" w:ascii="Times New Roman" w:hAnsi="Times New Roman" w:eastAsia="宋体" w:cs="Times New Roman"/>
                      <w:b/>
                      <w:bCs/>
                      <w:caps w:val="0"/>
                      <w:smallCaps w:val="0"/>
                      <w:color w:val="auto"/>
                      <w:spacing w:val="0"/>
                      <w:highlight w:val="none"/>
                      <w:shd w:val="clear" w:color="auto" w:fill="auto"/>
                    </w:rPr>
                    <w:t>现状浓度</w:t>
                  </w:r>
                </w:p>
                <w:p w14:paraId="7C1A7C91">
                  <w:pPr>
                    <w:spacing w:line="240" w:lineRule="auto"/>
                    <w:jc w:val="center"/>
                    <w:rPr>
                      <w:rFonts w:hint="default" w:ascii="Times New Roman" w:hAnsi="Times New Roman" w:eastAsia="宋体" w:cs="Times New Roman"/>
                      <w:b/>
                      <w:bCs/>
                      <w:caps w:val="0"/>
                      <w:smallCaps w:val="0"/>
                      <w:color w:val="auto"/>
                      <w:spacing w:val="0"/>
                      <w:highlight w:val="none"/>
                      <w:shd w:val="clear" w:color="auto" w:fill="auto"/>
                    </w:rPr>
                  </w:pPr>
                  <w:r>
                    <w:rPr>
                      <w:rFonts w:hint="default" w:ascii="Times New Roman" w:hAnsi="Times New Roman" w:eastAsia="宋体" w:cs="Times New Roman"/>
                      <w:b/>
                      <w:bCs/>
                      <w:caps w:val="0"/>
                      <w:smallCaps w:val="0"/>
                      <w:color w:val="auto"/>
                      <w:spacing w:val="0"/>
                      <w:highlight w:val="none"/>
                      <w:shd w:val="clear" w:color="auto" w:fill="auto"/>
                    </w:rPr>
                    <w:t>（μg/m</w:t>
                  </w:r>
                  <w:r>
                    <w:rPr>
                      <w:rFonts w:hint="default" w:ascii="Times New Roman" w:hAnsi="Times New Roman" w:eastAsia="宋体" w:cs="Times New Roman"/>
                      <w:b/>
                      <w:bCs/>
                      <w:caps w:val="0"/>
                      <w:smallCaps w:val="0"/>
                      <w:color w:val="auto"/>
                      <w:spacing w:val="0"/>
                      <w:highlight w:val="none"/>
                      <w:shd w:val="clear" w:color="auto" w:fill="auto"/>
                      <w:vertAlign w:val="superscript"/>
                    </w:rPr>
                    <w:t>3</w:t>
                  </w:r>
                  <w:r>
                    <w:rPr>
                      <w:rFonts w:hint="default" w:ascii="Times New Roman" w:hAnsi="Times New Roman" w:eastAsia="宋体" w:cs="Times New Roman"/>
                      <w:b/>
                      <w:bCs/>
                      <w:caps w:val="0"/>
                      <w:smallCaps w:val="0"/>
                      <w:color w:val="auto"/>
                      <w:spacing w:val="0"/>
                      <w:highlight w:val="none"/>
                      <w:shd w:val="clear" w:color="auto" w:fill="auto"/>
                    </w:rPr>
                    <w:t>）</w:t>
                  </w:r>
                </w:p>
              </w:tc>
              <w:tc>
                <w:tcPr>
                  <w:tcW w:w="520" w:type="pct"/>
                  <w:noWrap w:val="0"/>
                  <w:vAlign w:val="center"/>
                </w:tcPr>
                <w:p w14:paraId="21EF2624">
                  <w:pPr>
                    <w:spacing w:line="240" w:lineRule="auto"/>
                    <w:jc w:val="center"/>
                    <w:rPr>
                      <w:rFonts w:hint="default" w:ascii="Times New Roman" w:hAnsi="Times New Roman" w:eastAsia="宋体" w:cs="Times New Roman"/>
                      <w:b/>
                      <w:bCs/>
                      <w:caps w:val="0"/>
                      <w:smallCaps w:val="0"/>
                      <w:color w:val="auto"/>
                      <w:spacing w:val="0"/>
                      <w:highlight w:val="none"/>
                      <w:shd w:val="clear" w:color="auto" w:fill="auto"/>
                    </w:rPr>
                  </w:pPr>
                  <w:r>
                    <w:rPr>
                      <w:rFonts w:hint="default" w:ascii="Times New Roman" w:hAnsi="Times New Roman" w:eastAsia="宋体" w:cs="Times New Roman"/>
                      <w:b/>
                      <w:bCs/>
                      <w:caps w:val="0"/>
                      <w:smallCaps w:val="0"/>
                      <w:color w:val="auto"/>
                      <w:spacing w:val="0"/>
                      <w:highlight w:val="none"/>
                      <w:shd w:val="clear" w:color="auto" w:fill="auto"/>
                    </w:rPr>
                    <w:t>标准值</w:t>
                  </w:r>
                </w:p>
                <w:p w14:paraId="6A56A7FA">
                  <w:pPr>
                    <w:spacing w:line="240" w:lineRule="auto"/>
                    <w:jc w:val="center"/>
                    <w:rPr>
                      <w:rFonts w:hint="default" w:ascii="Times New Roman" w:hAnsi="Times New Roman" w:eastAsia="宋体" w:cs="Times New Roman"/>
                      <w:b/>
                      <w:bCs/>
                      <w:caps w:val="0"/>
                      <w:smallCaps w:val="0"/>
                      <w:color w:val="auto"/>
                      <w:spacing w:val="0"/>
                      <w:highlight w:val="none"/>
                      <w:shd w:val="clear" w:color="auto" w:fill="auto"/>
                    </w:rPr>
                  </w:pPr>
                  <w:r>
                    <w:rPr>
                      <w:rFonts w:hint="default" w:ascii="Times New Roman" w:hAnsi="Times New Roman" w:eastAsia="宋体" w:cs="Times New Roman"/>
                      <w:b/>
                      <w:bCs/>
                      <w:caps w:val="0"/>
                      <w:smallCaps w:val="0"/>
                      <w:color w:val="auto"/>
                      <w:spacing w:val="0"/>
                      <w:highlight w:val="none"/>
                      <w:shd w:val="clear" w:color="auto" w:fill="auto"/>
                    </w:rPr>
                    <w:t>（μg/m</w:t>
                  </w:r>
                  <w:r>
                    <w:rPr>
                      <w:rFonts w:hint="default" w:ascii="Times New Roman" w:hAnsi="Times New Roman" w:eastAsia="宋体" w:cs="Times New Roman"/>
                      <w:b/>
                      <w:bCs/>
                      <w:caps w:val="0"/>
                      <w:smallCaps w:val="0"/>
                      <w:color w:val="auto"/>
                      <w:spacing w:val="0"/>
                      <w:highlight w:val="none"/>
                      <w:shd w:val="clear" w:color="auto" w:fill="auto"/>
                      <w:vertAlign w:val="superscript"/>
                    </w:rPr>
                    <w:t>3</w:t>
                  </w:r>
                  <w:r>
                    <w:rPr>
                      <w:rFonts w:hint="default" w:ascii="Times New Roman" w:hAnsi="Times New Roman" w:eastAsia="宋体" w:cs="Times New Roman"/>
                      <w:b/>
                      <w:bCs/>
                      <w:caps w:val="0"/>
                      <w:smallCaps w:val="0"/>
                      <w:color w:val="auto"/>
                      <w:spacing w:val="0"/>
                      <w:highlight w:val="none"/>
                      <w:shd w:val="clear" w:color="auto" w:fill="auto"/>
                    </w:rPr>
                    <w:t>）</w:t>
                  </w:r>
                </w:p>
              </w:tc>
              <w:tc>
                <w:tcPr>
                  <w:tcW w:w="669" w:type="pct"/>
                  <w:noWrap w:val="0"/>
                  <w:vAlign w:val="center"/>
                </w:tcPr>
                <w:p w14:paraId="047D16A2">
                  <w:pPr>
                    <w:spacing w:line="240" w:lineRule="auto"/>
                    <w:jc w:val="center"/>
                    <w:rPr>
                      <w:rFonts w:hint="default" w:ascii="Times New Roman" w:hAnsi="Times New Roman" w:eastAsia="宋体" w:cs="Times New Roman"/>
                      <w:b/>
                      <w:bCs/>
                      <w:caps w:val="0"/>
                      <w:smallCaps w:val="0"/>
                      <w:color w:val="auto"/>
                      <w:spacing w:val="0"/>
                      <w:highlight w:val="none"/>
                      <w:shd w:val="clear" w:color="auto" w:fill="auto"/>
                    </w:rPr>
                  </w:pPr>
                  <w:r>
                    <w:rPr>
                      <w:rFonts w:hint="default" w:ascii="Times New Roman" w:hAnsi="Times New Roman" w:eastAsia="宋体" w:cs="Times New Roman"/>
                      <w:b/>
                      <w:bCs/>
                      <w:caps w:val="0"/>
                      <w:smallCaps w:val="0"/>
                      <w:color w:val="auto"/>
                      <w:spacing w:val="0"/>
                      <w:highlight w:val="none"/>
                      <w:shd w:val="clear" w:color="auto" w:fill="auto"/>
                    </w:rPr>
                    <w:t>占标率(%)</w:t>
                  </w:r>
                </w:p>
              </w:tc>
              <w:tc>
                <w:tcPr>
                  <w:tcW w:w="635" w:type="pct"/>
                  <w:noWrap w:val="0"/>
                  <w:vAlign w:val="center"/>
                </w:tcPr>
                <w:p w14:paraId="3A03EC2D">
                  <w:pPr>
                    <w:spacing w:line="240" w:lineRule="auto"/>
                    <w:jc w:val="center"/>
                    <w:rPr>
                      <w:rFonts w:hint="default" w:ascii="Times New Roman" w:hAnsi="Times New Roman" w:eastAsia="宋体" w:cs="Times New Roman"/>
                      <w:b/>
                      <w:bCs/>
                      <w:caps w:val="0"/>
                      <w:smallCaps w:val="0"/>
                      <w:color w:val="auto"/>
                      <w:spacing w:val="0"/>
                      <w:highlight w:val="none"/>
                      <w:shd w:val="clear" w:color="auto" w:fill="auto"/>
                    </w:rPr>
                  </w:pPr>
                  <w:r>
                    <w:rPr>
                      <w:rFonts w:hint="default" w:ascii="Times New Roman" w:hAnsi="Times New Roman" w:eastAsia="宋体" w:cs="Times New Roman"/>
                      <w:b/>
                      <w:bCs/>
                      <w:caps w:val="0"/>
                      <w:smallCaps w:val="0"/>
                      <w:color w:val="auto"/>
                      <w:spacing w:val="0"/>
                      <w:highlight w:val="none"/>
                      <w:shd w:val="clear" w:color="auto" w:fill="auto"/>
                    </w:rPr>
                    <w:t xml:space="preserve">达标情况 </w:t>
                  </w:r>
                </w:p>
              </w:tc>
              <w:tc>
                <w:tcPr>
                  <w:tcW w:w="635" w:type="pct"/>
                  <w:noWrap w:val="0"/>
                  <w:vAlign w:val="center"/>
                </w:tcPr>
                <w:p w14:paraId="785C8AB7">
                  <w:pPr>
                    <w:spacing w:line="240" w:lineRule="auto"/>
                    <w:jc w:val="center"/>
                    <w:rPr>
                      <w:rFonts w:hint="default" w:ascii="Times New Roman" w:hAnsi="Times New Roman" w:eastAsia="宋体" w:cs="Times New Roman"/>
                      <w:b/>
                      <w:bCs/>
                      <w:caps w:val="0"/>
                      <w:smallCaps w:val="0"/>
                      <w:color w:val="auto"/>
                      <w:spacing w:val="0"/>
                      <w:highlight w:val="none"/>
                      <w:shd w:val="clear" w:color="auto" w:fill="auto"/>
                    </w:rPr>
                  </w:pPr>
                  <w:r>
                    <w:rPr>
                      <w:rFonts w:hint="eastAsia" w:ascii="Times New Roman" w:hAnsi="Times New Roman" w:eastAsia="宋体" w:cs="Times New Roman"/>
                      <w:b/>
                      <w:bCs/>
                      <w:caps w:val="0"/>
                      <w:smallCaps w:val="0"/>
                      <w:color w:val="auto"/>
                      <w:spacing w:val="0"/>
                      <w:highlight w:val="none"/>
                      <w:shd w:val="clear" w:color="auto" w:fill="auto"/>
                      <w:lang w:val="en-US" w:eastAsia="zh-CN"/>
                    </w:rPr>
                    <w:t>超标率(%)</w:t>
                  </w:r>
                </w:p>
              </w:tc>
            </w:tr>
            <w:tr w14:paraId="575CF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6" w:type="pct"/>
                  <w:vMerge w:val="restart"/>
                  <w:noWrap w:val="0"/>
                  <w:vAlign w:val="center"/>
                </w:tcPr>
                <w:p w14:paraId="15B98675">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常州全市</w:t>
                  </w:r>
                </w:p>
              </w:tc>
              <w:tc>
                <w:tcPr>
                  <w:tcW w:w="416" w:type="pct"/>
                  <w:vMerge w:val="restart"/>
                  <w:noWrap w:val="0"/>
                  <w:vAlign w:val="center"/>
                </w:tcPr>
                <w:p w14:paraId="460B65F3">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SO</w:t>
                  </w:r>
                  <w:r>
                    <w:rPr>
                      <w:rFonts w:hint="default" w:ascii="Times New Roman" w:hAnsi="Times New Roman" w:eastAsia="宋体" w:cs="Times New Roman"/>
                      <w:caps w:val="0"/>
                      <w:smallCaps w:val="0"/>
                      <w:color w:val="auto"/>
                      <w:spacing w:val="0"/>
                      <w:highlight w:val="none"/>
                      <w:shd w:val="clear" w:color="auto" w:fill="auto"/>
                      <w:vertAlign w:val="subscript"/>
                    </w:rPr>
                    <w:t>2</w:t>
                  </w:r>
                </w:p>
              </w:tc>
              <w:tc>
                <w:tcPr>
                  <w:tcW w:w="1237" w:type="pct"/>
                  <w:noWrap w:val="0"/>
                  <w:vAlign w:val="center"/>
                </w:tcPr>
                <w:p w14:paraId="567606A8">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年平均质量浓度</w:t>
                  </w:r>
                </w:p>
              </w:tc>
              <w:tc>
                <w:tcPr>
                  <w:tcW w:w="599" w:type="pct"/>
                  <w:noWrap w:val="0"/>
                  <w:vAlign w:val="center"/>
                </w:tcPr>
                <w:p w14:paraId="6A024994">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eastAsia="zh-CN"/>
                    </w:rPr>
                  </w:pPr>
                  <w: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t>8</w:t>
                  </w:r>
                </w:p>
              </w:tc>
              <w:tc>
                <w:tcPr>
                  <w:tcW w:w="520" w:type="pct"/>
                  <w:noWrap w:val="0"/>
                  <w:vAlign w:val="center"/>
                </w:tcPr>
                <w:p w14:paraId="4A3A14A0">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kern w:val="0"/>
                      <w:szCs w:val="21"/>
                      <w:highlight w:val="none"/>
                      <w:shd w:val="clear" w:color="auto" w:fill="auto"/>
                    </w:rPr>
                    <w:t>60</w:t>
                  </w:r>
                </w:p>
              </w:tc>
              <w:tc>
                <w:tcPr>
                  <w:tcW w:w="669" w:type="pct"/>
                  <w:noWrap w:val="0"/>
                  <w:vAlign w:val="center"/>
                </w:tcPr>
                <w:p w14:paraId="313DB0E5">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13.33</w:t>
                  </w:r>
                </w:p>
              </w:tc>
              <w:tc>
                <w:tcPr>
                  <w:tcW w:w="635" w:type="pct"/>
                  <w:vMerge w:val="restart"/>
                  <w:noWrap w:val="0"/>
                  <w:vAlign w:val="center"/>
                </w:tcPr>
                <w:p w14:paraId="4ECBB804">
                  <w:pPr>
                    <w:spacing w:line="240" w:lineRule="auto"/>
                    <w:jc w:val="cente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达标</w:t>
                  </w:r>
                </w:p>
              </w:tc>
              <w:tc>
                <w:tcPr>
                  <w:tcW w:w="635" w:type="pct"/>
                  <w:noWrap w:val="0"/>
                  <w:vAlign w:val="center"/>
                </w:tcPr>
                <w:p w14:paraId="5EA9A435">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eastAsia" w:ascii="Times New Roman" w:hAnsi="Times New Roman" w:eastAsia="宋体" w:cs="Times New Roman"/>
                      <w:caps w:val="0"/>
                      <w:smallCaps w:val="0"/>
                      <w:color w:val="auto"/>
                      <w:spacing w:val="0"/>
                      <w:highlight w:val="none"/>
                      <w:shd w:val="clear" w:color="auto" w:fill="auto"/>
                      <w:lang w:val="en-US" w:eastAsia="zh-CN"/>
                    </w:rPr>
                    <w:t>/</w:t>
                  </w:r>
                </w:p>
              </w:tc>
            </w:tr>
            <w:tr w14:paraId="461B9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6" w:type="pct"/>
                  <w:vMerge w:val="continue"/>
                  <w:noWrap w:val="0"/>
                  <w:vAlign w:val="center"/>
                </w:tcPr>
                <w:p w14:paraId="281A001C">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416" w:type="pct"/>
                  <w:vMerge w:val="continue"/>
                  <w:noWrap w:val="0"/>
                  <w:vAlign w:val="center"/>
                </w:tcPr>
                <w:p w14:paraId="5215BBF9">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1237" w:type="pct"/>
                  <w:noWrap w:val="0"/>
                  <w:vAlign w:val="center"/>
                </w:tcPr>
                <w:p w14:paraId="175D974C">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default" w:ascii="Times New Roman" w:hAnsi="Times New Roman" w:eastAsia="宋体" w:cs="Times New Roman"/>
                      <w:caps w:val="0"/>
                      <w:smallCaps w:val="0"/>
                      <w:color w:val="auto"/>
                      <w:spacing w:val="0"/>
                      <w:highlight w:val="none"/>
                      <w:shd w:val="clear" w:color="auto" w:fill="auto"/>
                    </w:rPr>
                    <w:t>日</w:t>
                  </w:r>
                  <w:r>
                    <w:rPr>
                      <w:rFonts w:hint="default" w:ascii="Times New Roman" w:hAnsi="Times New Roman" w:eastAsia="宋体" w:cs="Times New Roman"/>
                      <w:caps w:val="0"/>
                      <w:smallCaps w:val="0"/>
                      <w:color w:val="auto"/>
                      <w:spacing w:val="0"/>
                      <w:highlight w:val="none"/>
                      <w:shd w:val="clear" w:color="auto" w:fill="auto"/>
                      <w:lang w:val="en-US" w:eastAsia="zh-CN"/>
                    </w:rPr>
                    <w:t>均值浓度</w:t>
                  </w:r>
                </w:p>
              </w:tc>
              <w:tc>
                <w:tcPr>
                  <w:tcW w:w="599" w:type="pct"/>
                  <w:noWrap w:val="0"/>
                  <w:vAlign w:val="center"/>
                </w:tcPr>
                <w:p w14:paraId="4AD3B7C4">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5</w:t>
                  </w:r>
                  <w: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t>~1</w:t>
                  </w: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5</w:t>
                  </w:r>
                </w:p>
              </w:tc>
              <w:tc>
                <w:tcPr>
                  <w:tcW w:w="520" w:type="pct"/>
                  <w:noWrap w:val="0"/>
                  <w:vAlign w:val="center"/>
                </w:tcPr>
                <w:p w14:paraId="2BAD0605">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default" w:ascii="Times New Roman" w:hAnsi="Times New Roman" w:eastAsia="宋体" w:cs="Times New Roman"/>
                      <w:caps w:val="0"/>
                      <w:smallCaps w:val="0"/>
                      <w:color w:val="auto"/>
                      <w:spacing w:val="0"/>
                      <w:kern w:val="0"/>
                      <w:szCs w:val="21"/>
                      <w:highlight w:val="none"/>
                      <w:shd w:val="clear" w:color="auto" w:fill="auto"/>
                    </w:rPr>
                    <w:t>150</w:t>
                  </w:r>
                </w:p>
              </w:tc>
              <w:tc>
                <w:tcPr>
                  <w:tcW w:w="669" w:type="pct"/>
                  <w:noWrap w:val="0"/>
                  <w:vAlign w:val="center"/>
                </w:tcPr>
                <w:p w14:paraId="160E26C2">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3.33~10</w:t>
                  </w:r>
                </w:p>
              </w:tc>
              <w:tc>
                <w:tcPr>
                  <w:tcW w:w="635" w:type="pct"/>
                  <w:vMerge w:val="continue"/>
                  <w:noWrap w:val="0"/>
                  <w:vAlign w:val="center"/>
                </w:tcPr>
                <w:p w14:paraId="1242F8B3">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p>
              </w:tc>
              <w:tc>
                <w:tcPr>
                  <w:tcW w:w="635" w:type="pct"/>
                  <w:noWrap w:val="0"/>
                  <w:vAlign w:val="center"/>
                </w:tcPr>
                <w:p w14:paraId="4852C46A">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highlight w:val="none"/>
                      <w:shd w:val="clear" w:color="auto" w:fill="auto"/>
                      <w:lang w:val="en-US" w:eastAsia="zh-CN"/>
                    </w:rPr>
                    <w:t>/</w:t>
                  </w:r>
                </w:p>
              </w:tc>
            </w:tr>
            <w:tr w14:paraId="04393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6" w:type="pct"/>
                  <w:vMerge w:val="continue"/>
                  <w:noWrap w:val="0"/>
                  <w:vAlign w:val="top"/>
                </w:tcPr>
                <w:p w14:paraId="0A988BCB">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416" w:type="pct"/>
                  <w:vMerge w:val="restart"/>
                  <w:noWrap w:val="0"/>
                  <w:vAlign w:val="center"/>
                </w:tcPr>
                <w:p w14:paraId="088A4FBC">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NO</w:t>
                  </w:r>
                  <w:r>
                    <w:rPr>
                      <w:rFonts w:hint="default" w:ascii="Times New Roman" w:hAnsi="Times New Roman" w:eastAsia="宋体" w:cs="Times New Roman"/>
                      <w:caps w:val="0"/>
                      <w:smallCaps w:val="0"/>
                      <w:color w:val="auto"/>
                      <w:spacing w:val="0"/>
                      <w:highlight w:val="none"/>
                      <w:shd w:val="clear" w:color="auto" w:fill="auto"/>
                      <w:vertAlign w:val="subscript"/>
                    </w:rPr>
                    <w:t>2</w:t>
                  </w:r>
                </w:p>
              </w:tc>
              <w:tc>
                <w:tcPr>
                  <w:tcW w:w="1237" w:type="pct"/>
                  <w:noWrap w:val="0"/>
                  <w:vAlign w:val="center"/>
                </w:tcPr>
                <w:p w14:paraId="708EF303">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年平均浓度</w:t>
                  </w:r>
                </w:p>
              </w:tc>
              <w:tc>
                <w:tcPr>
                  <w:tcW w:w="599" w:type="pct"/>
                  <w:noWrap w:val="0"/>
                  <w:vAlign w:val="center"/>
                </w:tcPr>
                <w:p w14:paraId="1FCB828A">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26</w:t>
                  </w:r>
                </w:p>
              </w:tc>
              <w:tc>
                <w:tcPr>
                  <w:tcW w:w="520" w:type="pct"/>
                  <w:noWrap w:val="0"/>
                  <w:vAlign w:val="center"/>
                </w:tcPr>
                <w:p w14:paraId="09C1697E">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kern w:val="0"/>
                      <w:szCs w:val="21"/>
                      <w:highlight w:val="none"/>
                      <w:shd w:val="clear" w:color="auto" w:fill="auto"/>
                    </w:rPr>
                    <w:t>40</w:t>
                  </w:r>
                </w:p>
              </w:tc>
              <w:tc>
                <w:tcPr>
                  <w:tcW w:w="669" w:type="pct"/>
                  <w:noWrap w:val="0"/>
                  <w:vAlign w:val="center"/>
                </w:tcPr>
                <w:p w14:paraId="14CE406D">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65</w:t>
                  </w:r>
                </w:p>
              </w:tc>
              <w:tc>
                <w:tcPr>
                  <w:tcW w:w="635" w:type="pct"/>
                  <w:noWrap w:val="0"/>
                  <w:vAlign w:val="center"/>
                </w:tcPr>
                <w:p w14:paraId="5CC5B2D4">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达标</w:t>
                  </w:r>
                </w:p>
              </w:tc>
              <w:tc>
                <w:tcPr>
                  <w:tcW w:w="635" w:type="pct"/>
                  <w:noWrap w:val="0"/>
                  <w:vAlign w:val="center"/>
                </w:tcPr>
                <w:p w14:paraId="66A3CA7E">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eastAsia" w:ascii="Times New Roman" w:hAnsi="Times New Roman" w:eastAsia="宋体" w:cs="Times New Roman"/>
                      <w:caps w:val="0"/>
                      <w:smallCaps w:val="0"/>
                      <w:color w:val="auto"/>
                      <w:spacing w:val="0"/>
                      <w:highlight w:val="none"/>
                      <w:shd w:val="clear" w:color="auto" w:fill="auto"/>
                      <w:lang w:val="en-US" w:eastAsia="zh-CN"/>
                    </w:rPr>
                    <w:t>/</w:t>
                  </w:r>
                </w:p>
              </w:tc>
            </w:tr>
            <w:tr w14:paraId="24D0E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6" w:type="pct"/>
                  <w:vMerge w:val="continue"/>
                  <w:noWrap w:val="0"/>
                  <w:vAlign w:val="top"/>
                </w:tcPr>
                <w:p w14:paraId="11307929">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416" w:type="pct"/>
                  <w:vMerge w:val="continue"/>
                  <w:noWrap w:val="0"/>
                  <w:vAlign w:val="center"/>
                </w:tcPr>
                <w:p w14:paraId="17C788D2">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1237" w:type="pct"/>
                  <w:noWrap w:val="0"/>
                  <w:vAlign w:val="center"/>
                </w:tcPr>
                <w:p w14:paraId="2BD312FE">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日</w:t>
                  </w:r>
                  <w:r>
                    <w:rPr>
                      <w:rFonts w:hint="default" w:ascii="Times New Roman" w:hAnsi="Times New Roman" w:eastAsia="宋体" w:cs="Times New Roman"/>
                      <w:caps w:val="0"/>
                      <w:smallCaps w:val="0"/>
                      <w:color w:val="auto"/>
                      <w:spacing w:val="0"/>
                      <w:highlight w:val="none"/>
                      <w:shd w:val="clear" w:color="auto" w:fill="auto"/>
                      <w:lang w:val="en-US" w:eastAsia="zh-CN"/>
                    </w:rPr>
                    <w:t>均值浓度</w:t>
                  </w:r>
                </w:p>
              </w:tc>
              <w:tc>
                <w:tcPr>
                  <w:tcW w:w="599" w:type="pct"/>
                  <w:noWrap w:val="0"/>
                  <w:vAlign w:val="center"/>
                </w:tcPr>
                <w:p w14:paraId="6A531BAC">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5</w:t>
                  </w:r>
                  <w: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t>~</w:t>
                  </w: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92</w:t>
                  </w:r>
                </w:p>
              </w:tc>
              <w:tc>
                <w:tcPr>
                  <w:tcW w:w="520" w:type="pct"/>
                  <w:noWrap w:val="0"/>
                  <w:vAlign w:val="center"/>
                </w:tcPr>
                <w:p w14:paraId="770A91E5">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default" w:ascii="Times New Roman" w:hAnsi="Times New Roman" w:eastAsia="宋体" w:cs="Times New Roman"/>
                      <w:caps w:val="0"/>
                      <w:smallCaps w:val="0"/>
                      <w:color w:val="auto"/>
                      <w:spacing w:val="0"/>
                      <w:kern w:val="0"/>
                      <w:szCs w:val="21"/>
                      <w:highlight w:val="none"/>
                      <w:shd w:val="clear" w:color="auto" w:fill="auto"/>
                    </w:rPr>
                    <w:t>80</w:t>
                  </w:r>
                </w:p>
              </w:tc>
              <w:tc>
                <w:tcPr>
                  <w:tcW w:w="669" w:type="pct"/>
                  <w:noWrap w:val="0"/>
                  <w:vAlign w:val="center"/>
                </w:tcPr>
                <w:p w14:paraId="4F167AD3">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6.25~115</w:t>
                  </w:r>
                </w:p>
              </w:tc>
              <w:tc>
                <w:tcPr>
                  <w:tcW w:w="635" w:type="pct"/>
                  <w:noWrap w:val="0"/>
                  <w:vAlign w:val="center"/>
                </w:tcPr>
                <w:p w14:paraId="0AD86513">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达标</w:t>
                  </w:r>
                  <w:r>
                    <w:rPr>
                      <w:rFonts w:hint="default" w:ascii="Times New Roman" w:hAnsi="Times New Roman" w:eastAsia="宋体" w:cs="Times New Roman"/>
                      <w:caps w:val="0"/>
                      <w:smallCaps w:val="0"/>
                      <w:color w:val="auto"/>
                      <w:spacing w:val="0"/>
                      <w:sz w:val="21"/>
                      <w:szCs w:val="21"/>
                      <w:highlight w:val="none"/>
                      <w:shd w:val="clear" w:color="auto" w:fill="auto"/>
                      <w:vertAlign w:val="superscript"/>
                    </w:rPr>
                    <w:t>①</w:t>
                  </w:r>
                </w:p>
              </w:tc>
              <w:tc>
                <w:tcPr>
                  <w:tcW w:w="635" w:type="pct"/>
                  <w:noWrap w:val="0"/>
                  <w:vAlign w:val="center"/>
                </w:tcPr>
                <w:p w14:paraId="73F092DC">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0.8</w:t>
                  </w:r>
                </w:p>
              </w:tc>
            </w:tr>
            <w:tr w14:paraId="2E89F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6" w:type="pct"/>
                  <w:vMerge w:val="continue"/>
                  <w:noWrap w:val="0"/>
                  <w:vAlign w:val="top"/>
                </w:tcPr>
                <w:p w14:paraId="5E75096D">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416" w:type="pct"/>
                  <w:vMerge w:val="restart"/>
                  <w:noWrap w:val="0"/>
                  <w:vAlign w:val="center"/>
                </w:tcPr>
                <w:p w14:paraId="0542C020">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PM</w:t>
                  </w:r>
                  <w:r>
                    <w:rPr>
                      <w:rFonts w:hint="default" w:ascii="Times New Roman" w:hAnsi="Times New Roman" w:eastAsia="宋体" w:cs="Times New Roman"/>
                      <w:caps w:val="0"/>
                      <w:smallCaps w:val="0"/>
                      <w:color w:val="auto"/>
                      <w:spacing w:val="0"/>
                      <w:highlight w:val="none"/>
                      <w:shd w:val="clear" w:color="auto" w:fill="auto"/>
                      <w:vertAlign w:val="subscript"/>
                    </w:rPr>
                    <w:t>10</w:t>
                  </w:r>
                </w:p>
              </w:tc>
              <w:tc>
                <w:tcPr>
                  <w:tcW w:w="1237" w:type="pct"/>
                  <w:noWrap w:val="0"/>
                  <w:vAlign w:val="center"/>
                </w:tcPr>
                <w:p w14:paraId="7B227D97">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年平均浓度</w:t>
                  </w:r>
                </w:p>
              </w:tc>
              <w:tc>
                <w:tcPr>
                  <w:tcW w:w="599" w:type="pct"/>
                  <w:noWrap w:val="0"/>
                  <w:vAlign w:val="center"/>
                </w:tcPr>
                <w:p w14:paraId="06A367AF">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t>5</w:t>
                  </w: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2</w:t>
                  </w:r>
                </w:p>
              </w:tc>
              <w:tc>
                <w:tcPr>
                  <w:tcW w:w="520" w:type="pct"/>
                  <w:noWrap w:val="0"/>
                  <w:vAlign w:val="center"/>
                </w:tcPr>
                <w:p w14:paraId="42753394">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kern w:val="0"/>
                      <w:szCs w:val="21"/>
                      <w:highlight w:val="none"/>
                      <w:shd w:val="clear" w:color="auto" w:fill="auto"/>
                    </w:rPr>
                    <w:t>70</w:t>
                  </w:r>
                </w:p>
              </w:tc>
              <w:tc>
                <w:tcPr>
                  <w:tcW w:w="669" w:type="pct"/>
                  <w:noWrap w:val="0"/>
                  <w:vAlign w:val="center"/>
                </w:tcPr>
                <w:p w14:paraId="2E9ACFFE">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74.29</w:t>
                  </w:r>
                </w:p>
              </w:tc>
              <w:tc>
                <w:tcPr>
                  <w:tcW w:w="635" w:type="pct"/>
                  <w:noWrap w:val="0"/>
                  <w:vAlign w:val="center"/>
                </w:tcPr>
                <w:p w14:paraId="656987D1">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达标</w:t>
                  </w:r>
                </w:p>
              </w:tc>
              <w:tc>
                <w:tcPr>
                  <w:tcW w:w="635" w:type="pct"/>
                  <w:noWrap w:val="0"/>
                  <w:vAlign w:val="center"/>
                </w:tcPr>
                <w:p w14:paraId="6D839C0F">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eastAsia" w:ascii="Times New Roman" w:hAnsi="Times New Roman" w:eastAsia="宋体" w:cs="Times New Roman"/>
                      <w:caps w:val="0"/>
                      <w:smallCaps w:val="0"/>
                      <w:color w:val="auto"/>
                      <w:spacing w:val="0"/>
                      <w:highlight w:val="none"/>
                      <w:shd w:val="clear" w:color="auto" w:fill="auto"/>
                      <w:lang w:val="en-US" w:eastAsia="zh-CN"/>
                    </w:rPr>
                    <w:t>/</w:t>
                  </w:r>
                </w:p>
              </w:tc>
            </w:tr>
            <w:tr w14:paraId="567D0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6" w:type="pct"/>
                  <w:vMerge w:val="continue"/>
                  <w:noWrap w:val="0"/>
                  <w:vAlign w:val="top"/>
                </w:tcPr>
                <w:p w14:paraId="4EB29CEF">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416" w:type="pct"/>
                  <w:vMerge w:val="continue"/>
                  <w:noWrap w:val="0"/>
                  <w:vAlign w:val="center"/>
                </w:tcPr>
                <w:p w14:paraId="5590F53C">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1237" w:type="pct"/>
                  <w:noWrap w:val="0"/>
                  <w:vAlign w:val="center"/>
                </w:tcPr>
                <w:p w14:paraId="54FE58EA">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日</w:t>
                  </w:r>
                  <w:r>
                    <w:rPr>
                      <w:rFonts w:hint="default" w:ascii="Times New Roman" w:hAnsi="Times New Roman" w:eastAsia="宋体" w:cs="Times New Roman"/>
                      <w:caps w:val="0"/>
                      <w:smallCaps w:val="0"/>
                      <w:color w:val="auto"/>
                      <w:spacing w:val="0"/>
                      <w:highlight w:val="none"/>
                      <w:shd w:val="clear" w:color="auto" w:fill="auto"/>
                      <w:lang w:val="en-US" w:eastAsia="zh-CN"/>
                    </w:rPr>
                    <w:t>均值浓度</w:t>
                  </w:r>
                </w:p>
              </w:tc>
              <w:tc>
                <w:tcPr>
                  <w:tcW w:w="599" w:type="pct"/>
                  <w:noWrap w:val="0"/>
                  <w:vAlign w:val="center"/>
                </w:tcPr>
                <w:p w14:paraId="6C2AF6E8">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9</w:t>
                  </w:r>
                  <w: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t>~</w:t>
                  </w: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206</w:t>
                  </w:r>
                </w:p>
              </w:tc>
              <w:tc>
                <w:tcPr>
                  <w:tcW w:w="520" w:type="pct"/>
                  <w:noWrap w:val="0"/>
                  <w:vAlign w:val="center"/>
                </w:tcPr>
                <w:p w14:paraId="30BD7A7E">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default" w:ascii="Times New Roman" w:hAnsi="Times New Roman" w:eastAsia="宋体" w:cs="Times New Roman"/>
                      <w:caps w:val="0"/>
                      <w:smallCaps w:val="0"/>
                      <w:color w:val="auto"/>
                      <w:spacing w:val="0"/>
                      <w:kern w:val="0"/>
                      <w:szCs w:val="21"/>
                      <w:highlight w:val="none"/>
                      <w:shd w:val="clear" w:color="auto" w:fill="auto"/>
                    </w:rPr>
                    <w:t>150</w:t>
                  </w:r>
                </w:p>
              </w:tc>
              <w:tc>
                <w:tcPr>
                  <w:tcW w:w="669" w:type="pct"/>
                  <w:noWrap w:val="0"/>
                  <w:vAlign w:val="center"/>
                </w:tcPr>
                <w:p w14:paraId="42A02238">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6~137.33</w:t>
                  </w:r>
                </w:p>
              </w:tc>
              <w:tc>
                <w:tcPr>
                  <w:tcW w:w="635" w:type="pct"/>
                  <w:noWrap w:val="0"/>
                  <w:vAlign w:val="center"/>
                </w:tcPr>
                <w:p w14:paraId="4A754B29">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达标</w:t>
                  </w:r>
                  <w:r>
                    <w:rPr>
                      <w:rFonts w:hint="default" w:ascii="Times New Roman" w:hAnsi="Times New Roman" w:eastAsia="宋体" w:cs="Times New Roman"/>
                      <w:caps w:val="0"/>
                      <w:smallCaps w:val="0"/>
                      <w:color w:val="auto"/>
                      <w:spacing w:val="0"/>
                      <w:sz w:val="21"/>
                      <w:szCs w:val="21"/>
                      <w:highlight w:val="none"/>
                      <w:shd w:val="clear" w:color="auto" w:fill="auto"/>
                      <w:vertAlign w:val="superscript"/>
                    </w:rPr>
                    <w:t>②</w:t>
                  </w:r>
                </w:p>
              </w:tc>
              <w:tc>
                <w:tcPr>
                  <w:tcW w:w="635" w:type="pct"/>
                  <w:noWrap w:val="0"/>
                  <w:vAlign w:val="center"/>
                </w:tcPr>
                <w:p w14:paraId="40BAACAB">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1.7</w:t>
                  </w:r>
                </w:p>
              </w:tc>
            </w:tr>
            <w:tr w14:paraId="1D3F5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6" w:type="pct"/>
                  <w:vMerge w:val="continue"/>
                  <w:noWrap w:val="0"/>
                  <w:vAlign w:val="top"/>
                </w:tcPr>
                <w:p w14:paraId="5C50FDEE">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416" w:type="pct"/>
                  <w:vMerge w:val="restart"/>
                  <w:noWrap w:val="0"/>
                  <w:vAlign w:val="center"/>
                </w:tcPr>
                <w:p w14:paraId="2798A040">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PM</w:t>
                  </w:r>
                  <w:r>
                    <w:rPr>
                      <w:rFonts w:hint="default" w:ascii="Times New Roman" w:hAnsi="Times New Roman" w:eastAsia="宋体" w:cs="Times New Roman"/>
                      <w:caps w:val="0"/>
                      <w:smallCaps w:val="0"/>
                      <w:color w:val="auto"/>
                      <w:spacing w:val="0"/>
                      <w:highlight w:val="none"/>
                      <w:shd w:val="clear" w:color="auto" w:fill="auto"/>
                      <w:vertAlign w:val="subscript"/>
                    </w:rPr>
                    <w:t>2.5</w:t>
                  </w:r>
                </w:p>
              </w:tc>
              <w:tc>
                <w:tcPr>
                  <w:tcW w:w="1237" w:type="pct"/>
                  <w:noWrap w:val="0"/>
                  <w:vAlign w:val="center"/>
                </w:tcPr>
                <w:p w14:paraId="7939D6DE">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年平均浓度</w:t>
                  </w:r>
                </w:p>
              </w:tc>
              <w:tc>
                <w:tcPr>
                  <w:tcW w:w="599" w:type="pct"/>
                  <w:noWrap w:val="0"/>
                  <w:vAlign w:val="center"/>
                </w:tcPr>
                <w:p w14:paraId="43CE9865">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t>3</w:t>
                  </w: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2</w:t>
                  </w:r>
                </w:p>
              </w:tc>
              <w:tc>
                <w:tcPr>
                  <w:tcW w:w="520" w:type="pct"/>
                  <w:noWrap w:val="0"/>
                  <w:vAlign w:val="center"/>
                </w:tcPr>
                <w:p w14:paraId="4158A06D">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kern w:val="0"/>
                      <w:szCs w:val="21"/>
                      <w:highlight w:val="none"/>
                      <w:shd w:val="clear" w:color="auto" w:fill="auto"/>
                    </w:rPr>
                    <w:t>35</w:t>
                  </w:r>
                </w:p>
              </w:tc>
              <w:tc>
                <w:tcPr>
                  <w:tcW w:w="669" w:type="pct"/>
                  <w:noWrap w:val="0"/>
                  <w:vAlign w:val="center"/>
                </w:tcPr>
                <w:p w14:paraId="62A864A6">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91.43</w:t>
                  </w:r>
                </w:p>
              </w:tc>
              <w:tc>
                <w:tcPr>
                  <w:tcW w:w="635" w:type="pct"/>
                  <w:noWrap w:val="0"/>
                  <w:vAlign w:val="center"/>
                </w:tcPr>
                <w:p w14:paraId="4E0E0A8B">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达标</w:t>
                  </w:r>
                </w:p>
              </w:tc>
              <w:tc>
                <w:tcPr>
                  <w:tcW w:w="635" w:type="pct"/>
                  <w:noWrap w:val="0"/>
                  <w:vAlign w:val="center"/>
                </w:tcPr>
                <w:p w14:paraId="1E44BA09">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eastAsia" w:ascii="Times New Roman" w:hAnsi="Times New Roman" w:eastAsia="宋体" w:cs="Times New Roman"/>
                      <w:caps w:val="0"/>
                      <w:smallCaps w:val="0"/>
                      <w:color w:val="auto"/>
                      <w:spacing w:val="0"/>
                      <w:highlight w:val="none"/>
                      <w:shd w:val="clear" w:color="auto" w:fill="auto"/>
                      <w:lang w:val="en-US" w:eastAsia="zh-CN"/>
                    </w:rPr>
                    <w:t>/</w:t>
                  </w:r>
                </w:p>
              </w:tc>
            </w:tr>
            <w:tr w14:paraId="7D5D2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6" w:type="pct"/>
                  <w:vMerge w:val="continue"/>
                  <w:noWrap w:val="0"/>
                  <w:vAlign w:val="top"/>
                </w:tcPr>
                <w:p w14:paraId="4D6CB269">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416" w:type="pct"/>
                  <w:vMerge w:val="continue"/>
                  <w:noWrap w:val="0"/>
                  <w:vAlign w:val="center"/>
                </w:tcPr>
                <w:p w14:paraId="7AFDD3C2">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1237" w:type="pct"/>
                  <w:noWrap w:val="0"/>
                  <w:vAlign w:val="center"/>
                </w:tcPr>
                <w:p w14:paraId="39E15C43">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日</w:t>
                  </w:r>
                  <w:r>
                    <w:rPr>
                      <w:rFonts w:hint="default" w:ascii="Times New Roman" w:hAnsi="Times New Roman" w:eastAsia="宋体" w:cs="Times New Roman"/>
                      <w:caps w:val="0"/>
                      <w:smallCaps w:val="0"/>
                      <w:color w:val="auto"/>
                      <w:spacing w:val="0"/>
                      <w:highlight w:val="none"/>
                      <w:shd w:val="clear" w:color="auto" w:fill="auto"/>
                      <w:lang w:val="en-US" w:eastAsia="zh-CN"/>
                    </w:rPr>
                    <w:t>均值浓度</w:t>
                  </w:r>
                </w:p>
              </w:tc>
              <w:tc>
                <w:tcPr>
                  <w:tcW w:w="599" w:type="pct"/>
                  <w:noWrap w:val="0"/>
                  <w:vAlign w:val="center"/>
                </w:tcPr>
                <w:p w14:paraId="21A612A9">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5</w:t>
                  </w:r>
                  <w: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t>~15</w:t>
                  </w: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7</w:t>
                  </w:r>
                </w:p>
              </w:tc>
              <w:tc>
                <w:tcPr>
                  <w:tcW w:w="520" w:type="pct"/>
                  <w:noWrap w:val="0"/>
                  <w:vAlign w:val="center"/>
                </w:tcPr>
                <w:p w14:paraId="542A5397">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default" w:ascii="Times New Roman" w:hAnsi="Times New Roman" w:eastAsia="宋体" w:cs="Times New Roman"/>
                      <w:caps w:val="0"/>
                      <w:smallCaps w:val="0"/>
                      <w:color w:val="auto"/>
                      <w:spacing w:val="0"/>
                      <w:kern w:val="0"/>
                      <w:szCs w:val="21"/>
                      <w:highlight w:val="none"/>
                      <w:shd w:val="clear" w:color="auto" w:fill="auto"/>
                    </w:rPr>
                    <w:t>75</w:t>
                  </w:r>
                </w:p>
              </w:tc>
              <w:tc>
                <w:tcPr>
                  <w:tcW w:w="669" w:type="pct"/>
                  <w:noWrap w:val="0"/>
                  <w:vAlign w:val="center"/>
                </w:tcPr>
                <w:p w14:paraId="6C5BB587">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6.67~209.33</w:t>
                  </w:r>
                </w:p>
              </w:tc>
              <w:tc>
                <w:tcPr>
                  <w:tcW w:w="635" w:type="pct"/>
                  <w:noWrap w:val="0"/>
                  <w:vAlign w:val="center"/>
                </w:tcPr>
                <w:p w14:paraId="5FF8DD3A">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超标</w:t>
                  </w:r>
                  <w:r>
                    <w:rPr>
                      <w:rFonts w:hint="default" w:ascii="Times New Roman" w:hAnsi="Times New Roman" w:eastAsia="宋体" w:cs="Times New Roman"/>
                      <w:caps w:val="0"/>
                      <w:smallCaps w:val="0"/>
                      <w:color w:val="auto"/>
                      <w:spacing w:val="0"/>
                      <w:sz w:val="21"/>
                      <w:szCs w:val="21"/>
                      <w:highlight w:val="none"/>
                      <w:shd w:val="clear" w:color="auto" w:fill="auto"/>
                      <w:vertAlign w:val="superscript"/>
                    </w:rPr>
                    <w:t>③</w:t>
                  </w:r>
                </w:p>
              </w:tc>
              <w:tc>
                <w:tcPr>
                  <w:tcW w:w="635" w:type="pct"/>
                  <w:noWrap w:val="0"/>
                  <w:vAlign w:val="center"/>
                </w:tcPr>
                <w:p w14:paraId="3550555C">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6.8</w:t>
                  </w:r>
                </w:p>
              </w:tc>
            </w:tr>
            <w:tr w14:paraId="06E32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286" w:type="pct"/>
                  <w:vMerge w:val="continue"/>
                  <w:noWrap w:val="0"/>
                  <w:vAlign w:val="top"/>
                </w:tcPr>
                <w:p w14:paraId="0F634A78">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416" w:type="pct"/>
                  <w:vMerge w:val="restart"/>
                  <w:noWrap w:val="0"/>
                  <w:vAlign w:val="center"/>
                </w:tcPr>
                <w:p w14:paraId="542263B4">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CO</w:t>
                  </w:r>
                </w:p>
              </w:tc>
              <w:tc>
                <w:tcPr>
                  <w:tcW w:w="1237" w:type="pct"/>
                  <w:noWrap w:val="0"/>
                  <w:tcMar>
                    <w:top w:w="0" w:type="dxa"/>
                    <w:left w:w="0" w:type="dxa"/>
                    <w:bottom w:w="0" w:type="dxa"/>
                    <w:right w:w="0" w:type="dxa"/>
                  </w:tcMar>
                  <w:vAlign w:val="center"/>
                </w:tcPr>
                <w:p w14:paraId="16F2F6BC">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日平均第95百分位数</w:t>
                  </w:r>
                </w:p>
              </w:tc>
              <w:tc>
                <w:tcPr>
                  <w:tcW w:w="599" w:type="pct"/>
                  <w:noWrap w:val="0"/>
                  <w:vAlign w:val="center"/>
                </w:tcPr>
                <w:p w14:paraId="50E6E2FA">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default" w:ascii="Times New Roman" w:hAnsi="Times New Roman" w:eastAsia="宋体" w:cs="Times New Roman"/>
                      <w:caps w:val="0"/>
                      <w:smallCaps w:val="0"/>
                      <w:color w:val="auto"/>
                      <w:spacing w:val="0"/>
                      <w:kern w:val="0"/>
                      <w:szCs w:val="21"/>
                      <w:highlight w:val="none"/>
                      <w:shd w:val="clear" w:color="auto" w:fill="auto"/>
                    </w:rPr>
                    <w:t>1</w:t>
                  </w:r>
                  <w: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t>100</w:t>
                  </w:r>
                </w:p>
              </w:tc>
              <w:tc>
                <w:tcPr>
                  <w:tcW w:w="520" w:type="pct"/>
                  <w:vMerge w:val="restart"/>
                  <w:noWrap w:val="0"/>
                  <w:vAlign w:val="center"/>
                </w:tcPr>
                <w:p w14:paraId="4FE9CB9C">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kern w:val="0"/>
                      <w:szCs w:val="21"/>
                      <w:highlight w:val="none"/>
                      <w:shd w:val="clear" w:color="auto" w:fill="auto"/>
                    </w:rPr>
                    <w:t>4000</w:t>
                  </w:r>
                </w:p>
              </w:tc>
              <w:tc>
                <w:tcPr>
                  <w:tcW w:w="669" w:type="pct"/>
                  <w:noWrap w:val="0"/>
                  <w:vAlign w:val="center"/>
                </w:tcPr>
                <w:p w14:paraId="6E11A5A9">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27.5</w:t>
                  </w:r>
                </w:p>
              </w:tc>
              <w:tc>
                <w:tcPr>
                  <w:tcW w:w="635" w:type="pct"/>
                  <w:noWrap w:val="0"/>
                  <w:vAlign w:val="center"/>
                </w:tcPr>
                <w:p w14:paraId="116D099B">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达标</w:t>
                  </w:r>
                </w:p>
              </w:tc>
              <w:tc>
                <w:tcPr>
                  <w:tcW w:w="635" w:type="pct"/>
                  <w:vMerge w:val="restart"/>
                  <w:noWrap w:val="0"/>
                  <w:vAlign w:val="center"/>
                </w:tcPr>
                <w:p w14:paraId="1E4B0EBE">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eastAsia" w:ascii="Times New Roman" w:hAnsi="Times New Roman" w:eastAsia="宋体" w:cs="Times New Roman"/>
                      <w:caps w:val="0"/>
                      <w:smallCaps w:val="0"/>
                      <w:color w:val="auto"/>
                      <w:spacing w:val="0"/>
                      <w:highlight w:val="none"/>
                      <w:shd w:val="clear" w:color="auto" w:fill="auto"/>
                      <w:lang w:val="en-US" w:eastAsia="zh-CN"/>
                    </w:rPr>
                    <w:t>/</w:t>
                  </w:r>
                </w:p>
              </w:tc>
            </w:tr>
            <w:tr w14:paraId="7489B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286" w:type="pct"/>
                  <w:vMerge w:val="continue"/>
                  <w:noWrap w:val="0"/>
                  <w:vAlign w:val="top"/>
                </w:tcPr>
                <w:p w14:paraId="286208A4">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416" w:type="pct"/>
                  <w:vMerge w:val="continue"/>
                  <w:noWrap w:val="0"/>
                  <w:vAlign w:val="center"/>
                </w:tcPr>
                <w:p w14:paraId="22C81637">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1237" w:type="pct"/>
                  <w:noWrap w:val="0"/>
                  <w:tcMar>
                    <w:top w:w="0" w:type="dxa"/>
                    <w:left w:w="0" w:type="dxa"/>
                    <w:bottom w:w="0" w:type="dxa"/>
                    <w:right w:w="0" w:type="dxa"/>
                  </w:tcMar>
                  <w:vAlign w:val="center"/>
                </w:tcPr>
                <w:p w14:paraId="4D80EBD9">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default" w:ascii="Times New Roman" w:hAnsi="Times New Roman" w:eastAsia="宋体" w:cs="Times New Roman"/>
                      <w:caps w:val="0"/>
                      <w:smallCaps w:val="0"/>
                      <w:color w:val="auto"/>
                      <w:spacing w:val="0"/>
                      <w:highlight w:val="none"/>
                      <w:shd w:val="clear" w:color="auto" w:fill="auto"/>
                      <w:lang w:val="en-US" w:eastAsia="zh-CN"/>
                    </w:rPr>
                    <w:t>日均值浓度</w:t>
                  </w:r>
                </w:p>
              </w:tc>
              <w:tc>
                <w:tcPr>
                  <w:tcW w:w="599" w:type="pct"/>
                  <w:noWrap w:val="0"/>
                  <w:vAlign w:val="center"/>
                </w:tcPr>
                <w:p w14:paraId="1E55C5CA">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eastAsia" w:ascii="Times New Roman" w:hAnsi="Times New Roman" w:eastAsia="宋体" w:cs="Times New Roman"/>
                      <w:caps w:val="0"/>
                      <w:smallCaps w:val="0"/>
                      <w:color w:val="auto"/>
                      <w:spacing w:val="0"/>
                      <w:highlight w:val="none"/>
                      <w:shd w:val="clear" w:color="auto" w:fill="auto"/>
                      <w:lang w:val="en-US" w:eastAsia="zh-CN"/>
                    </w:rPr>
                    <w:t>3</w:t>
                  </w:r>
                  <w:r>
                    <w:rPr>
                      <w:rFonts w:hint="default" w:ascii="Times New Roman" w:hAnsi="Times New Roman" w:eastAsia="宋体" w:cs="Times New Roman"/>
                      <w:caps w:val="0"/>
                      <w:smallCaps w:val="0"/>
                      <w:color w:val="auto"/>
                      <w:spacing w:val="0"/>
                      <w:highlight w:val="none"/>
                      <w:shd w:val="clear" w:color="auto" w:fill="auto"/>
                      <w:lang w:val="en-US" w:eastAsia="zh-CN"/>
                    </w:rPr>
                    <w:t>00~1500</w:t>
                  </w:r>
                </w:p>
              </w:tc>
              <w:tc>
                <w:tcPr>
                  <w:tcW w:w="520" w:type="pct"/>
                  <w:vMerge w:val="continue"/>
                  <w:noWrap w:val="0"/>
                  <w:vAlign w:val="center"/>
                </w:tcPr>
                <w:p w14:paraId="3DECB49A">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669" w:type="pct"/>
                  <w:noWrap w:val="0"/>
                  <w:vAlign w:val="center"/>
                </w:tcPr>
                <w:p w14:paraId="47FD85EE">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eastAsia" w:ascii="Times New Roman" w:hAnsi="Times New Roman" w:eastAsia="宋体" w:cs="Times New Roman"/>
                      <w:caps w:val="0"/>
                      <w:smallCaps w:val="0"/>
                      <w:color w:val="auto"/>
                      <w:spacing w:val="0"/>
                      <w:highlight w:val="none"/>
                      <w:shd w:val="clear" w:color="auto" w:fill="auto"/>
                      <w:lang w:val="en-US" w:eastAsia="zh-CN"/>
                    </w:rPr>
                    <w:t>10~37.5</w:t>
                  </w:r>
                </w:p>
              </w:tc>
              <w:tc>
                <w:tcPr>
                  <w:tcW w:w="635" w:type="pct"/>
                  <w:noWrap w:val="0"/>
                  <w:vAlign w:val="center"/>
                </w:tcPr>
                <w:p w14:paraId="6E93502B">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达标</w:t>
                  </w:r>
                </w:p>
              </w:tc>
              <w:tc>
                <w:tcPr>
                  <w:tcW w:w="635" w:type="pct"/>
                  <w:vMerge w:val="continue"/>
                  <w:noWrap w:val="0"/>
                  <w:vAlign w:val="center"/>
                </w:tcPr>
                <w:p w14:paraId="223AAC09">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p>
              </w:tc>
            </w:tr>
            <w:tr w14:paraId="0F881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6" w:type="pct"/>
                  <w:vMerge w:val="continue"/>
                  <w:noWrap w:val="0"/>
                  <w:vAlign w:val="top"/>
                </w:tcPr>
                <w:p w14:paraId="5FAB971F">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416" w:type="pct"/>
                  <w:vMerge w:val="restart"/>
                  <w:noWrap w:val="0"/>
                  <w:vAlign w:val="center"/>
                </w:tcPr>
                <w:p w14:paraId="0C2C8D00">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O</w:t>
                  </w:r>
                  <w:r>
                    <w:rPr>
                      <w:rFonts w:hint="default" w:ascii="Times New Roman" w:hAnsi="Times New Roman" w:eastAsia="宋体" w:cs="Times New Roman"/>
                      <w:caps w:val="0"/>
                      <w:smallCaps w:val="0"/>
                      <w:color w:val="auto"/>
                      <w:spacing w:val="0"/>
                      <w:highlight w:val="none"/>
                      <w:shd w:val="clear" w:color="auto" w:fill="auto"/>
                      <w:vertAlign w:val="subscript"/>
                    </w:rPr>
                    <w:t>3</w:t>
                  </w:r>
                </w:p>
              </w:tc>
              <w:tc>
                <w:tcPr>
                  <w:tcW w:w="1237" w:type="pct"/>
                  <w:noWrap w:val="0"/>
                  <w:tcMar>
                    <w:top w:w="0" w:type="dxa"/>
                    <w:left w:w="0" w:type="dxa"/>
                    <w:bottom w:w="0" w:type="dxa"/>
                    <w:right w:w="0" w:type="dxa"/>
                  </w:tcMar>
                  <w:vAlign w:val="center"/>
                </w:tcPr>
                <w:p w14:paraId="56EAC345">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rPr>
                    <w:t>日最大8h滑动平均值第90百分位数</w:t>
                  </w:r>
                </w:p>
              </w:tc>
              <w:tc>
                <w:tcPr>
                  <w:tcW w:w="599" w:type="pct"/>
                  <w:noWrap w:val="0"/>
                  <w:vAlign w:val="center"/>
                </w:tcPr>
                <w:p w14:paraId="6B83D3B6">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default" w:ascii="Times New Roman" w:hAnsi="Times New Roman" w:eastAsia="宋体" w:cs="Times New Roman"/>
                      <w:caps w:val="0"/>
                      <w:smallCaps w:val="0"/>
                      <w:color w:val="auto"/>
                      <w:spacing w:val="0"/>
                      <w:kern w:val="0"/>
                      <w:szCs w:val="21"/>
                      <w:highlight w:val="none"/>
                      <w:shd w:val="clear" w:color="auto" w:fill="auto"/>
                    </w:rPr>
                    <w:t>1</w:t>
                  </w: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68</w:t>
                  </w:r>
                </w:p>
              </w:tc>
              <w:tc>
                <w:tcPr>
                  <w:tcW w:w="520" w:type="pct"/>
                  <w:vMerge w:val="restart"/>
                  <w:noWrap w:val="0"/>
                  <w:vAlign w:val="center"/>
                </w:tcPr>
                <w:p w14:paraId="2CC70997">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kern w:val="0"/>
                      <w:szCs w:val="21"/>
                      <w:highlight w:val="none"/>
                      <w:shd w:val="clear" w:color="auto" w:fill="auto"/>
                    </w:rPr>
                    <w:t>160</w:t>
                  </w:r>
                </w:p>
              </w:tc>
              <w:tc>
                <w:tcPr>
                  <w:tcW w:w="669" w:type="pct"/>
                  <w:noWrap w:val="0"/>
                  <w:vAlign w:val="center"/>
                </w:tcPr>
                <w:p w14:paraId="743BB5CE">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105</w:t>
                  </w:r>
                </w:p>
              </w:tc>
              <w:tc>
                <w:tcPr>
                  <w:tcW w:w="635" w:type="pct"/>
                  <w:noWrap w:val="0"/>
                  <w:vAlign w:val="center"/>
                </w:tcPr>
                <w:p w14:paraId="2637414D">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超标</w:t>
                  </w:r>
                </w:p>
              </w:tc>
              <w:tc>
                <w:tcPr>
                  <w:tcW w:w="635" w:type="pct"/>
                  <w:noWrap w:val="0"/>
                  <w:vAlign w:val="center"/>
                </w:tcPr>
                <w:p w14:paraId="06D09269">
                  <w:pPr>
                    <w:spacing w:line="240" w:lineRule="auto"/>
                    <w:jc w:val="center"/>
                    <w:rPr>
                      <w:rFonts w:hint="default" w:ascii="Times New Roman" w:hAnsi="Times New Roman" w:eastAsia="宋体" w:cs="Times New Roman"/>
                      <w:caps w:val="0"/>
                      <w:smallCaps w:val="0"/>
                      <w:color w:val="auto"/>
                      <w:spacing w:val="0"/>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14.5</w:t>
                  </w:r>
                </w:p>
              </w:tc>
            </w:tr>
            <w:tr w14:paraId="73308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86" w:type="pct"/>
                  <w:vMerge w:val="continue"/>
                  <w:noWrap w:val="0"/>
                  <w:vAlign w:val="top"/>
                </w:tcPr>
                <w:p w14:paraId="4B6ED290">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416" w:type="pct"/>
                  <w:vMerge w:val="continue"/>
                  <w:noWrap w:val="0"/>
                  <w:vAlign w:val="center"/>
                </w:tcPr>
                <w:p w14:paraId="61EDF6D4">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p>
              </w:tc>
              <w:tc>
                <w:tcPr>
                  <w:tcW w:w="1237" w:type="pct"/>
                  <w:noWrap w:val="0"/>
                  <w:tcMar>
                    <w:top w:w="0" w:type="dxa"/>
                    <w:left w:w="0" w:type="dxa"/>
                    <w:bottom w:w="0" w:type="dxa"/>
                    <w:right w:w="0" w:type="dxa"/>
                  </w:tcMar>
                  <w:vAlign w:val="center"/>
                </w:tcPr>
                <w:p w14:paraId="050089E5">
                  <w:pPr>
                    <w:spacing w:line="240" w:lineRule="auto"/>
                    <w:jc w:val="center"/>
                    <w:rPr>
                      <w:rFonts w:hint="default" w:ascii="Times New Roman" w:hAnsi="Times New Roman" w:eastAsia="宋体" w:cs="Times New Roman"/>
                      <w:caps w:val="0"/>
                      <w:smallCaps w:val="0"/>
                      <w:color w:val="auto"/>
                      <w:spacing w:val="0"/>
                      <w:highlight w:val="none"/>
                      <w:shd w:val="clear" w:color="auto" w:fill="auto"/>
                    </w:rPr>
                  </w:pPr>
                  <w:r>
                    <w:rPr>
                      <w:rFonts w:hint="default" w:ascii="Times New Roman" w:hAnsi="Times New Roman" w:eastAsia="宋体" w:cs="Times New Roman"/>
                      <w:caps w:val="0"/>
                      <w:smallCaps w:val="0"/>
                      <w:color w:val="auto"/>
                      <w:spacing w:val="0"/>
                      <w:highlight w:val="none"/>
                      <w:shd w:val="clear" w:color="auto" w:fill="auto"/>
                      <w:lang w:val="en-US" w:eastAsia="zh-CN"/>
                    </w:rPr>
                    <w:t>日均值浓度</w:t>
                  </w:r>
                </w:p>
              </w:tc>
              <w:tc>
                <w:tcPr>
                  <w:tcW w:w="599" w:type="pct"/>
                  <w:noWrap w:val="0"/>
                  <w:vAlign w:val="center"/>
                </w:tcPr>
                <w:p w14:paraId="7D0B1A70">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17</w:t>
                  </w:r>
                  <w: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t>~</w:t>
                  </w: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253</w:t>
                  </w:r>
                </w:p>
              </w:tc>
              <w:tc>
                <w:tcPr>
                  <w:tcW w:w="520" w:type="pct"/>
                  <w:vMerge w:val="continue"/>
                  <w:noWrap w:val="0"/>
                  <w:vAlign w:val="center"/>
                </w:tcPr>
                <w:p w14:paraId="7636A5DF">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p>
              </w:tc>
              <w:tc>
                <w:tcPr>
                  <w:tcW w:w="669" w:type="pct"/>
                  <w:noWrap w:val="0"/>
                  <w:vAlign w:val="center"/>
                </w:tcPr>
                <w:p w14:paraId="17E00032">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10.63~158.13</w:t>
                  </w:r>
                </w:p>
              </w:tc>
              <w:tc>
                <w:tcPr>
                  <w:tcW w:w="635" w:type="pct"/>
                  <w:noWrap w:val="0"/>
                  <w:vAlign w:val="center"/>
                </w:tcPr>
                <w:p w14:paraId="5AE45DA8">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达标</w:t>
                  </w:r>
                </w:p>
              </w:tc>
              <w:tc>
                <w:tcPr>
                  <w:tcW w:w="635" w:type="pct"/>
                  <w:noWrap w:val="0"/>
                  <w:vAlign w:val="center"/>
                </w:tcPr>
                <w:p w14:paraId="1B885204">
                  <w:pPr>
                    <w:spacing w:line="240" w:lineRule="auto"/>
                    <w:jc w:val="center"/>
                    <w:rPr>
                      <w:rFonts w:hint="default" w:ascii="Times New Roman" w:hAnsi="Times New Roman" w:eastAsia="宋体" w:cs="Times New Roman"/>
                      <w:caps w:val="0"/>
                      <w:smallCaps w:val="0"/>
                      <w:color w:val="auto"/>
                      <w:spacing w:val="0"/>
                      <w:kern w:val="0"/>
                      <w:szCs w:val="21"/>
                      <w:highlight w:val="none"/>
                      <w:shd w:val="clear" w:color="auto" w:fill="auto"/>
                      <w:lang w:val="en-US" w:eastAsia="zh-CN"/>
                    </w:rPr>
                  </w:pPr>
                  <w:r>
                    <w:rPr>
                      <w:rFonts w:hint="eastAsia" w:ascii="Times New Roman" w:hAnsi="Times New Roman" w:eastAsia="宋体" w:cs="Times New Roman"/>
                      <w:caps w:val="0"/>
                      <w:smallCaps w:val="0"/>
                      <w:color w:val="auto"/>
                      <w:spacing w:val="0"/>
                      <w:kern w:val="0"/>
                      <w:szCs w:val="21"/>
                      <w:highlight w:val="none"/>
                      <w:shd w:val="clear" w:color="auto" w:fill="auto"/>
                      <w:lang w:val="en-US" w:eastAsia="zh-CN"/>
                    </w:rPr>
                    <w:t>13.7</w:t>
                  </w:r>
                </w:p>
              </w:tc>
            </w:tr>
          </w:tbl>
          <w:p w14:paraId="4F25D36B">
            <w:pPr>
              <w:keepNext w:val="0"/>
              <w:keepLines w:val="0"/>
              <w:pageBreakBefore w:val="0"/>
              <w:widowControl w:val="0"/>
              <w:kinsoku/>
              <w:wordWrap/>
              <w:overflowPunct/>
              <w:topLinePunct w:val="0"/>
              <w:bidi w:val="0"/>
              <w:adjustRightInd/>
              <w:snapToGrid/>
              <w:spacing w:line="240" w:lineRule="auto"/>
              <w:textAlignment w:val="auto"/>
              <w:rPr>
                <w:rFonts w:hint="default" w:ascii="Times New Roman" w:hAnsi="Times New Roman" w:eastAsia="宋体" w:cs="Times New Roman"/>
                <w:caps w:val="0"/>
                <w:smallCaps w:val="0"/>
                <w:color w:val="auto"/>
                <w:spacing w:val="0"/>
                <w:sz w:val="21"/>
                <w:szCs w:val="21"/>
                <w:highlight w:val="none"/>
                <w:shd w:val="clear" w:color="auto" w:fill="auto"/>
              </w:rPr>
            </w:pPr>
            <w:r>
              <w:rPr>
                <w:rFonts w:hint="eastAsia" w:ascii="Times New Roman" w:hAnsi="Times New Roman" w:eastAsia="宋体" w:cs="Times New Roman"/>
                <w:caps w:val="0"/>
                <w:smallCaps w:val="0"/>
                <w:color w:val="auto"/>
                <w:spacing w:val="0"/>
                <w:sz w:val="21"/>
                <w:szCs w:val="21"/>
                <w:highlight w:val="none"/>
                <w:shd w:val="clear" w:color="auto" w:fill="auto"/>
                <w:lang w:val="en-US" w:eastAsia="zh-CN"/>
              </w:rPr>
              <w:t>注：</w:t>
            </w:r>
            <w:r>
              <w:rPr>
                <w:rFonts w:hint="default" w:ascii="Times New Roman" w:hAnsi="Times New Roman" w:eastAsia="宋体" w:cs="Times New Roman"/>
                <w:caps w:val="0"/>
                <w:smallCaps w:val="0"/>
                <w:color w:val="auto"/>
                <w:spacing w:val="0"/>
                <w:sz w:val="21"/>
                <w:szCs w:val="21"/>
                <w:highlight w:val="none"/>
                <w:shd w:val="clear" w:color="auto" w:fill="auto"/>
              </w:rPr>
              <w:t>①NO</w:t>
            </w:r>
            <w:r>
              <w:rPr>
                <w:rFonts w:hint="default" w:ascii="Times New Roman" w:hAnsi="Times New Roman" w:eastAsia="宋体" w:cs="Times New Roman"/>
                <w:caps w:val="0"/>
                <w:smallCaps w:val="0"/>
                <w:color w:val="auto"/>
                <w:spacing w:val="0"/>
                <w:sz w:val="21"/>
                <w:szCs w:val="21"/>
                <w:highlight w:val="none"/>
                <w:shd w:val="clear" w:color="auto" w:fill="auto"/>
                <w:vertAlign w:val="subscript"/>
              </w:rPr>
              <w:t>2</w:t>
            </w:r>
            <w:r>
              <w:rPr>
                <w:rFonts w:hint="default" w:ascii="Times New Roman" w:hAnsi="Times New Roman" w:eastAsia="宋体" w:cs="Times New Roman"/>
                <w:caps w:val="0"/>
                <w:smallCaps w:val="0"/>
                <w:color w:val="auto"/>
                <w:spacing w:val="0"/>
                <w:sz w:val="21"/>
                <w:szCs w:val="21"/>
                <w:highlight w:val="none"/>
                <w:shd w:val="clear" w:color="auto" w:fill="auto"/>
              </w:rPr>
              <w:t>日平均第98百分位数达标；②PM</w:t>
            </w:r>
            <w:r>
              <w:rPr>
                <w:rFonts w:hint="default" w:ascii="Times New Roman" w:hAnsi="Times New Roman" w:eastAsia="宋体" w:cs="Times New Roman"/>
                <w:caps w:val="0"/>
                <w:smallCaps w:val="0"/>
                <w:color w:val="auto"/>
                <w:spacing w:val="0"/>
                <w:sz w:val="21"/>
                <w:szCs w:val="21"/>
                <w:highlight w:val="none"/>
                <w:shd w:val="clear" w:color="auto" w:fill="auto"/>
                <w:vertAlign w:val="subscript"/>
              </w:rPr>
              <w:t>10</w:t>
            </w:r>
            <w:r>
              <w:rPr>
                <w:rFonts w:hint="default" w:ascii="Times New Roman" w:hAnsi="Times New Roman" w:eastAsia="宋体" w:cs="Times New Roman"/>
                <w:caps w:val="0"/>
                <w:smallCaps w:val="0"/>
                <w:color w:val="auto"/>
                <w:spacing w:val="0"/>
                <w:sz w:val="21"/>
                <w:szCs w:val="21"/>
                <w:highlight w:val="none"/>
                <w:shd w:val="clear" w:color="auto" w:fill="auto"/>
              </w:rPr>
              <w:t>日平均第95百分位数达标；③PM</w:t>
            </w:r>
            <w:r>
              <w:rPr>
                <w:rFonts w:hint="default" w:ascii="Times New Roman" w:hAnsi="Times New Roman" w:eastAsia="宋体" w:cs="Times New Roman"/>
                <w:caps w:val="0"/>
                <w:smallCaps w:val="0"/>
                <w:color w:val="auto"/>
                <w:spacing w:val="0"/>
                <w:sz w:val="21"/>
                <w:szCs w:val="21"/>
                <w:highlight w:val="none"/>
                <w:shd w:val="clear" w:color="auto" w:fill="auto"/>
                <w:vertAlign w:val="subscript"/>
              </w:rPr>
              <w:t>2.5</w:t>
            </w:r>
            <w:r>
              <w:rPr>
                <w:rFonts w:hint="default" w:ascii="Times New Roman" w:hAnsi="Times New Roman" w:eastAsia="宋体" w:cs="Times New Roman"/>
                <w:caps w:val="0"/>
                <w:smallCaps w:val="0"/>
                <w:color w:val="auto"/>
                <w:spacing w:val="0"/>
                <w:sz w:val="21"/>
                <w:szCs w:val="21"/>
                <w:highlight w:val="none"/>
                <w:shd w:val="clear" w:color="auto" w:fill="auto"/>
              </w:rPr>
              <w:t>日平均第95百分位数超标。</w:t>
            </w:r>
          </w:p>
          <w:p w14:paraId="36DD054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sz w:val="24"/>
                <w:szCs w:val="24"/>
                <w:highlight w:val="none"/>
                <w:shd w:val="clear" w:color="auto" w:fill="auto"/>
              </w:rPr>
            </w:pPr>
            <w:r>
              <w:rPr>
                <w:rFonts w:hint="default" w:ascii="Times New Roman" w:hAnsi="Times New Roman" w:eastAsia="宋体" w:cs="Times New Roman"/>
                <w:caps w:val="0"/>
                <w:smallCaps w:val="0"/>
                <w:color w:val="auto"/>
                <w:spacing w:val="0"/>
                <w:sz w:val="24"/>
                <w:szCs w:val="24"/>
                <w:highlight w:val="none"/>
                <w:shd w:val="clear" w:color="auto" w:fill="auto"/>
              </w:rPr>
              <w:t>根据上表可知，2024年常州市环境空气中SO</w:t>
            </w:r>
            <w:r>
              <w:rPr>
                <w:rFonts w:hint="default" w:ascii="Times New Roman" w:hAnsi="Times New Roman" w:eastAsia="宋体" w:cs="Times New Roman"/>
                <w:caps w:val="0"/>
                <w:smallCaps w:val="0"/>
                <w:color w:val="auto"/>
                <w:spacing w:val="0"/>
                <w:sz w:val="24"/>
                <w:szCs w:val="24"/>
                <w:highlight w:val="none"/>
                <w:shd w:val="clear" w:color="auto" w:fill="auto"/>
                <w:vertAlign w:val="subscript"/>
              </w:rPr>
              <w:t>2</w:t>
            </w:r>
            <w:r>
              <w:rPr>
                <w:rFonts w:hint="default" w:ascii="Times New Roman" w:hAnsi="Times New Roman" w:eastAsia="宋体" w:cs="Times New Roman"/>
                <w:caps w:val="0"/>
                <w:smallCaps w:val="0"/>
                <w:color w:val="auto"/>
                <w:spacing w:val="0"/>
                <w:sz w:val="24"/>
                <w:szCs w:val="24"/>
                <w:highlight w:val="none"/>
                <w:shd w:val="clear" w:color="auto" w:fill="auto"/>
              </w:rPr>
              <w:t>年平均质量浓度及日平均第98百分位数、NO</w:t>
            </w:r>
            <w:r>
              <w:rPr>
                <w:rFonts w:hint="default" w:ascii="Times New Roman" w:hAnsi="Times New Roman" w:eastAsia="宋体" w:cs="Times New Roman"/>
                <w:caps w:val="0"/>
                <w:smallCaps w:val="0"/>
                <w:color w:val="auto"/>
                <w:spacing w:val="0"/>
                <w:sz w:val="24"/>
                <w:szCs w:val="24"/>
                <w:highlight w:val="none"/>
                <w:shd w:val="clear" w:color="auto" w:fill="auto"/>
                <w:vertAlign w:val="subscript"/>
              </w:rPr>
              <w:t>2</w:t>
            </w:r>
            <w:r>
              <w:rPr>
                <w:rFonts w:hint="default" w:ascii="Times New Roman" w:hAnsi="Times New Roman" w:eastAsia="宋体" w:cs="Times New Roman"/>
                <w:caps w:val="0"/>
                <w:smallCaps w:val="0"/>
                <w:color w:val="auto"/>
                <w:spacing w:val="0"/>
                <w:sz w:val="24"/>
                <w:szCs w:val="24"/>
                <w:highlight w:val="none"/>
                <w:shd w:val="clear" w:color="auto" w:fill="auto"/>
              </w:rPr>
              <w:t>年平均质量浓度及日平均第98百分位数、颗粒物（PM</w:t>
            </w:r>
            <w:r>
              <w:rPr>
                <w:rFonts w:hint="default" w:ascii="Times New Roman" w:hAnsi="Times New Roman" w:eastAsia="宋体" w:cs="Times New Roman"/>
                <w:caps w:val="0"/>
                <w:smallCaps w:val="0"/>
                <w:color w:val="auto"/>
                <w:spacing w:val="0"/>
                <w:sz w:val="24"/>
                <w:szCs w:val="24"/>
                <w:highlight w:val="none"/>
                <w:shd w:val="clear" w:color="auto" w:fill="auto"/>
                <w:vertAlign w:val="subscript"/>
              </w:rPr>
              <w:t>10</w:t>
            </w:r>
            <w:r>
              <w:rPr>
                <w:rFonts w:hint="default" w:ascii="Times New Roman" w:hAnsi="Times New Roman" w:eastAsia="宋体" w:cs="Times New Roman"/>
                <w:caps w:val="0"/>
                <w:smallCaps w:val="0"/>
                <w:color w:val="auto"/>
                <w:spacing w:val="0"/>
                <w:sz w:val="24"/>
                <w:szCs w:val="24"/>
                <w:highlight w:val="none"/>
                <w:shd w:val="clear" w:color="auto" w:fill="auto"/>
              </w:rPr>
              <w:t>）年平均质量浓度及日平均第95百分位数、细颗粒物（PM</w:t>
            </w:r>
            <w:r>
              <w:rPr>
                <w:rFonts w:hint="default" w:ascii="Times New Roman" w:hAnsi="Times New Roman" w:eastAsia="宋体" w:cs="Times New Roman"/>
                <w:caps w:val="0"/>
                <w:smallCaps w:val="0"/>
                <w:color w:val="auto"/>
                <w:spacing w:val="0"/>
                <w:sz w:val="24"/>
                <w:szCs w:val="24"/>
                <w:highlight w:val="none"/>
                <w:shd w:val="clear" w:color="auto" w:fill="auto"/>
                <w:vertAlign w:val="subscript"/>
              </w:rPr>
              <w:t>2.5</w:t>
            </w:r>
            <w:r>
              <w:rPr>
                <w:rFonts w:hint="default" w:ascii="Times New Roman" w:hAnsi="Times New Roman" w:eastAsia="宋体" w:cs="Times New Roman"/>
                <w:caps w:val="0"/>
                <w:smallCaps w:val="0"/>
                <w:color w:val="auto"/>
                <w:spacing w:val="0"/>
                <w:sz w:val="24"/>
                <w:szCs w:val="24"/>
                <w:highlight w:val="none"/>
                <w:shd w:val="clear" w:color="auto" w:fill="auto"/>
              </w:rPr>
              <w:t>）年平均质量浓度、CO日平均第95百分位数及日均值浓度均达到《环境空气质量标准》（GB3095-2012）表1中二级浓度限值；细颗粒物（PM</w:t>
            </w:r>
            <w:r>
              <w:rPr>
                <w:rFonts w:hint="default" w:ascii="Times New Roman" w:hAnsi="Times New Roman" w:eastAsia="宋体" w:cs="Times New Roman"/>
                <w:caps w:val="0"/>
                <w:smallCaps w:val="0"/>
                <w:color w:val="auto"/>
                <w:spacing w:val="0"/>
                <w:sz w:val="24"/>
                <w:szCs w:val="24"/>
                <w:highlight w:val="none"/>
                <w:shd w:val="clear" w:color="auto" w:fill="auto"/>
                <w:vertAlign w:val="subscript"/>
              </w:rPr>
              <w:t>2.5</w:t>
            </w:r>
            <w:r>
              <w:rPr>
                <w:rFonts w:hint="default" w:ascii="Times New Roman" w:hAnsi="Times New Roman" w:eastAsia="宋体" w:cs="Times New Roman"/>
                <w:caps w:val="0"/>
                <w:smallCaps w:val="0"/>
                <w:color w:val="auto"/>
                <w:spacing w:val="0"/>
                <w:sz w:val="24"/>
                <w:szCs w:val="24"/>
                <w:highlight w:val="none"/>
                <w:shd w:val="clear" w:color="auto" w:fill="auto"/>
              </w:rPr>
              <w:t>）日平均第95百分位数、O</w:t>
            </w:r>
            <w:r>
              <w:rPr>
                <w:rFonts w:hint="default" w:ascii="Times New Roman" w:hAnsi="Times New Roman" w:eastAsia="宋体" w:cs="Times New Roman"/>
                <w:caps w:val="0"/>
                <w:smallCaps w:val="0"/>
                <w:color w:val="auto"/>
                <w:spacing w:val="0"/>
                <w:sz w:val="24"/>
                <w:szCs w:val="24"/>
                <w:highlight w:val="none"/>
                <w:shd w:val="clear" w:color="auto" w:fill="auto"/>
                <w:vertAlign w:val="subscript"/>
              </w:rPr>
              <w:t>3</w:t>
            </w:r>
            <w:r>
              <w:rPr>
                <w:rFonts w:hint="default" w:ascii="Times New Roman" w:hAnsi="Times New Roman" w:eastAsia="宋体" w:cs="Times New Roman"/>
                <w:caps w:val="0"/>
                <w:smallCaps w:val="0"/>
                <w:color w:val="auto"/>
                <w:spacing w:val="0"/>
                <w:sz w:val="24"/>
                <w:szCs w:val="24"/>
                <w:highlight w:val="none"/>
                <w:shd w:val="clear" w:color="auto" w:fill="auto"/>
              </w:rPr>
              <w:t>日大8小时滑动平均值第90百分位数超过《环境空气质量标准》（GB3095-2012）表1中二级浓度限值。项目所在区PM</w:t>
            </w:r>
            <w:r>
              <w:rPr>
                <w:rFonts w:hint="default" w:ascii="Times New Roman" w:hAnsi="Times New Roman" w:eastAsia="宋体" w:cs="Times New Roman"/>
                <w:caps w:val="0"/>
                <w:smallCaps w:val="0"/>
                <w:color w:val="auto"/>
                <w:spacing w:val="0"/>
                <w:sz w:val="24"/>
                <w:szCs w:val="24"/>
                <w:highlight w:val="none"/>
                <w:shd w:val="clear" w:color="auto" w:fill="auto"/>
                <w:vertAlign w:val="subscript"/>
              </w:rPr>
              <w:t>2.5</w:t>
            </w:r>
            <w:r>
              <w:rPr>
                <w:rFonts w:hint="default" w:ascii="Times New Roman" w:hAnsi="Times New Roman" w:eastAsia="宋体" w:cs="Times New Roman"/>
                <w:caps w:val="0"/>
                <w:smallCaps w:val="0"/>
                <w:color w:val="auto"/>
                <w:spacing w:val="0"/>
                <w:sz w:val="24"/>
                <w:szCs w:val="24"/>
                <w:highlight w:val="none"/>
                <w:shd w:val="clear" w:color="auto" w:fill="auto"/>
              </w:rPr>
              <w:t>、O</w:t>
            </w:r>
            <w:r>
              <w:rPr>
                <w:rFonts w:hint="default" w:ascii="Times New Roman" w:hAnsi="Times New Roman" w:eastAsia="宋体" w:cs="Times New Roman"/>
                <w:caps w:val="0"/>
                <w:smallCaps w:val="0"/>
                <w:color w:val="auto"/>
                <w:spacing w:val="0"/>
                <w:sz w:val="24"/>
                <w:szCs w:val="24"/>
                <w:highlight w:val="none"/>
                <w:shd w:val="clear" w:color="auto" w:fill="auto"/>
                <w:vertAlign w:val="subscript"/>
              </w:rPr>
              <w:t>3</w:t>
            </w:r>
            <w:r>
              <w:rPr>
                <w:rFonts w:hint="default" w:ascii="Times New Roman" w:hAnsi="Times New Roman" w:eastAsia="宋体" w:cs="Times New Roman"/>
                <w:caps w:val="0"/>
                <w:smallCaps w:val="0"/>
                <w:color w:val="auto"/>
                <w:spacing w:val="0"/>
                <w:sz w:val="24"/>
                <w:szCs w:val="24"/>
                <w:highlight w:val="none"/>
                <w:shd w:val="clear" w:color="auto" w:fill="auto"/>
              </w:rPr>
              <w:t>超标，因此判定为不达标区。</w:t>
            </w:r>
          </w:p>
          <w:p w14:paraId="41CACCD0">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shd w:val="clear" w:color="auto" w:fill="auto"/>
              </w:rPr>
            </w:pPr>
            <w:r>
              <w:rPr>
                <w:rFonts w:hint="default" w:ascii="Times New Roman" w:hAnsi="Times New Roman" w:eastAsia="宋体" w:cs="Times New Roman"/>
                <w:b w:val="0"/>
                <w:bCs w:val="0"/>
                <w:caps w:val="0"/>
                <w:smallCaps w:val="0"/>
                <w:color w:val="auto"/>
                <w:spacing w:val="0"/>
                <w:sz w:val="24"/>
                <w:szCs w:val="24"/>
                <w:highlight w:val="none"/>
                <w:shd w:val="clear" w:color="auto" w:fill="auto"/>
                <w:lang w:eastAsia="zh-CN"/>
              </w:rPr>
              <w:t>（</w:t>
            </w:r>
            <w:r>
              <w:rPr>
                <w:rFonts w:hint="eastAsia" w:ascii="Times New Roman" w:hAnsi="Times New Roman" w:eastAsia="宋体" w:cs="Times New Roman"/>
                <w:b w:val="0"/>
                <w:bCs w:val="0"/>
                <w:caps w:val="0"/>
                <w:smallCaps w:val="0"/>
                <w:color w:val="auto"/>
                <w:spacing w:val="0"/>
                <w:sz w:val="24"/>
                <w:szCs w:val="24"/>
                <w:highlight w:val="none"/>
                <w:shd w:val="clear" w:color="auto" w:fill="auto"/>
                <w:lang w:val="en-US" w:eastAsia="zh-CN"/>
              </w:rPr>
              <w:t>2</w:t>
            </w:r>
            <w:r>
              <w:rPr>
                <w:rFonts w:hint="default" w:ascii="Times New Roman" w:hAnsi="Times New Roman" w:eastAsia="宋体" w:cs="Times New Roman"/>
                <w:b w:val="0"/>
                <w:bCs w:val="0"/>
                <w:caps w:val="0"/>
                <w:smallCaps w:val="0"/>
                <w:color w:val="auto"/>
                <w:spacing w:val="0"/>
                <w:sz w:val="24"/>
                <w:szCs w:val="24"/>
                <w:highlight w:val="none"/>
                <w:shd w:val="clear" w:color="auto" w:fill="auto"/>
              </w:rPr>
              <w:t>）区域削减</w:t>
            </w:r>
          </w:p>
          <w:p w14:paraId="372CA754">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区域削减措施具体如下：</w:t>
            </w:r>
          </w:p>
          <w:p w14:paraId="1570FB5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根据《常州市深入打好污染防治攻坚战专项行动方案》：</w:t>
            </w:r>
          </w:p>
          <w:p w14:paraId="0F6EA73E">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（一）着力打好重污染天气消除攻坚战</w:t>
            </w:r>
          </w:p>
          <w:p w14:paraId="1D74B9B7">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1、加大重点行业污染治理力度，强化多污染物协同控制，推进PM2.5和臭氧浓度</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双控双减</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，严格落实重污染天气应急管控措施，做好国家重大活动空气质量保障，基本消除重污染天气。严格落实点位长制，重点区域落实精细化管控措施。</w:t>
            </w:r>
          </w:p>
          <w:p w14:paraId="7D56017F">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2、推动重点行业企业和工业炉窑、垃圾焚烧重点设施超低排放改造（深度治理），严格控制物料（含废渣）运输、装卸、储存、转移和工艺过程无组织排放。</w:t>
            </w:r>
          </w:p>
          <w:p w14:paraId="1E07FFE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3、强化建筑工地、道路、堆场、矿山等扬尘管控。推进智慧工地</w:t>
            </w:r>
            <w:r>
              <w:rPr>
                <w:rFonts w:hint="default" w:ascii="Times New Roman" w:hAnsi="Times New Roman" w:eastAsia="宋体" w:cs="Times New Roman"/>
                <w:color w:val="auto"/>
                <w:sz w:val="24"/>
                <w:highlight w:val="none"/>
                <w:shd w:val="clear" w:color="auto" w:fill="auto"/>
                <w:lang w:eastAsia="zh-CN"/>
              </w:rPr>
              <w:t>建设</w:t>
            </w:r>
            <w:r>
              <w:rPr>
                <w:rFonts w:hint="default" w:ascii="Times New Roman" w:hAnsi="Times New Roman" w:eastAsia="宋体" w:cs="Times New Roman"/>
                <w:color w:val="auto"/>
                <w:sz w:val="24"/>
                <w:highlight w:val="none"/>
                <w:shd w:val="clear" w:color="auto" w:fill="auto"/>
              </w:rPr>
              <w:t>及全市工地扬尘监控信息化指挥控制平台建设。强化渣土运输车辆全封闭运输管理，城市建成区全面使用新型环保智能渣土车。推动港口码头仓库料场全封闭管理，易起尘港口多点安装粉尘在线监测设备。对城市公共区域、长期未开发建设裸地，以及废旧厂区、物流园、大型停车场等进行排查建档并采取防尘措施。提高城市保洁机械化作业比率，城市建成区道路机械化清扫率达到90%以上。</w:t>
            </w:r>
          </w:p>
          <w:p w14:paraId="57BE75E7">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到2025年，全市重度及以上污染天气比率控制在0.2%以内。</w:t>
            </w:r>
          </w:p>
          <w:p w14:paraId="51586334">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（二）着力打好臭氧污染防治攻坚战</w:t>
            </w:r>
          </w:p>
          <w:p w14:paraId="5D378A0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1、以化工、涂装、医药、包装印刷、油品储运销等行业领域为重点，实施原辅材料和产品源头替代工程。结合产业结构分布，培育源头替代示范型企业。对照国家强制性标准，每季度开展1次各类涂料、油墨、胶黏剂、清洗剂等产品VOCs含量限值标准执行情况的监督检查。</w:t>
            </w:r>
          </w:p>
          <w:p w14:paraId="7ADB2F9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2、提高企业挥发性有机物治理水平。开展有机储罐分类深度治理及回头看工作。优化企业集群布局，积极推动企业集群入工业园区或小微企业园。按照</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标杆建设一批、改造提升一批、优化整合一批、淘汰退出一批</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的要求，对涉气产业集群开展排查及分类治理。</w:t>
            </w:r>
          </w:p>
          <w:p w14:paraId="30E36FF4">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3、强化装卸废气收集治理。向汽车罐车装载汽油、航空煤油、石脑油和苯、甲苯、二甲苯等应采用底部装载方式，换用自封式快速接头。推进万吨级及以上原油、成品油码头完成油气回收治理。长江和京杭运河沿线原油、汽油和石脑油装船作业码头加大改造力度。推进挥发性有机液体运输洗舱VOCs治理，油品运输船舶具备油气回收能力。</w:t>
            </w:r>
          </w:p>
          <w:p w14:paraId="1C714F4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4、推进餐饮油烟污染治理和执法监管。推动治理设施第三方运维管理及运行状态监控。开展餐饮油烟专项整治或</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回头看</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，打造餐饮油烟治理示范项目。</w:t>
            </w:r>
          </w:p>
          <w:p w14:paraId="729D6D1D">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到2025年，挥发性有机物、氮氧化物削减量完成省定下达目标，臭氧浓度增长趋势得到有效遏制。</w:t>
            </w:r>
          </w:p>
          <w:p w14:paraId="0725EAFC">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（三）着力打好交通运输污染治理攻坚战</w:t>
            </w:r>
          </w:p>
          <w:p w14:paraId="289CBADE">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1、加大货物运输结构调整力度，煤炭、矿石等大宗货物中长距离运输推广使用铁路、水路或管道方式，短距离运输优先采用封闭式皮带廊道或新能源车辆。到2025年，货运铁路和水运分担率之和达到35%。</w:t>
            </w:r>
          </w:p>
          <w:p w14:paraId="5DDF294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2、实施</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绿色车轮</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计划，编制并实施常州市区充换电设施布局规划，推进新能源汽车消费替代，城市建成区新增或替换的公交车实现新能源和清洁能源车辆占比达100%以上，邮政等公共领域新增或者替换的车辆全面采用新能源汽车或清洁能源汽车，环卫领域车辆逐步推进提高新能源汽车或清洁能源汽车占比。到2025年，基本淘汰国三及以下排放标准柴油货车，开展中重型新能源货车及内河LNG船舶的推广应用。到2025年，主要港口和排放控制区内靠港船舶的岸电使用电量在2020年基础上翻一番，靠港和水上服务区锚泊船舶岸电应用尽用。</w:t>
            </w:r>
          </w:p>
          <w:p w14:paraId="05A93BBB">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3、稳步提高柴油车监督抽测排放合格率，基本消除冒黑烟现象。重点加强柴油货车路检路查，以及集中使用和停放地的入户抽测。对凌家塘物流园、货物集散地等车辆集中停放地，以及大型工矿企业、物流货运、长途客运、公交、环卫、邮政、旅游等重点单位每月至少开展一次入户监督抽测，全面实施汽车排放检测与维护（I/M）制度和汽车排放召回制度。</w:t>
            </w:r>
          </w:p>
          <w:p w14:paraId="2ACC7A3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4、建立车用油品、车用尿素、船用燃料油全生命周期监管档案管理制度，加油站每年至少开展1次加油枪气液比、系统密闭性及管线液阻的检查检测，储油库每季度开展油气回收系统接口泄漏检测和油气回收处理装置运行效果监测。</w:t>
            </w:r>
          </w:p>
          <w:p w14:paraId="12F02E39">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5、加强非道路移动机械污染防治。实施非道路移动柴油机械第四阶段排放标准，对新非道路移动机械生产、进口、销售企业实施常态化环保达标监督检查。持续推进非道路移动机械的摸底调查和编码登记工作，建立多部门协调配合的工程机械环保监管制度，形成编码登记、排放检测、超标处罚撤场等全链条管理。未经环保部门编码登记、确认符合排放要求的非道路移动机械不得进入禁用区域，逐步推进在禁用区域内施工的移动机械达到国Ⅲ及以上标准。建立生态环境、建设、交通运输等多部门的联合执法机制，强化工程机械监督抽测。禁止超标排放工程机械使用，消除冒黑烟现象。</w:t>
            </w:r>
          </w:p>
          <w:p w14:paraId="7ECE3020">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目标：到2025年，全市生态环境质量持续改善，主要污染物排放总量持续下降，PM</w:t>
            </w:r>
            <w:r>
              <w:rPr>
                <w:rFonts w:hint="default" w:ascii="Times New Roman" w:hAnsi="Times New Roman" w:eastAsia="宋体" w:cs="Times New Roman"/>
                <w:color w:val="auto"/>
                <w:sz w:val="24"/>
                <w:highlight w:val="none"/>
                <w:shd w:val="clear" w:color="auto" w:fill="auto"/>
                <w:vertAlign w:val="subscript"/>
              </w:rPr>
              <w:t>2.5</w:t>
            </w:r>
            <w:r>
              <w:rPr>
                <w:rFonts w:hint="default" w:ascii="Times New Roman" w:hAnsi="Times New Roman" w:eastAsia="宋体" w:cs="Times New Roman"/>
                <w:color w:val="auto"/>
                <w:sz w:val="24"/>
                <w:highlight w:val="none"/>
                <w:shd w:val="clear" w:color="auto" w:fill="auto"/>
              </w:rPr>
              <w:t>浓度达到30微克/立方米左右，优良天数比率达到81.4%，生态质量指数达到50以上。</w:t>
            </w:r>
          </w:p>
          <w:p w14:paraId="35859EF3">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（3）其他污染物环境质量现状评价</w:t>
            </w:r>
          </w:p>
          <w:p w14:paraId="5D71D9C9">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本项目特征因子非甲烷总烃环境质量现状监测数据引用</w:t>
            </w:r>
            <w:r>
              <w:rPr>
                <w:rFonts w:hint="default" w:ascii="Times New Roman" w:hAnsi="Times New Roman" w:eastAsia="宋体" w:cs="Times New Roman"/>
                <w:color w:val="auto"/>
                <w:sz w:val="24"/>
                <w:szCs w:val="24"/>
                <w:highlight w:val="none"/>
                <w:shd w:val="clear" w:color="auto" w:fill="auto"/>
              </w:rPr>
              <w:t>特斯特（江苏）检测科技有限公司</w:t>
            </w:r>
            <w:r>
              <w:rPr>
                <w:rFonts w:hint="default" w:ascii="Times New Roman" w:hAnsi="Times New Roman" w:eastAsia="宋体" w:cs="Times New Roman"/>
                <w:color w:val="auto"/>
                <w:sz w:val="24"/>
                <w:szCs w:val="24"/>
                <w:highlight w:val="none"/>
                <w:shd w:val="clear" w:color="auto" w:fill="auto"/>
                <w:lang w:val="en-US" w:eastAsia="zh-CN"/>
              </w:rPr>
              <w:t>TST2024110</w:t>
            </w:r>
            <w:r>
              <w:rPr>
                <w:rFonts w:hint="eastAsia" w:ascii="Times New Roman" w:hAnsi="Times New Roman" w:eastAsia="宋体" w:cs="Times New Roman"/>
                <w:color w:val="auto"/>
                <w:sz w:val="24"/>
                <w:szCs w:val="24"/>
                <w:highlight w:val="none"/>
                <w:shd w:val="clear" w:color="auto" w:fill="auto"/>
                <w:lang w:val="en-US" w:eastAsia="zh-CN"/>
              </w:rPr>
              <w:t>58</w:t>
            </w:r>
            <w:r>
              <w:rPr>
                <w:rFonts w:hint="default" w:ascii="Times New Roman" w:hAnsi="Times New Roman" w:eastAsia="宋体" w:cs="Times New Roman"/>
                <w:color w:val="auto"/>
                <w:sz w:val="24"/>
                <w:szCs w:val="24"/>
                <w:highlight w:val="none"/>
                <w:shd w:val="clear" w:color="auto" w:fill="auto"/>
                <w:lang w:val="en-US" w:eastAsia="zh-CN"/>
              </w:rPr>
              <w:t>检测报告</w:t>
            </w:r>
            <w:r>
              <w:rPr>
                <w:rFonts w:hint="default" w:ascii="Times New Roman" w:hAnsi="Times New Roman" w:eastAsia="宋体" w:cs="Times New Roman"/>
                <w:color w:val="auto"/>
                <w:sz w:val="24"/>
                <w:szCs w:val="24"/>
                <w:highlight w:val="none"/>
                <w:shd w:val="clear" w:color="auto" w:fill="auto"/>
              </w:rPr>
              <w:t>中</w:t>
            </w:r>
            <w:r>
              <w:rPr>
                <w:rFonts w:hint="default" w:ascii="Times New Roman" w:hAnsi="Times New Roman" w:eastAsia="宋体" w:cs="Times New Roman"/>
                <w:color w:val="auto"/>
                <w:sz w:val="24"/>
                <w:highlight w:val="none"/>
                <w:shd w:val="clear" w:color="auto" w:fill="auto"/>
                <w:lang w:val="en-US" w:eastAsia="zh-CN"/>
              </w:rPr>
              <w:t>对</w:t>
            </w:r>
            <w:r>
              <w:rPr>
                <w:rFonts w:hint="eastAsia" w:ascii="Times New Roman" w:hAnsi="Times New Roman" w:eastAsia="宋体" w:cs="Times New Roman"/>
                <w:color w:val="auto"/>
                <w:sz w:val="24"/>
                <w:highlight w:val="none"/>
                <w:shd w:val="clear" w:color="auto" w:fill="auto"/>
                <w:lang w:val="en-US" w:eastAsia="zh-CN"/>
              </w:rPr>
              <w:t>常州市金坛区金东环保工程有限公司东侧</w:t>
            </w:r>
            <w:r>
              <w:rPr>
                <w:rFonts w:hint="default" w:ascii="Times New Roman" w:hAnsi="Times New Roman" w:eastAsia="宋体" w:cs="Times New Roman"/>
                <w:color w:val="auto"/>
                <w:sz w:val="24"/>
                <w:highlight w:val="none"/>
                <w:shd w:val="clear" w:color="auto" w:fill="auto"/>
                <w:lang w:val="en-US" w:eastAsia="zh-CN"/>
              </w:rPr>
              <w:t>点位O</w:t>
            </w:r>
            <w:r>
              <w:rPr>
                <w:rFonts w:hint="eastAsia" w:ascii="Times New Roman" w:hAnsi="Times New Roman" w:eastAsia="宋体" w:cs="Times New Roman"/>
                <w:color w:val="auto"/>
                <w:sz w:val="24"/>
                <w:highlight w:val="none"/>
                <w:shd w:val="clear" w:color="auto" w:fill="auto"/>
                <w:lang w:val="en-US" w:eastAsia="zh-CN"/>
              </w:rPr>
              <w:t>2</w:t>
            </w:r>
            <w:r>
              <w:rPr>
                <w:rFonts w:hint="default" w:ascii="Times New Roman" w:hAnsi="Times New Roman" w:eastAsia="宋体" w:cs="Times New Roman"/>
                <w:color w:val="auto"/>
                <w:sz w:val="24"/>
                <w:highlight w:val="none"/>
                <w:shd w:val="clear" w:color="auto" w:fill="auto"/>
              </w:rPr>
              <w:t>历史监测数据。</w:t>
            </w:r>
          </w:p>
          <w:p w14:paraId="601629E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引用数据有效性：①引用20</w:t>
            </w:r>
            <w:r>
              <w:rPr>
                <w:rFonts w:hint="default" w:ascii="Times New Roman" w:hAnsi="Times New Roman" w:eastAsia="宋体" w:cs="Times New Roman"/>
                <w:color w:val="auto"/>
                <w:sz w:val="24"/>
                <w:highlight w:val="none"/>
                <w:shd w:val="clear" w:color="auto" w:fill="auto"/>
                <w:lang w:val="en-US" w:eastAsia="zh-CN"/>
              </w:rPr>
              <w:t>24</w:t>
            </w:r>
            <w:r>
              <w:rPr>
                <w:rFonts w:hint="default" w:ascii="Times New Roman" w:hAnsi="Times New Roman" w:eastAsia="宋体" w:cs="Times New Roman"/>
                <w:color w:val="auto"/>
                <w:sz w:val="24"/>
                <w:highlight w:val="none"/>
                <w:shd w:val="clear" w:color="auto" w:fill="auto"/>
              </w:rPr>
              <w:t>年</w:t>
            </w:r>
            <w:r>
              <w:rPr>
                <w:rFonts w:hint="default" w:ascii="Times New Roman" w:hAnsi="Times New Roman" w:eastAsia="宋体" w:cs="Times New Roman"/>
                <w:color w:val="auto"/>
                <w:sz w:val="24"/>
                <w:highlight w:val="none"/>
                <w:shd w:val="clear" w:color="auto" w:fill="auto"/>
                <w:lang w:val="en-US" w:eastAsia="zh-CN"/>
              </w:rPr>
              <w:t>11</w:t>
            </w:r>
            <w:r>
              <w:rPr>
                <w:rFonts w:hint="default" w:ascii="Times New Roman" w:hAnsi="Times New Roman" w:eastAsia="宋体" w:cs="Times New Roman"/>
                <w:color w:val="auto"/>
                <w:sz w:val="24"/>
                <w:highlight w:val="none"/>
                <w:shd w:val="clear" w:color="auto" w:fill="auto"/>
              </w:rPr>
              <w:t>月</w:t>
            </w:r>
            <w:r>
              <w:rPr>
                <w:rFonts w:hint="default" w:ascii="Times New Roman" w:hAnsi="Times New Roman" w:eastAsia="宋体" w:cs="Times New Roman"/>
                <w:color w:val="auto"/>
                <w:sz w:val="24"/>
                <w:highlight w:val="none"/>
                <w:shd w:val="clear" w:color="auto" w:fill="auto"/>
                <w:lang w:val="en-US" w:eastAsia="zh-CN"/>
              </w:rPr>
              <w:t>11</w:t>
            </w:r>
            <w:r>
              <w:rPr>
                <w:rFonts w:hint="default" w:ascii="Times New Roman" w:hAnsi="Times New Roman" w:eastAsia="宋体" w:cs="Times New Roman"/>
                <w:color w:val="auto"/>
                <w:sz w:val="24"/>
                <w:highlight w:val="none"/>
                <w:shd w:val="clear" w:color="auto" w:fill="auto"/>
              </w:rPr>
              <w:t>日~</w:t>
            </w:r>
            <w:r>
              <w:rPr>
                <w:rFonts w:hint="default" w:ascii="Times New Roman" w:hAnsi="Times New Roman" w:eastAsia="宋体" w:cs="Times New Roman"/>
                <w:color w:val="auto"/>
                <w:sz w:val="24"/>
                <w:highlight w:val="none"/>
                <w:shd w:val="clear" w:color="auto" w:fill="auto"/>
                <w:lang w:val="en-US" w:eastAsia="zh-CN"/>
              </w:rPr>
              <w:t>11</w:t>
            </w:r>
            <w:r>
              <w:rPr>
                <w:rFonts w:hint="default" w:ascii="Times New Roman" w:hAnsi="Times New Roman" w:eastAsia="宋体" w:cs="Times New Roman"/>
                <w:color w:val="auto"/>
                <w:sz w:val="24"/>
                <w:highlight w:val="none"/>
                <w:shd w:val="clear" w:color="auto" w:fill="auto"/>
              </w:rPr>
              <w:t>月</w:t>
            </w:r>
            <w:r>
              <w:rPr>
                <w:rFonts w:hint="default" w:ascii="Times New Roman" w:hAnsi="Times New Roman" w:eastAsia="宋体" w:cs="Times New Roman"/>
                <w:color w:val="auto"/>
                <w:sz w:val="24"/>
                <w:highlight w:val="none"/>
                <w:shd w:val="clear" w:color="auto" w:fill="auto"/>
                <w:lang w:val="en-US" w:eastAsia="zh-CN"/>
              </w:rPr>
              <w:t>17</w:t>
            </w:r>
            <w:r>
              <w:rPr>
                <w:rFonts w:hint="default" w:ascii="Times New Roman" w:hAnsi="Times New Roman" w:eastAsia="宋体" w:cs="Times New Roman"/>
                <w:color w:val="auto"/>
                <w:sz w:val="24"/>
                <w:highlight w:val="none"/>
                <w:shd w:val="clear" w:color="auto" w:fill="auto"/>
              </w:rPr>
              <w:t>日非甲烷总烃连续</w:t>
            </w:r>
            <w:r>
              <w:rPr>
                <w:rFonts w:hint="default" w:ascii="Times New Roman" w:hAnsi="Times New Roman" w:eastAsia="宋体" w:cs="Times New Roman"/>
                <w:color w:val="auto"/>
                <w:sz w:val="24"/>
                <w:highlight w:val="none"/>
                <w:shd w:val="clear" w:color="auto" w:fill="auto"/>
                <w:lang w:val="en-US" w:eastAsia="zh-CN"/>
              </w:rPr>
              <w:t>7</w:t>
            </w:r>
            <w:r>
              <w:rPr>
                <w:rFonts w:hint="default" w:ascii="Times New Roman" w:hAnsi="Times New Roman" w:eastAsia="宋体" w:cs="Times New Roman"/>
                <w:color w:val="auto"/>
                <w:sz w:val="24"/>
                <w:highlight w:val="none"/>
                <w:shd w:val="clear" w:color="auto" w:fill="auto"/>
              </w:rPr>
              <w:t>天历史监测数据，引用时间不超过3年，引用时间有效；②项目所在区域内污染源未发生重大变化，可引用3年内大气的检测数据；③引用点位在项目相关评价范围内，则大气引用点位有效。</w:t>
            </w:r>
          </w:p>
          <w:p w14:paraId="26558EF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本项目环境空气质量现状具体引用位置见表3-2，大气环境现状引用结果见表3-3。</w:t>
            </w:r>
          </w:p>
          <w:p w14:paraId="364D03A4">
            <w:pPr>
              <w:spacing w:line="360" w:lineRule="auto"/>
              <w:jc w:val="center"/>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表3-2  大气环境质量引用点位一览表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30" w:type="dxa"/>
                <w:bottom w:w="0" w:type="dxa"/>
                <w:right w:w="30" w:type="dxa"/>
              </w:tblCellMar>
            </w:tblPr>
            <w:tblGrid>
              <w:gridCol w:w="565"/>
              <w:gridCol w:w="1803"/>
              <w:gridCol w:w="1047"/>
              <w:gridCol w:w="1349"/>
              <w:gridCol w:w="1347"/>
              <w:gridCol w:w="2183"/>
            </w:tblGrid>
            <w:tr w14:paraId="06E5B9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trHeight w:val="317" w:hRule="atLeast"/>
                <w:jc w:val="center"/>
              </w:trPr>
              <w:tc>
                <w:tcPr>
                  <w:tcW w:w="341" w:type="pct"/>
                  <w:vMerge w:val="restart"/>
                  <w:tcBorders>
                    <w:tl2br w:val="nil"/>
                    <w:tr2bl w:val="nil"/>
                  </w:tcBorders>
                  <w:vAlign w:val="center"/>
                </w:tcPr>
                <w:p w14:paraId="36E1F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测点</w:t>
                  </w:r>
                </w:p>
                <w:p w14:paraId="36B903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编号</w:t>
                  </w:r>
                </w:p>
              </w:tc>
              <w:tc>
                <w:tcPr>
                  <w:tcW w:w="1087" w:type="pct"/>
                  <w:vMerge w:val="restart"/>
                  <w:tcBorders>
                    <w:tl2br w:val="nil"/>
                    <w:tr2bl w:val="nil"/>
                  </w:tcBorders>
                  <w:vAlign w:val="center"/>
                </w:tcPr>
                <w:p w14:paraId="7399C1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测点名称</w:t>
                  </w:r>
                </w:p>
              </w:tc>
              <w:tc>
                <w:tcPr>
                  <w:tcW w:w="1444" w:type="pct"/>
                  <w:gridSpan w:val="2"/>
                  <w:tcBorders>
                    <w:tl2br w:val="nil"/>
                    <w:tr2bl w:val="nil"/>
                  </w:tcBorders>
                  <w:vAlign w:val="center"/>
                </w:tcPr>
                <w:p w14:paraId="67FBC0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测点位置</w:t>
                  </w:r>
                </w:p>
              </w:tc>
              <w:tc>
                <w:tcPr>
                  <w:tcW w:w="812" w:type="pct"/>
                  <w:vMerge w:val="restart"/>
                  <w:tcBorders>
                    <w:tl2br w:val="nil"/>
                    <w:tr2bl w:val="nil"/>
                  </w:tcBorders>
                  <w:vAlign w:val="center"/>
                </w:tcPr>
                <w:p w14:paraId="38810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引用项目</w:t>
                  </w:r>
                </w:p>
              </w:tc>
              <w:tc>
                <w:tcPr>
                  <w:tcW w:w="1316" w:type="pct"/>
                  <w:vMerge w:val="restart"/>
                  <w:tcBorders>
                    <w:tl2br w:val="nil"/>
                    <w:tr2bl w:val="nil"/>
                  </w:tcBorders>
                  <w:vAlign w:val="center"/>
                </w:tcPr>
                <w:p w14:paraId="1D2F17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引用频次</w:t>
                  </w:r>
                </w:p>
              </w:tc>
            </w:tr>
            <w:tr w14:paraId="0FFEA5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trHeight w:val="415" w:hRule="atLeast"/>
                <w:jc w:val="center"/>
              </w:trPr>
              <w:tc>
                <w:tcPr>
                  <w:tcW w:w="341" w:type="pct"/>
                  <w:vMerge w:val="continue"/>
                  <w:tcBorders>
                    <w:tl2br w:val="nil"/>
                    <w:tr2bl w:val="nil"/>
                  </w:tcBorders>
                  <w:vAlign w:val="center"/>
                </w:tcPr>
                <w:p w14:paraId="3E381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087" w:type="pct"/>
                  <w:vMerge w:val="continue"/>
                  <w:tcBorders>
                    <w:tl2br w:val="nil"/>
                    <w:tr2bl w:val="nil"/>
                  </w:tcBorders>
                  <w:vAlign w:val="center"/>
                </w:tcPr>
                <w:p w14:paraId="090D48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631" w:type="pct"/>
                  <w:tcBorders>
                    <w:tl2br w:val="nil"/>
                    <w:tr2bl w:val="nil"/>
                  </w:tcBorders>
                  <w:vAlign w:val="center"/>
                </w:tcPr>
                <w:p w14:paraId="0D6D88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方位</w:t>
                  </w:r>
                </w:p>
              </w:tc>
              <w:tc>
                <w:tcPr>
                  <w:tcW w:w="813" w:type="pct"/>
                  <w:tcBorders>
                    <w:tl2br w:val="nil"/>
                    <w:tr2bl w:val="nil"/>
                  </w:tcBorders>
                  <w:vAlign w:val="center"/>
                </w:tcPr>
                <w:p w14:paraId="1E7C8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距离（m）</w:t>
                  </w:r>
                </w:p>
              </w:tc>
              <w:tc>
                <w:tcPr>
                  <w:tcW w:w="812" w:type="pct"/>
                  <w:vMerge w:val="continue"/>
                  <w:tcBorders>
                    <w:tl2br w:val="nil"/>
                    <w:tr2bl w:val="nil"/>
                  </w:tcBorders>
                  <w:vAlign w:val="center"/>
                </w:tcPr>
                <w:p w14:paraId="0B25D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316" w:type="pct"/>
                  <w:vMerge w:val="continue"/>
                  <w:tcBorders>
                    <w:tl2br w:val="nil"/>
                    <w:tr2bl w:val="nil"/>
                  </w:tcBorders>
                  <w:vAlign w:val="center"/>
                </w:tcPr>
                <w:p w14:paraId="3514D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r>
            <w:tr w14:paraId="13ED86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30" w:type="dxa"/>
                  <w:bottom w:w="0" w:type="dxa"/>
                  <w:right w:w="30" w:type="dxa"/>
                </w:tblCellMar>
              </w:tblPrEx>
              <w:trPr>
                <w:trHeight w:val="90" w:hRule="atLeast"/>
                <w:jc w:val="center"/>
              </w:trPr>
              <w:tc>
                <w:tcPr>
                  <w:tcW w:w="341" w:type="pct"/>
                  <w:tcBorders>
                    <w:tl2br w:val="nil"/>
                    <w:tr2bl w:val="nil"/>
                  </w:tcBorders>
                  <w:vAlign w:val="center"/>
                </w:tcPr>
                <w:p w14:paraId="02B203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val="en-US" w:eastAsia="zh-CN"/>
                    </w:rPr>
                    <w:t>O</w:t>
                  </w:r>
                  <w:r>
                    <w:rPr>
                      <w:rFonts w:hint="eastAsia" w:ascii="Times New Roman" w:hAnsi="Times New Roman" w:eastAsia="宋体" w:cs="Times New Roman"/>
                      <w:color w:val="auto"/>
                      <w:sz w:val="21"/>
                      <w:szCs w:val="21"/>
                      <w:highlight w:val="none"/>
                      <w:shd w:val="clear" w:color="auto" w:fill="auto"/>
                      <w:lang w:val="en-US" w:eastAsia="zh-CN"/>
                    </w:rPr>
                    <w:t>2</w:t>
                  </w:r>
                </w:p>
              </w:tc>
              <w:tc>
                <w:tcPr>
                  <w:tcW w:w="1087" w:type="pct"/>
                  <w:tcBorders>
                    <w:tl2br w:val="nil"/>
                    <w:tr2bl w:val="nil"/>
                  </w:tcBorders>
                  <w:vAlign w:val="center"/>
                </w:tcPr>
                <w:p w14:paraId="355EC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常州市金坛区金东环保工程有限公司东侧</w:t>
                  </w:r>
                </w:p>
              </w:tc>
              <w:tc>
                <w:tcPr>
                  <w:tcW w:w="631" w:type="pct"/>
                  <w:tcBorders>
                    <w:tl2br w:val="nil"/>
                    <w:tr2bl w:val="nil"/>
                  </w:tcBorders>
                  <w:vAlign w:val="center"/>
                </w:tcPr>
                <w:p w14:paraId="2BF34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S</w:t>
                  </w:r>
                  <w:r>
                    <w:rPr>
                      <w:rFonts w:hint="eastAsia" w:ascii="Times New Roman" w:hAnsi="Times New Roman" w:eastAsia="宋体" w:cs="Times New Roman"/>
                      <w:color w:val="auto"/>
                      <w:sz w:val="21"/>
                      <w:szCs w:val="21"/>
                      <w:highlight w:val="none"/>
                      <w:shd w:val="clear" w:color="auto" w:fill="auto"/>
                      <w:lang w:val="en-US" w:eastAsia="zh-CN"/>
                    </w:rPr>
                    <w:t>W</w:t>
                  </w:r>
                </w:p>
              </w:tc>
              <w:tc>
                <w:tcPr>
                  <w:tcW w:w="813" w:type="pct"/>
                  <w:tcBorders>
                    <w:tl2br w:val="nil"/>
                    <w:tr2bl w:val="nil"/>
                  </w:tcBorders>
                  <w:vAlign w:val="center"/>
                </w:tcPr>
                <w:p w14:paraId="362695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13</w:t>
                  </w:r>
                  <w:r>
                    <w:rPr>
                      <w:rFonts w:hint="default" w:ascii="Times New Roman" w:hAnsi="Times New Roman" w:eastAsia="宋体" w:cs="Times New Roman"/>
                      <w:color w:val="auto"/>
                      <w:sz w:val="21"/>
                      <w:szCs w:val="21"/>
                      <w:highlight w:val="none"/>
                      <w:shd w:val="clear" w:color="auto" w:fill="auto"/>
                      <w:lang w:val="en-US" w:eastAsia="zh-CN"/>
                    </w:rPr>
                    <w:t>0</w:t>
                  </w:r>
                  <w:r>
                    <w:rPr>
                      <w:rFonts w:hint="default" w:ascii="Times New Roman" w:hAnsi="Times New Roman" w:eastAsia="宋体" w:cs="Times New Roman"/>
                      <w:color w:val="auto"/>
                      <w:sz w:val="21"/>
                      <w:szCs w:val="21"/>
                      <w:highlight w:val="none"/>
                      <w:shd w:val="clear" w:color="auto" w:fill="auto"/>
                    </w:rPr>
                    <w:t>0</w:t>
                  </w:r>
                </w:p>
              </w:tc>
              <w:tc>
                <w:tcPr>
                  <w:tcW w:w="812" w:type="pct"/>
                  <w:tcBorders>
                    <w:tl2br w:val="nil"/>
                    <w:tr2bl w:val="nil"/>
                  </w:tcBorders>
                  <w:vAlign w:val="center"/>
                </w:tcPr>
                <w:p w14:paraId="0FEC8A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非甲烷总烃</w:t>
                  </w:r>
                </w:p>
              </w:tc>
              <w:tc>
                <w:tcPr>
                  <w:tcW w:w="1316" w:type="pct"/>
                  <w:tcBorders>
                    <w:tl2br w:val="nil"/>
                    <w:tr2bl w:val="nil"/>
                  </w:tcBorders>
                  <w:vAlign w:val="center"/>
                </w:tcPr>
                <w:p w14:paraId="32A457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连续引用</w:t>
                  </w:r>
                  <w:r>
                    <w:rPr>
                      <w:rFonts w:hint="default" w:ascii="Times New Roman" w:hAnsi="Times New Roman" w:eastAsia="宋体" w:cs="Times New Roman"/>
                      <w:color w:val="auto"/>
                      <w:sz w:val="21"/>
                      <w:szCs w:val="21"/>
                      <w:highlight w:val="none"/>
                      <w:shd w:val="clear" w:color="auto" w:fill="auto"/>
                      <w:lang w:val="en-US" w:eastAsia="zh-CN"/>
                    </w:rPr>
                    <w:t>7</w:t>
                  </w:r>
                  <w:r>
                    <w:rPr>
                      <w:rFonts w:hint="default" w:ascii="Times New Roman" w:hAnsi="Times New Roman" w:eastAsia="宋体" w:cs="Times New Roman"/>
                      <w:color w:val="auto"/>
                      <w:sz w:val="21"/>
                      <w:szCs w:val="21"/>
                      <w:highlight w:val="none"/>
                      <w:shd w:val="clear" w:color="auto" w:fill="auto"/>
                    </w:rPr>
                    <w:t>天</w:t>
                  </w:r>
                </w:p>
              </w:tc>
            </w:tr>
          </w:tbl>
          <w:p w14:paraId="7A0B5B18">
            <w:pPr>
              <w:spacing w:line="360" w:lineRule="auto"/>
              <w:jc w:val="center"/>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表3-3  大气环境现状引用结果（mg/m</w:t>
            </w:r>
            <w:r>
              <w:rPr>
                <w:rFonts w:hint="default" w:ascii="Times New Roman" w:hAnsi="Times New Roman" w:eastAsia="宋体" w:cs="Times New Roman"/>
                <w:b/>
                <w:bCs/>
                <w:color w:val="auto"/>
                <w:sz w:val="24"/>
                <w:highlight w:val="none"/>
                <w:shd w:val="clear" w:color="auto" w:fill="auto"/>
                <w:vertAlign w:val="superscript"/>
              </w:rPr>
              <w:t>3</w:t>
            </w:r>
            <w:r>
              <w:rPr>
                <w:rFonts w:hint="default" w:ascii="Times New Roman" w:hAnsi="Times New Roman" w:eastAsia="宋体" w:cs="Times New Roman"/>
                <w:b/>
                <w:bCs/>
                <w:color w:val="auto"/>
                <w:sz w:val="24"/>
                <w:highlight w:val="none"/>
                <w:shd w:val="clear" w:color="auto" w:fill="auto"/>
              </w:rPr>
              <w:t>）</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238"/>
              <w:gridCol w:w="1062"/>
              <w:gridCol w:w="1232"/>
              <w:gridCol w:w="1232"/>
              <w:gridCol w:w="1185"/>
              <w:gridCol w:w="747"/>
              <w:gridCol w:w="838"/>
            </w:tblGrid>
            <w:tr w14:paraId="1805F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vAlign w:val="center"/>
                </w:tcPr>
                <w:p w14:paraId="521634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点位编号</w:t>
                  </w:r>
                </w:p>
              </w:tc>
              <w:tc>
                <w:tcPr>
                  <w:tcW w:w="746" w:type="pct"/>
                  <w:tcBorders>
                    <w:tl2br w:val="nil"/>
                    <w:tr2bl w:val="nil"/>
                  </w:tcBorders>
                  <w:vAlign w:val="center"/>
                </w:tcPr>
                <w:p w14:paraId="587C5A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污染物</w:t>
                  </w:r>
                </w:p>
              </w:tc>
              <w:tc>
                <w:tcPr>
                  <w:tcW w:w="640" w:type="pct"/>
                  <w:tcBorders>
                    <w:tl2br w:val="nil"/>
                    <w:tr2bl w:val="nil"/>
                  </w:tcBorders>
                  <w:vAlign w:val="center"/>
                </w:tcPr>
                <w:p w14:paraId="6CDEC3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评价指标</w:t>
                  </w:r>
                </w:p>
              </w:tc>
              <w:tc>
                <w:tcPr>
                  <w:tcW w:w="742" w:type="pct"/>
                  <w:tcBorders>
                    <w:tl2br w:val="nil"/>
                    <w:tr2bl w:val="nil"/>
                  </w:tcBorders>
                  <w:vAlign w:val="center"/>
                </w:tcPr>
                <w:p w14:paraId="05152D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评价标准（</w:t>
                  </w:r>
                  <w:r>
                    <w:rPr>
                      <w:rFonts w:hint="default" w:ascii="Times New Roman" w:hAnsi="Times New Roman" w:eastAsia="宋体" w:cs="Times New Roman"/>
                      <w:b/>
                      <w:bCs/>
                      <w:color w:val="auto"/>
                      <w:sz w:val="21"/>
                      <w:szCs w:val="21"/>
                      <w:highlight w:val="none"/>
                      <w:shd w:val="clear" w:color="auto" w:fill="auto"/>
                      <w:lang w:val="en-US" w:eastAsia="zh-CN"/>
                    </w:rPr>
                    <w:t>m</w:t>
                  </w:r>
                  <w:r>
                    <w:rPr>
                      <w:rFonts w:hint="default" w:ascii="Times New Roman" w:hAnsi="Times New Roman" w:eastAsia="宋体" w:cs="Times New Roman"/>
                      <w:b/>
                      <w:bCs/>
                      <w:color w:val="auto"/>
                      <w:sz w:val="21"/>
                      <w:szCs w:val="21"/>
                      <w:highlight w:val="none"/>
                      <w:shd w:val="clear" w:color="auto" w:fill="auto"/>
                    </w:rPr>
                    <w:t>g/m</w:t>
                  </w:r>
                  <w:r>
                    <w:rPr>
                      <w:rFonts w:hint="default" w:ascii="Times New Roman" w:hAnsi="Times New Roman" w:eastAsia="宋体" w:cs="Times New Roman"/>
                      <w:b/>
                      <w:bCs/>
                      <w:color w:val="auto"/>
                      <w:sz w:val="21"/>
                      <w:szCs w:val="21"/>
                      <w:highlight w:val="none"/>
                      <w:shd w:val="clear" w:color="auto" w:fill="auto"/>
                      <w:vertAlign w:val="superscript"/>
                    </w:rPr>
                    <w:t>3</w:t>
                  </w:r>
                  <w:r>
                    <w:rPr>
                      <w:rFonts w:hint="default" w:ascii="Times New Roman" w:hAnsi="Times New Roman" w:eastAsia="宋体" w:cs="Times New Roman"/>
                      <w:b/>
                      <w:bCs/>
                      <w:color w:val="auto"/>
                      <w:sz w:val="21"/>
                      <w:szCs w:val="21"/>
                      <w:highlight w:val="none"/>
                      <w:shd w:val="clear" w:color="auto" w:fill="auto"/>
                    </w:rPr>
                    <w:t>）</w:t>
                  </w:r>
                </w:p>
              </w:tc>
              <w:tc>
                <w:tcPr>
                  <w:tcW w:w="742" w:type="pct"/>
                  <w:tcBorders>
                    <w:tl2br w:val="nil"/>
                    <w:tr2bl w:val="nil"/>
                  </w:tcBorders>
                  <w:vAlign w:val="center"/>
                </w:tcPr>
                <w:p w14:paraId="74D2D5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现状浓度（</w:t>
                  </w:r>
                  <w:r>
                    <w:rPr>
                      <w:rFonts w:hint="default" w:ascii="Times New Roman" w:hAnsi="Times New Roman" w:eastAsia="宋体" w:cs="Times New Roman"/>
                      <w:b/>
                      <w:bCs/>
                      <w:color w:val="auto"/>
                      <w:sz w:val="21"/>
                      <w:szCs w:val="21"/>
                      <w:highlight w:val="none"/>
                      <w:shd w:val="clear" w:color="auto" w:fill="auto"/>
                      <w:lang w:val="en-US" w:eastAsia="zh-CN"/>
                    </w:rPr>
                    <w:t>m</w:t>
                  </w:r>
                  <w:r>
                    <w:rPr>
                      <w:rFonts w:hint="default" w:ascii="Times New Roman" w:hAnsi="Times New Roman" w:eastAsia="宋体" w:cs="Times New Roman"/>
                      <w:b/>
                      <w:bCs/>
                      <w:color w:val="auto"/>
                      <w:sz w:val="21"/>
                      <w:szCs w:val="21"/>
                      <w:highlight w:val="none"/>
                      <w:shd w:val="clear" w:color="auto" w:fill="auto"/>
                    </w:rPr>
                    <w:t>g/m</w:t>
                  </w:r>
                  <w:r>
                    <w:rPr>
                      <w:rFonts w:hint="default" w:ascii="Times New Roman" w:hAnsi="Times New Roman" w:eastAsia="宋体" w:cs="Times New Roman"/>
                      <w:b/>
                      <w:bCs/>
                      <w:color w:val="auto"/>
                      <w:sz w:val="21"/>
                      <w:szCs w:val="21"/>
                      <w:highlight w:val="none"/>
                      <w:shd w:val="clear" w:color="auto" w:fill="auto"/>
                      <w:vertAlign w:val="superscript"/>
                    </w:rPr>
                    <w:t>3</w:t>
                  </w:r>
                  <w:r>
                    <w:rPr>
                      <w:rFonts w:hint="default" w:ascii="Times New Roman" w:hAnsi="Times New Roman" w:eastAsia="宋体" w:cs="Times New Roman"/>
                      <w:b/>
                      <w:bCs/>
                      <w:color w:val="auto"/>
                      <w:sz w:val="21"/>
                      <w:szCs w:val="21"/>
                      <w:highlight w:val="none"/>
                      <w:shd w:val="clear" w:color="auto" w:fill="auto"/>
                    </w:rPr>
                    <w:t>）</w:t>
                  </w:r>
                </w:p>
              </w:tc>
              <w:tc>
                <w:tcPr>
                  <w:tcW w:w="714" w:type="pct"/>
                  <w:tcBorders>
                    <w:tl2br w:val="nil"/>
                    <w:tr2bl w:val="nil"/>
                  </w:tcBorders>
                  <w:vAlign w:val="center"/>
                </w:tcPr>
                <w:p w14:paraId="1C4381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最大浓度占标率/%</w:t>
                  </w:r>
                </w:p>
              </w:tc>
              <w:tc>
                <w:tcPr>
                  <w:tcW w:w="450" w:type="pct"/>
                  <w:tcBorders>
                    <w:tl2br w:val="nil"/>
                    <w:tr2bl w:val="nil"/>
                  </w:tcBorders>
                  <w:vAlign w:val="center"/>
                </w:tcPr>
                <w:p w14:paraId="08B3A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超标率/%</w:t>
                  </w:r>
                </w:p>
              </w:tc>
              <w:tc>
                <w:tcPr>
                  <w:tcW w:w="505" w:type="pct"/>
                  <w:tcBorders>
                    <w:tl2br w:val="nil"/>
                    <w:tr2bl w:val="nil"/>
                  </w:tcBorders>
                  <w:vAlign w:val="center"/>
                </w:tcPr>
                <w:p w14:paraId="2A3785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达标情况</w:t>
                  </w:r>
                </w:p>
              </w:tc>
            </w:tr>
            <w:tr w14:paraId="23524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vAlign w:val="center"/>
                </w:tcPr>
                <w:p w14:paraId="7EC73C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val="en-US" w:eastAsia="zh-CN"/>
                    </w:rPr>
                    <w:t>O</w:t>
                  </w:r>
                  <w:r>
                    <w:rPr>
                      <w:rFonts w:hint="eastAsia" w:ascii="Times New Roman" w:hAnsi="Times New Roman" w:eastAsia="宋体" w:cs="Times New Roman"/>
                      <w:color w:val="auto"/>
                      <w:sz w:val="21"/>
                      <w:szCs w:val="21"/>
                      <w:highlight w:val="none"/>
                      <w:shd w:val="clear" w:color="auto" w:fill="auto"/>
                      <w:lang w:val="en-US" w:eastAsia="zh-CN"/>
                    </w:rPr>
                    <w:t>2</w:t>
                  </w:r>
                </w:p>
              </w:tc>
              <w:tc>
                <w:tcPr>
                  <w:tcW w:w="746" w:type="pct"/>
                  <w:tcBorders>
                    <w:tl2br w:val="nil"/>
                    <w:tr2bl w:val="nil"/>
                  </w:tcBorders>
                  <w:vAlign w:val="center"/>
                </w:tcPr>
                <w:p w14:paraId="34261D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非甲烷总烃</w:t>
                  </w:r>
                </w:p>
              </w:tc>
              <w:tc>
                <w:tcPr>
                  <w:tcW w:w="640" w:type="pct"/>
                  <w:tcBorders>
                    <w:tl2br w:val="nil"/>
                    <w:tr2bl w:val="nil"/>
                  </w:tcBorders>
                  <w:vAlign w:val="center"/>
                </w:tcPr>
                <w:p w14:paraId="78B173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一次值</w:t>
                  </w:r>
                </w:p>
              </w:tc>
              <w:tc>
                <w:tcPr>
                  <w:tcW w:w="742" w:type="pct"/>
                  <w:tcBorders>
                    <w:tl2br w:val="nil"/>
                    <w:tr2bl w:val="nil"/>
                  </w:tcBorders>
                  <w:vAlign w:val="center"/>
                </w:tcPr>
                <w:p w14:paraId="60136A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p>
              </w:tc>
              <w:tc>
                <w:tcPr>
                  <w:tcW w:w="742" w:type="pct"/>
                  <w:tcBorders>
                    <w:tl2br w:val="nil"/>
                    <w:tr2bl w:val="nil"/>
                  </w:tcBorders>
                  <w:vAlign w:val="center"/>
                </w:tcPr>
                <w:p w14:paraId="1D38E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0.1</w:t>
                  </w:r>
                  <w:r>
                    <w:rPr>
                      <w:rFonts w:hint="eastAsia"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lang w:val="en-US" w:eastAsia="zh-CN"/>
                    </w:rPr>
                    <w:t>-0.</w:t>
                  </w:r>
                  <w:r>
                    <w:rPr>
                      <w:rFonts w:hint="eastAsia" w:ascii="Times New Roman" w:hAnsi="Times New Roman" w:eastAsia="宋体" w:cs="Times New Roman"/>
                      <w:color w:val="auto"/>
                      <w:sz w:val="21"/>
                      <w:szCs w:val="21"/>
                      <w:highlight w:val="none"/>
                      <w:shd w:val="clear" w:color="auto" w:fill="auto"/>
                      <w:lang w:val="en-US" w:eastAsia="zh-CN"/>
                    </w:rPr>
                    <w:t>63</w:t>
                  </w:r>
                </w:p>
              </w:tc>
              <w:tc>
                <w:tcPr>
                  <w:tcW w:w="714" w:type="pct"/>
                  <w:tcBorders>
                    <w:tl2br w:val="nil"/>
                    <w:tr2bl w:val="nil"/>
                  </w:tcBorders>
                  <w:vAlign w:val="center"/>
                </w:tcPr>
                <w:p w14:paraId="64C6F4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31.5</w:t>
                  </w:r>
                </w:p>
              </w:tc>
              <w:tc>
                <w:tcPr>
                  <w:tcW w:w="450" w:type="pct"/>
                  <w:tcBorders>
                    <w:tl2br w:val="nil"/>
                    <w:tr2bl w:val="nil"/>
                  </w:tcBorders>
                  <w:vAlign w:val="center"/>
                </w:tcPr>
                <w:p w14:paraId="54035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505" w:type="pct"/>
                  <w:tcBorders>
                    <w:tl2br w:val="nil"/>
                    <w:tr2bl w:val="nil"/>
                  </w:tcBorders>
                  <w:vAlign w:val="center"/>
                </w:tcPr>
                <w:p w14:paraId="67586A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达标</w:t>
                  </w:r>
                </w:p>
              </w:tc>
            </w:tr>
          </w:tbl>
          <w:p w14:paraId="0505FC18">
            <w:pPr>
              <w:spacing w:line="360" w:lineRule="auto"/>
              <w:ind w:firstLine="480" w:firstLineChars="200"/>
              <w:rPr>
                <w:rFonts w:hint="default" w:ascii="Times New Roman" w:hAnsi="Times New Roman" w:eastAsia="宋体" w:cs="Times New Roman"/>
                <w:snapToGrid w:val="0"/>
                <w:color w:val="auto"/>
                <w:szCs w:val="20"/>
                <w:highlight w:val="none"/>
                <w:shd w:val="clear" w:color="auto" w:fill="auto"/>
              </w:rPr>
            </w:pPr>
            <w:r>
              <w:rPr>
                <w:rFonts w:hint="default" w:ascii="Times New Roman" w:hAnsi="Times New Roman" w:eastAsia="宋体" w:cs="Times New Roman"/>
                <w:color w:val="auto"/>
                <w:sz w:val="24"/>
                <w:highlight w:val="none"/>
                <w:shd w:val="clear" w:color="auto" w:fill="auto"/>
              </w:rPr>
              <w:t>由上表可知，项目所在地附近周围环境空气中非甲烷总烃满足《大气污染物综合排放标准详解》标准。</w:t>
            </w:r>
          </w:p>
          <w:p w14:paraId="3C1E2532">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2、地表水环境</w:t>
            </w:r>
          </w:p>
          <w:p w14:paraId="7D39A653">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（1）区域水环境状况</w:t>
            </w:r>
          </w:p>
          <w:p w14:paraId="1979C372">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根据《202</w:t>
            </w:r>
            <w:r>
              <w:rPr>
                <w:rFonts w:hint="eastAsia" w:ascii="Times New Roman" w:hAnsi="Times New Roman" w:eastAsia="宋体" w:cs="Times New Roman"/>
                <w:color w:val="auto"/>
                <w:sz w:val="24"/>
                <w:highlight w:val="none"/>
                <w:shd w:val="clear" w:color="auto" w:fill="auto"/>
                <w:lang w:val="en-US" w:eastAsia="zh-CN"/>
              </w:rPr>
              <w:t>4</w:t>
            </w:r>
            <w:r>
              <w:rPr>
                <w:rFonts w:hint="default" w:ascii="Times New Roman" w:hAnsi="Times New Roman" w:eastAsia="宋体" w:cs="Times New Roman"/>
                <w:color w:val="auto"/>
                <w:sz w:val="24"/>
                <w:highlight w:val="none"/>
                <w:shd w:val="clear" w:color="auto" w:fill="auto"/>
              </w:rPr>
              <w:t>年常州市生态环境质量状况公报》中相关内容，水环境质量持续改善。20个国考断面中，17个水质达到Ⅲ类及以上，占比85%，51个省考断面中，48个水质达到Ⅲ类及以上，占比94.1%，均完成省定年度目标。全市河流断面水质持续全面达到Ⅲ类；太湖入湖河道通量最大的百渎港总磷同比下降17.6%。太湖水质自2007年蓝藻事件以来首次达Ⅲ、重回“良好”湖泊，其中太湖常州水域总磷同比改善24%，对全湖总磷改善幅度贡献率达182%，位列环湖城市第一；长荡湖水质稳定达到Ⅳ类，水生植物覆盖度达38.4%，由“藻型湖”逐步向“草型湖”转变；滆湖常州水域水质首次达到Ⅳ类，总磷同比改善27.9%，营养状态从“中度”改善至“轻度”。全市集中式饮用水源地水质总体状况良好，魏村、沙河水库、大溪水库等5个集中式饮用水源地水质均达到或优于Ⅲ类水标准。</w:t>
            </w:r>
          </w:p>
          <w:p w14:paraId="63DEC56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（2）地表水环境质量现状引用</w:t>
            </w:r>
          </w:p>
          <w:p w14:paraId="6072ED9F">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为了解</w:t>
            </w:r>
            <w:r>
              <w:rPr>
                <w:rFonts w:hint="default" w:ascii="Times New Roman" w:hAnsi="Times New Roman" w:eastAsia="宋体" w:cs="Times New Roman"/>
                <w:color w:val="auto"/>
                <w:sz w:val="24"/>
                <w:highlight w:val="none"/>
                <w:shd w:val="clear" w:color="auto" w:fill="auto"/>
                <w:lang w:eastAsia="zh-CN"/>
              </w:rPr>
              <w:t>金坛第二污水处理厂</w:t>
            </w:r>
            <w:r>
              <w:rPr>
                <w:rFonts w:hint="default" w:ascii="Times New Roman" w:hAnsi="Times New Roman" w:eastAsia="宋体" w:cs="Times New Roman"/>
                <w:color w:val="auto"/>
                <w:sz w:val="24"/>
                <w:highlight w:val="none"/>
                <w:shd w:val="clear" w:color="auto" w:fill="auto"/>
              </w:rPr>
              <w:t>排口上</w:t>
            </w:r>
            <w:r>
              <w:rPr>
                <w:rFonts w:hint="default" w:ascii="Times New Roman" w:hAnsi="Times New Roman" w:eastAsia="宋体" w:cs="Times New Roman"/>
                <w:color w:val="auto"/>
                <w:sz w:val="24"/>
                <w:highlight w:val="none"/>
                <w:shd w:val="clear" w:color="auto" w:fill="auto"/>
                <w:lang w:val="en-US" w:eastAsia="zh-CN"/>
              </w:rPr>
              <w:t>下游</w:t>
            </w:r>
            <w:r>
              <w:rPr>
                <w:rFonts w:hint="default" w:ascii="Times New Roman" w:hAnsi="Times New Roman" w:eastAsia="宋体" w:cs="Times New Roman"/>
                <w:color w:val="auto"/>
                <w:sz w:val="24"/>
                <w:highlight w:val="none"/>
                <w:shd w:val="clear" w:color="auto" w:fill="auto"/>
              </w:rPr>
              <w:t>水质</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lang w:val="en-US" w:eastAsia="zh-CN"/>
              </w:rPr>
              <w:t>尧塘河</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现状，本次评价引用 特斯特（江苏）检测科技有限公司TST202</w:t>
            </w:r>
            <w:r>
              <w:rPr>
                <w:rFonts w:hint="default" w:ascii="Times New Roman" w:hAnsi="Times New Roman" w:eastAsia="宋体" w:cs="Times New Roman"/>
                <w:color w:val="auto"/>
                <w:sz w:val="24"/>
                <w:highlight w:val="none"/>
                <w:shd w:val="clear" w:color="auto" w:fill="auto"/>
                <w:lang w:val="en-US" w:eastAsia="zh-CN"/>
              </w:rPr>
              <w:t>501015</w:t>
            </w:r>
            <w:r>
              <w:rPr>
                <w:rFonts w:hint="default" w:ascii="Times New Roman" w:hAnsi="Times New Roman" w:eastAsia="宋体" w:cs="Times New Roman"/>
                <w:color w:val="auto"/>
                <w:sz w:val="24"/>
                <w:highlight w:val="none"/>
                <w:shd w:val="clear" w:color="auto" w:fill="auto"/>
              </w:rPr>
              <w:t>检测报告中对地表水历史检测数据，分别位于金坛第二污水处理厂排口上游500m、下游2000m处，引用因子为pH、COD、NH</w:t>
            </w:r>
            <w:r>
              <w:rPr>
                <w:rFonts w:hint="default" w:ascii="Times New Roman" w:hAnsi="Times New Roman" w:eastAsia="宋体" w:cs="Times New Roman"/>
                <w:color w:val="auto"/>
                <w:sz w:val="24"/>
                <w:highlight w:val="none"/>
                <w:shd w:val="clear" w:color="auto" w:fill="auto"/>
                <w:vertAlign w:val="subscript"/>
              </w:rPr>
              <w:t>3</w:t>
            </w:r>
            <w:r>
              <w:rPr>
                <w:rFonts w:hint="default" w:ascii="Times New Roman" w:hAnsi="Times New Roman" w:eastAsia="宋体" w:cs="Times New Roman"/>
                <w:color w:val="auto"/>
                <w:sz w:val="24"/>
                <w:highlight w:val="none"/>
                <w:shd w:val="clear" w:color="auto" w:fill="auto"/>
              </w:rPr>
              <w:t>-N、TP等。</w:t>
            </w:r>
          </w:p>
          <w:p w14:paraId="6160F61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引用数据有效性分析：①本项目地表水质量现状引用202</w:t>
            </w:r>
            <w:r>
              <w:rPr>
                <w:rFonts w:hint="default" w:ascii="Times New Roman" w:hAnsi="Times New Roman" w:eastAsia="宋体" w:cs="Times New Roman"/>
                <w:color w:val="auto"/>
                <w:sz w:val="24"/>
                <w:highlight w:val="none"/>
                <w:shd w:val="clear" w:color="auto" w:fill="auto"/>
                <w:lang w:val="en-US" w:eastAsia="zh-CN"/>
              </w:rPr>
              <w:t>5</w:t>
            </w:r>
            <w:r>
              <w:rPr>
                <w:rFonts w:hint="default" w:ascii="Times New Roman" w:hAnsi="Times New Roman" w:eastAsia="宋体" w:cs="Times New Roman"/>
                <w:color w:val="auto"/>
                <w:sz w:val="24"/>
                <w:highlight w:val="none"/>
                <w:shd w:val="clear" w:color="auto" w:fill="auto"/>
              </w:rPr>
              <w:t>年</w:t>
            </w:r>
            <w:r>
              <w:rPr>
                <w:rFonts w:hint="default" w:ascii="Times New Roman" w:hAnsi="Times New Roman" w:eastAsia="宋体" w:cs="Times New Roman"/>
                <w:color w:val="auto"/>
                <w:sz w:val="24"/>
                <w:highlight w:val="none"/>
                <w:shd w:val="clear" w:color="auto" w:fill="auto"/>
                <w:lang w:val="en-US" w:eastAsia="zh-CN"/>
              </w:rPr>
              <w:t>1</w:t>
            </w:r>
            <w:r>
              <w:rPr>
                <w:rFonts w:hint="default" w:ascii="Times New Roman" w:hAnsi="Times New Roman" w:eastAsia="宋体" w:cs="Times New Roman"/>
                <w:color w:val="auto"/>
                <w:sz w:val="24"/>
                <w:highlight w:val="none"/>
                <w:shd w:val="clear" w:color="auto" w:fill="auto"/>
              </w:rPr>
              <w:t>月</w:t>
            </w:r>
            <w:r>
              <w:rPr>
                <w:rFonts w:hint="default" w:ascii="Times New Roman" w:hAnsi="Times New Roman" w:eastAsia="宋体" w:cs="Times New Roman"/>
                <w:color w:val="auto"/>
                <w:sz w:val="24"/>
                <w:highlight w:val="none"/>
                <w:shd w:val="clear" w:color="auto" w:fill="auto"/>
                <w:lang w:val="en-US" w:eastAsia="zh-CN"/>
              </w:rPr>
              <w:t>06</w:t>
            </w:r>
            <w:r>
              <w:rPr>
                <w:rFonts w:hint="default" w:ascii="Times New Roman" w:hAnsi="Times New Roman" w:eastAsia="宋体" w:cs="Times New Roman"/>
                <w:color w:val="auto"/>
                <w:sz w:val="24"/>
                <w:highlight w:val="none"/>
                <w:shd w:val="clear" w:color="auto" w:fill="auto"/>
              </w:rPr>
              <w:t>日</w:t>
            </w:r>
            <w:r>
              <w:rPr>
                <w:rFonts w:hint="default" w:ascii="Times New Roman" w:hAnsi="Times New Roman" w:eastAsia="宋体" w:cs="Times New Roman"/>
                <w:color w:val="auto"/>
                <w:sz w:val="24"/>
                <w:highlight w:val="none"/>
                <w:shd w:val="clear" w:color="auto" w:fill="auto"/>
                <w:lang w:val="en-US" w:eastAsia="zh-CN"/>
              </w:rPr>
              <w:t>、1</w:t>
            </w:r>
            <w:r>
              <w:rPr>
                <w:rFonts w:hint="default" w:ascii="Times New Roman" w:hAnsi="Times New Roman" w:eastAsia="宋体" w:cs="Times New Roman"/>
                <w:color w:val="auto"/>
                <w:sz w:val="24"/>
                <w:highlight w:val="none"/>
                <w:shd w:val="clear" w:color="auto" w:fill="auto"/>
              </w:rPr>
              <w:t>月</w:t>
            </w:r>
            <w:r>
              <w:rPr>
                <w:rFonts w:hint="default" w:ascii="Times New Roman" w:hAnsi="Times New Roman" w:eastAsia="宋体" w:cs="Times New Roman"/>
                <w:color w:val="auto"/>
                <w:sz w:val="24"/>
                <w:highlight w:val="none"/>
                <w:shd w:val="clear" w:color="auto" w:fill="auto"/>
                <w:lang w:val="en-US" w:eastAsia="zh-CN"/>
              </w:rPr>
              <w:t>07</w:t>
            </w:r>
            <w:r>
              <w:rPr>
                <w:rFonts w:hint="default" w:ascii="Times New Roman" w:hAnsi="Times New Roman" w:eastAsia="宋体" w:cs="Times New Roman"/>
                <w:color w:val="auto"/>
                <w:sz w:val="24"/>
                <w:highlight w:val="none"/>
                <w:shd w:val="clear" w:color="auto" w:fill="auto"/>
              </w:rPr>
              <w:t>日</w:t>
            </w:r>
            <w:r>
              <w:rPr>
                <w:rFonts w:hint="default" w:ascii="Times New Roman" w:hAnsi="Times New Roman" w:eastAsia="宋体" w:cs="Times New Roman"/>
                <w:color w:val="auto"/>
                <w:sz w:val="24"/>
                <w:highlight w:val="none"/>
                <w:shd w:val="clear" w:color="auto" w:fill="auto"/>
                <w:lang w:val="en-US" w:eastAsia="zh-CN"/>
              </w:rPr>
              <w:t>、1</w:t>
            </w:r>
            <w:r>
              <w:rPr>
                <w:rFonts w:hint="default" w:ascii="Times New Roman" w:hAnsi="Times New Roman" w:eastAsia="宋体" w:cs="Times New Roman"/>
                <w:color w:val="auto"/>
                <w:sz w:val="24"/>
                <w:highlight w:val="none"/>
                <w:shd w:val="clear" w:color="auto" w:fill="auto"/>
              </w:rPr>
              <w:t>月</w:t>
            </w:r>
            <w:r>
              <w:rPr>
                <w:rFonts w:hint="default" w:ascii="Times New Roman" w:hAnsi="Times New Roman" w:eastAsia="宋体" w:cs="Times New Roman"/>
                <w:color w:val="auto"/>
                <w:sz w:val="24"/>
                <w:highlight w:val="none"/>
                <w:shd w:val="clear" w:color="auto" w:fill="auto"/>
                <w:lang w:val="en-US" w:eastAsia="zh-CN"/>
              </w:rPr>
              <w:t>08</w:t>
            </w:r>
            <w:r>
              <w:rPr>
                <w:rFonts w:hint="default" w:ascii="Times New Roman" w:hAnsi="Times New Roman" w:eastAsia="宋体" w:cs="Times New Roman"/>
                <w:color w:val="auto"/>
                <w:sz w:val="24"/>
                <w:highlight w:val="none"/>
                <w:shd w:val="clear" w:color="auto" w:fill="auto"/>
              </w:rPr>
              <w:t>日监测数据，引用时间不超过3年，且项目所在区域内污染源未发生重大变化，地表水引用时间有效；②引用点位在项目相关评价范围内，则地表水引用点位有效。</w:t>
            </w:r>
          </w:p>
          <w:p w14:paraId="1121FEAC">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监测数据统计结果见下表：</w:t>
            </w:r>
          </w:p>
          <w:p w14:paraId="1BF46036">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表3-</w:t>
            </w:r>
            <w:r>
              <w:rPr>
                <w:rFonts w:hint="default" w:ascii="Times New Roman" w:hAnsi="Times New Roman" w:eastAsia="宋体" w:cs="Times New Roman"/>
                <w:b/>
                <w:color w:val="auto"/>
                <w:sz w:val="24"/>
                <w:highlight w:val="none"/>
                <w:shd w:val="clear" w:color="auto" w:fill="auto"/>
                <w:lang w:val="en-US" w:eastAsia="zh-CN"/>
              </w:rPr>
              <w:t>4</w:t>
            </w:r>
            <w:r>
              <w:rPr>
                <w:rFonts w:hint="default" w:ascii="Times New Roman" w:hAnsi="Times New Roman" w:eastAsia="宋体" w:cs="Times New Roman"/>
                <w:b/>
                <w:color w:val="auto"/>
                <w:sz w:val="24"/>
                <w:highlight w:val="none"/>
                <w:shd w:val="clear" w:color="auto" w:fill="auto"/>
              </w:rPr>
              <w:t xml:space="preserve">  地表水断面现状监测数据  单位：mg/L</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10"/>
              <w:gridCol w:w="1603"/>
              <w:gridCol w:w="1235"/>
              <w:gridCol w:w="1329"/>
              <w:gridCol w:w="1486"/>
              <w:gridCol w:w="1331"/>
            </w:tblGrid>
            <w:tr w14:paraId="3ABE49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789" w:type="pct"/>
                  <w:tcBorders>
                    <w:tl2br w:val="nil"/>
                    <w:tr2bl w:val="nil"/>
                  </w:tcBorders>
                  <w:tcMar>
                    <w:left w:w="20" w:type="dxa"/>
                    <w:right w:w="20" w:type="dxa"/>
                  </w:tcMar>
                  <w:vAlign w:val="center"/>
                </w:tcPr>
                <w:p w14:paraId="32507374">
                  <w:pPr>
                    <w:snapToGrid w:val="0"/>
                    <w:spacing w:line="300" w:lineRule="exact"/>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kern w:val="0"/>
                      <w:szCs w:val="21"/>
                      <w:highlight w:val="none"/>
                      <w:shd w:val="clear" w:color="auto" w:fill="auto"/>
                      <w:lang w:bidi="ar"/>
                    </w:rPr>
                    <w:t>断面</w:t>
                  </w:r>
                </w:p>
              </w:tc>
              <w:tc>
                <w:tcPr>
                  <w:tcW w:w="966" w:type="pct"/>
                  <w:tcBorders>
                    <w:tl2br w:val="nil"/>
                    <w:tr2bl w:val="nil"/>
                  </w:tcBorders>
                  <w:tcMar>
                    <w:left w:w="108" w:type="dxa"/>
                    <w:right w:w="108" w:type="dxa"/>
                  </w:tcMar>
                  <w:vAlign w:val="center"/>
                </w:tcPr>
                <w:p w14:paraId="1A5B6AF5">
                  <w:pPr>
                    <w:snapToGrid w:val="0"/>
                    <w:spacing w:line="300" w:lineRule="exact"/>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kern w:val="0"/>
                      <w:szCs w:val="21"/>
                      <w:highlight w:val="none"/>
                      <w:shd w:val="clear" w:color="auto" w:fill="auto"/>
                      <w:lang w:bidi="ar"/>
                    </w:rPr>
                    <w:t>项目</w:t>
                  </w:r>
                </w:p>
              </w:tc>
              <w:tc>
                <w:tcPr>
                  <w:tcW w:w="744" w:type="pct"/>
                  <w:tcBorders>
                    <w:tl2br w:val="nil"/>
                    <w:tr2bl w:val="nil"/>
                  </w:tcBorders>
                  <w:tcMar>
                    <w:left w:w="20" w:type="dxa"/>
                    <w:right w:w="20" w:type="dxa"/>
                  </w:tcMar>
                  <w:vAlign w:val="center"/>
                </w:tcPr>
                <w:p w14:paraId="122F4B26">
                  <w:pPr>
                    <w:snapToGrid w:val="0"/>
                    <w:spacing w:line="300" w:lineRule="exact"/>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kern w:val="0"/>
                      <w:szCs w:val="21"/>
                      <w:highlight w:val="none"/>
                      <w:shd w:val="clear" w:color="auto" w:fill="auto"/>
                      <w:lang w:bidi="ar"/>
                    </w:rPr>
                    <w:t>pH</w:t>
                  </w:r>
                </w:p>
              </w:tc>
              <w:tc>
                <w:tcPr>
                  <w:tcW w:w="801" w:type="pct"/>
                  <w:tcBorders>
                    <w:tl2br w:val="nil"/>
                    <w:tr2bl w:val="nil"/>
                  </w:tcBorders>
                  <w:tcMar>
                    <w:left w:w="20" w:type="dxa"/>
                    <w:right w:w="20" w:type="dxa"/>
                  </w:tcMar>
                  <w:vAlign w:val="center"/>
                </w:tcPr>
                <w:p w14:paraId="0597DF0F">
                  <w:pPr>
                    <w:snapToGrid w:val="0"/>
                    <w:spacing w:line="300" w:lineRule="exact"/>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kern w:val="0"/>
                      <w:szCs w:val="21"/>
                      <w:highlight w:val="none"/>
                      <w:shd w:val="clear" w:color="auto" w:fill="auto"/>
                      <w:lang w:bidi="ar"/>
                    </w:rPr>
                    <w:t>COD</w:t>
                  </w:r>
                </w:p>
              </w:tc>
              <w:tc>
                <w:tcPr>
                  <w:tcW w:w="895" w:type="pct"/>
                  <w:tcBorders>
                    <w:tl2br w:val="nil"/>
                    <w:tr2bl w:val="nil"/>
                  </w:tcBorders>
                  <w:tcMar>
                    <w:left w:w="20" w:type="dxa"/>
                    <w:right w:w="20" w:type="dxa"/>
                  </w:tcMar>
                  <w:vAlign w:val="center"/>
                </w:tcPr>
                <w:p w14:paraId="50D5460D">
                  <w:pPr>
                    <w:snapToGrid w:val="0"/>
                    <w:spacing w:line="300" w:lineRule="exact"/>
                    <w:jc w:val="center"/>
                    <w:rPr>
                      <w:rFonts w:hint="default"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eastAsia="宋体" w:cs="Times New Roman"/>
                      <w:b/>
                      <w:color w:val="auto"/>
                      <w:kern w:val="0"/>
                      <w:szCs w:val="21"/>
                      <w:highlight w:val="none"/>
                      <w:shd w:val="clear" w:color="auto" w:fill="auto"/>
                      <w:lang w:bidi="ar"/>
                    </w:rPr>
                    <w:t>NH</w:t>
                  </w:r>
                  <w:r>
                    <w:rPr>
                      <w:rFonts w:hint="default" w:ascii="Times New Roman" w:hAnsi="Times New Roman" w:eastAsia="宋体" w:cs="Times New Roman"/>
                      <w:b/>
                      <w:color w:val="auto"/>
                      <w:kern w:val="0"/>
                      <w:szCs w:val="21"/>
                      <w:highlight w:val="none"/>
                      <w:shd w:val="clear" w:color="auto" w:fill="auto"/>
                      <w:vertAlign w:val="subscript"/>
                      <w:lang w:bidi="ar"/>
                    </w:rPr>
                    <w:t>3</w:t>
                  </w:r>
                  <w:r>
                    <w:rPr>
                      <w:rFonts w:hint="default" w:ascii="Times New Roman" w:hAnsi="Times New Roman" w:eastAsia="宋体" w:cs="Times New Roman"/>
                      <w:b/>
                      <w:color w:val="auto"/>
                      <w:kern w:val="0"/>
                      <w:szCs w:val="21"/>
                      <w:highlight w:val="none"/>
                      <w:shd w:val="clear" w:color="auto" w:fill="auto"/>
                      <w:lang w:bidi="ar"/>
                    </w:rPr>
                    <w:t>-N</w:t>
                  </w:r>
                </w:p>
              </w:tc>
              <w:tc>
                <w:tcPr>
                  <w:tcW w:w="802" w:type="pct"/>
                  <w:tcBorders>
                    <w:tl2br w:val="nil"/>
                    <w:tr2bl w:val="nil"/>
                  </w:tcBorders>
                  <w:tcMar>
                    <w:left w:w="20" w:type="dxa"/>
                    <w:right w:w="20" w:type="dxa"/>
                  </w:tcMar>
                  <w:vAlign w:val="center"/>
                </w:tcPr>
                <w:p w14:paraId="677D0C79">
                  <w:pPr>
                    <w:snapToGrid w:val="0"/>
                    <w:spacing w:line="300" w:lineRule="exact"/>
                    <w:jc w:val="center"/>
                    <w:rPr>
                      <w:rFonts w:hint="default"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eastAsia="宋体" w:cs="Times New Roman"/>
                      <w:b/>
                      <w:color w:val="auto"/>
                      <w:kern w:val="0"/>
                      <w:szCs w:val="21"/>
                      <w:highlight w:val="none"/>
                      <w:shd w:val="clear" w:color="auto" w:fill="auto"/>
                      <w:lang w:bidi="ar"/>
                    </w:rPr>
                    <w:t>TP</w:t>
                  </w:r>
                </w:p>
              </w:tc>
            </w:tr>
            <w:tr w14:paraId="4504DA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89" w:type="pct"/>
                  <w:vMerge w:val="restart"/>
                  <w:tcBorders>
                    <w:tl2br w:val="nil"/>
                    <w:tr2bl w:val="nil"/>
                  </w:tcBorders>
                  <w:tcMar>
                    <w:left w:w="20" w:type="dxa"/>
                    <w:right w:w="20" w:type="dxa"/>
                  </w:tcMar>
                  <w:vAlign w:val="center"/>
                </w:tcPr>
                <w:p w14:paraId="78DD5ECE">
                  <w:pPr>
                    <w:keepNext w:val="0"/>
                    <w:keepLines w:val="0"/>
                    <w:suppressLineNumbers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lang w:bidi="ar"/>
                    </w:rPr>
                    <w:t>金坛第二污水处理厂排口上游500m</w:t>
                  </w:r>
                </w:p>
              </w:tc>
              <w:tc>
                <w:tcPr>
                  <w:tcW w:w="966" w:type="pct"/>
                  <w:tcBorders>
                    <w:tl2br w:val="nil"/>
                    <w:tr2bl w:val="nil"/>
                  </w:tcBorders>
                  <w:tcMar>
                    <w:left w:w="108" w:type="dxa"/>
                    <w:right w:w="108" w:type="dxa"/>
                  </w:tcMar>
                  <w:vAlign w:val="center"/>
                </w:tcPr>
                <w:p w14:paraId="3860E566">
                  <w:pPr>
                    <w:snapToGrid w:val="0"/>
                    <w:spacing w:line="30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lang w:bidi="ar"/>
                    </w:rPr>
                    <w:t>浓度范围</w:t>
                  </w:r>
                </w:p>
              </w:tc>
              <w:tc>
                <w:tcPr>
                  <w:tcW w:w="744" w:type="pct"/>
                  <w:tcBorders>
                    <w:tl2br w:val="nil"/>
                    <w:tr2bl w:val="nil"/>
                  </w:tcBorders>
                  <w:shd w:val="clear" w:color="auto" w:fill="auto"/>
                  <w:tcMar>
                    <w:left w:w="20" w:type="dxa"/>
                    <w:right w:w="20" w:type="dxa"/>
                  </w:tcMar>
                  <w:vAlign w:val="center"/>
                </w:tcPr>
                <w:p w14:paraId="2DAE8EA6">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7.8-8.1</w:t>
                  </w:r>
                </w:p>
              </w:tc>
              <w:tc>
                <w:tcPr>
                  <w:tcW w:w="801" w:type="pct"/>
                  <w:tcBorders>
                    <w:tl2br w:val="nil"/>
                    <w:tr2bl w:val="nil"/>
                  </w:tcBorders>
                  <w:shd w:val="clear" w:color="auto" w:fill="auto"/>
                  <w:tcMar>
                    <w:left w:w="20" w:type="dxa"/>
                    <w:right w:w="20" w:type="dxa"/>
                  </w:tcMar>
                  <w:vAlign w:val="center"/>
                </w:tcPr>
                <w:p w14:paraId="011CFD32">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16-19</w:t>
                  </w:r>
                </w:p>
              </w:tc>
              <w:tc>
                <w:tcPr>
                  <w:tcW w:w="895" w:type="pct"/>
                  <w:tcBorders>
                    <w:tl2br w:val="nil"/>
                    <w:tr2bl w:val="nil"/>
                  </w:tcBorders>
                  <w:shd w:val="clear" w:color="auto" w:fill="auto"/>
                  <w:tcMar>
                    <w:left w:w="20" w:type="dxa"/>
                    <w:right w:w="20" w:type="dxa"/>
                  </w:tcMar>
                  <w:vAlign w:val="center"/>
                </w:tcPr>
                <w:p w14:paraId="1D1F4328">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0.149-0.350</w:t>
                  </w:r>
                </w:p>
              </w:tc>
              <w:tc>
                <w:tcPr>
                  <w:tcW w:w="802" w:type="pct"/>
                  <w:tcBorders>
                    <w:tl2br w:val="nil"/>
                    <w:tr2bl w:val="nil"/>
                  </w:tcBorders>
                  <w:shd w:val="clear" w:color="auto" w:fill="auto"/>
                  <w:tcMar>
                    <w:left w:w="20" w:type="dxa"/>
                    <w:right w:w="20" w:type="dxa"/>
                  </w:tcMar>
                  <w:vAlign w:val="center"/>
                </w:tcPr>
                <w:p w14:paraId="5A7555C2">
                  <w:pPr>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kern w:val="2"/>
                      <w:sz w:val="21"/>
                      <w:szCs w:val="22"/>
                      <w:highlight w:val="none"/>
                      <w:shd w:val="clear" w:color="auto" w:fill="auto"/>
                      <w:lang w:val="en-US" w:eastAsia="zh-CN" w:bidi="ar-SA"/>
                    </w:rPr>
                    <w:t>0.08-0.09</w:t>
                  </w:r>
                </w:p>
              </w:tc>
            </w:tr>
            <w:tr w14:paraId="73245F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89" w:type="pct"/>
                  <w:vMerge w:val="continue"/>
                  <w:tcBorders>
                    <w:tl2br w:val="nil"/>
                    <w:tr2bl w:val="nil"/>
                  </w:tcBorders>
                  <w:tcMar>
                    <w:left w:w="20" w:type="dxa"/>
                    <w:right w:w="20" w:type="dxa"/>
                  </w:tcMar>
                  <w:vAlign w:val="center"/>
                </w:tcPr>
                <w:p w14:paraId="56352663">
                  <w:pPr>
                    <w:rPr>
                      <w:rFonts w:hint="default" w:ascii="Times New Roman" w:hAnsi="Times New Roman" w:eastAsia="宋体" w:cs="Times New Roman"/>
                      <w:color w:val="auto"/>
                      <w:szCs w:val="21"/>
                      <w:highlight w:val="none"/>
                      <w:shd w:val="clear" w:color="auto" w:fill="auto"/>
                    </w:rPr>
                  </w:pPr>
                </w:p>
              </w:tc>
              <w:tc>
                <w:tcPr>
                  <w:tcW w:w="966" w:type="pct"/>
                  <w:tcBorders>
                    <w:tl2br w:val="nil"/>
                    <w:tr2bl w:val="nil"/>
                  </w:tcBorders>
                  <w:tcMar>
                    <w:left w:w="108" w:type="dxa"/>
                    <w:right w:w="108" w:type="dxa"/>
                  </w:tcMar>
                  <w:vAlign w:val="center"/>
                </w:tcPr>
                <w:p w14:paraId="36876117">
                  <w:pPr>
                    <w:snapToGrid w:val="0"/>
                    <w:spacing w:line="30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lang w:bidi="ar"/>
                    </w:rPr>
                    <w:t>标准限值</w:t>
                  </w:r>
                </w:p>
              </w:tc>
              <w:tc>
                <w:tcPr>
                  <w:tcW w:w="744" w:type="pct"/>
                  <w:tcBorders>
                    <w:tl2br w:val="nil"/>
                    <w:tr2bl w:val="nil"/>
                  </w:tcBorders>
                  <w:shd w:val="clear" w:color="auto" w:fill="auto"/>
                  <w:tcMar>
                    <w:left w:w="20" w:type="dxa"/>
                    <w:right w:w="20" w:type="dxa"/>
                  </w:tcMar>
                  <w:vAlign w:val="center"/>
                </w:tcPr>
                <w:p w14:paraId="4C25CF95">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6~9</w:t>
                  </w:r>
                </w:p>
              </w:tc>
              <w:tc>
                <w:tcPr>
                  <w:tcW w:w="801" w:type="pct"/>
                  <w:tcBorders>
                    <w:tl2br w:val="nil"/>
                    <w:tr2bl w:val="nil"/>
                  </w:tcBorders>
                  <w:shd w:val="clear" w:color="auto" w:fill="auto"/>
                  <w:tcMar>
                    <w:left w:w="20" w:type="dxa"/>
                    <w:right w:w="20" w:type="dxa"/>
                  </w:tcMar>
                  <w:vAlign w:val="center"/>
                </w:tcPr>
                <w:p w14:paraId="7C993ED2">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20</w:t>
                  </w:r>
                </w:p>
              </w:tc>
              <w:tc>
                <w:tcPr>
                  <w:tcW w:w="895" w:type="pct"/>
                  <w:tcBorders>
                    <w:tl2br w:val="nil"/>
                    <w:tr2bl w:val="nil"/>
                  </w:tcBorders>
                  <w:shd w:val="clear" w:color="auto" w:fill="auto"/>
                  <w:tcMar>
                    <w:left w:w="20" w:type="dxa"/>
                    <w:right w:w="20" w:type="dxa"/>
                  </w:tcMar>
                  <w:vAlign w:val="center"/>
                </w:tcPr>
                <w:p w14:paraId="39774E5C">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1.0</w:t>
                  </w:r>
                </w:p>
              </w:tc>
              <w:tc>
                <w:tcPr>
                  <w:tcW w:w="802" w:type="pct"/>
                  <w:tcBorders>
                    <w:tl2br w:val="nil"/>
                    <w:tr2bl w:val="nil"/>
                  </w:tcBorders>
                  <w:shd w:val="clear" w:color="auto" w:fill="auto"/>
                  <w:tcMar>
                    <w:left w:w="20" w:type="dxa"/>
                    <w:right w:w="20" w:type="dxa"/>
                  </w:tcMar>
                  <w:vAlign w:val="center"/>
                </w:tcPr>
                <w:p w14:paraId="353FD02C">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0.2</w:t>
                  </w:r>
                </w:p>
              </w:tc>
            </w:tr>
            <w:tr w14:paraId="49FEEF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89" w:type="pct"/>
                  <w:vMerge w:val="continue"/>
                  <w:tcBorders>
                    <w:tl2br w:val="nil"/>
                    <w:tr2bl w:val="nil"/>
                  </w:tcBorders>
                  <w:tcMar>
                    <w:left w:w="20" w:type="dxa"/>
                    <w:right w:w="20" w:type="dxa"/>
                  </w:tcMar>
                  <w:vAlign w:val="center"/>
                </w:tcPr>
                <w:p w14:paraId="53059574">
                  <w:pPr>
                    <w:rPr>
                      <w:rFonts w:hint="default" w:ascii="Times New Roman" w:hAnsi="Times New Roman" w:eastAsia="宋体" w:cs="Times New Roman"/>
                      <w:color w:val="auto"/>
                      <w:szCs w:val="21"/>
                      <w:highlight w:val="none"/>
                      <w:shd w:val="clear" w:color="auto" w:fill="auto"/>
                    </w:rPr>
                  </w:pPr>
                </w:p>
              </w:tc>
              <w:tc>
                <w:tcPr>
                  <w:tcW w:w="966" w:type="pct"/>
                  <w:tcBorders>
                    <w:tl2br w:val="nil"/>
                    <w:tr2bl w:val="nil"/>
                  </w:tcBorders>
                  <w:tcMar>
                    <w:left w:w="108" w:type="dxa"/>
                    <w:right w:w="108" w:type="dxa"/>
                  </w:tcMar>
                  <w:vAlign w:val="center"/>
                </w:tcPr>
                <w:p w14:paraId="263798AF">
                  <w:pPr>
                    <w:snapToGrid w:val="0"/>
                    <w:spacing w:line="30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lang w:bidi="ar"/>
                    </w:rPr>
                    <w:t>超标率（%）</w:t>
                  </w:r>
                </w:p>
              </w:tc>
              <w:tc>
                <w:tcPr>
                  <w:tcW w:w="744" w:type="pct"/>
                  <w:tcBorders>
                    <w:tl2br w:val="nil"/>
                    <w:tr2bl w:val="nil"/>
                  </w:tcBorders>
                  <w:shd w:val="clear" w:color="auto" w:fill="auto"/>
                  <w:tcMar>
                    <w:left w:w="20" w:type="dxa"/>
                    <w:right w:w="20" w:type="dxa"/>
                  </w:tcMar>
                  <w:vAlign w:val="center"/>
                </w:tcPr>
                <w:p w14:paraId="6F7B2893">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01" w:type="pct"/>
                  <w:tcBorders>
                    <w:tl2br w:val="nil"/>
                    <w:tr2bl w:val="nil"/>
                  </w:tcBorders>
                  <w:shd w:val="clear" w:color="auto" w:fill="auto"/>
                  <w:tcMar>
                    <w:left w:w="20" w:type="dxa"/>
                    <w:right w:w="20" w:type="dxa"/>
                  </w:tcMar>
                  <w:vAlign w:val="center"/>
                </w:tcPr>
                <w:p w14:paraId="04CB1E2C">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95" w:type="pct"/>
                  <w:tcBorders>
                    <w:tl2br w:val="nil"/>
                    <w:tr2bl w:val="nil"/>
                  </w:tcBorders>
                  <w:shd w:val="clear" w:color="auto" w:fill="auto"/>
                  <w:tcMar>
                    <w:left w:w="20" w:type="dxa"/>
                    <w:right w:w="20" w:type="dxa"/>
                  </w:tcMar>
                  <w:vAlign w:val="center"/>
                </w:tcPr>
                <w:p w14:paraId="14F70B8F">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02" w:type="pct"/>
                  <w:tcBorders>
                    <w:tl2br w:val="nil"/>
                    <w:tr2bl w:val="nil"/>
                  </w:tcBorders>
                  <w:shd w:val="clear" w:color="auto" w:fill="auto"/>
                  <w:tcMar>
                    <w:left w:w="20" w:type="dxa"/>
                    <w:right w:w="20" w:type="dxa"/>
                  </w:tcMar>
                  <w:vAlign w:val="center"/>
                </w:tcPr>
                <w:p w14:paraId="67B9E3BD">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r>
            <w:tr w14:paraId="0120FD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89" w:type="pct"/>
                  <w:vMerge w:val="continue"/>
                  <w:tcBorders>
                    <w:tl2br w:val="nil"/>
                    <w:tr2bl w:val="nil"/>
                  </w:tcBorders>
                  <w:tcMar>
                    <w:left w:w="20" w:type="dxa"/>
                    <w:right w:w="20" w:type="dxa"/>
                  </w:tcMar>
                  <w:vAlign w:val="center"/>
                </w:tcPr>
                <w:p w14:paraId="0FAF03BE">
                  <w:pPr>
                    <w:rPr>
                      <w:rFonts w:hint="default" w:ascii="Times New Roman" w:hAnsi="Times New Roman" w:eastAsia="宋体" w:cs="Times New Roman"/>
                      <w:color w:val="auto"/>
                      <w:szCs w:val="21"/>
                      <w:highlight w:val="none"/>
                      <w:shd w:val="clear" w:color="auto" w:fill="auto"/>
                    </w:rPr>
                  </w:pPr>
                </w:p>
              </w:tc>
              <w:tc>
                <w:tcPr>
                  <w:tcW w:w="966" w:type="pct"/>
                  <w:tcBorders>
                    <w:tl2br w:val="nil"/>
                    <w:tr2bl w:val="nil"/>
                  </w:tcBorders>
                  <w:tcMar>
                    <w:left w:w="108" w:type="dxa"/>
                    <w:right w:w="108" w:type="dxa"/>
                  </w:tcMar>
                  <w:vAlign w:val="center"/>
                </w:tcPr>
                <w:p w14:paraId="4EED237A">
                  <w:pPr>
                    <w:snapToGrid w:val="0"/>
                    <w:spacing w:line="30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lang w:bidi="ar"/>
                    </w:rPr>
                    <w:t>最大超标倍数</w:t>
                  </w:r>
                </w:p>
              </w:tc>
              <w:tc>
                <w:tcPr>
                  <w:tcW w:w="744" w:type="pct"/>
                  <w:tcBorders>
                    <w:tl2br w:val="nil"/>
                    <w:tr2bl w:val="nil"/>
                  </w:tcBorders>
                  <w:shd w:val="clear" w:color="auto" w:fill="auto"/>
                  <w:tcMar>
                    <w:left w:w="20" w:type="dxa"/>
                    <w:right w:w="20" w:type="dxa"/>
                  </w:tcMar>
                  <w:vAlign w:val="center"/>
                </w:tcPr>
                <w:p w14:paraId="5BD5A864">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01" w:type="pct"/>
                  <w:tcBorders>
                    <w:tl2br w:val="nil"/>
                    <w:tr2bl w:val="nil"/>
                  </w:tcBorders>
                  <w:shd w:val="clear" w:color="auto" w:fill="auto"/>
                  <w:tcMar>
                    <w:left w:w="20" w:type="dxa"/>
                    <w:right w:w="20" w:type="dxa"/>
                  </w:tcMar>
                  <w:vAlign w:val="center"/>
                </w:tcPr>
                <w:p w14:paraId="10E83BFA">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95" w:type="pct"/>
                  <w:tcBorders>
                    <w:tl2br w:val="nil"/>
                    <w:tr2bl w:val="nil"/>
                  </w:tcBorders>
                  <w:shd w:val="clear" w:color="auto" w:fill="auto"/>
                  <w:tcMar>
                    <w:left w:w="20" w:type="dxa"/>
                    <w:right w:w="20" w:type="dxa"/>
                  </w:tcMar>
                  <w:vAlign w:val="center"/>
                </w:tcPr>
                <w:p w14:paraId="0630BBC1">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02" w:type="pct"/>
                  <w:tcBorders>
                    <w:tl2br w:val="nil"/>
                    <w:tr2bl w:val="nil"/>
                  </w:tcBorders>
                  <w:shd w:val="clear" w:color="auto" w:fill="auto"/>
                  <w:tcMar>
                    <w:left w:w="20" w:type="dxa"/>
                    <w:right w:w="20" w:type="dxa"/>
                  </w:tcMar>
                  <w:vAlign w:val="center"/>
                </w:tcPr>
                <w:p w14:paraId="406FBB83">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r>
            <w:tr w14:paraId="00BEA8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89" w:type="pct"/>
                  <w:vMerge w:val="restart"/>
                  <w:tcBorders>
                    <w:tl2br w:val="nil"/>
                    <w:tr2bl w:val="nil"/>
                  </w:tcBorders>
                  <w:tcMar>
                    <w:left w:w="20" w:type="dxa"/>
                    <w:right w:w="20" w:type="dxa"/>
                  </w:tcMar>
                  <w:vAlign w:val="center"/>
                </w:tcPr>
                <w:p w14:paraId="7758E9D0">
                  <w:pPr>
                    <w:keepNext w:val="0"/>
                    <w:keepLines w:val="0"/>
                    <w:suppressLineNumbers w:val="0"/>
                    <w:snapToGrid w:val="0"/>
                    <w:spacing w:before="0" w:beforeAutospacing="0" w:after="0" w:afterAutospacing="0" w:line="300" w:lineRule="exact"/>
                    <w:ind w:left="0" w:leftChars="0" w:right="0" w:rightChars="0"/>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lang w:bidi="ar"/>
                    </w:rPr>
                    <w:t>金坛第二污水处理厂排口</w:t>
                  </w:r>
                  <w:r>
                    <w:rPr>
                      <w:rFonts w:hint="default" w:ascii="Times New Roman" w:hAnsi="Times New Roman" w:eastAsia="宋体" w:cs="Times New Roman"/>
                      <w:color w:val="auto"/>
                      <w:kern w:val="0"/>
                      <w:szCs w:val="21"/>
                      <w:highlight w:val="none"/>
                      <w:shd w:val="clear" w:color="auto" w:fill="auto"/>
                      <w:lang w:val="en-US" w:eastAsia="zh-CN" w:bidi="ar"/>
                    </w:rPr>
                    <w:t>下</w:t>
                  </w:r>
                  <w:r>
                    <w:rPr>
                      <w:rFonts w:hint="default" w:ascii="Times New Roman" w:hAnsi="Times New Roman" w:eastAsia="宋体" w:cs="Times New Roman"/>
                      <w:color w:val="auto"/>
                      <w:kern w:val="0"/>
                      <w:szCs w:val="21"/>
                      <w:highlight w:val="none"/>
                      <w:shd w:val="clear" w:color="auto" w:fill="auto"/>
                      <w:lang w:bidi="ar"/>
                    </w:rPr>
                    <w:t>游</w:t>
                  </w:r>
                  <w:r>
                    <w:rPr>
                      <w:rFonts w:hint="default" w:ascii="Times New Roman" w:hAnsi="Times New Roman" w:eastAsia="宋体" w:cs="Times New Roman"/>
                      <w:color w:val="auto"/>
                      <w:kern w:val="0"/>
                      <w:szCs w:val="21"/>
                      <w:highlight w:val="none"/>
                      <w:shd w:val="clear" w:color="auto" w:fill="auto"/>
                      <w:lang w:val="en-US" w:eastAsia="zh-CN" w:bidi="ar"/>
                    </w:rPr>
                    <w:t>200</w:t>
                  </w:r>
                  <w:r>
                    <w:rPr>
                      <w:rFonts w:hint="default" w:ascii="Times New Roman" w:hAnsi="Times New Roman" w:eastAsia="宋体" w:cs="Times New Roman"/>
                      <w:color w:val="auto"/>
                      <w:kern w:val="0"/>
                      <w:szCs w:val="21"/>
                      <w:highlight w:val="none"/>
                      <w:shd w:val="clear" w:color="auto" w:fill="auto"/>
                      <w:lang w:bidi="ar"/>
                    </w:rPr>
                    <w:t>0m</w:t>
                  </w:r>
                </w:p>
              </w:tc>
              <w:tc>
                <w:tcPr>
                  <w:tcW w:w="966" w:type="pct"/>
                  <w:tcBorders>
                    <w:tl2br w:val="nil"/>
                    <w:tr2bl w:val="nil"/>
                  </w:tcBorders>
                  <w:tcMar>
                    <w:left w:w="108" w:type="dxa"/>
                    <w:right w:w="108" w:type="dxa"/>
                  </w:tcMar>
                  <w:vAlign w:val="center"/>
                </w:tcPr>
                <w:p w14:paraId="3901B1A2">
                  <w:pPr>
                    <w:snapToGrid w:val="0"/>
                    <w:spacing w:line="30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lang w:bidi="ar"/>
                    </w:rPr>
                    <w:t>浓度范围</w:t>
                  </w:r>
                </w:p>
              </w:tc>
              <w:tc>
                <w:tcPr>
                  <w:tcW w:w="744" w:type="pct"/>
                  <w:tcBorders>
                    <w:tl2br w:val="nil"/>
                    <w:tr2bl w:val="nil"/>
                  </w:tcBorders>
                  <w:shd w:val="clear" w:color="auto" w:fill="auto"/>
                  <w:tcMar>
                    <w:left w:w="20" w:type="dxa"/>
                    <w:right w:w="20" w:type="dxa"/>
                  </w:tcMar>
                  <w:vAlign w:val="center"/>
                </w:tcPr>
                <w:p w14:paraId="695F1A98">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7.7-8.0</w:t>
                  </w:r>
                </w:p>
              </w:tc>
              <w:tc>
                <w:tcPr>
                  <w:tcW w:w="801" w:type="pct"/>
                  <w:tcBorders>
                    <w:tl2br w:val="nil"/>
                    <w:tr2bl w:val="nil"/>
                  </w:tcBorders>
                  <w:shd w:val="clear" w:color="auto" w:fill="auto"/>
                  <w:tcMar>
                    <w:left w:w="20" w:type="dxa"/>
                    <w:right w:w="20" w:type="dxa"/>
                  </w:tcMar>
                  <w:vAlign w:val="center"/>
                </w:tcPr>
                <w:p w14:paraId="12690851">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14-17</w:t>
                  </w:r>
                </w:p>
              </w:tc>
              <w:tc>
                <w:tcPr>
                  <w:tcW w:w="895" w:type="pct"/>
                  <w:tcBorders>
                    <w:tl2br w:val="nil"/>
                    <w:tr2bl w:val="nil"/>
                  </w:tcBorders>
                  <w:shd w:val="clear" w:color="auto" w:fill="auto"/>
                  <w:tcMar>
                    <w:left w:w="20" w:type="dxa"/>
                    <w:right w:w="20" w:type="dxa"/>
                  </w:tcMar>
                  <w:vAlign w:val="center"/>
                </w:tcPr>
                <w:p w14:paraId="700EB41C">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0.251-0.331</w:t>
                  </w:r>
                </w:p>
              </w:tc>
              <w:tc>
                <w:tcPr>
                  <w:tcW w:w="802" w:type="pct"/>
                  <w:tcBorders>
                    <w:tl2br w:val="nil"/>
                    <w:tr2bl w:val="nil"/>
                  </w:tcBorders>
                  <w:shd w:val="clear" w:color="auto" w:fill="auto"/>
                  <w:tcMar>
                    <w:left w:w="20" w:type="dxa"/>
                    <w:right w:w="20" w:type="dxa"/>
                  </w:tcMar>
                  <w:vAlign w:val="center"/>
                </w:tcPr>
                <w:p w14:paraId="6C65AD21">
                  <w:pPr>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kern w:val="2"/>
                      <w:sz w:val="21"/>
                      <w:szCs w:val="22"/>
                      <w:highlight w:val="none"/>
                      <w:shd w:val="clear" w:color="auto" w:fill="auto"/>
                      <w:lang w:val="en-US" w:eastAsia="zh-CN" w:bidi="ar-SA"/>
                    </w:rPr>
                    <w:t>0.08-0.09</w:t>
                  </w:r>
                </w:p>
              </w:tc>
            </w:tr>
            <w:tr w14:paraId="78DFFA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89" w:type="pct"/>
                  <w:vMerge w:val="continue"/>
                  <w:tcBorders>
                    <w:tl2br w:val="nil"/>
                    <w:tr2bl w:val="nil"/>
                  </w:tcBorders>
                  <w:tcMar>
                    <w:left w:w="20" w:type="dxa"/>
                    <w:right w:w="20" w:type="dxa"/>
                  </w:tcMar>
                  <w:vAlign w:val="center"/>
                </w:tcPr>
                <w:p w14:paraId="79097E28">
                  <w:pPr>
                    <w:rPr>
                      <w:rFonts w:hint="default" w:ascii="Times New Roman" w:hAnsi="Times New Roman" w:eastAsia="宋体" w:cs="Times New Roman"/>
                      <w:color w:val="auto"/>
                      <w:szCs w:val="21"/>
                      <w:highlight w:val="none"/>
                      <w:shd w:val="clear" w:color="auto" w:fill="auto"/>
                    </w:rPr>
                  </w:pPr>
                </w:p>
              </w:tc>
              <w:tc>
                <w:tcPr>
                  <w:tcW w:w="966" w:type="pct"/>
                  <w:tcBorders>
                    <w:tl2br w:val="nil"/>
                    <w:tr2bl w:val="nil"/>
                  </w:tcBorders>
                  <w:tcMar>
                    <w:left w:w="108" w:type="dxa"/>
                    <w:right w:w="108" w:type="dxa"/>
                  </w:tcMar>
                  <w:vAlign w:val="center"/>
                </w:tcPr>
                <w:p w14:paraId="7C522874">
                  <w:pPr>
                    <w:snapToGrid w:val="0"/>
                    <w:spacing w:line="30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lang w:bidi="ar"/>
                    </w:rPr>
                    <w:t>标准限值</w:t>
                  </w:r>
                </w:p>
              </w:tc>
              <w:tc>
                <w:tcPr>
                  <w:tcW w:w="744" w:type="pct"/>
                  <w:tcBorders>
                    <w:tl2br w:val="nil"/>
                    <w:tr2bl w:val="nil"/>
                  </w:tcBorders>
                  <w:shd w:val="clear" w:color="auto" w:fill="auto"/>
                  <w:tcMar>
                    <w:left w:w="20" w:type="dxa"/>
                    <w:right w:w="20" w:type="dxa"/>
                  </w:tcMar>
                  <w:vAlign w:val="center"/>
                </w:tcPr>
                <w:p w14:paraId="3B1072E6">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6~9</w:t>
                  </w:r>
                </w:p>
              </w:tc>
              <w:tc>
                <w:tcPr>
                  <w:tcW w:w="801" w:type="pct"/>
                  <w:tcBorders>
                    <w:tl2br w:val="nil"/>
                    <w:tr2bl w:val="nil"/>
                  </w:tcBorders>
                  <w:shd w:val="clear" w:color="auto" w:fill="auto"/>
                  <w:tcMar>
                    <w:left w:w="20" w:type="dxa"/>
                    <w:right w:w="20" w:type="dxa"/>
                  </w:tcMar>
                  <w:vAlign w:val="center"/>
                </w:tcPr>
                <w:p w14:paraId="56AC1EDD">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20</w:t>
                  </w:r>
                </w:p>
              </w:tc>
              <w:tc>
                <w:tcPr>
                  <w:tcW w:w="895" w:type="pct"/>
                  <w:tcBorders>
                    <w:tl2br w:val="nil"/>
                    <w:tr2bl w:val="nil"/>
                  </w:tcBorders>
                  <w:shd w:val="clear" w:color="auto" w:fill="auto"/>
                  <w:tcMar>
                    <w:left w:w="20" w:type="dxa"/>
                    <w:right w:w="20" w:type="dxa"/>
                  </w:tcMar>
                  <w:vAlign w:val="center"/>
                </w:tcPr>
                <w:p w14:paraId="219F9FFA">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1.0</w:t>
                  </w:r>
                </w:p>
              </w:tc>
              <w:tc>
                <w:tcPr>
                  <w:tcW w:w="802" w:type="pct"/>
                  <w:tcBorders>
                    <w:tl2br w:val="nil"/>
                    <w:tr2bl w:val="nil"/>
                  </w:tcBorders>
                  <w:shd w:val="clear" w:color="auto" w:fill="auto"/>
                  <w:tcMar>
                    <w:left w:w="20" w:type="dxa"/>
                    <w:right w:w="20" w:type="dxa"/>
                  </w:tcMar>
                  <w:vAlign w:val="center"/>
                </w:tcPr>
                <w:p w14:paraId="1A2FDC59">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0.2</w:t>
                  </w:r>
                </w:p>
              </w:tc>
            </w:tr>
            <w:tr w14:paraId="3F0A9F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89" w:type="pct"/>
                  <w:vMerge w:val="continue"/>
                  <w:tcBorders>
                    <w:tl2br w:val="nil"/>
                    <w:tr2bl w:val="nil"/>
                  </w:tcBorders>
                  <w:tcMar>
                    <w:left w:w="20" w:type="dxa"/>
                    <w:right w:w="20" w:type="dxa"/>
                  </w:tcMar>
                  <w:vAlign w:val="center"/>
                </w:tcPr>
                <w:p w14:paraId="733BA25A">
                  <w:pPr>
                    <w:rPr>
                      <w:rFonts w:hint="default" w:ascii="Times New Roman" w:hAnsi="Times New Roman" w:eastAsia="宋体" w:cs="Times New Roman"/>
                      <w:color w:val="auto"/>
                      <w:szCs w:val="21"/>
                      <w:highlight w:val="none"/>
                      <w:shd w:val="clear" w:color="auto" w:fill="auto"/>
                    </w:rPr>
                  </w:pPr>
                </w:p>
              </w:tc>
              <w:tc>
                <w:tcPr>
                  <w:tcW w:w="966" w:type="pct"/>
                  <w:tcBorders>
                    <w:tl2br w:val="nil"/>
                    <w:tr2bl w:val="nil"/>
                  </w:tcBorders>
                  <w:tcMar>
                    <w:left w:w="108" w:type="dxa"/>
                    <w:right w:w="108" w:type="dxa"/>
                  </w:tcMar>
                  <w:vAlign w:val="center"/>
                </w:tcPr>
                <w:p w14:paraId="26F2C1E9">
                  <w:pPr>
                    <w:snapToGrid w:val="0"/>
                    <w:spacing w:line="30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lang w:bidi="ar"/>
                    </w:rPr>
                    <w:t>超标率（%）</w:t>
                  </w:r>
                </w:p>
              </w:tc>
              <w:tc>
                <w:tcPr>
                  <w:tcW w:w="744" w:type="pct"/>
                  <w:tcBorders>
                    <w:tl2br w:val="nil"/>
                    <w:tr2bl w:val="nil"/>
                  </w:tcBorders>
                  <w:shd w:val="clear" w:color="auto" w:fill="auto"/>
                  <w:tcMar>
                    <w:left w:w="20" w:type="dxa"/>
                    <w:right w:w="20" w:type="dxa"/>
                  </w:tcMar>
                  <w:vAlign w:val="center"/>
                </w:tcPr>
                <w:p w14:paraId="039D2078">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01" w:type="pct"/>
                  <w:tcBorders>
                    <w:tl2br w:val="nil"/>
                    <w:tr2bl w:val="nil"/>
                  </w:tcBorders>
                  <w:shd w:val="clear" w:color="auto" w:fill="auto"/>
                  <w:tcMar>
                    <w:left w:w="20" w:type="dxa"/>
                    <w:right w:w="20" w:type="dxa"/>
                  </w:tcMar>
                  <w:vAlign w:val="center"/>
                </w:tcPr>
                <w:p w14:paraId="0B38CB5C">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95" w:type="pct"/>
                  <w:tcBorders>
                    <w:tl2br w:val="nil"/>
                    <w:tr2bl w:val="nil"/>
                  </w:tcBorders>
                  <w:shd w:val="clear" w:color="auto" w:fill="auto"/>
                  <w:tcMar>
                    <w:left w:w="20" w:type="dxa"/>
                    <w:right w:w="20" w:type="dxa"/>
                  </w:tcMar>
                  <w:vAlign w:val="center"/>
                </w:tcPr>
                <w:p w14:paraId="2819BD95">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02" w:type="pct"/>
                  <w:tcBorders>
                    <w:tl2br w:val="nil"/>
                    <w:tr2bl w:val="nil"/>
                  </w:tcBorders>
                  <w:shd w:val="clear" w:color="auto" w:fill="auto"/>
                  <w:tcMar>
                    <w:left w:w="20" w:type="dxa"/>
                    <w:right w:w="20" w:type="dxa"/>
                  </w:tcMar>
                  <w:vAlign w:val="center"/>
                </w:tcPr>
                <w:p w14:paraId="4D935DAD">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r>
            <w:tr w14:paraId="3773EF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89" w:type="pct"/>
                  <w:vMerge w:val="continue"/>
                  <w:tcBorders>
                    <w:tl2br w:val="nil"/>
                    <w:tr2bl w:val="nil"/>
                  </w:tcBorders>
                  <w:tcMar>
                    <w:left w:w="20" w:type="dxa"/>
                    <w:right w:w="20" w:type="dxa"/>
                  </w:tcMar>
                  <w:vAlign w:val="center"/>
                </w:tcPr>
                <w:p w14:paraId="09781E48">
                  <w:pPr>
                    <w:rPr>
                      <w:rFonts w:hint="default" w:ascii="Times New Roman" w:hAnsi="Times New Roman" w:eastAsia="宋体" w:cs="Times New Roman"/>
                      <w:color w:val="auto"/>
                      <w:szCs w:val="21"/>
                      <w:highlight w:val="none"/>
                      <w:shd w:val="clear" w:color="auto" w:fill="auto"/>
                    </w:rPr>
                  </w:pPr>
                </w:p>
              </w:tc>
              <w:tc>
                <w:tcPr>
                  <w:tcW w:w="966" w:type="pct"/>
                  <w:tcBorders>
                    <w:tl2br w:val="nil"/>
                    <w:tr2bl w:val="nil"/>
                  </w:tcBorders>
                  <w:tcMar>
                    <w:left w:w="108" w:type="dxa"/>
                    <w:right w:w="108" w:type="dxa"/>
                  </w:tcMar>
                  <w:vAlign w:val="center"/>
                </w:tcPr>
                <w:p w14:paraId="108C9EB2">
                  <w:pPr>
                    <w:snapToGrid w:val="0"/>
                    <w:spacing w:line="30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lang w:bidi="ar"/>
                    </w:rPr>
                    <w:t>最大超标倍数</w:t>
                  </w:r>
                </w:p>
              </w:tc>
              <w:tc>
                <w:tcPr>
                  <w:tcW w:w="744" w:type="pct"/>
                  <w:tcBorders>
                    <w:tl2br w:val="nil"/>
                    <w:tr2bl w:val="nil"/>
                  </w:tcBorders>
                  <w:shd w:val="clear" w:color="auto" w:fill="auto"/>
                  <w:tcMar>
                    <w:left w:w="20" w:type="dxa"/>
                    <w:right w:w="20" w:type="dxa"/>
                  </w:tcMar>
                  <w:vAlign w:val="center"/>
                </w:tcPr>
                <w:p w14:paraId="77E71CFB">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01" w:type="pct"/>
                  <w:tcBorders>
                    <w:tl2br w:val="nil"/>
                    <w:tr2bl w:val="nil"/>
                  </w:tcBorders>
                  <w:shd w:val="clear" w:color="auto" w:fill="auto"/>
                  <w:tcMar>
                    <w:left w:w="20" w:type="dxa"/>
                    <w:right w:w="20" w:type="dxa"/>
                  </w:tcMar>
                  <w:vAlign w:val="center"/>
                </w:tcPr>
                <w:p w14:paraId="1A60CC2F">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95" w:type="pct"/>
                  <w:tcBorders>
                    <w:tl2br w:val="nil"/>
                    <w:tr2bl w:val="nil"/>
                  </w:tcBorders>
                  <w:shd w:val="clear" w:color="auto" w:fill="auto"/>
                  <w:tcMar>
                    <w:left w:w="20" w:type="dxa"/>
                    <w:right w:w="20" w:type="dxa"/>
                  </w:tcMar>
                  <w:vAlign w:val="center"/>
                </w:tcPr>
                <w:p w14:paraId="5BE720D3">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c>
                <w:tcPr>
                  <w:tcW w:w="802" w:type="pct"/>
                  <w:tcBorders>
                    <w:tl2br w:val="nil"/>
                    <w:tr2bl w:val="nil"/>
                  </w:tcBorders>
                  <w:shd w:val="clear" w:color="auto" w:fill="auto"/>
                  <w:tcMar>
                    <w:left w:w="20" w:type="dxa"/>
                    <w:right w:w="20" w:type="dxa"/>
                  </w:tcMar>
                  <w:vAlign w:val="center"/>
                </w:tcPr>
                <w:p w14:paraId="0A3A9A8F">
                  <w:pPr>
                    <w:snapToGrid w:val="0"/>
                    <w:spacing w:line="30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lang w:bidi="ar"/>
                    </w:rPr>
                    <w:t>0</w:t>
                  </w:r>
                </w:p>
              </w:tc>
            </w:tr>
          </w:tbl>
          <w:p w14:paraId="36985E53">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地表水水质现状监测及评价结果表明，尧塘河各引用断面中pH、COD、NH</w:t>
            </w:r>
            <w:r>
              <w:rPr>
                <w:rFonts w:hint="default" w:ascii="Times New Roman" w:hAnsi="Times New Roman" w:eastAsia="宋体" w:cs="Times New Roman"/>
                <w:color w:val="auto"/>
                <w:sz w:val="24"/>
                <w:highlight w:val="none"/>
                <w:shd w:val="clear" w:color="auto" w:fill="auto"/>
                <w:vertAlign w:val="subscript"/>
              </w:rPr>
              <w:t>3</w:t>
            </w:r>
            <w:r>
              <w:rPr>
                <w:rFonts w:hint="default" w:ascii="Times New Roman" w:hAnsi="Times New Roman" w:eastAsia="宋体" w:cs="Times New Roman"/>
                <w:color w:val="auto"/>
                <w:sz w:val="24"/>
                <w:highlight w:val="none"/>
                <w:shd w:val="clear" w:color="auto" w:fill="auto"/>
              </w:rPr>
              <w:t>-N、TP均能达到《地表水环境质量标准》（GB3838-2002）III类水质标准，说明当地水环境质量良好，具有一定的环境承载力。</w:t>
            </w:r>
          </w:p>
          <w:p w14:paraId="642BF65E">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3、声环境</w:t>
            </w:r>
          </w:p>
          <w:p w14:paraId="2B91712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1）声环境质量标准</w:t>
            </w:r>
          </w:p>
          <w:p w14:paraId="6EE3EDEE">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本项目周边50m范围内无敏感点，无需对厂界进行监测</w:t>
            </w:r>
            <w:r>
              <w:rPr>
                <w:rFonts w:hint="eastAsia" w:ascii="Times New Roman" w:hAnsi="Times New Roman" w:eastAsia="宋体" w:cs="Times New Roman"/>
                <w:color w:val="auto"/>
                <w:sz w:val="24"/>
                <w:highlight w:val="none"/>
                <w:shd w:val="clear" w:color="auto" w:fill="auto"/>
                <w:lang w:eastAsia="zh-CN"/>
              </w:rPr>
              <w:t>。</w:t>
            </w:r>
            <w:r>
              <w:rPr>
                <w:rFonts w:hint="eastAsia" w:ascii="Times New Roman" w:hAnsi="Times New Roman" w:eastAsia="宋体" w:cs="Times New Roman"/>
                <w:color w:val="auto"/>
                <w:sz w:val="24"/>
                <w:highlight w:val="none"/>
                <w:shd w:val="clear" w:color="auto" w:fill="auto"/>
                <w:lang w:val="en-US" w:eastAsia="zh-CN"/>
              </w:rPr>
              <w:t>本项目所在区域的南侧为交通干线，</w:t>
            </w:r>
            <w:r>
              <w:rPr>
                <w:rFonts w:hint="default" w:ascii="Times New Roman" w:hAnsi="Times New Roman" w:eastAsia="宋体" w:cs="Times New Roman"/>
                <w:color w:val="auto"/>
                <w:sz w:val="24"/>
                <w:highlight w:val="none"/>
                <w:shd w:val="clear" w:color="auto" w:fill="auto"/>
              </w:rPr>
              <w:t>根据</w:t>
            </w:r>
            <w:r>
              <w:rPr>
                <w:rFonts w:hint="eastAsia"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常州市市区声环境功能区划（2017）</w:t>
            </w:r>
            <w:r>
              <w:rPr>
                <w:rFonts w:hint="eastAsia"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，若临街建筑以低于三层楼房建筑（含开阔地）为主，将交通干线边界线外一定距离内的区域划分为4a类声环境功能区。距离的确定方法如下：相邻区域为</w:t>
            </w:r>
            <w:r>
              <w:rPr>
                <w:rFonts w:hint="eastAsia" w:ascii="Times New Roman" w:hAnsi="Times New Roman" w:eastAsia="宋体" w:cs="Times New Roman"/>
                <w:color w:val="auto"/>
                <w:sz w:val="24"/>
                <w:highlight w:val="none"/>
                <w:shd w:val="clear" w:color="auto" w:fill="auto"/>
                <w:lang w:val="en-US" w:eastAsia="zh-CN"/>
              </w:rPr>
              <w:t>2</w:t>
            </w:r>
            <w:r>
              <w:rPr>
                <w:rFonts w:hint="default" w:ascii="Times New Roman" w:hAnsi="Times New Roman" w:eastAsia="宋体" w:cs="Times New Roman"/>
                <w:color w:val="auto"/>
                <w:sz w:val="24"/>
                <w:highlight w:val="none"/>
                <w:shd w:val="clear" w:color="auto" w:fill="auto"/>
              </w:rPr>
              <w:t>类声环境功能区，距离为</w:t>
            </w:r>
            <w:r>
              <w:rPr>
                <w:rFonts w:hint="eastAsia" w:ascii="Times New Roman" w:hAnsi="Times New Roman" w:eastAsia="宋体" w:cs="Times New Roman"/>
                <w:color w:val="auto"/>
                <w:sz w:val="24"/>
                <w:highlight w:val="none"/>
                <w:shd w:val="clear" w:color="auto" w:fill="auto"/>
                <w:lang w:val="en-US" w:eastAsia="zh-CN"/>
              </w:rPr>
              <w:t>35</w:t>
            </w:r>
            <w:r>
              <w:rPr>
                <w:rFonts w:hint="default" w:ascii="Times New Roman" w:hAnsi="Times New Roman" w:eastAsia="宋体" w:cs="Times New Roman"/>
                <w:color w:val="auto"/>
                <w:sz w:val="24"/>
                <w:highlight w:val="none"/>
                <w:shd w:val="clear" w:color="auto" w:fill="auto"/>
              </w:rPr>
              <w:t>m。</w:t>
            </w:r>
            <w:r>
              <w:rPr>
                <w:rFonts w:hint="eastAsia" w:ascii="Times New Roman" w:hAnsi="Times New Roman" w:eastAsia="宋体" w:cs="Times New Roman"/>
                <w:color w:val="auto"/>
                <w:sz w:val="24"/>
                <w:highlight w:val="none"/>
                <w:shd w:val="clear" w:color="auto" w:fill="auto"/>
                <w:lang w:val="en-US" w:eastAsia="zh-CN"/>
              </w:rPr>
              <w:t>本项目所在区域距离交通干线边界大于35m，因此</w:t>
            </w:r>
            <w:r>
              <w:rPr>
                <w:rFonts w:hint="default" w:ascii="Times New Roman" w:hAnsi="Times New Roman" w:eastAsia="宋体" w:cs="Times New Roman"/>
                <w:color w:val="auto"/>
                <w:sz w:val="24"/>
                <w:highlight w:val="none"/>
                <w:shd w:val="clear" w:color="auto" w:fill="auto"/>
              </w:rPr>
              <w:t>本项目所在区域</w:t>
            </w:r>
            <w:r>
              <w:rPr>
                <w:rFonts w:hint="eastAsia" w:ascii="Times New Roman" w:hAnsi="Times New Roman" w:eastAsia="宋体" w:cs="Times New Roman"/>
                <w:color w:val="auto"/>
                <w:sz w:val="24"/>
                <w:highlight w:val="none"/>
                <w:shd w:val="clear" w:color="auto" w:fill="auto"/>
                <w:lang w:val="en-US" w:eastAsia="zh-CN"/>
              </w:rPr>
              <w:t>东、西、南、北侧</w:t>
            </w:r>
            <w:r>
              <w:rPr>
                <w:rFonts w:hint="default" w:ascii="Times New Roman" w:hAnsi="Times New Roman" w:eastAsia="宋体" w:cs="Times New Roman"/>
                <w:color w:val="auto"/>
                <w:sz w:val="24"/>
                <w:highlight w:val="none"/>
                <w:shd w:val="clear" w:color="auto" w:fill="auto"/>
              </w:rPr>
              <w:t>声环境质量现状划分为《声环境质量标准》（GB3096-2008）中</w:t>
            </w:r>
            <w:r>
              <w:rPr>
                <w:rFonts w:hint="eastAsia" w:ascii="Times New Roman" w:hAnsi="Times New Roman" w:eastAsia="宋体" w:cs="Times New Roman"/>
                <w:color w:val="auto"/>
                <w:sz w:val="24"/>
                <w:highlight w:val="none"/>
                <w:shd w:val="clear" w:color="auto" w:fill="auto"/>
                <w:lang w:val="en-US" w:eastAsia="zh-CN"/>
              </w:rPr>
              <w:t>2</w:t>
            </w:r>
            <w:r>
              <w:rPr>
                <w:rFonts w:hint="default" w:ascii="Times New Roman" w:hAnsi="Times New Roman" w:eastAsia="宋体" w:cs="Times New Roman"/>
                <w:color w:val="auto"/>
                <w:sz w:val="24"/>
                <w:highlight w:val="none"/>
                <w:shd w:val="clear" w:color="auto" w:fill="auto"/>
              </w:rPr>
              <w:t>类标准。</w:t>
            </w:r>
          </w:p>
          <w:p w14:paraId="27A0C040">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2）声环境现状评价</w:t>
            </w:r>
          </w:p>
          <w:p w14:paraId="77DF1FEB">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本项目周边50米范围内无敏感点，因此无需开展噪声现状调查。</w:t>
            </w:r>
          </w:p>
          <w:p w14:paraId="08F78F1A">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4、土壤、地下水环境质量现状</w:t>
            </w:r>
          </w:p>
          <w:p w14:paraId="56F1D752">
            <w:pPr>
              <w:spacing w:line="360" w:lineRule="auto"/>
              <w:ind w:firstLine="480" w:firstLineChars="200"/>
              <w:rPr>
                <w:rFonts w:hint="default" w:ascii="Times New Roman" w:hAnsi="Times New Roman" w:eastAsia="宋体" w:cs="Times New Roman"/>
                <w:color w:val="auto"/>
                <w:sz w:val="24"/>
                <w:highlight w:val="none"/>
                <w:shd w:val="clear" w:color="auto" w:fill="auto"/>
                <w:lang w:eastAsia="zh-CN"/>
              </w:rPr>
            </w:pPr>
            <w:r>
              <w:rPr>
                <w:rFonts w:hint="default" w:ascii="Times New Roman" w:hAnsi="Times New Roman" w:eastAsia="宋体" w:cs="Times New Roman"/>
                <w:color w:val="auto"/>
                <w:sz w:val="24"/>
                <w:highlight w:val="none"/>
                <w:shd w:val="clear" w:color="auto" w:fill="auto"/>
              </w:rPr>
              <w:t>根据《关于印发《建设项目环境影响报告表》内容、格式及编制技术指南的通知》（环办环评〔2020〕33号）“原则上不开展环境质量现状调查。建设项目存在土壤、地下水环境污染途径的，应结合污染源、保护目标分布情况开展现状调查以留作背景值”</w:t>
            </w:r>
            <w:r>
              <w:rPr>
                <w:rFonts w:hint="default" w:ascii="Times New Roman" w:hAnsi="Times New Roman" w:eastAsia="宋体" w:cs="Times New Roman"/>
                <w:color w:val="auto"/>
                <w:sz w:val="24"/>
                <w:highlight w:val="none"/>
                <w:shd w:val="clear" w:color="auto" w:fill="auto"/>
                <w:lang w:eastAsia="zh-CN"/>
              </w:rPr>
              <w:t>。</w:t>
            </w:r>
          </w:p>
          <w:p w14:paraId="2EF70BD2">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本项目运营期土壤环境影响识别主要针对本项目产生的废气和废水。本项目</w:t>
            </w:r>
            <w:r>
              <w:rPr>
                <w:rFonts w:hint="eastAsia" w:ascii="Times New Roman" w:hAnsi="Times New Roman" w:eastAsia="宋体" w:cs="Times New Roman"/>
                <w:color w:val="auto"/>
                <w:sz w:val="24"/>
                <w:highlight w:val="none"/>
                <w:shd w:val="clear" w:color="auto" w:fill="auto"/>
                <w:lang w:val="en-US" w:eastAsia="zh-CN"/>
              </w:rPr>
              <w:t>无生产废水产生，</w:t>
            </w:r>
            <w:r>
              <w:rPr>
                <w:rFonts w:hint="default" w:ascii="Times New Roman" w:hAnsi="Times New Roman" w:eastAsia="宋体" w:cs="Times New Roman"/>
                <w:color w:val="auto"/>
                <w:sz w:val="24"/>
                <w:highlight w:val="none"/>
                <w:shd w:val="clear" w:color="auto" w:fill="auto"/>
              </w:rPr>
              <w:t>废水主要为生活污水，</w:t>
            </w:r>
            <w:r>
              <w:rPr>
                <w:rFonts w:hint="eastAsia" w:ascii="Times New Roman" w:hAnsi="Times New Roman" w:eastAsia="宋体" w:cs="Times New Roman"/>
                <w:color w:val="auto"/>
                <w:sz w:val="24"/>
                <w:highlight w:val="none"/>
                <w:shd w:val="clear" w:color="auto" w:fill="auto"/>
                <w:lang w:val="en-US" w:eastAsia="zh-CN"/>
              </w:rPr>
              <w:t>且</w:t>
            </w:r>
            <w:r>
              <w:rPr>
                <w:rFonts w:hint="default" w:ascii="Times New Roman" w:hAnsi="Times New Roman" w:eastAsia="宋体" w:cs="Times New Roman"/>
                <w:color w:val="auto"/>
                <w:sz w:val="24"/>
                <w:highlight w:val="none"/>
                <w:shd w:val="clear" w:color="auto" w:fill="auto"/>
              </w:rPr>
              <w:t>水质简单，经管网接入</w:t>
            </w:r>
            <w:r>
              <w:rPr>
                <w:rFonts w:hint="default" w:ascii="Times New Roman" w:hAnsi="Times New Roman" w:eastAsia="宋体" w:cs="Times New Roman"/>
                <w:color w:val="auto"/>
                <w:sz w:val="24"/>
                <w:highlight w:val="none"/>
                <w:shd w:val="clear" w:color="auto" w:fill="auto"/>
                <w:lang w:val="en-US" w:eastAsia="zh-CN"/>
              </w:rPr>
              <w:t>金坛第二</w:t>
            </w:r>
            <w:r>
              <w:rPr>
                <w:rFonts w:hint="default" w:ascii="Times New Roman" w:hAnsi="Times New Roman" w:eastAsia="宋体" w:cs="Times New Roman"/>
                <w:color w:val="auto"/>
                <w:sz w:val="24"/>
                <w:highlight w:val="none"/>
                <w:shd w:val="clear" w:color="auto" w:fill="auto"/>
              </w:rPr>
              <w:t>污水处理厂处理。废气中的主要污染物为</w:t>
            </w:r>
            <w:r>
              <w:rPr>
                <w:rFonts w:hint="default" w:ascii="Times New Roman" w:hAnsi="Times New Roman" w:eastAsia="宋体" w:cs="Times New Roman"/>
                <w:color w:val="auto"/>
                <w:sz w:val="24"/>
                <w:highlight w:val="none"/>
                <w:shd w:val="clear" w:color="auto" w:fill="auto"/>
                <w:lang w:val="en-US" w:eastAsia="zh-CN"/>
              </w:rPr>
              <w:t>非甲烷总烃</w:t>
            </w:r>
            <w:r>
              <w:rPr>
                <w:rFonts w:hint="default" w:ascii="Times New Roman" w:hAnsi="Times New Roman" w:eastAsia="宋体" w:cs="Times New Roman"/>
                <w:color w:val="auto"/>
                <w:sz w:val="24"/>
                <w:highlight w:val="none"/>
                <w:shd w:val="clear" w:color="auto" w:fill="auto"/>
              </w:rPr>
              <w:t>，拟建</w:t>
            </w:r>
            <w:r>
              <w:rPr>
                <w:rFonts w:hint="eastAsia" w:ascii="Times New Roman" w:hAnsi="Times New Roman" w:eastAsia="宋体" w:cs="Times New Roman"/>
                <w:color w:val="auto"/>
                <w:sz w:val="24"/>
                <w:highlight w:val="none"/>
                <w:shd w:val="clear" w:color="auto" w:fill="auto"/>
                <w:lang w:val="en-US" w:eastAsia="zh-CN"/>
              </w:rPr>
              <w:t>化学品</w:t>
            </w:r>
            <w:r>
              <w:rPr>
                <w:rFonts w:hint="default" w:ascii="Times New Roman" w:hAnsi="Times New Roman" w:eastAsia="宋体" w:cs="Times New Roman"/>
                <w:color w:val="auto"/>
                <w:sz w:val="24"/>
                <w:highlight w:val="none"/>
                <w:shd w:val="clear" w:color="auto" w:fill="auto"/>
                <w:lang w:val="en-US" w:eastAsia="zh-CN"/>
              </w:rPr>
              <w:t>仓库、</w:t>
            </w:r>
            <w:r>
              <w:rPr>
                <w:rFonts w:hint="eastAsia" w:ascii="Times New Roman" w:hAnsi="Times New Roman" w:eastAsia="宋体" w:cs="Times New Roman"/>
                <w:color w:val="auto"/>
                <w:sz w:val="24"/>
                <w:highlight w:val="none"/>
                <w:shd w:val="clear" w:color="auto" w:fill="auto"/>
                <w:lang w:val="en-US" w:eastAsia="zh-CN"/>
              </w:rPr>
              <w:t>油墨间、印刷区</w:t>
            </w:r>
            <w:r>
              <w:rPr>
                <w:rFonts w:hint="default" w:ascii="Times New Roman" w:hAnsi="Times New Roman" w:eastAsia="宋体" w:cs="Times New Roman"/>
                <w:color w:val="auto"/>
                <w:sz w:val="24"/>
                <w:highlight w:val="none"/>
                <w:shd w:val="clear" w:color="auto" w:fill="auto"/>
                <w:lang w:val="en-US" w:eastAsia="zh-CN"/>
              </w:rPr>
              <w:t>、</w:t>
            </w:r>
            <w:r>
              <w:rPr>
                <w:rFonts w:hint="eastAsia" w:ascii="Times New Roman" w:hAnsi="Times New Roman" w:eastAsia="宋体" w:cs="Times New Roman"/>
                <w:color w:val="auto"/>
                <w:sz w:val="24"/>
                <w:highlight w:val="none"/>
                <w:shd w:val="clear" w:color="auto" w:fill="auto"/>
                <w:lang w:val="en-US" w:eastAsia="zh-CN"/>
              </w:rPr>
              <w:t>复合区、</w:t>
            </w:r>
            <w:r>
              <w:rPr>
                <w:rFonts w:hint="default" w:ascii="Times New Roman" w:hAnsi="Times New Roman" w:eastAsia="宋体" w:cs="Times New Roman"/>
                <w:color w:val="auto"/>
                <w:sz w:val="24"/>
                <w:highlight w:val="none"/>
                <w:shd w:val="clear" w:color="auto" w:fill="auto"/>
              </w:rPr>
              <w:t>危废库为重点防渗区，</w:t>
            </w:r>
            <w:r>
              <w:rPr>
                <w:rFonts w:hint="default" w:ascii="Times New Roman" w:hAnsi="Times New Roman" w:eastAsia="宋体" w:cs="Times New Roman"/>
                <w:color w:val="auto"/>
                <w:sz w:val="24"/>
                <w:highlight w:val="none"/>
                <w:shd w:val="clear" w:color="auto" w:fill="auto"/>
                <w:lang w:val="en-US" w:eastAsia="zh-CN"/>
              </w:rPr>
              <w:t>均为现浇</w:t>
            </w:r>
            <w:r>
              <w:rPr>
                <w:rFonts w:hint="default" w:ascii="Times New Roman" w:hAnsi="Times New Roman" w:eastAsia="宋体" w:cs="Times New Roman"/>
                <w:color w:val="auto"/>
                <w:sz w:val="24"/>
                <w:highlight w:val="none"/>
                <w:shd w:val="clear" w:color="auto" w:fill="auto"/>
              </w:rPr>
              <w:t>混凝土</w:t>
            </w:r>
            <w:r>
              <w:rPr>
                <w:rFonts w:hint="default" w:ascii="Times New Roman" w:hAnsi="Times New Roman" w:eastAsia="宋体" w:cs="Times New Roman"/>
                <w:color w:val="auto"/>
                <w:sz w:val="24"/>
                <w:highlight w:val="none"/>
                <w:shd w:val="clear" w:color="auto" w:fill="auto"/>
                <w:lang w:val="en-US" w:eastAsia="zh-CN"/>
              </w:rPr>
              <w:t>地面，并采用</w:t>
            </w:r>
            <w:r>
              <w:rPr>
                <w:rFonts w:hint="default" w:ascii="Times New Roman" w:hAnsi="Times New Roman" w:eastAsia="宋体" w:cs="Times New Roman"/>
                <w:color w:val="auto"/>
                <w:sz w:val="24"/>
                <w:highlight w:val="none"/>
                <w:shd w:val="clear" w:color="auto" w:fill="auto"/>
              </w:rPr>
              <w:t>环氧地坪进行地面防渗处理</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其余生产区为一般防渗区，</w:t>
            </w:r>
            <w:r>
              <w:rPr>
                <w:rFonts w:hint="default" w:ascii="Times New Roman" w:hAnsi="Times New Roman" w:eastAsia="宋体" w:cs="Times New Roman"/>
                <w:color w:val="auto"/>
                <w:sz w:val="24"/>
                <w:highlight w:val="none"/>
                <w:shd w:val="clear" w:color="auto" w:fill="auto"/>
                <w:lang w:val="en-US" w:eastAsia="zh-CN"/>
              </w:rPr>
              <w:t>均为现浇</w:t>
            </w:r>
            <w:r>
              <w:rPr>
                <w:rFonts w:hint="default" w:ascii="Times New Roman" w:hAnsi="Times New Roman" w:eastAsia="宋体" w:cs="Times New Roman"/>
                <w:color w:val="auto"/>
                <w:sz w:val="24"/>
                <w:highlight w:val="none"/>
                <w:shd w:val="clear" w:color="auto" w:fill="auto"/>
              </w:rPr>
              <w:t>混凝土</w:t>
            </w:r>
            <w:r>
              <w:rPr>
                <w:rFonts w:hint="default" w:ascii="Times New Roman" w:hAnsi="Times New Roman" w:eastAsia="宋体" w:cs="Times New Roman"/>
                <w:color w:val="auto"/>
                <w:sz w:val="24"/>
                <w:highlight w:val="none"/>
                <w:shd w:val="clear" w:color="auto" w:fill="auto"/>
                <w:lang w:val="en-US" w:eastAsia="zh-CN"/>
              </w:rPr>
              <w:t>地面，并采用</w:t>
            </w:r>
            <w:r>
              <w:rPr>
                <w:rFonts w:hint="default" w:ascii="Times New Roman" w:hAnsi="Times New Roman" w:eastAsia="宋体" w:cs="Times New Roman"/>
                <w:color w:val="auto"/>
                <w:sz w:val="24"/>
                <w:highlight w:val="none"/>
                <w:shd w:val="clear" w:color="auto" w:fill="auto"/>
              </w:rPr>
              <w:t>环氧地坪进行地面防渗处理，办公区、道路等均进行地面硬化处理，</w:t>
            </w:r>
            <w:r>
              <w:rPr>
                <w:rFonts w:hint="default" w:ascii="Times New Roman" w:hAnsi="Times New Roman" w:eastAsia="宋体" w:cs="Times New Roman"/>
                <w:color w:val="auto"/>
                <w:sz w:val="24"/>
                <w:highlight w:val="none"/>
                <w:shd w:val="clear" w:color="auto" w:fill="auto"/>
                <w:lang w:val="en-US" w:eastAsia="zh-CN"/>
              </w:rPr>
              <w:t>故</w:t>
            </w:r>
            <w:r>
              <w:rPr>
                <w:rFonts w:hint="default" w:ascii="Times New Roman" w:hAnsi="Times New Roman" w:eastAsia="宋体" w:cs="Times New Roman"/>
                <w:color w:val="auto"/>
                <w:sz w:val="24"/>
                <w:highlight w:val="none"/>
                <w:shd w:val="clear" w:color="auto" w:fill="auto"/>
              </w:rPr>
              <w:t>不存在土壤、地下水环境垂直入渗、漫流等污染途径，因此，可不开展地下水、土壤现状评价工作。</w:t>
            </w:r>
          </w:p>
          <w:p w14:paraId="30555761">
            <w:pPr>
              <w:spacing w:line="360" w:lineRule="auto"/>
              <w:ind w:firstLine="482" w:firstLineChars="200"/>
              <w:rPr>
                <w:rFonts w:hint="default" w:ascii="Times New Roman" w:hAnsi="Times New Roman" w:eastAsia="宋体" w:cs="Times New Roman"/>
                <w:b/>
                <w:color w:val="auto"/>
                <w:sz w:val="24"/>
                <w:highlight w:val="none"/>
                <w:shd w:val="clear" w:color="auto" w:fill="auto"/>
                <w:lang w:val="en-US" w:eastAsia="zh-CN"/>
              </w:rPr>
            </w:pPr>
            <w:r>
              <w:rPr>
                <w:rFonts w:hint="default" w:ascii="Times New Roman" w:hAnsi="Times New Roman" w:eastAsia="宋体" w:cs="Times New Roman"/>
                <w:b/>
                <w:color w:val="auto"/>
                <w:sz w:val="24"/>
                <w:highlight w:val="none"/>
                <w:shd w:val="clear" w:color="auto" w:fill="auto"/>
                <w:lang w:val="en-US" w:eastAsia="zh-CN"/>
              </w:rPr>
              <w:t>5、生态环境</w:t>
            </w:r>
          </w:p>
          <w:p w14:paraId="64A51A0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本项目用地范围内不涉及生态环境保护目标，因此本项目不</w:t>
            </w:r>
            <w:r>
              <w:rPr>
                <w:rFonts w:hint="default" w:ascii="Times New Roman" w:hAnsi="Times New Roman" w:eastAsia="宋体" w:cs="Times New Roman"/>
                <w:color w:val="auto"/>
                <w:sz w:val="24"/>
                <w:highlight w:val="none"/>
                <w:shd w:val="clear" w:color="auto" w:fill="auto"/>
                <w:lang w:eastAsia="zh-CN"/>
              </w:rPr>
              <w:t>开展</w:t>
            </w:r>
            <w:r>
              <w:rPr>
                <w:rFonts w:hint="default" w:ascii="Times New Roman" w:hAnsi="Times New Roman" w:eastAsia="宋体" w:cs="Times New Roman"/>
                <w:color w:val="auto"/>
                <w:sz w:val="24"/>
                <w:highlight w:val="none"/>
                <w:shd w:val="clear" w:color="auto" w:fill="auto"/>
              </w:rPr>
              <w:t>生态现状调查</w:t>
            </w:r>
            <w:r>
              <w:rPr>
                <w:rFonts w:hint="default" w:ascii="Times New Roman" w:hAnsi="Times New Roman" w:eastAsia="宋体" w:cs="Times New Roman"/>
                <w:color w:val="auto"/>
                <w:sz w:val="24"/>
                <w:highlight w:val="none"/>
                <w:shd w:val="clear" w:color="auto" w:fill="auto"/>
                <w:lang w:val="en-US" w:eastAsia="zh-CN"/>
              </w:rPr>
              <w:t>。</w:t>
            </w:r>
          </w:p>
          <w:p w14:paraId="7186D370">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lang w:val="en-US" w:eastAsia="zh-CN"/>
              </w:rPr>
              <w:t>6、电磁辐射</w:t>
            </w:r>
          </w:p>
          <w:p w14:paraId="0003A25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本项目不属于广播电台、差转台、电视塔台、卫星地球上行站、雷达等电磁辐射类项目。</w:t>
            </w:r>
          </w:p>
          <w:p w14:paraId="486B822F">
            <w:pPr>
              <w:spacing w:line="360" w:lineRule="auto"/>
              <w:ind w:firstLine="480" w:firstLineChars="200"/>
              <w:rPr>
                <w:rFonts w:hint="default" w:ascii="Times New Roman" w:hAnsi="Times New Roman" w:eastAsia="宋体" w:cs="Times New Roman"/>
                <w:color w:val="auto"/>
                <w:sz w:val="24"/>
                <w:highlight w:val="none"/>
                <w:shd w:val="clear" w:color="auto" w:fill="auto"/>
              </w:rPr>
            </w:pPr>
          </w:p>
          <w:p w14:paraId="289E8D1D">
            <w:pPr>
              <w:spacing w:line="360" w:lineRule="auto"/>
              <w:rPr>
                <w:rFonts w:hint="default" w:ascii="Times New Roman" w:hAnsi="Times New Roman" w:eastAsia="宋体" w:cs="Times New Roman"/>
                <w:color w:val="auto"/>
                <w:sz w:val="24"/>
                <w:highlight w:val="none"/>
                <w:shd w:val="clear" w:color="auto" w:fill="auto"/>
              </w:rPr>
            </w:pPr>
          </w:p>
        </w:tc>
      </w:tr>
      <w:tr w14:paraId="1CC9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7" w:hRule="atLeast"/>
        </w:trPr>
        <w:tc>
          <w:tcPr>
            <w:tcW w:w="418" w:type="pct"/>
            <w:vAlign w:val="center"/>
          </w:tcPr>
          <w:p w14:paraId="0412F49E">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环境保护目标</w:t>
            </w:r>
          </w:p>
        </w:tc>
        <w:tc>
          <w:tcPr>
            <w:tcW w:w="4581" w:type="pct"/>
          </w:tcPr>
          <w:p w14:paraId="595AC69C">
            <w:pPr>
              <w:adjustRightInd w:val="0"/>
              <w:snapToGrid w:val="0"/>
              <w:spacing w:line="360" w:lineRule="auto"/>
              <w:ind w:firstLine="480" w:firstLineChars="200"/>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项目位于</w:t>
            </w:r>
            <w:r>
              <w:rPr>
                <w:rFonts w:hint="default" w:ascii="Times New Roman" w:hAnsi="Times New Roman" w:eastAsia="宋体" w:cs="Times New Roman"/>
                <w:color w:val="auto"/>
                <w:kern w:val="0"/>
                <w:sz w:val="24"/>
                <w:szCs w:val="24"/>
                <w:highlight w:val="none"/>
                <w:shd w:val="clear" w:color="auto" w:fill="auto"/>
                <w:lang w:eastAsia="zh-CN"/>
              </w:rPr>
              <w:t>江苏省常州市金坛区</w:t>
            </w:r>
            <w:r>
              <w:rPr>
                <w:rFonts w:hint="eastAsia" w:ascii="Times New Roman" w:hAnsi="Times New Roman" w:eastAsia="宋体" w:cs="Times New Roman"/>
                <w:color w:val="auto"/>
                <w:kern w:val="0"/>
                <w:sz w:val="24"/>
                <w:szCs w:val="24"/>
                <w:highlight w:val="none"/>
                <w:shd w:val="clear" w:color="auto" w:fill="auto"/>
                <w:lang w:eastAsia="zh-CN"/>
              </w:rPr>
              <w:t>晨风路188号</w:t>
            </w:r>
            <w:r>
              <w:rPr>
                <w:rFonts w:hint="default" w:ascii="Times New Roman" w:hAnsi="Times New Roman" w:eastAsia="宋体" w:cs="Times New Roman"/>
                <w:color w:val="auto"/>
                <w:kern w:val="0"/>
                <w:sz w:val="24"/>
                <w:szCs w:val="24"/>
                <w:highlight w:val="none"/>
                <w:shd w:val="clear" w:color="auto" w:fill="auto"/>
              </w:rPr>
              <w:t>，经实地勘查，确定建设项目主要环境保护目标见下表。</w:t>
            </w:r>
          </w:p>
          <w:p w14:paraId="090CE87C">
            <w:pPr>
              <w:tabs>
                <w:tab w:val="left" w:pos="6510"/>
              </w:tabs>
              <w:adjustRightInd w:val="0"/>
              <w:snapToGrid w:val="0"/>
              <w:jc w:val="center"/>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t>表3-</w:t>
            </w:r>
            <w:r>
              <w:rPr>
                <w:rFonts w:hint="default" w:ascii="Times New Roman" w:hAnsi="Times New Roman" w:eastAsia="宋体" w:cs="Times New Roman"/>
                <w:b/>
                <w:bCs/>
                <w:color w:val="auto"/>
                <w:sz w:val="24"/>
                <w:szCs w:val="24"/>
                <w:highlight w:val="none"/>
                <w:shd w:val="clear" w:color="auto" w:fill="auto"/>
                <w:lang w:val="en-US" w:eastAsia="zh-CN"/>
              </w:rPr>
              <w:t>5</w:t>
            </w:r>
            <w:r>
              <w:rPr>
                <w:rFonts w:hint="default" w:ascii="Times New Roman" w:hAnsi="Times New Roman" w:eastAsia="宋体" w:cs="Times New Roman"/>
                <w:b/>
                <w:bCs/>
                <w:color w:val="auto"/>
                <w:sz w:val="24"/>
                <w:szCs w:val="24"/>
                <w:highlight w:val="none"/>
                <w:shd w:val="clear" w:color="auto" w:fill="auto"/>
              </w:rPr>
              <w:t xml:space="preserve">   主要环境保护目标一览表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90"/>
              <w:gridCol w:w="1387"/>
              <w:gridCol w:w="1279"/>
              <w:gridCol w:w="1042"/>
              <w:gridCol w:w="819"/>
              <w:gridCol w:w="1911"/>
              <w:gridCol w:w="614"/>
              <w:gridCol w:w="652"/>
            </w:tblGrid>
            <w:tr w14:paraId="32D9E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5" w:type="pct"/>
                  <w:vMerge w:val="restart"/>
                  <w:tcBorders>
                    <w:tl2br w:val="nil"/>
                    <w:tr2bl w:val="nil"/>
                  </w:tcBorders>
                  <w:tcMar>
                    <w:top w:w="0" w:type="dxa"/>
                    <w:left w:w="0" w:type="dxa"/>
                    <w:bottom w:w="0" w:type="dxa"/>
                    <w:right w:w="0" w:type="dxa"/>
                  </w:tcMar>
                  <w:vAlign w:val="center"/>
                </w:tcPr>
                <w:p w14:paraId="24D548E0">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保护项目</w:t>
                  </w:r>
                </w:p>
              </w:tc>
              <w:tc>
                <w:tcPr>
                  <w:tcW w:w="1607" w:type="pct"/>
                  <w:gridSpan w:val="2"/>
                  <w:tcBorders>
                    <w:tl2br w:val="nil"/>
                    <w:tr2bl w:val="nil"/>
                  </w:tcBorders>
                  <w:tcMar>
                    <w:top w:w="0" w:type="dxa"/>
                    <w:left w:w="0" w:type="dxa"/>
                    <w:bottom w:w="0" w:type="dxa"/>
                    <w:right w:w="0" w:type="dxa"/>
                  </w:tcMar>
                  <w:vAlign w:val="center"/>
                </w:tcPr>
                <w:p w14:paraId="42EA658F">
                  <w:pPr>
                    <w:keepNext/>
                    <w:keepLines/>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坐标</w:t>
                  </w:r>
                </w:p>
              </w:tc>
              <w:tc>
                <w:tcPr>
                  <w:tcW w:w="628" w:type="pct"/>
                  <w:vMerge w:val="restart"/>
                  <w:tcBorders>
                    <w:tl2br w:val="nil"/>
                    <w:tr2bl w:val="nil"/>
                  </w:tcBorders>
                  <w:tcMar>
                    <w:top w:w="0" w:type="dxa"/>
                    <w:left w:w="0" w:type="dxa"/>
                    <w:bottom w:w="0" w:type="dxa"/>
                    <w:right w:w="0" w:type="dxa"/>
                  </w:tcMar>
                  <w:vAlign w:val="center"/>
                </w:tcPr>
                <w:p w14:paraId="25E5E98C">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保护对象</w:t>
                  </w:r>
                </w:p>
              </w:tc>
              <w:tc>
                <w:tcPr>
                  <w:tcW w:w="493" w:type="pct"/>
                  <w:vMerge w:val="restart"/>
                  <w:tcBorders>
                    <w:tl2br w:val="nil"/>
                    <w:tr2bl w:val="nil"/>
                  </w:tcBorders>
                  <w:tcMar>
                    <w:top w:w="0" w:type="dxa"/>
                    <w:left w:w="0" w:type="dxa"/>
                    <w:bottom w:w="0" w:type="dxa"/>
                    <w:right w:w="0" w:type="dxa"/>
                  </w:tcMar>
                  <w:vAlign w:val="center"/>
                </w:tcPr>
                <w:p w14:paraId="22EADD5E">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保护内容</w:t>
                  </w:r>
                </w:p>
              </w:tc>
              <w:tc>
                <w:tcPr>
                  <w:tcW w:w="1152" w:type="pct"/>
                  <w:vMerge w:val="restart"/>
                  <w:tcBorders>
                    <w:tl2br w:val="nil"/>
                    <w:tr2bl w:val="nil"/>
                  </w:tcBorders>
                  <w:tcMar>
                    <w:top w:w="0" w:type="dxa"/>
                    <w:left w:w="0" w:type="dxa"/>
                    <w:bottom w:w="0" w:type="dxa"/>
                    <w:right w:w="0" w:type="dxa"/>
                  </w:tcMar>
                  <w:vAlign w:val="center"/>
                </w:tcPr>
                <w:p w14:paraId="6292D3EC">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环境功能区</w:t>
                  </w:r>
                </w:p>
              </w:tc>
              <w:tc>
                <w:tcPr>
                  <w:tcW w:w="370" w:type="pct"/>
                  <w:vMerge w:val="restart"/>
                  <w:tcBorders>
                    <w:tl2br w:val="nil"/>
                    <w:tr2bl w:val="nil"/>
                  </w:tcBorders>
                  <w:tcMar>
                    <w:top w:w="0" w:type="dxa"/>
                    <w:left w:w="0" w:type="dxa"/>
                    <w:bottom w:w="0" w:type="dxa"/>
                    <w:right w:w="0" w:type="dxa"/>
                  </w:tcMar>
                  <w:vAlign w:val="center"/>
                </w:tcPr>
                <w:p w14:paraId="0B12A5B3">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相对厂址方位</w:t>
                  </w:r>
                </w:p>
              </w:tc>
              <w:tc>
                <w:tcPr>
                  <w:tcW w:w="393" w:type="pct"/>
                  <w:vMerge w:val="restart"/>
                  <w:tcBorders>
                    <w:tl2br w:val="nil"/>
                    <w:tr2bl w:val="nil"/>
                  </w:tcBorders>
                  <w:tcMar>
                    <w:top w:w="0" w:type="dxa"/>
                    <w:left w:w="0" w:type="dxa"/>
                    <w:bottom w:w="0" w:type="dxa"/>
                    <w:right w:w="0" w:type="dxa"/>
                  </w:tcMar>
                  <w:vAlign w:val="center"/>
                </w:tcPr>
                <w:p w14:paraId="7BB2C59F">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相对厂界最近距离</w:t>
                  </w:r>
                </w:p>
              </w:tc>
            </w:tr>
            <w:tr w14:paraId="574F9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5" w:type="pct"/>
                  <w:vMerge w:val="continue"/>
                  <w:tcBorders>
                    <w:tl2br w:val="nil"/>
                    <w:tr2bl w:val="nil"/>
                  </w:tcBorders>
                  <w:tcMar>
                    <w:top w:w="0" w:type="dxa"/>
                    <w:left w:w="0" w:type="dxa"/>
                    <w:bottom w:w="0" w:type="dxa"/>
                    <w:right w:w="0" w:type="dxa"/>
                  </w:tcMar>
                  <w:vAlign w:val="center"/>
                </w:tcPr>
                <w:p w14:paraId="218D04AF">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836" w:type="pct"/>
                  <w:tcBorders>
                    <w:tl2br w:val="nil"/>
                    <w:tr2bl w:val="nil"/>
                  </w:tcBorders>
                  <w:tcMar>
                    <w:top w:w="0" w:type="dxa"/>
                    <w:left w:w="0" w:type="dxa"/>
                    <w:bottom w:w="0" w:type="dxa"/>
                    <w:right w:w="0" w:type="dxa"/>
                  </w:tcMar>
                  <w:vAlign w:val="center"/>
                </w:tcPr>
                <w:p w14:paraId="496E1184">
                  <w:pPr>
                    <w:keepNext/>
                    <w:keepLines/>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X</w:t>
                  </w:r>
                </w:p>
              </w:tc>
              <w:tc>
                <w:tcPr>
                  <w:tcW w:w="771" w:type="pct"/>
                  <w:tcBorders>
                    <w:tl2br w:val="nil"/>
                    <w:tr2bl w:val="nil"/>
                  </w:tcBorders>
                  <w:tcMar>
                    <w:top w:w="0" w:type="dxa"/>
                    <w:left w:w="0" w:type="dxa"/>
                    <w:bottom w:w="0" w:type="dxa"/>
                    <w:right w:w="0" w:type="dxa"/>
                  </w:tcMar>
                  <w:vAlign w:val="center"/>
                </w:tcPr>
                <w:p w14:paraId="0DC2B854">
                  <w:pPr>
                    <w:keepNext/>
                    <w:keepLines/>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Y</w:t>
                  </w:r>
                </w:p>
              </w:tc>
              <w:tc>
                <w:tcPr>
                  <w:tcW w:w="628" w:type="pct"/>
                  <w:vMerge w:val="continue"/>
                  <w:tcBorders>
                    <w:tl2br w:val="nil"/>
                    <w:tr2bl w:val="nil"/>
                  </w:tcBorders>
                  <w:tcMar>
                    <w:top w:w="0" w:type="dxa"/>
                    <w:left w:w="0" w:type="dxa"/>
                    <w:bottom w:w="0" w:type="dxa"/>
                    <w:right w:w="0" w:type="dxa"/>
                  </w:tcMar>
                  <w:vAlign w:val="center"/>
                </w:tcPr>
                <w:p w14:paraId="2C67782F">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493" w:type="pct"/>
                  <w:vMerge w:val="continue"/>
                  <w:tcBorders>
                    <w:tl2br w:val="nil"/>
                    <w:tr2bl w:val="nil"/>
                  </w:tcBorders>
                  <w:tcMar>
                    <w:top w:w="0" w:type="dxa"/>
                    <w:left w:w="0" w:type="dxa"/>
                    <w:bottom w:w="0" w:type="dxa"/>
                    <w:right w:w="0" w:type="dxa"/>
                  </w:tcMar>
                  <w:vAlign w:val="center"/>
                </w:tcPr>
                <w:p w14:paraId="20E1B7B8">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1152" w:type="pct"/>
                  <w:vMerge w:val="continue"/>
                  <w:tcBorders>
                    <w:tl2br w:val="nil"/>
                    <w:tr2bl w:val="nil"/>
                  </w:tcBorders>
                  <w:tcMar>
                    <w:top w:w="0" w:type="dxa"/>
                    <w:left w:w="0" w:type="dxa"/>
                    <w:bottom w:w="0" w:type="dxa"/>
                    <w:right w:w="0" w:type="dxa"/>
                  </w:tcMar>
                  <w:vAlign w:val="center"/>
                </w:tcPr>
                <w:p w14:paraId="1E05BD04">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70" w:type="pct"/>
                  <w:vMerge w:val="continue"/>
                  <w:tcBorders>
                    <w:tl2br w:val="nil"/>
                    <w:tr2bl w:val="nil"/>
                  </w:tcBorders>
                  <w:tcMar>
                    <w:top w:w="0" w:type="dxa"/>
                    <w:left w:w="0" w:type="dxa"/>
                    <w:bottom w:w="0" w:type="dxa"/>
                    <w:right w:w="0" w:type="dxa"/>
                  </w:tcMar>
                  <w:vAlign w:val="center"/>
                </w:tcPr>
                <w:p w14:paraId="2E273AD1">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93" w:type="pct"/>
                  <w:vMerge w:val="continue"/>
                  <w:tcBorders>
                    <w:tl2br w:val="nil"/>
                    <w:tr2bl w:val="nil"/>
                  </w:tcBorders>
                  <w:tcMar>
                    <w:top w:w="0" w:type="dxa"/>
                    <w:left w:w="0" w:type="dxa"/>
                    <w:bottom w:w="0" w:type="dxa"/>
                    <w:right w:w="0" w:type="dxa"/>
                  </w:tcMar>
                  <w:vAlign w:val="center"/>
                </w:tcPr>
                <w:p w14:paraId="6CA47C46">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r>
            <w:tr w14:paraId="15135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55" w:type="pct"/>
                  <w:vMerge w:val="restart"/>
                  <w:tcBorders>
                    <w:tl2br w:val="nil"/>
                    <w:tr2bl w:val="nil"/>
                  </w:tcBorders>
                  <w:tcMar>
                    <w:top w:w="0" w:type="dxa"/>
                    <w:left w:w="0" w:type="dxa"/>
                    <w:bottom w:w="0" w:type="dxa"/>
                    <w:right w:w="0" w:type="dxa"/>
                  </w:tcMar>
                  <w:vAlign w:val="center"/>
                </w:tcPr>
                <w:p w14:paraId="6BC9A8D9">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大气环境</w:t>
                  </w:r>
                </w:p>
              </w:tc>
              <w:tc>
                <w:tcPr>
                  <w:tcW w:w="836" w:type="pct"/>
                  <w:tcBorders>
                    <w:tl2br w:val="nil"/>
                    <w:tr2bl w:val="nil"/>
                  </w:tcBorders>
                  <w:shd w:val="clear" w:color="auto" w:fill="auto"/>
                  <w:tcMar>
                    <w:top w:w="0" w:type="dxa"/>
                    <w:left w:w="0" w:type="dxa"/>
                    <w:bottom w:w="0" w:type="dxa"/>
                    <w:right w:w="0" w:type="dxa"/>
                  </w:tcMar>
                  <w:vAlign w:val="center"/>
                </w:tcPr>
                <w:p w14:paraId="1003A78A">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119.</w:t>
                  </w:r>
                  <w:r>
                    <w:rPr>
                      <w:rFonts w:hint="eastAsia" w:ascii="Times New Roman" w:hAnsi="Times New Roman" w:eastAsia="宋体" w:cs="Times New Roman"/>
                      <w:color w:val="auto"/>
                      <w:sz w:val="21"/>
                      <w:szCs w:val="21"/>
                      <w:highlight w:val="none"/>
                      <w:shd w:val="clear" w:color="auto" w:fill="auto"/>
                      <w:lang w:val="en-US" w:eastAsia="zh-CN"/>
                    </w:rPr>
                    <w:t>609083</w:t>
                  </w:r>
                </w:p>
              </w:tc>
              <w:tc>
                <w:tcPr>
                  <w:tcW w:w="771" w:type="pct"/>
                  <w:tcBorders>
                    <w:tl2br w:val="nil"/>
                    <w:tr2bl w:val="nil"/>
                  </w:tcBorders>
                  <w:shd w:val="clear" w:color="auto" w:fill="auto"/>
                  <w:tcMar>
                    <w:top w:w="0" w:type="dxa"/>
                    <w:left w:w="0" w:type="dxa"/>
                    <w:bottom w:w="0" w:type="dxa"/>
                    <w:right w:w="0" w:type="dxa"/>
                  </w:tcMar>
                  <w:vAlign w:val="center"/>
                </w:tcPr>
                <w:p w14:paraId="47B4FAD5">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31.7</w:t>
                  </w:r>
                  <w:r>
                    <w:rPr>
                      <w:rFonts w:hint="eastAsia" w:ascii="Times New Roman" w:hAnsi="Times New Roman" w:eastAsia="宋体" w:cs="Times New Roman"/>
                      <w:color w:val="auto"/>
                      <w:sz w:val="21"/>
                      <w:szCs w:val="21"/>
                      <w:highlight w:val="none"/>
                      <w:shd w:val="clear" w:color="auto" w:fill="auto"/>
                      <w:lang w:val="en-US" w:eastAsia="zh-CN"/>
                    </w:rPr>
                    <w:t>57434</w:t>
                  </w:r>
                </w:p>
              </w:tc>
              <w:tc>
                <w:tcPr>
                  <w:tcW w:w="628" w:type="pct"/>
                  <w:tcBorders>
                    <w:tl2br w:val="nil"/>
                    <w:tr2bl w:val="nil"/>
                  </w:tcBorders>
                  <w:tcMar>
                    <w:top w:w="0" w:type="dxa"/>
                    <w:left w:w="0" w:type="dxa"/>
                    <w:bottom w:w="0" w:type="dxa"/>
                    <w:right w:w="0" w:type="dxa"/>
                  </w:tcMar>
                  <w:vAlign w:val="center"/>
                </w:tcPr>
                <w:p w14:paraId="4962212B">
                  <w:pPr>
                    <w:widowControl/>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东下塘</w:t>
                  </w:r>
                </w:p>
              </w:tc>
              <w:tc>
                <w:tcPr>
                  <w:tcW w:w="493" w:type="pct"/>
                  <w:tcBorders>
                    <w:tl2br w:val="nil"/>
                    <w:tr2bl w:val="nil"/>
                  </w:tcBorders>
                  <w:tcMar>
                    <w:top w:w="0" w:type="dxa"/>
                    <w:left w:w="0" w:type="dxa"/>
                    <w:bottom w:w="0" w:type="dxa"/>
                    <w:right w:w="0" w:type="dxa"/>
                  </w:tcMar>
                  <w:vAlign w:val="center"/>
                </w:tcPr>
                <w:p w14:paraId="6327C4A2">
                  <w:pPr>
                    <w:widowControl/>
                    <w:jc w:val="center"/>
                    <w:rPr>
                      <w:rFonts w:hint="default" w:ascii="Times New Roman" w:hAnsi="Times New Roman" w:eastAsia="宋体" w:cs="Times New Roman"/>
                      <w:color w:val="auto"/>
                      <w:kern w:val="2"/>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2</w:t>
                  </w:r>
                  <w:r>
                    <w:rPr>
                      <w:rFonts w:hint="default" w:ascii="Times New Roman" w:hAnsi="Times New Roman" w:eastAsia="宋体" w:cs="Times New Roman"/>
                      <w:color w:val="auto"/>
                      <w:kern w:val="0"/>
                      <w:sz w:val="21"/>
                      <w:szCs w:val="21"/>
                      <w:highlight w:val="none"/>
                      <w:shd w:val="clear" w:color="auto" w:fill="auto"/>
                      <w:lang w:val="en-US" w:eastAsia="zh-CN"/>
                    </w:rPr>
                    <w:t>000人</w:t>
                  </w:r>
                </w:p>
              </w:tc>
              <w:tc>
                <w:tcPr>
                  <w:tcW w:w="1152" w:type="pct"/>
                  <w:vMerge w:val="restart"/>
                  <w:tcBorders>
                    <w:tl2br w:val="nil"/>
                    <w:tr2bl w:val="nil"/>
                  </w:tcBorders>
                  <w:tcMar>
                    <w:top w:w="0" w:type="dxa"/>
                    <w:left w:w="0" w:type="dxa"/>
                    <w:bottom w:w="0" w:type="dxa"/>
                    <w:right w:w="0" w:type="dxa"/>
                  </w:tcMar>
                  <w:vAlign w:val="center"/>
                </w:tcPr>
                <w:p w14:paraId="5903E53A">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《环境空气质量标准》（GB3095-2012）中二类功能区</w:t>
                  </w:r>
                </w:p>
              </w:tc>
              <w:tc>
                <w:tcPr>
                  <w:tcW w:w="370" w:type="pct"/>
                  <w:tcBorders>
                    <w:tl2br w:val="nil"/>
                    <w:tr2bl w:val="nil"/>
                  </w:tcBorders>
                  <w:shd w:val="clear" w:color="auto" w:fill="auto"/>
                  <w:tcMar>
                    <w:top w:w="0" w:type="dxa"/>
                    <w:left w:w="0" w:type="dxa"/>
                    <w:bottom w:w="0" w:type="dxa"/>
                    <w:right w:w="0" w:type="dxa"/>
                  </w:tcMar>
                  <w:vAlign w:val="center"/>
                </w:tcPr>
                <w:p w14:paraId="4CAD854B">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NW</w:t>
                  </w:r>
                </w:p>
              </w:tc>
              <w:tc>
                <w:tcPr>
                  <w:tcW w:w="393" w:type="pct"/>
                  <w:tcBorders>
                    <w:tl2br w:val="nil"/>
                    <w:tr2bl w:val="nil"/>
                  </w:tcBorders>
                  <w:shd w:val="clear" w:color="auto" w:fill="auto"/>
                  <w:tcMar>
                    <w:top w:w="0" w:type="dxa"/>
                    <w:left w:w="0" w:type="dxa"/>
                    <w:bottom w:w="0" w:type="dxa"/>
                    <w:right w:w="0" w:type="dxa"/>
                  </w:tcMar>
                  <w:vAlign w:val="center"/>
                </w:tcPr>
                <w:p w14:paraId="18DF4847">
                  <w:pPr>
                    <w:adjustRightInd w:val="0"/>
                    <w:snapToGrid w:val="0"/>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335</w:t>
                  </w:r>
                  <w:r>
                    <w:rPr>
                      <w:rFonts w:hint="default" w:ascii="Times New Roman" w:hAnsi="Times New Roman" w:eastAsia="宋体" w:cs="Times New Roman"/>
                      <w:color w:val="auto"/>
                      <w:sz w:val="21"/>
                      <w:szCs w:val="21"/>
                      <w:highlight w:val="none"/>
                      <w:shd w:val="clear" w:color="auto" w:fill="auto"/>
                      <w:lang w:val="en-US" w:eastAsia="zh-CN"/>
                    </w:rPr>
                    <w:t>m</w:t>
                  </w:r>
                </w:p>
              </w:tc>
            </w:tr>
            <w:tr w14:paraId="436B1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55" w:type="pct"/>
                  <w:vMerge w:val="continue"/>
                  <w:tcBorders>
                    <w:tl2br w:val="nil"/>
                    <w:tr2bl w:val="nil"/>
                  </w:tcBorders>
                  <w:tcMar>
                    <w:top w:w="0" w:type="dxa"/>
                    <w:left w:w="0" w:type="dxa"/>
                    <w:bottom w:w="0" w:type="dxa"/>
                    <w:right w:w="0" w:type="dxa"/>
                  </w:tcMar>
                  <w:vAlign w:val="center"/>
                </w:tcPr>
                <w:p w14:paraId="2530F418">
                  <w:pPr>
                    <w:adjustRightInd w:val="0"/>
                    <w:snapToGrid w:val="0"/>
                    <w:jc w:val="center"/>
                    <w:rPr>
                      <w:color w:val="auto"/>
                    </w:rPr>
                  </w:pPr>
                </w:p>
              </w:tc>
              <w:tc>
                <w:tcPr>
                  <w:tcW w:w="836" w:type="pct"/>
                  <w:tcBorders>
                    <w:tl2br w:val="nil"/>
                    <w:tr2bl w:val="nil"/>
                  </w:tcBorders>
                  <w:shd w:val="clear" w:color="auto" w:fill="auto"/>
                  <w:tcMar>
                    <w:top w:w="0" w:type="dxa"/>
                    <w:left w:w="0" w:type="dxa"/>
                    <w:bottom w:w="0" w:type="dxa"/>
                    <w:right w:w="0" w:type="dxa"/>
                  </w:tcMar>
                  <w:vAlign w:val="center"/>
                </w:tcPr>
                <w:p w14:paraId="1AD6CC54">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119.609465</w:t>
                  </w:r>
                </w:p>
              </w:tc>
              <w:tc>
                <w:tcPr>
                  <w:tcW w:w="771" w:type="pct"/>
                  <w:tcBorders>
                    <w:tl2br w:val="nil"/>
                    <w:tr2bl w:val="nil"/>
                  </w:tcBorders>
                  <w:shd w:val="clear" w:color="auto" w:fill="auto"/>
                  <w:tcMar>
                    <w:top w:w="0" w:type="dxa"/>
                    <w:left w:w="0" w:type="dxa"/>
                    <w:bottom w:w="0" w:type="dxa"/>
                    <w:right w:w="0" w:type="dxa"/>
                  </w:tcMar>
                  <w:vAlign w:val="center"/>
                </w:tcPr>
                <w:p w14:paraId="57465BEA">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31.756350</w:t>
                  </w:r>
                </w:p>
              </w:tc>
              <w:tc>
                <w:tcPr>
                  <w:tcW w:w="628" w:type="pct"/>
                  <w:tcBorders>
                    <w:tl2br w:val="nil"/>
                    <w:tr2bl w:val="nil"/>
                  </w:tcBorders>
                  <w:tcMar>
                    <w:top w:w="0" w:type="dxa"/>
                    <w:left w:w="0" w:type="dxa"/>
                    <w:bottom w:w="0" w:type="dxa"/>
                    <w:right w:w="0" w:type="dxa"/>
                  </w:tcMar>
                  <w:vAlign w:val="center"/>
                </w:tcPr>
                <w:p w14:paraId="13F2773D">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东方三村</w:t>
                  </w:r>
                </w:p>
              </w:tc>
              <w:tc>
                <w:tcPr>
                  <w:tcW w:w="493" w:type="pct"/>
                  <w:tcBorders>
                    <w:tl2br w:val="nil"/>
                    <w:tr2bl w:val="nil"/>
                  </w:tcBorders>
                  <w:tcMar>
                    <w:top w:w="0" w:type="dxa"/>
                    <w:left w:w="0" w:type="dxa"/>
                    <w:bottom w:w="0" w:type="dxa"/>
                    <w:right w:w="0" w:type="dxa"/>
                  </w:tcMar>
                  <w:vAlign w:val="center"/>
                </w:tcPr>
                <w:p w14:paraId="26672FCF">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lang w:val="en-US" w:eastAsia="zh-CN"/>
                    </w:rPr>
                    <w:t>3000人</w:t>
                  </w:r>
                </w:p>
              </w:tc>
              <w:tc>
                <w:tcPr>
                  <w:tcW w:w="1152" w:type="pct"/>
                  <w:vMerge w:val="continue"/>
                  <w:tcBorders>
                    <w:tl2br w:val="nil"/>
                    <w:tr2bl w:val="nil"/>
                  </w:tcBorders>
                  <w:tcMar>
                    <w:top w:w="0" w:type="dxa"/>
                    <w:left w:w="0" w:type="dxa"/>
                    <w:bottom w:w="0" w:type="dxa"/>
                    <w:right w:w="0" w:type="dxa"/>
                  </w:tcMar>
                  <w:vAlign w:val="center"/>
                </w:tcPr>
                <w:p w14:paraId="3E801E69">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70" w:type="pct"/>
                  <w:tcBorders>
                    <w:tl2br w:val="nil"/>
                    <w:tr2bl w:val="nil"/>
                  </w:tcBorders>
                  <w:shd w:val="clear" w:color="auto" w:fill="auto"/>
                  <w:tcMar>
                    <w:top w:w="0" w:type="dxa"/>
                    <w:left w:w="0" w:type="dxa"/>
                    <w:bottom w:w="0" w:type="dxa"/>
                    <w:right w:w="0" w:type="dxa"/>
                  </w:tcMar>
                  <w:vAlign w:val="center"/>
                </w:tcPr>
                <w:p w14:paraId="5632369B">
                  <w:pPr>
                    <w:adjustRightInd w:val="0"/>
                    <w:snapToGrid w:val="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w:t>
                  </w:r>
                </w:p>
              </w:tc>
              <w:tc>
                <w:tcPr>
                  <w:tcW w:w="393" w:type="pct"/>
                  <w:tcBorders>
                    <w:tl2br w:val="nil"/>
                    <w:tr2bl w:val="nil"/>
                  </w:tcBorders>
                  <w:shd w:val="clear" w:color="auto" w:fill="auto"/>
                  <w:tcMar>
                    <w:top w:w="0" w:type="dxa"/>
                    <w:left w:w="0" w:type="dxa"/>
                    <w:bottom w:w="0" w:type="dxa"/>
                    <w:right w:w="0" w:type="dxa"/>
                  </w:tcMar>
                  <w:vAlign w:val="center"/>
                </w:tcPr>
                <w:p w14:paraId="4F0F10C3">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377</w:t>
                  </w:r>
                  <w:r>
                    <w:rPr>
                      <w:rFonts w:hint="default" w:ascii="Times New Roman" w:hAnsi="Times New Roman" w:eastAsia="宋体" w:cs="Times New Roman"/>
                      <w:color w:val="auto"/>
                      <w:sz w:val="21"/>
                      <w:szCs w:val="21"/>
                      <w:highlight w:val="none"/>
                      <w:shd w:val="clear" w:color="auto" w:fill="auto"/>
                      <w:lang w:val="en-US" w:eastAsia="zh-CN"/>
                    </w:rPr>
                    <w:t>m</w:t>
                  </w:r>
                </w:p>
              </w:tc>
            </w:tr>
            <w:tr w14:paraId="59333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55" w:type="pct"/>
                  <w:vMerge w:val="continue"/>
                  <w:tcBorders>
                    <w:tl2br w:val="nil"/>
                    <w:tr2bl w:val="nil"/>
                  </w:tcBorders>
                  <w:tcMar>
                    <w:top w:w="0" w:type="dxa"/>
                    <w:left w:w="0" w:type="dxa"/>
                    <w:bottom w:w="0" w:type="dxa"/>
                    <w:right w:w="0" w:type="dxa"/>
                  </w:tcMar>
                  <w:vAlign w:val="center"/>
                </w:tcPr>
                <w:p w14:paraId="4030E3A6">
                  <w:pPr>
                    <w:adjustRightInd w:val="0"/>
                    <w:snapToGrid w:val="0"/>
                    <w:jc w:val="center"/>
                    <w:rPr>
                      <w:color w:val="auto"/>
                    </w:rPr>
                  </w:pPr>
                </w:p>
              </w:tc>
              <w:tc>
                <w:tcPr>
                  <w:tcW w:w="836" w:type="pct"/>
                  <w:tcBorders>
                    <w:tl2br w:val="nil"/>
                    <w:tr2bl w:val="nil"/>
                  </w:tcBorders>
                  <w:shd w:val="clear" w:color="auto" w:fill="auto"/>
                  <w:tcMar>
                    <w:top w:w="0" w:type="dxa"/>
                    <w:left w:w="0" w:type="dxa"/>
                    <w:bottom w:w="0" w:type="dxa"/>
                    <w:right w:w="0" w:type="dxa"/>
                  </w:tcMar>
                  <w:vAlign w:val="center"/>
                </w:tcPr>
                <w:p w14:paraId="50EE412F">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119.615112</w:t>
                  </w:r>
                </w:p>
              </w:tc>
              <w:tc>
                <w:tcPr>
                  <w:tcW w:w="771" w:type="pct"/>
                  <w:tcBorders>
                    <w:tl2br w:val="nil"/>
                    <w:tr2bl w:val="nil"/>
                  </w:tcBorders>
                  <w:shd w:val="clear" w:color="auto" w:fill="auto"/>
                  <w:tcMar>
                    <w:top w:w="0" w:type="dxa"/>
                    <w:left w:w="0" w:type="dxa"/>
                    <w:bottom w:w="0" w:type="dxa"/>
                    <w:right w:w="0" w:type="dxa"/>
                  </w:tcMar>
                  <w:vAlign w:val="center"/>
                </w:tcPr>
                <w:p w14:paraId="0C5C2BDF">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31.751331</w:t>
                  </w:r>
                </w:p>
              </w:tc>
              <w:tc>
                <w:tcPr>
                  <w:tcW w:w="628" w:type="pct"/>
                  <w:tcBorders>
                    <w:tl2br w:val="nil"/>
                    <w:tr2bl w:val="nil"/>
                  </w:tcBorders>
                  <w:tcMar>
                    <w:top w:w="0" w:type="dxa"/>
                    <w:left w:w="0" w:type="dxa"/>
                    <w:bottom w:w="0" w:type="dxa"/>
                    <w:right w:w="0" w:type="dxa"/>
                  </w:tcMar>
                  <w:vAlign w:val="center"/>
                </w:tcPr>
                <w:p w14:paraId="203D6055">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散户</w:t>
                  </w:r>
                </w:p>
              </w:tc>
              <w:tc>
                <w:tcPr>
                  <w:tcW w:w="493" w:type="pct"/>
                  <w:tcBorders>
                    <w:tl2br w:val="nil"/>
                    <w:tr2bl w:val="nil"/>
                  </w:tcBorders>
                  <w:tcMar>
                    <w:top w:w="0" w:type="dxa"/>
                    <w:left w:w="0" w:type="dxa"/>
                    <w:bottom w:w="0" w:type="dxa"/>
                    <w:right w:w="0" w:type="dxa"/>
                  </w:tcMar>
                  <w:vAlign w:val="center"/>
                </w:tcPr>
                <w:p w14:paraId="3CCACCA0">
                  <w:pPr>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33人</w:t>
                  </w:r>
                </w:p>
              </w:tc>
              <w:tc>
                <w:tcPr>
                  <w:tcW w:w="1152" w:type="pct"/>
                  <w:vMerge w:val="continue"/>
                  <w:tcBorders>
                    <w:tl2br w:val="nil"/>
                    <w:tr2bl w:val="nil"/>
                  </w:tcBorders>
                  <w:tcMar>
                    <w:top w:w="0" w:type="dxa"/>
                    <w:left w:w="0" w:type="dxa"/>
                    <w:bottom w:w="0" w:type="dxa"/>
                    <w:right w:w="0" w:type="dxa"/>
                  </w:tcMar>
                  <w:vAlign w:val="center"/>
                </w:tcPr>
                <w:p w14:paraId="4677B70E">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70" w:type="pct"/>
                  <w:tcBorders>
                    <w:tl2br w:val="nil"/>
                    <w:tr2bl w:val="nil"/>
                  </w:tcBorders>
                  <w:shd w:val="clear" w:color="auto" w:fill="auto"/>
                  <w:tcMar>
                    <w:top w:w="0" w:type="dxa"/>
                    <w:left w:w="0" w:type="dxa"/>
                    <w:bottom w:w="0" w:type="dxa"/>
                    <w:right w:w="0" w:type="dxa"/>
                  </w:tcMar>
                  <w:vAlign w:val="center"/>
                </w:tcPr>
                <w:p w14:paraId="7AC3BF6D">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SE</w:t>
                  </w:r>
                </w:p>
              </w:tc>
              <w:tc>
                <w:tcPr>
                  <w:tcW w:w="393" w:type="pct"/>
                  <w:tcBorders>
                    <w:tl2br w:val="nil"/>
                    <w:tr2bl w:val="nil"/>
                  </w:tcBorders>
                  <w:shd w:val="clear" w:color="auto" w:fill="auto"/>
                  <w:tcMar>
                    <w:top w:w="0" w:type="dxa"/>
                    <w:left w:w="0" w:type="dxa"/>
                    <w:bottom w:w="0" w:type="dxa"/>
                    <w:right w:w="0" w:type="dxa"/>
                  </w:tcMar>
                  <w:vAlign w:val="center"/>
                </w:tcPr>
                <w:p w14:paraId="5B33E54D">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117m</w:t>
                  </w:r>
                </w:p>
              </w:tc>
            </w:tr>
            <w:tr w14:paraId="39338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55" w:type="pct"/>
                  <w:vMerge w:val="continue"/>
                  <w:tcBorders>
                    <w:tl2br w:val="nil"/>
                    <w:tr2bl w:val="nil"/>
                  </w:tcBorders>
                  <w:tcMar>
                    <w:top w:w="0" w:type="dxa"/>
                    <w:left w:w="0" w:type="dxa"/>
                    <w:bottom w:w="0" w:type="dxa"/>
                    <w:right w:w="0" w:type="dxa"/>
                  </w:tcMar>
                  <w:vAlign w:val="center"/>
                </w:tcPr>
                <w:p w14:paraId="6D35C7CD">
                  <w:pPr>
                    <w:adjustRightInd w:val="0"/>
                    <w:snapToGrid w:val="0"/>
                    <w:jc w:val="center"/>
                    <w:rPr>
                      <w:color w:val="auto"/>
                    </w:rPr>
                  </w:pPr>
                </w:p>
              </w:tc>
              <w:tc>
                <w:tcPr>
                  <w:tcW w:w="836" w:type="pct"/>
                  <w:tcBorders>
                    <w:tl2br w:val="nil"/>
                    <w:tr2bl w:val="nil"/>
                  </w:tcBorders>
                  <w:shd w:val="clear" w:color="auto" w:fill="auto"/>
                  <w:tcMar>
                    <w:top w:w="0" w:type="dxa"/>
                    <w:left w:w="0" w:type="dxa"/>
                    <w:bottom w:w="0" w:type="dxa"/>
                    <w:right w:w="0" w:type="dxa"/>
                  </w:tcMar>
                  <w:vAlign w:val="center"/>
                </w:tcPr>
                <w:p w14:paraId="4A8D115C">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119.615520</w:t>
                  </w:r>
                </w:p>
              </w:tc>
              <w:tc>
                <w:tcPr>
                  <w:tcW w:w="771" w:type="pct"/>
                  <w:tcBorders>
                    <w:tl2br w:val="nil"/>
                    <w:tr2bl w:val="nil"/>
                  </w:tcBorders>
                  <w:shd w:val="clear" w:color="auto" w:fill="auto"/>
                  <w:tcMar>
                    <w:top w:w="0" w:type="dxa"/>
                    <w:left w:w="0" w:type="dxa"/>
                    <w:bottom w:w="0" w:type="dxa"/>
                    <w:right w:w="0" w:type="dxa"/>
                  </w:tcMar>
                  <w:vAlign w:val="center"/>
                </w:tcPr>
                <w:p w14:paraId="54C6522D">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31.752342</w:t>
                  </w:r>
                </w:p>
              </w:tc>
              <w:tc>
                <w:tcPr>
                  <w:tcW w:w="628" w:type="pct"/>
                  <w:tcBorders>
                    <w:tl2br w:val="nil"/>
                    <w:tr2bl w:val="nil"/>
                  </w:tcBorders>
                  <w:tcMar>
                    <w:top w:w="0" w:type="dxa"/>
                    <w:left w:w="0" w:type="dxa"/>
                    <w:bottom w:w="0" w:type="dxa"/>
                    <w:right w:w="0" w:type="dxa"/>
                  </w:tcMar>
                  <w:vAlign w:val="center"/>
                </w:tcPr>
                <w:p w14:paraId="21AC8DCE">
                  <w:pPr>
                    <w:adjustRightInd w:val="0"/>
                    <w:snapToGrid w:val="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rPr>
                    <w:t>江南农耕园生态酒店</w:t>
                  </w:r>
                </w:p>
              </w:tc>
              <w:tc>
                <w:tcPr>
                  <w:tcW w:w="493" w:type="pct"/>
                  <w:tcBorders>
                    <w:tl2br w:val="nil"/>
                    <w:tr2bl w:val="nil"/>
                  </w:tcBorders>
                  <w:tcMar>
                    <w:top w:w="0" w:type="dxa"/>
                    <w:left w:w="0" w:type="dxa"/>
                    <w:bottom w:w="0" w:type="dxa"/>
                    <w:right w:w="0" w:type="dxa"/>
                  </w:tcMar>
                  <w:vAlign w:val="center"/>
                </w:tcPr>
                <w:p w14:paraId="0443EAA8">
                  <w:pPr>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200人</w:t>
                  </w:r>
                </w:p>
              </w:tc>
              <w:tc>
                <w:tcPr>
                  <w:tcW w:w="1152" w:type="pct"/>
                  <w:vMerge w:val="continue"/>
                  <w:tcBorders>
                    <w:tl2br w:val="nil"/>
                    <w:tr2bl w:val="nil"/>
                  </w:tcBorders>
                  <w:tcMar>
                    <w:top w:w="0" w:type="dxa"/>
                    <w:left w:w="0" w:type="dxa"/>
                    <w:bottom w:w="0" w:type="dxa"/>
                    <w:right w:w="0" w:type="dxa"/>
                  </w:tcMar>
                  <w:vAlign w:val="center"/>
                </w:tcPr>
                <w:p w14:paraId="1E98DD14">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70" w:type="pct"/>
                  <w:tcBorders>
                    <w:tl2br w:val="nil"/>
                    <w:tr2bl w:val="nil"/>
                  </w:tcBorders>
                  <w:shd w:val="clear" w:color="auto" w:fill="auto"/>
                  <w:tcMar>
                    <w:top w:w="0" w:type="dxa"/>
                    <w:left w:w="0" w:type="dxa"/>
                    <w:bottom w:w="0" w:type="dxa"/>
                    <w:right w:w="0" w:type="dxa"/>
                  </w:tcMar>
                  <w:vAlign w:val="center"/>
                </w:tcPr>
                <w:p w14:paraId="751D7D44">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SE</w:t>
                  </w:r>
                </w:p>
              </w:tc>
              <w:tc>
                <w:tcPr>
                  <w:tcW w:w="393" w:type="pct"/>
                  <w:tcBorders>
                    <w:tl2br w:val="nil"/>
                    <w:tr2bl w:val="nil"/>
                  </w:tcBorders>
                  <w:shd w:val="clear" w:color="auto" w:fill="auto"/>
                  <w:tcMar>
                    <w:top w:w="0" w:type="dxa"/>
                    <w:left w:w="0" w:type="dxa"/>
                    <w:bottom w:w="0" w:type="dxa"/>
                    <w:right w:w="0" w:type="dxa"/>
                  </w:tcMar>
                  <w:vAlign w:val="center"/>
                </w:tcPr>
                <w:p w14:paraId="1ADA6B5A">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160m</w:t>
                  </w:r>
                </w:p>
              </w:tc>
            </w:tr>
            <w:tr w14:paraId="2B0C3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55" w:type="pct"/>
                  <w:vMerge w:val="continue"/>
                  <w:tcBorders>
                    <w:tl2br w:val="nil"/>
                    <w:tr2bl w:val="nil"/>
                  </w:tcBorders>
                  <w:tcMar>
                    <w:top w:w="0" w:type="dxa"/>
                    <w:left w:w="0" w:type="dxa"/>
                    <w:bottom w:w="0" w:type="dxa"/>
                    <w:right w:w="0" w:type="dxa"/>
                  </w:tcMar>
                  <w:vAlign w:val="center"/>
                </w:tcPr>
                <w:p w14:paraId="7F1E61E1">
                  <w:pPr>
                    <w:adjustRightInd w:val="0"/>
                    <w:snapToGrid w:val="0"/>
                    <w:jc w:val="center"/>
                    <w:rPr>
                      <w:color w:val="auto"/>
                    </w:rPr>
                  </w:pPr>
                </w:p>
              </w:tc>
              <w:tc>
                <w:tcPr>
                  <w:tcW w:w="836" w:type="pct"/>
                  <w:tcBorders>
                    <w:tl2br w:val="nil"/>
                    <w:tr2bl w:val="nil"/>
                  </w:tcBorders>
                  <w:shd w:val="clear" w:color="auto" w:fill="auto"/>
                  <w:tcMar>
                    <w:top w:w="0" w:type="dxa"/>
                    <w:left w:w="0" w:type="dxa"/>
                    <w:bottom w:w="0" w:type="dxa"/>
                    <w:right w:w="0" w:type="dxa"/>
                  </w:tcMar>
                  <w:vAlign w:val="center"/>
                </w:tcPr>
                <w:p w14:paraId="441BA97A">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119.615223</w:t>
                  </w:r>
                </w:p>
              </w:tc>
              <w:tc>
                <w:tcPr>
                  <w:tcW w:w="771" w:type="pct"/>
                  <w:tcBorders>
                    <w:tl2br w:val="nil"/>
                    <w:tr2bl w:val="nil"/>
                  </w:tcBorders>
                  <w:shd w:val="clear" w:color="auto" w:fill="auto"/>
                  <w:tcMar>
                    <w:top w:w="0" w:type="dxa"/>
                    <w:left w:w="0" w:type="dxa"/>
                    <w:bottom w:w="0" w:type="dxa"/>
                    <w:right w:w="0" w:type="dxa"/>
                  </w:tcMar>
                  <w:vAlign w:val="center"/>
                </w:tcPr>
                <w:p w14:paraId="3E718404">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31.756564</w:t>
                  </w:r>
                </w:p>
              </w:tc>
              <w:tc>
                <w:tcPr>
                  <w:tcW w:w="628" w:type="pct"/>
                  <w:tcBorders>
                    <w:tl2br w:val="nil"/>
                    <w:tr2bl w:val="nil"/>
                  </w:tcBorders>
                  <w:shd w:val="clear" w:color="auto" w:fill="auto"/>
                  <w:tcMar>
                    <w:top w:w="0" w:type="dxa"/>
                    <w:left w:w="0" w:type="dxa"/>
                    <w:bottom w:w="0" w:type="dxa"/>
                    <w:right w:w="0" w:type="dxa"/>
                  </w:tcMar>
                  <w:vAlign w:val="center"/>
                </w:tcPr>
                <w:p w14:paraId="67005A7D">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双墩</w:t>
                  </w:r>
                </w:p>
              </w:tc>
              <w:tc>
                <w:tcPr>
                  <w:tcW w:w="493" w:type="pct"/>
                  <w:tcBorders>
                    <w:tl2br w:val="nil"/>
                    <w:tr2bl w:val="nil"/>
                  </w:tcBorders>
                  <w:shd w:val="clear" w:color="auto" w:fill="auto"/>
                  <w:tcMar>
                    <w:top w:w="0" w:type="dxa"/>
                    <w:left w:w="0" w:type="dxa"/>
                    <w:bottom w:w="0" w:type="dxa"/>
                    <w:right w:w="0" w:type="dxa"/>
                  </w:tcMar>
                  <w:vAlign w:val="center"/>
                </w:tcPr>
                <w:p w14:paraId="39EE3F2A">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110人</w:t>
                  </w:r>
                </w:p>
              </w:tc>
              <w:tc>
                <w:tcPr>
                  <w:tcW w:w="1152" w:type="pct"/>
                  <w:vMerge w:val="continue"/>
                  <w:tcBorders>
                    <w:tl2br w:val="nil"/>
                    <w:tr2bl w:val="nil"/>
                  </w:tcBorders>
                  <w:tcMar>
                    <w:top w:w="0" w:type="dxa"/>
                    <w:left w:w="0" w:type="dxa"/>
                    <w:bottom w:w="0" w:type="dxa"/>
                    <w:right w:w="0" w:type="dxa"/>
                  </w:tcMar>
                  <w:vAlign w:val="center"/>
                </w:tcPr>
                <w:p w14:paraId="3A891B13">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70" w:type="pct"/>
                  <w:tcBorders>
                    <w:tl2br w:val="nil"/>
                    <w:tr2bl w:val="nil"/>
                  </w:tcBorders>
                  <w:shd w:val="clear" w:color="auto" w:fill="auto"/>
                  <w:tcMar>
                    <w:top w:w="0" w:type="dxa"/>
                    <w:left w:w="0" w:type="dxa"/>
                    <w:bottom w:w="0" w:type="dxa"/>
                    <w:right w:w="0" w:type="dxa"/>
                  </w:tcMar>
                  <w:vAlign w:val="center"/>
                </w:tcPr>
                <w:p w14:paraId="11A59C4B">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E</w:t>
                  </w:r>
                </w:p>
              </w:tc>
              <w:tc>
                <w:tcPr>
                  <w:tcW w:w="393" w:type="pct"/>
                  <w:tcBorders>
                    <w:tl2br w:val="nil"/>
                    <w:tr2bl w:val="nil"/>
                  </w:tcBorders>
                  <w:shd w:val="clear" w:color="auto" w:fill="auto"/>
                  <w:tcMar>
                    <w:top w:w="0" w:type="dxa"/>
                    <w:left w:w="0" w:type="dxa"/>
                    <w:bottom w:w="0" w:type="dxa"/>
                    <w:right w:w="0" w:type="dxa"/>
                  </w:tcMar>
                  <w:vAlign w:val="center"/>
                </w:tcPr>
                <w:p w14:paraId="74BAB214">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230m</w:t>
                  </w:r>
                </w:p>
              </w:tc>
            </w:tr>
            <w:tr w14:paraId="32A3D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55" w:type="pct"/>
                  <w:vMerge w:val="continue"/>
                  <w:tcBorders>
                    <w:tl2br w:val="nil"/>
                    <w:tr2bl w:val="nil"/>
                  </w:tcBorders>
                  <w:tcMar>
                    <w:top w:w="0" w:type="dxa"/>
                    <w:left w:w="0" w:type="dxa"/>
                    <w:bottom w:w="0" w:type="dxa"/>
                    <w:right w:w="0" w:type="dxa"/>
                  </w:tcMar>
                  <w:vAlign w:val="center"/>
                </w:tcPr>
                <w:p w14:paraId="397D7BE2">
                  <w:pPr>
                    <w:adjustRightInd w:val="0"/>
                    <w:snapToGrid w:val="0"/>
                    <w:jc w:val="center"/>
                    <w:rPr>
                      <w:color w:val="auto"/>
                    </w:rPr>
                  </w:pPr>
                </w:p>
              </w:tc>
              <w:tc>
                <w:tcPr>
                  <w:tcW w:w="836" w:type="pct"/>
                  <w:tcBorders>
                    <w:tl2br w:val="nil"/>
                    <w:tr2bl w:val="nil"/>
                  </w:tcBorders>
                  <w:shd w:val="clear" w:color="auto" w:fill="auto"/>
                  <w:tcMar>
                    <w:top w:w="0" w:type="dxa"/>
                    <w:left w:w="0" w:type="dxa"/>
                    <w:bottom w:w="0" w:type="dxa"/>
                    <w:right w:w="0" w:type="dxa"/>
                  </w:tcMar>
                  <w:vAlign w:val="center"/>
                </w:tcPr>
                <w:p w14:paraId="4D23137B">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119.617627</w:t>
                  </w:r>
                </w:p>
              </w:tc>
              <w:tc>
                <w:tcPr>
                  <w:tcW w:w="771" w:type="pct"/>
                  <w:tcBorders>
                    <w:tl2br w:val="nil"/>
                    <w:tr2bl w:val="nil"/>
                  </w:tcBorders>
                  <w:shd w:val="clear" w:color="auto" w:fill="auto"/>
                  <w:tcMar>
                    <w:top w:w="0" w:type="dxa"/>
                    <w:left w:w="0" w:type="dxa"/>
                    <w:bottom w:w="0" w:type="dxa"/>
                    <w:right w:w="0" w:type="dxa"/>
                  </w:tcMar>
                  <w:vAlign w:val="center"/>
                </w:tcPr>
                <w:p w14:paraId="6288ADBC">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31.754316</w:t>
                  </w:r>
                </w:p>
              </w:tc>
              <w:tc>
                <w:tcPr>
                  <w:tcW w:w="628" w:type="pct"/>
                  <w:tcBorders>
                    <w:tl2br w:val="nil"/>
                    <w:tr2bl w:val="nil"/>
                  </w:tcBorders>
                  <w:shd w:val="clear" w:color="auto" w:fill="auto"/>
                  <w:tcMar>
                    <w:top w:w="0" w:type="dxa"/>
                    <w:left w:w="0" w:type="dxa"/>
                    <w:bottom w:w="0" w:type="dxa"/>
                    <w:right w:w="0" w:type="dxa"/>
                  </w:tcMar>
                  <w:vAlign w:val="center"/>
                </w:tcPr>
                <w:p w14:paraId="37DF7232">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常州锦上大酒店</w:t>
                  </w:r>
                </w:p>
              </w:tc>
              <w:tc>
                <w:tcPr>
                  <w:tcW w:w="493" w:type="pct"/>
                  <w:tcBorders>
                    <w:tl2br w:val="nil"/>
                    <w:tr2bl w:val="nil"/>
                  </w:tcBorders>
                  <w:shd w:val="clear" w:color="auto" w:fill="auto"/>
                  <w:tcMar>
                    <w:top w:w="0" w:type="dxa"/>
                    <w:left w:w="0" w:type="dxa"/>
                    <w:bottom w:w="0" w:type="dxa"/>
                    <w:right w:w="0" w:type="dxa"/>
                  </w:tcMar>
                  <w:vAlign w:val="center"/>
                </w:tcPr>
                <w:p w14:paraId="1B7C312D">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50人</w:t>
                  </w:r>
                </w:p>
              </w:tc>
              <w:tc>
                <w:tcPr>
                  <w:tcW w:w="1152" w:type="pct"/>
                  <w:vMerge w:val="continue"/>
                  <w:tcBorders>
                    <w:tl2br w:val="nil"/>
                    <w:tr2bl w:val="nil"/>
                  </w:tcBorders>
                  <w:tcMar>
                    <w:top w:w="0" w:type="dxa"/>
                    <w:left w:w="0" w:type="dxa"/>
                    <w:bottom w:w="0" w:type="dxa"/>
                    <w:right w:w="0" w:type="dxa"/>
                  </w:tcMar>
                  <w:vAlign w:val="center"/>
                </w:tcPr>
                <w:p w14:paraId="0D347AD3">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70" w:type="pct"/>
                  <w:tcBorders>
                    <w:tl2br w:val="nil"/>
                    <w:tr2bl w:val="nil"/>
                  </w:tcBorders>
                  <w:shd w:val="clear" w:color="auto" w:fill="auto"/>
                  <w:tcMar>
                    <w:top w:w="0" w:type="dxa"/>
                    <w:left w:w="0" w:type="dxa"/>
                    <w:bottom w:w="0" w:type="dxa"/>
                    <w:right w:w="0" w:type="dxa"/>
                  </w:tcMar>
                  <w:vAlign w:val="center"/>
                </w:tcPr>
                <w:p w14:paraId="79CC1BEA">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E</w:t>
                  </w:r>
                </w:p>
              </w:tc>
              <w:tc>
                <w:tcPr>
                  <w:tcW w:w="393" w:type="pct"/>
                  <w:tcBorders>
                    <w:tl2br w:val="nil"/>
                    <w:tr2bl w:val="nil"/>
                  </w:tcBorders>
                  <w:shd w:val="clear" w:color="auto" w:fill="auto"/>
                  <w:tcMar>
                    <w:top w:w="0" w:type="dxa"/>
                    <w:left w:w="0" w:type="dxa"/>
                    <w:bottom w:w="0" w:type="dxa"/>
                    <w:right w:w="0" w:type="dxa"/>
                  </w:tcMar>
                  <w:vAlign w:val="center"/>
                </w:tcPr>
                <w:p w14:paraId="01EC69F7">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415m</w:t>
                  </w:r>
                </w:p>
              </w:tc>
            </w:tr>
            <w:tr w14:paraId="4B4C7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55" w:type="pct"/>
                  <w:vMerge w:val="continue"/>
                  <w:tcBorders>
                    <w:tl2br w:val="nil"/>
                    <w:tr2bl w:val="nil"/>
                  </w:tcBorders>
                  <w:tcMar>
                    <w:top w:w="0" w:type="dxa"/>
                    <w:left w:w="0" w:type="dxa"/>
                    <w:bottom w:w="0" w:type="dxa"/>
                    <w:right w:w="0" w:type="dxa"/>
                  </w:tcMar>
                  <w:vAlign w:val="center"/>
                </w:tcPr>
                <w:p w14:paraId="320E0431">
                  <w:pPr>
                    <w:adjustRightInd w:val="0"/>
                    <w:snapToGrid w:val="0"/>
                    <w:jc w:val="center"/>
                    <w:rPr>
                      <w:color w:val="auto"/>
                    </w:rPr>
                  </w:pPr>
                </w:p>
              </w:tc>
              <w:tc>
                <w:tcPr>
                  <w:tcW w:w="836" w:type="pct"/>
                  <w:tcBorders>
                    <w:tl2br w:val="nil"/>
                    <w:tr2bl w:val="nil"/>
                  </w:tcBorders>
                  <w:shd w:val="clear" w:color="auto" w:fill="auto"/>
                  <w:tcMar>
                    <w:top w:w="0" w:type="dxa"/>
                    <w:left w:w="0" w:type="dxa"/>
                    <w:bottom w:w="0" w:type="dxa"/>
                    <w:right w:w="0" w:type="dxa"/>
                  </w:tcMar>
                  <w:vAlign w:val="center"/>
                </w:tcPr>
                <w:p w14:paraId="21C1F45C">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119.619351</w:t>
                  </w:r>
                </w:p>
              </w:tc>
              <w:tc>
                <w:tcPr>
                  <w:tcW w:w="771" w:type="pct"/>
                  <w:tcBorders>
                    <w:tl2br w:val="nil"/>
                    <w:tr2bl w:val="nil"/>
                  </w:tcBorders>
                  <w:shd w:val="clear" w:color="auto" w:fill="auto"/>
                  <w:tcMar>
                    <w:top w:w="0" w:type="dxa"/>
                    <w:left w:w="0" w:type="dxa"/>
                    <w:bottom w:w="0" w:type="dxa"/>
                    <w:right w:w="0" w:type="dxa"/>
                  </w:tcMar>
                  <w:vAlign w:val="center"/>
                </w:tcPr>
                <w:p w14:paraId="0D71F2B9">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31.757532</w:t>
                  </w:r>
                </w:p>
              </w:tc>
              <w:tc>
                <w:tcPr>
                  <w:tcW w:w="628" w:type="pct"/>
                  <w:tcBorders>
                    <w:tl2br w:val="nil"/>
                    <w:tr2bl w:val="nil"/>
                  </w:tcBorders>
                  <w:shd w:val="clear" w:color="auto" w:fill="auto"/>
                  <w:tcMar>
                    <w:top w:w="0" w:type="dxa"/>
                    <w:left w:w="0" w:type="dxa"/>
                    <w:bottom w:w="0" w:type="dxa"/>
                    <w:right w:w="0" w:type="dxa"/>
                  </w:tcMar>
                  <w:vAlign w:val="center"/>
                </w:tcPr>
                <w:p w14:paraId="1AE95F6A">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紫荆苑</w:t>
                  </w:r>
                </w:p>
              </w:tc>
              <w:tc>
                <w:tcPr>
                  <w:tcW w:w="493" w:type="pct"/>
                  <w:tcBorders>
                    <w:tl2br w:val="nil"/>
                    <w:tr2bl w:val="nil"/>
                  </w:tcBorders>
                  <w:shd w:val="clear" w:color="auto" w:fill="auto"/>
                  <w:tcMar>
                    <w:top w:w="0" w:type="dxa"/>
                    <w:left w:w="0" w:type="dxa"/>
                    <w:bottom w:w="0" w:type="dxa"/>
                    <w:right w:w="0" w:type="dxa"/>
                  </w:tcMar>
                  <w:vAlign w:val="center"/>
                </w:tcPr>
                <w:p w14:paraId="04386DA9">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 xml:space="preserve">2000人  </w:t>
                  </w:r>
                </w:p>
              </w:tc>
              <w:tc>
                <w:tcPr>
                  <w:tcW w:w="1152" w:type="pct"/>
                  <w:vMerge w:val="continue"/>
                  <w:tcBorders>
                    <w:tl2br w:val="nil"/>
                    <w:tr2bl w:val="nil"/>
                  </w:tcBorders>
                  <w:tcMar>
                    <w:top w:w="0" w:type="dxa"/>
                    <w:left w:w="0" w:type="dxa"/>
                    <w:bottom w:w="0" w:type="dxa"/>
                    <w:right w:w="0" w:type="dxa"/>
                  </w:tcMar>
                  <w:vAlign w:val="center"/>
                </w:tcPr>
                <w:p w14:paraId="7FD6CDF0">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70" w:type="pct"/>
                  <w:tcBorders>
                    <w:tl2br w:val="nil"/>
                    <w:tr2bl w:val="nil"/>
                  </w:tcBorders>
                  <w:shd w:val="clear" w:color="auto" w:fill="auto"/>
                  <w:tcMar>
                    <w:top w:w="0" w:type="dxa"/>
                    <w:left w:w="0" w:type="dxa"/>
                    <w:bottom w:w="0" w:type="dxa"/>
                    <w:right w:w="0" w:type="dxa"/>
                  </w:tcMar>
                  <w:vAlign w:val="center"/>
                </w:tcPr>
                <w:p w14:paraId="18A6CE01">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NE</w:t>
                  </w:r>
                </w:p>
              </w:tc>
              <w:tc>
                <w:tcPr>
                  <w:tcW w:w="393" w:type="pct"/>
                  <w:tcBorders>
                    <w:tl2br w:val="nil"/>
                    <w:tr2bl w:val="nil"/>
                  </w:tcBorders>
                  <w:shd w:val="clear" w:color="auto" w:fill="auto"/>
                  <w:tcMar>
                    <w:top w:w="0" w:type="dxa"/>
                    <w:left w:w="0" w:type="dxa"/>
                    <w:bottom w:w="0" w:type="dxa"/>
                    <w:right w:w="0" w:type="dxa"/>
                  </w:tcMar>
                  <w:vAlign w:val="center"/>
                </w:tcPr>
                <w:p w14:paraId="590FD1C1">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492m</w:t>
                  </w:r>
                </w:p>
              </w:tc>
            </w:tr>
            <w:tr w14:paraId="02C96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355" w:type="pct"/>
                  <w:vMerge w:val="continue"/>
                  <w:tcBorders>
                    <w:tl2br w:val="nil"/>
                    <w:tr2bl w:val="nil"/>
                  </w:tcBorders>
                  <w:tcMar>
                    <w:top w:w="0" w:type="dxa"/>
                    <w:left w:w="0" w:type="dxa"/>
                    <w:bottom w:w="0" w:type="dxa"/>
                    <w:right w:w="0" w:type="dxa"/>
                  </w:tcMar>
                  <w:vAlign w:val="center"/>
                </w:tcPr>
                <w:p w14:paraId="2DE0F907">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836" w:type="pct"/>
                  <w:tcBorders>
                    <w:tl2br w:val="nil"/>
                    <w:tr2bl w:val="nil"/>
                  </w:tcBorders>
                  <w:shd w:val="clear" w:color="auto" w:fill="auto"/>
                  <w:tcMar>
                    <w:top w:w="0" w:type="dxa"/>
                    <w:left w:w="0" w:type="dxa"/>
                    <w:bottom w:w="0" w:type="dxa"/>
                    <w:right w:w="0" w:type="dxa"/>
                  </w:tcMar>
                  <w:vAlign w:val="center"/>
                </w:tcPr>
                <w:p w14:paraId="56C1C75D">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119.610375</w:t>
                  </w:r>
                </w:p>
              </w:tc>
              <w:tc>
                <w:tcPr>
                  <w:tcW w:w="771" w:type="pct"/>
                  <w:tcBorders>
                    <w:tl2br w:val="nil"/>
                    <w:tr2bl w:val="nil"/>
                  </w:tcBorders>
                  <w:shd w:val="clear" w:color="auto" w:fill="auto"/>
                  <w:tcMar>
                    <w:top w:w="0" w:type="dxa"/>
                    <w:left w:w="0" w:type="dxa"/>
                    <w:bottom w:w="0" w:type="dxa"/>
                    <w:right w:w="0" w:type="dxa"/>
                  </w:tcMar>
                  <w:vAlign w:val="center"/>
                </w:tcPr>
                <w:p w14:paraId="5FF90EBA">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31.756215</w:t>
                  </w:r>
                </w:p>
              </w:tc>
              <w:tc>
                <w:tcPr>
                  <w:tcW w:w="628" w:type="pct"/>
                  <w:tcBorders>
                    <w:tl2br w:val="nil"/>
                    <w:tr2bl w:val="nil"/>
                  </w:tcBorders>
                  <w:tcMar>
                    <w:top w:w="0" w:type="dxa"/>
                    <w:left w:w="0" w:type="dxa"/>
                    <w:bottom w:w="0" w:type="dxa"/>
                    <w:right w:w="0" w:type="dxa"/>
                  </w:tcMar>
                  <w:vAlign w:val="center"/>
                </w:tcPr>
                <w:p w14:paraId="4D29DA13">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金坛开发区城市管理大队</w:t>
                  </w:r>
                </w:p>
              </w:tc>
              <w:tc>
                <w:tcPr>
                  <w:tcW w:w="493" w:type="pct"/>
                  <w:tcBorders>
                    <w:tl2br w:val="nil"/>
                    <w:tr2bl w:val="nil"/>
                  </w:tcBorders>
                  <w:tcMar>
                    <w:top w:w="0" w:type="dxa"/>
                    <w:left w:w="0" w:type="dxa"/>
                    <w:bottom w:w="0" w:type="dxa"/>
                    <w:right w:w="0" w:type="dxa"/>
                  </w:tcMar>
                  <w:vAlign w:val="center"/>
                </w:tcPr>
                <w:p w14:paraId="747F98FA">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30人</w:t>
                  </w:r>
                </w:p>
              </w:tc>
              <w:tc>
                <w:tcPr>
                  <w:tcW w:w="1152" w:type="pct"/>
                  <w:vMerge w:val="continue"/>
                  <w:tcBorders>
                    <w:tl2br w:val="nil"/>
                    <w:tr2bl w:val="nil"/>
                  </w:tcBorders>
                  <w:tcMar>
                    <w:top w:w="0" w:type="dxa"/>
                    <w:left w:w="0" w:type="dxa"/>
                    <w:bottom w:w="0" w:type="dxa"/>
                    <w:right w:w="0" w:type="dxa"/>
                  </w:tcMar>
                  <w:vAlign w:val="center"/>
                </w:tcPr>
                <w:p w14:paraId="34DE29CA">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70" w:type="pct"/>
                  <w:tcBorders>
                    <w:tl2br w:val="nil"/>
                    <w:tr2bl w:val="nil"/>
                  </w:tcBorders>
                  <w:shd w:val="clear" w:color="auto" w:fill="auto"/>
                  <w:tcMar>
                    <w:top w:w="0" w:type="dxa"/>
                    <w:left w:w="0" w:type="dxa"/>
                    <w:bottom w:w="0" w:type="dxa"/>
                    <w:right w:w="0" w:type="dxa"/>
                  </w:tcMar>
                  <w:vAlign w:val="center"/>
                </w:tcPr>
                <w:p w14:paraId="3C85C13C">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w:t>
                  </w:r>
                </w:p>
              </w:tc>
              <w:tc>
                <w:tcPr>
                  <w:tcW w:w="393" w:type="pct"/>
                  <w:tcBorders>
                    <w:tl2br w:val="nil"/>
                    <w:tr2bl w:val="nil"/>
                  </w:tcBorders>
                  <w:shd w:val="clear" w:color="auto" w:fill="auto"/>
                  <w:tcMar>
                    <w:top w:w="0" w:type="dxa"/>
                    <w:left w:w="0" w:type="dxa"/>
                    <w:bottom w:w="0" w:type="dxa"/>
                    <w:right w:w="0" w:type="dxa"/>
                  </w:tcMar>
                  <w:vAlign w:val="center"/>
                </w:tcPr>
                <w:p w14:paraId="21059873">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153m</w:t>
                  </w:r>
                </w:p>
              </w:tc>
            </w:tr>
            <w:tr w14:paraId="343F4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355" w:type="pct"/>
                  <w:tcBorders>
                    <w:tl2br w:val="nil"/>
                    <w:tr2bl w:val="nil"/>
                  </w:tcBorders>
                  <w:tcMar>
                    <w:top w:w="0" w:type="dxa"/>
                    <w:left w:w="0" w:type="dxa"/>
                    <w:bottom w:w="0" w:type="dxa"/>
                    <w:right w:w="0" w:type="dxa"/>
                  </w:tcMar>
                  <w:vAlign w:val="center"/>
                </w:tcPr>
                <w:p w14:paraId="221BB2C5">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地表水环境</w:t>
                  </w:r>
                </w:p>
              </w:tc>
              <w:tc>
                <w:tcPr>
                  <w:tcW w:w="836" w:type="pct"/>
                  <w:tcBorders>
                    <w:tl2br w:val="nil"/>
                    <w:tr2bl w:val="nil"/>
                  </w:tcBorders>
                  <w:tcMar>
                    <w:top w:w="0" w:type="dxa"/>
                    <w:left w:w="0" w:type="dxa"/>
                    <w:bottom w:w="0" w:type="dxa"/>
                    <w:right w:w="0" w:type="dxa"/>
                  </w:tcMar>
                  <w:vAlign w:val="center"/>
                </w:tcPr>
                <w:p w14:paraId="637F0923">
                  <w:pPr>
                    <w:spacing w:line="240" w:lineRule="exact"/>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771" w:type="pct"/>
                  <w:tcBorders>
                    <w:tl2br w:val="nil"/>
                    <w:tr2bl w:val="nil"/>
                  </w:tcBorders>
                  <w:tcMar>
                    <w:top w:w="0" w:type="dxa"/>
                    <w:left w:w="0" w:type="dxa"/>
                    <w:bottom w:w="0" w:type="dxa"/>
                    <w:right w:w="0" w:type="dxa"/>
                  </w:tcMar>
                  <w:vAlign w:val="center"/>
                </w:tcPr>
                <w:p w14:paraId="5530324E">
                  <w:pPr>
                    <w:spacing w:line="240" w:lineRule="exact"/>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628" w:type="pct"/>
                  <w:tcBorders>
                    <w:tl2br w:val="nil"/>
                    <w:tr2bl w:val="nil"/>
                  </w:tcBorders>
                  <w:tcMar>
                    <w:top w:w="0" w:type="dxa"/>
                    <w:left w:w="0" w:type="dxa"/>
                    <w:bottom w:w="0" w:type="dxa"/>
                    <w:right w:w="0" w:type="dxa"/>
                  </w:tcMar>
                  <w:vAlign w:val="center"/>
                </w:tcPr>
                <w:p w14:paraId="357D5443">
                  <w:pPr>
                    <w:spacing w:line="240" w:lineRule="exac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夏溪河</w:t>
                  </w:r>
                </w:p>
              </w:tc>
              <w:tc>
                <w:tcPr>
                  <w:tcW w:w="493" w:type="pct"/>
                  <w:tcBorders>
                    <w:tl2br w:val="nil"/>
                    <w:tr2bl w:val="nil"/>
                  </w:tcBorders>
                  <w:tcMar>
                    <w:top w:w="0" w:type="dxa"/>
                    <w:left w:w="0" w:type="dxa"/>
                    <w:bottom w:w="0" w:type="dxa"/>
                    <w:right w:w="0" w:type="dxa"/>
                  </w:tcMar>
                  <w:vAlign w:val="center"/>
                </w:tcPr>
                <w:p w14:paraId="73B09409">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河流</w:t>
                  </w:r>
                </w:p>
              </w:tc>
              <w:tc>
                <w:tcPr>
                  <w:tcW w:w="1152" w:type="pct"/>
                  <w:tcBorders>
                    <w:tl2br w:val="nil"/>
                    <w:tr2bl w:val="nil"/>
                  </w:tcBorders>
                  <w:tcMar>
                    <w:top w:w="0" w:type="dxa"/>
                    <w:left w:w="0" w:type="dxa"/>
                    <w:bottom w:w="0" w:type="dxa"/>
                    <w:right w:w="0" w:type="dxa"/>
                  </w:tcMar>
                  <w:vAlign w:val="center"/>
                </w:tcPr>
                <w:p w14:paraId="610C1BED">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《地表水环境质量标准》（GB3838-2002）III类区</w:t>
                  </w:r>
                </w:p>
              </w:tc>
              <w:tc>
                <w:tcPr>
                  <w:tcW w:w="370" w:type="pct"/>
                  <w:tcBorders>
                    <w:tl2br w:val="nil"/>
                    <w:tr2bl w:val="nil"/>
                  </w:tcBorders>
                  <w:tcMar>
                    <w:top w:w="0" w:type="dxa"/>
                    <w:left w:w="0" w:type="dxa"/>
                    <w:bottom w:w="0" w:type="dxa"/>
                    <w:right w:w="0" w:type="dxa"/>
                  </w:tcMar>
                  <w:vAlign w:val="center"/>
                </w:tcPr>
                <w:p w14:paraId="22B54A38">
                  <w:pPr>
                    <w:spacing w:line="240" w:lineRule="exac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S</w:t>
                  </w:r>
                </w:p>
              </w:tc>
              <w:tc>
                <w:tcPr>
                  <w:tcW w:w="393" w:type="pct"/>
                  <w:tcBorders>
                    <w:tl2br w:val="nil"/>
                    <w:tr2bl w:val="nil"/>
                  </w:tcBorders>
                  <w:tcMar>
                    <w:top w:w="0" w:type="dxa"/>
                    <w:left w:w="0" w:type="dxa"/>
                    <w:bottom w:w="0" w:type="dxa"/>
                    <w:right w:w="0" w:type="dxa"/>
                  </w:tcMar>
                  <w:vAlign w:val="center"/>
                </w:tcPr>
                <w:p w14:paraId="1CCA4804">
                  <w:pPr>
                    <w:spacing w:line="240" w:lineRule="exac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8</w:t>
                  </w:r>
                  <w:r>
                    <w:rPr>
                      <w:rFonts w:hint="eastAsia" w:ascii="Times New Roman" w:hAnsi="Times New Roman" w:eastAsia="宋体" w:cs="Times New Roman"/>
                      <w:color w:val="auto"/>
                      <w:sz w:val="21"/>
                      <w:szCs w:val="21"/>
                      <w:highlight w:val="none"/>
                      <w:shd w:val="clear" w:color="auto" w:fill="auto"/>
                      <w:lang w:val="en-US" w:eastAsia="zh-CN"/>
                    </w:rPr>
                    <w:t>56</w:t>
                  </w:r>
                  <w:r>
                    <w:rPr>
                      <w:rFonts w:hint="default" w:ascii="Times New Roman" w:hAnsi="Times New Roman" w:eastAsia="宋体" w:cs="Times New Roman"/>
                      <w:color w:val="auto"/>
                      <w:sz w:val="21"/>
                      <w:szCs w:val="21"/>
                      <w:highlight w:val="none"/>
                      <w:shd w:val="clear" w:color="auto" w:fill="auto"/>
                      <w:lang w:val="en-US" w:eastAsia="zh-CN"/>
                    </w:rPr>
                    <w:t>m</w:t>
                  </w:r>
                </w:p>
              </w:tc>
            </w:tr>
            <w:tr w14:paraId="65419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5" w:type="pct"/>
                  <w:tcBorders>
                    <w:tl2br w:val="nil"/>
                    <w:tr2bl w:val="nil"/>
                  </w:tcBorders>
                  <w:tcMar>
                    <w:top w:w="0" w:type="dxa"/>
                    <w:left w:w="0" w:type="dxa"/>
                    <w:bottom w:w="0" w:type="dxa"/>
                    <w:right w:w="0" w:type="dxa"/>
                  </w:tcMar>
                  <w:vAlign w:val="center"/>
                </w:tcPr>
                <w:p w14:paraId="6C00A0BD">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声环境</w:t>
                  </w:r>
                </w:p>
              </w:tc>
              <w:tc>
                <w:tcPr>
                  <w:tcW w:w="836" w:type="pct"/>
                  <w:tcBorders>
                    <w:tl2br w:val="nil"/>
                    <w:tr2bl w:val="nil"/>
                  </w:tcBorders>
                  <w:tcMar>
                    <w:top w:w="0" w:type="dxa"/>
                    <w:left w:w="0" w:type="dxa"/>
                    <w:bottom w:w="0" w:type="dxa"/>
                    <w:right w:w="0" w:type="dxa"/>
                  </w:tcMar>
                  <w:vAlign w:val="center"/>
                </w:tcPr>
                <w:p w14:paraId="1F7C764E">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771" w:type="pct"/>
                  <w:tcBorders>
                    <w:tl2br w:val="nil"/>
                    <w:tr2bl w:val="nil"/>
                  </w:tcBorders>
                  <w:tcMar>
                    <w:top w:w="0" w:type="dxa"/>
                    <w:left w:w="0" w:type="dxa"/>
                    <w:bottom w:w="0" w:type="dxa"/>
                    <w:right w:w="0" w:type="dxa"/>
                  </w:tcMar>
                  <w:vAlign w:val="center"/>
                </w:tcPr>
                <w:p w14:paraId="103E0A82">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28" w:type="pct"/>
                  <w:tcBorders>
                    <w:tl2br w:val="nil"/>
                    <w:tr2bl w:val="nil"/>
                  </w:tcBorders>
                  <w:tcMar>
                    <w:top w:w="0" w:type="dxa"/>
                    <w:left w:w="0" w:type="dxa"/>
                    <w:bottom w:w="0" w:type="dxa"/>
                    <w:right w:w="0" w:type="dxa"/>
                  </w:tcMar>
                  <w:vAlign w:val="center"/>
                </w:tcPr>
                <w:p w14:paraId="6F58FDBB">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厂界50m</w:t>
                  </w:r>
                </w:p>
              </w:tc>
              <w:tc>
                <w:tcPr>
                  <w:tcW w:w="493" w:type="pct"/>
                  <w:tcBorders>
                    <w:tl2br w:val="nil"/>
                    <w:tr2bl w:val="nil"/>
                  </w:tcBorders>
                  <w:tcMar>
                    <w:top w:w="0" w:type="dxa"/>
                    <w:left w:w="0" w:type="dxa"/>
                    <w:bottom w:w="0" w:type="dxa"/>
                    <w:right w:w="0" w:type="dxa"/>
                  </w:tcMar>
                  <w:vAlign w:val="center"/>
                </w:tcPr>
                <w:p w14:paraId="72509CDF">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152" w:type="pct"/>
                  <w:tcBorders>
                    <w:tl2br w:val="nil"/>
                    <w:tr2bl w:val="nil"/>
                  </w:tcBorders>
                  <w:tcMar>
                    <w:top w:w="0" w:type="dxa"/>
                    <w:left w:w="0" w:type="dxa"/>
                    <w:bottom w:w="0" w:type="dxa"/>
                    <w:right w:w="0" w:type="dxa"/>
                  </w:tcMar>
                  <w:vAlign w:val="center"/>
                </w:tcPr>
                <w:p w14:paraId="1AADE389">
                  <w:pPr>
                    <w:adjustRightInd w:val="0"/>
                    <w:snapToGrid w:val="0"/>
                    <w:jc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val="en-US" w:eastAsia="zh-CN"/>
                    </w:rPr>
                    <w:t>东、南、西、北侧为</w:t>
                  </w:r>
                  <w:r>
                    <w:rPr>
                      <w:rFonts w:hint="default" w:ascii="Times New Roman" w:hAnsi="Times New Roman" w:eastAsia="宋体" w:cs="Times New Roman"/>
                      <w:color w:val="auto"/>
                      <w:sz w:val="21"/>
                      <w:szCs w:val="21"/>
                      <w:highlight w:val="none"/>
                      <w:shd w:val="clear" w:color="auto" w:fill="auto"/>
                    </w:rPr>
                    <w:t>《声环境质量标准》（GB 3096-2008）</w:t>
                  </w:r>
                  <w:r>
                    <w:rPr>
                      <w:rFonts w:hint="eastAsia" w:ascii="Times New Roman" w:hAnsi="Times New Roman" w:eastAsia="宋体" w:cs="Times New Roman"/>
                      <w:color w:val="auto"/>
                      <w:sz w:val="21"/>
                      <w:szCs w:val="21"/>
                      <w:highlight w:val="none"/>
                      <w:shd w:val="clear" w:color="auto" w:fill="auto"/>
                      <w:lang w:val="en-US" w:eastAsia="zh-CN"/>
                    </w:rPr>
                    <w:t>2</w:t>
                  </w:r>
                  <w:r>
                    <w:rPr>
                      <w:rFonts w:hint="default" w:ascii="Times New Roman" w:hAnsi="Times New Roman" w:eastAsia="宋体" w:cs="Times New Roman"/>
                      <w:color w:val="auto"/>
                      <w:sz w:val="21"/>
                      <w:szCs w:val="21"/>
                      <w:highlight w:val="none"/>
                      <w:shd w:val="clear" w:color="auto" w:fill="auto"/>
                    </w:rPr>
                    <w:t>类区</w:t>
                  </w:r>
                </w:p>
              </w:tc>
              <w:tc>
                <w:tcPr>
                  <w:tcW w:w="370" w:type="pct"/>
                  <w:tcBorders>
                    <w:tl2br w:val="nil"/>
                    <w:tr2bl w:val="nil"/>
                  </w:tcBorders>
                  <w:tcMar>
                    <w:top w:w="0" w:type="dxa"/>
                    <w:left w:w="0" w:type="dxa"/>
                    <w:bottom w:w="0" w:type="dxa"/>
                    <w:right w:w="0" w:type="dxa"/>
                  </w:tcMar>
                  <w:vAlign w:val="center"/>
                </w:tcPr>
                <w:p w14:paraId="365EF41B">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93" w:type="pct"/>
                  <w:tcBorders>
                    <w:tl2br w:val="nil"/>
                    <w:tr2bl w:val="nil"/>
                  </w:tcBorders>
                  <w:tcMar>
                    <w:top w:w="0" w:type="dxa"/>
                    <w:left w:w="0" w:type="dxa"/>
                    <w:bottom w:w="0" w:type="dxa"/>
                    <w:right w:w="0" w:type="dxa"/>
                  </w:tcMar>
                  <w:vAlign w:val="center"/>
                </w:tcPr>
                <w:p w14:paraId="72894208">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14:paraId="02423D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5" w:type="pct"/>
                  <w:vMerge w:val="restart"/>
                  <w:tcBorders>
                    <w:tl2br w:val="nil"/>
                    <w:tr2bl w:val="nil"/>
                  </w:tcBorders>
                  <w:tcMar>
                    <w:top w:w="0" w:type="dxa"/>
                    <w:left w:w="0" w:type="dxa"/>
                    <w:bottom w:w="0" w:type="dxa"/>
                    <w:right w:w="0" w:type="dxa"/>
                  </w:tcMar>
                  <w:vAlign w:val="center"/>
                </w:tcPr>
                <w:p w14:paraId="6322622F">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生态环境</w:t>
                  </w:r>
                </w:p>
              </w:tc>
              <w:tc>
                <w:tcPr>
                  <w:tcW w:w="836" w:type="pct"/>
                  <w:tcBorders>
                    <w:tl2br w:val="nil"/>
                    <w:tr2bl w:val="nil"/>
                  </w:tcBorders>
                  <w:tcMar>
                    <w:top w:w="0" w:type="dxa"/>
                    <w:left w:w="0" w:type="dxa"/>
                    <w:bottom w:w="0" w:type="dxa"/>
                    <w:right w:w="0" w:type="dxa"/>
                  </w:tcMar>
                  <w:vAlign w:val="center"/>
                </w:tcPr>
                <w:p w14:paraId="73BA9AF9">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771" w:type="pct"/>
                  <w:tcBorders>
                    <w:tl2br w:val="nil"/>
                    <w:tr2bl w:val="nil"/>
                  </w:tcBorders>
                  <w:tcMar>
                    <w:top w:w="0" w:type="dxa"/>
                    <w:left w:w="0" w:type="dxa"/>
                    <w:bottom w:w="0" w:type="dxa"/>
                    <w:right w:w="0" w:type="dxa"/>
                  </w:tcMar>
                  <w:vAlign w:val="center"/>
                </w:tcPr>
                <w:p w14:paraId="6BF6D799">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28" w:type="pct"/>
                  <w:tcBorders>
                    <w:tl2br w:val="nil"/>
                    <w:tr2bl w:val="nil"/>
                  </w:tcBorders>
                  <w:tcMar>
                    <w:top w:w="0" w:type="dxa"/>
                    <w:left w:w="0" w:type="dxa"/>
                    <w:bottom w:w="0" w:type="dxa"/>
                    <w:right w:w="0" w:type="dxa"/>
                  </w:tcMar>
                  <w:vAlign w:val="center"/>
                </w:tcPr>
                <w:p w14:paraId="1D78E9B8">
                  <w:pPr>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钱资湖重要湿地</w:t>
                  </w:r>
                </w:p>
              </w:tc>
              <w:tc>
                <w:tcPr>
                  <w:tcW w:w="493" w:type="pct"/>
                  <w:tcBorders>
                    <w:tl2br w:val="nil"/>
                    <w:tr2bl w:val="nil"/>
                  </w:tcBorders>
                  <w:tcMar>
                    <w:top w:w="0" w:type="dxa"/>
                    <w:left w:w="0" w:type="dxa"/>
                    <w:bottom w:w="0" w:type="dxa"/>
                    <w:right w:w="0" w:type="dxa"/>
                  </w:tcMar>
                  <w:vAlign w:val="center"/>
                </w:tcPr>
                <w:p w14:paraId="1C18B143">
                  <w:pPr>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湿地生态系统保护</w:t>
                  </w:r>
                </w:p>
              </w:tc>
              <w:tc>
                <w:tcPr>
                  <w:tcW w:w="1152" w:type="pct"/>
                  <w:vMerge w:val="restart"/>
                  <w:tcBorders>
                    <w:tl2br w:val="nil"/>
                    <w:tr2bl w:val="nil"/>
                  </w:tcBorders>
                  <w:tcMar>
                    <w:top w:w="0" w:type="dxa"/>
                    <w:left w:w="0" w:type="dxa"/>
                    <w:bottom w:w="0" w:type="dxa"/>
                    <w:right w:w="0" w:type="dxa"/>
                  </w:tcMar>
                  <w:vAlign w:val="center"/>
                </w:tcPr>
                <w:p w14:paraId="3DC5E36D">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《江苏省生态空间管控区域规划》</w:t>
                  </w:r>
                </w:p>
              </w:tc>
              <w:tc>
                <w:tcPr>
                  <w:tcW w:w="370" w:type="pct"/>
                  <w:tcBorders>
                    <w:tl2br w:val="nil"/>
                    <w:tr2bl w:val="nil"/>
                  </w:tcBorders>
                  <w:tcMar>
                    <w:top w:w="0" w:type="dxa"/>
                    <w:left w:w="0" w:type="dxa"/>
                    <w:bottom w:w="0" w:type="dxa"/>
                    <w:right w:w="0" w:type="dxa"/>
                  </w:tcMar>
                  <w:vAlign w:val="center"/>
                </w:tcPr>
                <w:p w14:paraId="5B6439E1">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S</w:t>
                  </w:r>
                  <w:r>
                    <w:rPr>
                      <w:rFonts w:hint="eastAsia" w:ascii="Times New Roman" w:hAnsi="Times New Roman" w:eastAsia="宋体" w:cs="Times New Roman"/>
                      <w:color w:val="auto"/>
                      <w:sz w:val="21"/>
                      <w:szCs w:val="21"/>
                      <w:highlight w:val="none"/>
                      <w:shd w:val="clear" w:color="auto" w:fill="auto"/>
                      <w:lang w:val="en-US" w:eastAsia="zh-CN"/>
                    </w:rPr>
                    <w:t>W</w:t>
                  </w:r>
                </w:p>
              </w:tc>
              <w:tc>
                <w:tcPr>
                  <w:tcW w:w="393" w:type="pct"/>
                  <w:tcBorders>
                    <w:tl2br w:val="nil"/>
                    <w:tr2bl w:val="nil"/>
                  </w:tcBorders>
                  <w:tcMar>
                    <w:top w:w="0" w:type="dxa"/>
                    <w:left w:w="0" w:type="dxa"/>
                    <w:bottom w:w="0" w:type="dxa"/>
                    <w:right w:w="0" w:type="dxa"/>
                  </w:tcMar>
                  <w:vAlign w:val="center"/>
                </w:tcPr>
                <w:p w14:paraId="7F4684A3">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w:t>
                  </w:r>
                  <w:r>
                    <w:rPr>
                      <w:rFonts w:hint="default" w:ascii="Times New Roman" w:hAnsi="Times New Roman" w:eastAsia="宋体" w:cs="Times New Roman"/>
                      <w:color w:val="auto"/>
                      <w:sz w:val="21"/>
                      <w:szCs w:val="21"/>
                      <w:highlight w:val="none"/>
                      <w:shd w:val="clear" w:color="auto" w:fill="auto"/>
                      <w:lang w:val="en-US" w:eastAsia="zh-CN"/>
                    </w:rPr>
                    <w:t>.2km</w:t>
                  </w:r>
                </w:p>
              </w:tc>
            </w:tr>
            <w:tr w14:paraId="0ACB8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5" w:type="pct"/>
                  <w:vMerge w:val="continue"/>
                  <w:tcBorders>
                    <w:tl2br w:val="nil"/>
                    <w:tr2bl w:val="nil"/>
                  </w:tcBorders>
                  <w:tcMar>
                    <w:top w:w="0" w:type="dxa"/>
                    <w:left w:w="0" w:type="dxa"/>
                    <w:bottom w:w="0" w:type="dxa"/>
                    <w:right w:w="0" w:type="dxa"/>
                  </w:tcMar>
                  <w:vAlign w:val="center"/>
                </w:tcPr>
                <w:p w14:paraId="13280571">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836" w:type="pct"/>
                  <w:tcBorders>
                    <w:tl2br w:val="nil"/>
                    <w:tr2bl w:val="nil"/>
                  </w:tcBorders>
                  <w:tcMar>
                    <w:top w:w="0" w:type="dxa"/>
                    <w:left w:w="0" w:type="dxa"/>
                    <w:bottom w:w="0" w:type="dxa"/>
                    <w:right w:w="0" w:type="dxa"/>
                  </w:tcMar>
                  <w:vAlign w:val="center"/>
                </w:tcPr>
                <w:p w14:paraId="235792BC">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771" w:type="pct"/>
                  <w:tcBorders>
                    <w:tl2br w:val="nil"/>
                    <w:tr2bl w:val="nil"/>
                  </w:tcBorders>
                  <w:tcMar>
                    <w:top w:w="0" w:type="dxa"/>
                    <w:left w:w="0" w:type="dxa"/>
                    <w:bottom w:w="0" w:type="dxa"/>
                    <w:right w:w="0" w:type="dxa"/>
                  </w:tcMar>
                  <w:vAlign w:val="center"/>
                </w:tcPr>
                <w:p w14:paraId="5B2945FB">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28" w:type="pct"/>
                  <w:tcBorders>
                    <w:tl2br w:val="nil"/>
                    <w:tr2bl w:val="nil"/>
                  </w:tcBorders>
                  <w:tcMar>
                    <w:top w:w="0" w:type="dxa"/>
                    <w:left w:w="0" w:type="dxa"/>
                    <w:bottom w:w="0" w:type="dxa"/>
                    <w:right w:w="0" w:type="dxa"/>
                  </w:tcMar>
                  <w:vAlign w:val="center"/>
                </w:tcPr>
                <w:p w14:paraId="0ACE7DED">
                  <w:pPr>
                    <w:snapToGrid w:val="0"/>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 xml:space="preserve"> </w:t>
                  </w:r>
                  <w:r>
                    <w:rPr>
                      <w:rFonts w:hint="default" w:ascii="Times New Roman" w:hAnsi="Times New Roman" w:eastAsia="宋体" w:cs="Times New Roman"/>
                      <w:color w:val="auto"/>
                      <w:sz w:val="21"/>
                      <w:szCs w:val="21"/>
                      <w:highlight w:val="none"/>
                    </w:rPr>
                    <w:t>江苏金坛长荡湖国家湿地公园</w:t>
                  </w:r>
                </w:p>
              </w:tc>
              <w:tc>
                <w:tcPr>
                  <w:tcW w:w="493" w:type="pct"/>
                  <w:tcBorders>
                    <w:tl2br w:val="nil"/>
                    <w:tr2bl w:val="nil"/>
                  </w:tcBorders>
                  <w:tcMar>
                    <w:top w:w="0" w:type="dxa"/>
                    <w:left w:w="0" w:type="dxa"/>
                    <w:bottom w:w="0" w:type="dxa"/>
                    <w:right w:w="0" w:type="dxa"/>
                  </w:tcMar>
                  <w:vAlign w:val="center"/>
                </w:tcPr>
                <w:p w14:paraId="35AAE9B8">
                  <w:pPr>
                    <w:snapToGrid w:val="0"/>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湿地生态系统保护</w:t>
                  </w:r>
                </w:p>
              </w:tc>
              <w:tc>
                <w:tcPr>
                  <w:tcW w:w="1152" w:type="pct"/>
                  <w:vMerge w:val="continue"/>
                  <w:tcBorders>
                    <w:tl2br w:val="nil"/>
                    <w:tr2bl w:val="nil"/>
                  </w:tcBorders>
                  <w:tcMar>
                    <w:top w:w="0" w:type="dxa"/>
                    <w:left w:w="0" w:type="dxa"/>
                    <w:bottom w:w="0" w:type="dxa"/>
                    <w:right w:w="0" w:type="dxa"/>
                  </w:tcMar>
                  <w:vAlign w:val="center"/>
                </w:tcPr>
                <w:p w14:paraId="565F2FD1">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70" w:type="pct"/>
                  <w:tcBorders>
                    <w:tl2br w:val="nil"/>
                    <w:tr2bl w:val="nil"/>
                  </w:tcBorders>
                  <w:shd w:val="clear" w:color="auto" w:fill="auto"/>
                  <w:tcMar>
                    <w:top w:w="0" w:type="dxa"/>
                    <w:left w:w="0" w:type="dxa"/>
                    <w:bottom w:w="0" w:type="dxa"/>
                    <w:right w:w="0" w:type="dxa"/>
                  </w:tcMar>
                  <w:vAlign w:val="center"/>
                </w:tcPr>
                <w:p w14:paraId="2FA21737">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SW</w:t>
                  </w:r>
                </w:p>
              </w:tc>
              <w:tc>
                <w:tcPr>
                  <w:tcW w:w="393" w:type="pct"/>
                  <w:tcBorders>
                    <w:tl2br w:val="nil"/>
                    <w:tr2bl w:val="nil"/>
                  </w:tcBorders>
                  <w:shd w:val="clear" w:color="auto" w:fill="auto"/>
                  <w:tcMar>
                    <w:top w:w="0" w:type="dxa"/>
                    <w:left w:w="0" w:type="dxa"/>
                    <w:bottom w:w="0" w:type="dxa"/>
                    <w:right w:w="0" w:type="dxa"/>
                  </w:tcMar>
                  <w:vAlign w:val="center"/>
                </w:tcPr>
                <w:p w14:paraId="3D6379B7">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9.5</w:t>
                  </w:r>
                  <w:r>
                    <w:rPr>
                      <w:rFonts w:hint="default" w:ascii="Times New Roman" w:hAnsi="Times New Roman" w:eastAsia="宋体" w:cs="Times New Roman"/>
                      <w:color w:val="auto"/>
                      <w:sz w:val="21"/>
                      <w:szCs w:val="21"/>
                      <w:highlight w:val="none"/>
                      <w:shd w:val="clear" w:color="auto" w:fill="auto"/>
                      <w:lang w:val="en-US" w:eastAsia="zh-CN"/>
                    </w:rPr>
                    <w:t>km</w:t>
                  </w:r>
                </w:p>
              </w:tc>
            </w:tr>
            <w:tr w14:paraId="0A900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5" w:type="pct"/>
                  <w:vMerge w:val="continue"/>
                  <w:tcBorders>
                    <w:tl2br w:val="nil"/>
                    <w:tr2bl w:val="nil"/>
                  </w:tcBorders>
                  <w:tcMar>
                    <w:top w:w="0" w:type="dxa"/>
                    <w:left w:w="0" w:type="dxa"/>
                    <w:bottom w:w="0" w:type="dxa"/>
                    <w:right w:w="0" w:type="dxa"/>
                  </w:tcMar>
                  <w:vAlign w:val="center"/>
                </w:tcPr>
                <w:p w14:paraId="30D9FBD1">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836" w:type="pct"/>
                  <w:tcBorders>
                    <w:tl2br w:val="nil"/>
                    <w:tr2bl w:val="nil"/>
                  </w:tcBorders>
                  <w:shd w:val="clear" w:color="auto" w:fill="auto"/>
                  <w:tcMar>
                    <w:top w:w="0" w:type="dxa"/>
                    <w:left w:w="0" w:type="dxa"/>
                    <w:bottom w:w="0" w:type="dxa"/>
                    <w:right w:w="0" w:type="dxa"/>
                  </w:tcMar>
                  <w:vAlign w:val="center"/>
                </w:tcPr>
                <w:p w14:paraId="6760F912">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771" w:type="pct"/>
                  <w:tcBorders>
                    <w:tl2br w:val="nil"/>
                    <w:tr2bl w:val="nil"/>
                  </w:tcBorders>
                  <w:shd w:val="clear" w:color="auto" w:fill="auto"/>
                  <w:tcMar>
                    <w:top w:w="0" w:type="dxa"/>
                    <w:left w:w="0" w:type="dxa"/>
                    <w:bottom w:w="0" w:type="dxa"/>
                    <w:right w:w="0" w:type="dxa"/>
                  </w:tcMar>
                  <w:vAlign w:val="center"/>
                </w:tcPr>
                <w:p w14:paraId="1CF57989">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628" w:type="pct"/>
                  <w:tcBorders>
                    <w:tl2br w:val="nil"/>
                    <w:tr2bl w:val="nil"/>
                  </w:tcBorders>
                  <w:shd w:val="clear" w:color="auto" w:fill="auto"/>
                  <w:tcMar>
                    <w:top w:w="0" w:type="dxa"/>
                    <w:left w:w="0" w:type="dxa"/>
                    <w:bottom w:w="0" w:type="dxa"/>
                    <w:right w:w="0" w:type="dxa"/>
                  </w:tcMar>
                  <w:vAlign w:val="center"/>
                </w:tcPr>
                <w:p w14:paraId="4065683D">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丹金溧漕河（金坛区）洪水调蓄区</w:t>
                  </w:r>
                </w:p>
              </w:tc>
              <w:tc>
                <w:tcPr>
                  <w:tcW w:w="493" w:type="pct"/>
                  <w:tcBorders>
                    <w:tl2br w:val="nil"/>
                    <w:tr2bl w:val="nil"/>
                  </w:tcBorders>
                  <w:shd w:val="clear" w:color="auto" w:fill="auto"/>
                  <w:tcMar>
                    <w:top w:w="0" w:type="dxa"/>
                    <w:left w:w="0" w:type="dxa"/>
                    <w:bottom w:w="0" w:type="dxa"/>
                    <w:right w:w="0" w:type="dxa"/>
                  </w:tcMar>
                  <w:vAlign w:val="center"/>
                </w:tcPr>
                <w:p w14:paraId="227179BB">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洪水调蓄</w:t>
                  </w:r>
                </w:p>
              </w:tc>
              <w:tc>
                <w:tcPr>
                  <w:tcW w:w="1152" w:type="pct"/>
                  <w:vMerge w:val="continue"/>
                  <w:tcBorders>
                    <w:tl2br w:val="nil"/>
                    <w:tr2bl w:val="nil"/>
                  </w:tcBorders>
                  <w:shd w:val="clear" w:color="auto" w:fill="auto"/>
                  <w:tcMar>
                    <w:top w:w="0" w:type="dxa"/>
                    <w:left w:w="0" w:type="dxa"/>
                    <w:bottom w:w="0" w:type="dxa"/>
                    <w:right w:w="0" w:type="dxa"/>
                  </w:tcMar>
                  <w:vAlign w:val="center"/>
                </w:tcPr>
                <w:p w14:paraId="13AF354E">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70" w:type="pct"/>
                  <w:tcBorders>
                    <w:tl2br w:val="nil"/>
                    <w:tr2bl w:val="nil"/>
                  </w:tcBorders>
                  <w:shd w:val="clear" w:color="auto" w:fill="auto"/>
                  <w:tcMar>
                    <w:top w:w="0" w:type="dxa"/>
                    <w:left w:w="0" w:type="dxa"/>
                    <w:bottom w:w="0" w:type="dxa"/>
                    <w:right w:w="0" w:type="dxa"/>
                  </w:tcMar>
                  <w:vAlign w:val="center"/>
                </w:tcPr>
                <w:p w14:paraId="03B7B8E6">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w:t>
                  </w:r>
                </w:p>
              </w:tc>
              <w:tc>
                <w:tcPr>
                  <w:tcW w:w="393" w:type="pct"/>
                  <w:tcBorders>
                    <w:tl2br w:val="nil"/>
                    <w:tr2bl w:val="nil"/>
                  </w:tcBorders>
                  <w:shd w:val="clear" w:color="auto" w:fill="auto"/>
                  <w:tcMar>
                    <w:top w:w="0" w:type="dxa"/>
                    <w:left w:w="0" w:type="dxa"/>
                    <w:bottom w:w="0" w:type="dxa"/>
                    <w:right w:w="0" w:type="dxa"/>
                  </w:tcMar>
                  <w:vAlign w:val="center"/>
                </w:tcPr>
                <w:p w14:paraId="634C6833">
                  <w:pPr>
                    <w:adjustRightInd w:val="0"/>
                    <w:snapToGrid w:val="0"/>
                    <w:jc w:val="center"/>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lang w:val="en-US" w:eastAsia="zh-CN"/>
                    </w:rPr>
                    <w:t>2km</w:t>
                  </w:r>
                </w:p>
              </w:tc>
            </w:tr>
            <w:tr w14:paraId="42DEF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5" w:type="pct"/>
                  <w:vMerge w:val="continue"/>
                  <w:tcBorders>
                    <w:tl2br w:val="nil"/>
                    <w:tr2bl w:val="nil"/>
                  </w:tcBorders>
                  <w:tcMar>
                    <w:top w:w="0" w:type="dxa"/>
                    <w:left w:w="0" w:type="dxa"/>
                    <w:bottom w:w="0" w:type="dxa"/>
                    <w:right w:w="0" w:type="dxa"/>
                  </w:tcMar>
                  <w:vAlign w:val="center"/>
                </w:tcPr>
                <w:p w14:paraId="6D5E9CCD">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836" w:type="pct"/>
                  <w:tcBorders>
                    <w:tl2br w:val="nil"/>
                    <w:tr2bl w:val="nil"/>
                  </w:tcBorders>
                  <w:shd w:val="clear" w:color="auto" w:fill="auto"/>
                  <w:tcMar>
                    <w:top w:w="0" w:type="dxa"/>
                    <w:left w:w="0" w:type="dxa"/>
                    <w:bottom w:w="0" w:type="dxa"/>
                    <w:right w:w="0" w:type="dxa"/>
                  </w:tcMar>
                  <w:vAlign w:val="center"/>
                </w:tcPr>
                <w:p w14:paraId="279D249D">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771" w:type="pct"/>
                  <w:tcBorders>
                    <w:tl2br w:val="nil"/>
                    <w:tr2bl w:val="nil"/>
                  </w:tcBorders>
                  <w:shd w:val="clear" w:color="auto" w:fill="auto"/>
                  <w:tcMar>
                    <w:top w:w="0" w:type="dxa"/>
                    <w:left w:w="0" w:type="dxa"/>
                    <w:bottom w:w="0" w:type="dxa"/>
                    <w:right w:w="0" w:type="dxa"/>
                  </w:tcMar>
                  <w:vAlign w:val="center"/>
                </w:tcPr>
                <w:p w14:paraId="3F223149">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628" w:type="pct"/>
                  <w:tcBorders>
                    <w:tl2br w:val="nil"/>
                    <w:tr2bl w:val="nil"/>
                  </w:tcBorders>
                  <w:shd w:val="clear" w:color="auto" w:fill="auto"/>
                  <w:tcMar>
                    <w:top w:w="0" w:type="dxa"/>
                    <w:left w:w="0" w:type="dxa"/>
                    <w:bottom w:w="0" w:type="dxa"/>
                    <w:right w:w="0" w:type="dxa"/>
                  </w:tcMar>
                  <w:vAlign w:val="center"/>
                </w:tcPr>
                <w:p w14:paraId="16943CCA">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天荒湖重要渔业水域</w:t>
                  </w:r>
                </w:p>
              </w:tc>
              <w:tc>
                <w:tcPr>
                  <w:tcW w:w="493" w:type="pct"/>
                  <w:tcBorders>
                    <w:tl2br w:val="nil"/>
                    <w:tr2bl w:val="nil"/>
                  </w:tcBorders>
                  <w:shd w:val="clear" w:color="auto" w:fill="auto"/>
                  <w:tcMar>
                    <w:top w:w="0" w:type="dxa"/>
                    <w:left w:w="0" w:type="dxa"/>
                    <w:bottom w:w="0" w:type="dxa"/>
                    <w:right w:w="0" w:type="dxa"/>
                  </w:tcMar>
                  <w:vAlign w:val="center"/>
                </w:tcPr>
                <w:p w14:paraId="28670D4F">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渔业资源保护</w:t>
                  </w:r>
                </w:p>
              </w:tc>
              <w:tc>
                <w:tcPr>
                  <w:tcW w:w="1152" w:type="pct"/>
                  <w:vMerge w:val="continue"/>
                  <w:tcBorders>
                    <w:tl2br w:val="nil"/>
                    <w:tr2bl w:val="nil"/>
                  </w:tcBorders>
                  <w:tcMar>
                    <w:top w:w="0" w:type="dxa"/>
                    <w:left w:w="0" w:type="dxa"/>
                    <w:bottom w:w="0" w:type="dxa"/>
                    <w:right w:w="0" w:type="dxa"/>
                  </w:tcMar>
                  <w:vAlign w:val="center"/>
                </w:tcPr>
                <w:p w14:paraId="09AD1779">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370" w:type="pct"/>
                  <w:tcBorders>
                    <w:tl2br w:val="nil"/>
                    <w:tr2bl w:val="nil"/>
                  </w:tcBorders>
                  <w:tcMar>
                    <w:top w:w="0" w:type="dxa"/>
                    <w:left w:w="0" w:type="dxa"/>
                    <w:bottom w:w="0" w:type="dxa"/>
                    <w:right w:w="0" w:type="dxa"/>
                  </w:tcMar>
                  <w:vAlign w:val="center"/>
                </w:tcPr>
                <w:p w14:paraId="6DC14F8F">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NW</w:t>
                  </w:r>
                </w:p>
              </w:tc>
              <w:tc>
                <w:tcPr>
                  <w:tcW w:w="393" w:type="pct"/>
                  <w:tcBorders>
                    <w:tl2br w:val="nil"/>
                    <w:tr2bl w:val="nil"/>
                  </w:tcBorders>
                  <w:tcMar>
                    <w:top w:w="0" w:type="dxa"/>
                    <w:left w:w="0" w:type="dxa"/>
                    <w:bottom w:w="0" w:type="dxa"/>
                    <w:right w:w="0" w:type="dxa"/>
                  </w:tcMar>
                  <w:vAlign w:val="center"/>
                </w:tcPr>
                <w:p w14:paraId="101FC74B">
                  <w:pPr>
                    <w:adjustRightInd w:val="0"/>
                    <w:snapToGrid w:val="0"/>
                    <w:jc w:val="center"/>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7.1</w:t>
                  </w:r>
                  <w:r>
                    <w:rPr>
                      <w:rFonts w:hint="default" w:ascii="Times New Roman" w:hAnsi="Times New Roman" w:eastAsia="宋体" w:cs="Times New Roman"/>
                      <w:color w:val="auto"/>
                      <w:sz w:val="21"/>
                      <w:szCs w:val="21"/>
                      <w:highlight w:val="none"/>
                      <w:shd w:val="clear" w:color="auto" w:fill="auto"/>
                      <w:lang w:val="en-US" w:eastAsia="zh-CN"/>
                    </w:rPr>
                    <w:t>km</w:t>
                  </w:r>
                </w:p>
              </w:tc>
            </w:tr>
            <w:tr w14:paraId="5F1E9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55" w:type="pct"/>
                  <w:tcBorders>
                    <w:tl2br w:val="nil"/>
                    <w:tr2bl w:val="nil"/>
                  </w:tcBorders>
                  <w:tcMar>
                    <w:top w:w="0" w:type="dxa"/>
                    <w:left w:w="0" w:type="dxa"/>
                    <w:bottom w:w="0" w:type="dxa"/>
                    <w:right w:w="0" w:type="dxa"/>
                  </w:tcMar>
                  <w:vAlign w:val="center"/>
                </w:tcPr>
                <w:p w14:paraId="10D6AED6">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地下水</w:t>
                  </w:r>
                </w:p>
              </w:tc>
              <w:tc>
                <w:tcPr>
                  <w:tcW w:w="2729" w:type="pct"/>
                  <w:gridSpan w:val="4"/>
                  <w:tcBorders>
                    <w:tl2br w:val="nil"/>
                    <w:tr2bl w:val="nil"/>
                  </w:tcBorders>
                  <w:tcMar>
                    <w:top w:w="0" w:type="dxa"/>
                    <w:left w:w="0" w:type="dxa"/>
                    <w:bottom w:w="0" w:type="dxa"/>
                    <w:right w:w="0" w:type="dxa"/>
                  </w:tcMar>
                  <w:vAlign w:val="center"/>
                </w:tcPr>
                <w:p w14:paraId="7B51F928">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项目所在区域</w:t>
                  </w:r>
                  <w:r>
                    <w:rPr>
                      <w:rFonts w:hint="default" w:ascii="Times New Roman" w:hAnsi="Times New Roman" w:eastAsia="宋体" w:cs="Times New Roman"/>
                      <w:color w:val="auto"/>
                      <w:sz w:val="21"/>
                      <w:szCs w:val="21"/>
                      <w:highlight w:val="none"/>
                      <w:shd w:val="clear" w:color="auto" w:fill="auto"/>
                      <w:lang w:val="en-US" w:eastAsia="zh-CN"/>
                    </w:rPr>
                    <w:t>500</w:t>
                  </w:r>
                  <w:r>
                    <w:rPr>
                      <w:rFonts w:hint="default" w:ascii="Times New Roman" w:hAnsi="Times New Roman" w:eastAsia="宋体" w:cs="Times New Roman"/>
                      <w:color w:val="auto"/>
                      <w:sz w:val="21"/>
                      <w:szCs w:val="21"/>
                      <w:highlight w:val="none"/>
                      <w:shd w:val="clear" w:color="auto" w:fill="auto"/>
                      <w:lang w:eastAsia="zh-CN"/>
                    </w:rPr>
                    <w:t>m</w:t>
                  </w:r>
                  <w:r>
                    <w:rPr>
                      <w:rFonts w:hint="default" w:ascii="Times New Roman" w:hAnsi="Times New Roman" w:eastAsia="宋体" w:cs="Times New Roman"/>
                      <w:color w:val="auto"/>
                      <w:sz w:val="21"/>
                      <w:szCs w:val="21"/>
                      <w:highlight w:val="none"/>
                      <w:shd w:val="clear" w:color="auto" w:fill="auto"/>
                    </w:rPr>
                    <w:t>范围</w:t>
                  </w:r>
                </w:p>
              </w:tc>
              <w:tc>
                <w:tcPr>
                  <w:tcW w:w="1915" w:type="pct"/>
                  <w:gridSpan w:val="3"/>
                  <w:tcBorders>
                    <w:tl2br w:val="nil"/>
                    <w:tr2bl w:val="nil"/>
                  </w:tcBorders>
                  <w:tcMar>
                    <w:top w:w="0" w:type="dxa"/>
                    <w:left w:w="0" w:type="dxa"/>
                    <w:bottom w:w="0" w:type="dxa"/>
                    <w:right w:w="0" w:type="dxa"/>
                  </w:tcMar>
                  <w:vAlign w:val="center"/>
                </w:tcPr>
                <w:p w14:paraId="57D7AF2A">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本项目厂界外500米范围内无地下水集中式饮用水水源等特殊地下水资源</w:t>
                  </w:r>
                </w:p>
              </w:tc>
            </w:tr>
          </w:tbl>
          <w:p w14:paraId="2130B0D3">
            <w:pPr>
              <w:spacing w:line="360" w:lineRule="auto"/>
              <w:ind w:firstLine="480" w:firstLineChars="200"/>
              <w:rPr>
                <w:rFonts w:hint="default" w:ascii="Times New Roman" w:hAnsi="Times New Roman" w:eastAsia="宋体" w:cs="Times New Roman"/>
                <w:color w:val="auto"/>
                <w:sz w:val="24"/>
                <w:highlight w:val="none"/>
                <w:shd w:val="clear" w:color="auto" w:fill="auto"/>
              </w:rPr>
            </w:pPr>
          </w:p>
          <w:p w14:paraId="123F54CA">
            <w:pPr>
              <w:spacing w:line="360" w:lineRule="auto"/>
              <w:rPr>
                <w:rFonts w:hint="default" w:ascii="Times New Roman" w:hAnsi="Times New Roman" w:eastAsia="宋体" w:cs="Times New Roman"/>
                <w:color w:val="auto"/>
                <w:sz w:val="24"/>
                <w:highlight w:val="none"/>
                <w:shd w:val="clear" w:color="auto" w:fill="auto"/>
              </w:rPr>
            </w:pPr>
          </w:p>
        </w:tc>
      </w:tr>
      <w:tr w14:paraId="18F5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6" w:hRule="atLeast"/>
        </w:trPr>
        <w:tc>
          <w:tcPr>
            <w:tcW w:w="418" w:type="pct"/>
            <w:vAlign w:val="center"/>
          </w:tcPr>
          <w:p w14:paraId="5D74FA4D">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污染物排放控制标准</w:t>
            </w:r>
          </w:p>
        </w:tc>
        <w:tc>
          <w:tcPr>
            <w:tcW w:w="4581" w:type="pct"/>
          </w:tcPr>
          <w:p w14:paraId="13F619B2">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1、废气</w:t>
            </w:r>
          </w:p>
          <w:p w14:paraId="566B627D">
            <w:pPr>
              <w:spacing w:line="500" w:lineRule="exact"/>
              <w:ind w:firstLine="480"/>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（1）施工期</w:t>
            </w:r>
          </w:p>
          <w:p w14:paraId="2243C037">
            <w:pPr>
              <w:spacing w:line="500" w:lineRule="exact"/>
              <w:ind w:firstLine="480"/>
              <w:rPr>
                <w:rFonts w:hint="default" w:ascii="Times New Roman" w:hAnsi="Times New Roman" w:eastAsia="宋体" w:cs="Times New Roman"/>
                <w:bCs/>
                <w:color w:val="auto"/>
                <w:lang w:eastAsia="zh-CN"/>
              </w:rPr>
            </w:pPr>
            <w:r>
              <w:rPr>
                <w:rFonts w:hint="default" w:ascii="Times New Roman" w:hAnsi="Times New Roman" w:eastAsia="宋体" w:cs="Times New Roman"/>
                <w:color w:val="auto"/>
                <w:kern w:val="2"/>
                <w:sz w:val="24"/>
                <w:szCs w:val="22"/>
                <w:highlight w:val="none"/>
                <w:lang w:val="en-US" w:eastAsia="zh-CN" w:bidi="ar-SA"/>
              </w:rPr>
              <w:t>施工期场地扬尘排放标准执行《施工场地扬尘排放标准》DB32/4437-2022排放标准。</w:t>
            </w:r>
          </w:p>
          <w:p w14:paraId="4A184A6E">
            <w:pPr>
              <w:spacing w:line="240" w:lineRule="auto"/>
              <w:ind w:firstLine="0" w:firstLineChars="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rPr>
              <w:t>表3-</w:t>
            </w: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rPr>
              <w:t xml:space="preserve">  施工场地扬尘排放浓度限值</w:t>
            </w:r>
          </w:p>
          <w:tbl>
            <w:tblPr>
              <w:tblStyle w:val="27"/>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3867"/>
              <w:gridCol w:w="2991"/>
            </w:tblGrid>
            <w:tr w14:paraId="2DC460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864" w:type="pct"/>
                  <w:noWrap w:val="0"/>
                  <w:vAlign w:val="center"/>
                </w:tcPr>
                <w:p w14:paraId="51979763">
                  <w:pPr>
                    <w:adjustRightInd w:val="0"/>
                    <w:snapToGrid w:val="0"/>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2332" w:type="pct"/>
                  <w:noWrap w:val="0"/>
                  <w:vAlign w:val="center"/>
                </w:tcPr>
                <w:p w14:paraId="2DDA60C7">
                  <w:pPr>
                    <w:adjustRightInd w:val="0"/>
                    <w:snapToGrid w:val="0"/>
                    <w:spacing w:line="28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浓度限值/(μg/m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803" w:type="pct"/>
                  <w:noWrap w:val="0"/>
                  <w:vAlign w:val="center"/>
                </w:tcPr>
                <w:p w14:paraId="48C19F91">
                  <w:pPr>
                    <w:pStyle w:val="56"/>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标准来源</w:t>
                  </w:r>
                </w:p>
              </w:tc>
            </w:tr>
            <w:tr w14:paraId="77A243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64" w:type="pct"/>
                  <w:noWrap w:val="0"/>
                  <w:vAlign w:val="center"/>
                </w:tcPr>
                <w:p w14:paraId="535B5134">
                  <w:pPr>
                    <w:pStyle w:val="56"/>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TSP</w:t>
                  </w:r>
                  <w:r>
                    <w:rPr>
                      <w:rFonts w:hint="default" w:ascii="Times New Roman" w:hAnsi="Times New Roman" w:eastAsia="宋体" w:cs="Times New Roman"/>
                      <w:color w:val="auto"/>
                      <w:sz w:val="21"/>
                      <w:szCs w:val="21"/>
                      <w:vertAlign w:val="superscript"/>
                      <w:lang w:eastAsia="zh-CN"/>
                    </w:rPr>
                    <w:t>a</w:t>
                  </w:r>
                </w:p>
              </w:tc>
              <w:tc>
                <w:tcPr>
                  <w:tcW w:w="2332" w:type="pct"/>
                  <w:noWrap w:val="0"/>
                  <w:vAlign w:val="center"/>
                </w:tcPr>
                <w:p w14:paraId="48E1BD5A">
                  <w:pPr>
                    <w:widowControl/>
                    <w:adjustRightInd w:val="0"/>
                    <w:snapToGrid w:val="0"/>
                    <w:spacing w:line="280" w:lineRule="exact"/>
                    <w:ind w:firstLine="4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803" w:type="pct"/>
                  <w:vMerge w:val="restart"/>
                  <w:noWrap w:val="0"/>
                  <w:vAlign w:val="center"/>
                </w:tcPr>
                <w:p w14:paraId="382759E0">
                  <w:pPr>
                    <w:pStyle w:val="56"/>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《施工场地扬尘排放标准》DB32/4437-2022</w:t>
                  </w:r>
                </w:p>
              </w:tc>
            </w:tr>
            <w:tr w14:paraId="1B0DCF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864" w:type="pct"/>
                  <w:noWrap w:val="0"/>
                  <w:vAlign w:val="center"/>
                </w:tcPr>
                <w:p w14:paraId="69F12C45">
                  <w:pPr>
                    <w:pStyle w:val="56"/>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PM</w:t>
                  </w:r>
                  <w:r>
                    <w:rPr>
                      <w:rFonts w:hint="default" w:ascii="Times New Roman" w:hAnsi="Times New Roman" w:eastAsia="宋体" w:cs="Times New Roman"/>
                      <w:color w:val="auto"/>
                      <w:sz w:val="21"/>
                      <w:szCs w:val="21"/>
                      <w:vertAlign w:val="subscript"/>
                      <w:lang w:eastAsia="zh-CN"/>
                    </w:rPr>
                    <w:t>10</w:t>
                  </w:r>
                  <w:r>
                    <w:rPr>
                      <w:rFonts w:hint="default" w:ascii="Times New Roman" w:hAnsi="Times New Roman" w:eastAsia="宋体" w:cs="Times New Roman"/>
                      <w:color w:val="auto"/>
                      <w:sz w:val="21"/>
                      <w:szCs w:val="21"/>
                      <w:vertAlign w:val="superscript"/>
                      <w:lang w:eastAsia="zh-CN"/>
                    </w:rPr>
                    <w:t>b</w:t>
                  </w:r>
                </w:p>
              </w:tc>
              <w:tc>
                <w:tcPr>
                  <w:tcW w:w="2332" w:type="pct"/>
                  <w:noWrap w:val="0"/>
                  <w:vAlign w:val="center"/>
                </w:tcPr>
                <w:p w14:paraId="11248643">
                  <w:pPr>
                    <w:widowControl/>
                    <w:adjustRightInd w:val="0"/>
                    <w:snapToGrid w:val="0"/>
                    <w:spacing w:line="280" w:lineRule="exact"/>
                    <w:ind w:firstLine="42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803" w:type="pct"/>
                  <w:vMerge w:val="continue"/>
                  <w:noWrap w:val="0"/>
                  <w:vAlign w:val="center"/>
                </w:tcPr>
                <w:p w14:paraId="3DCBD96D">
                  <w:pPr>
                    <w:pStyle w:val="56"/>
                    <w:adjustRightInd w:val="0"/>
                    <w:snapToGrid w:val="0"/>
                    <w:jc w:val="center"/>
                    <w:rPr>
                      <w:rFonts w:hint="default" w:ascii="Times New Roman" w:hAnsi="Times New Roman" w:eastAsia="宋体" w:cs="Times New Roman"/>
                      <w:color w:val="auto"/>
                      <w:sz w:val="21"/>
                      <w:szCs w:val="21"/>
                      <w:lang w:eastAsia="zh-CN"/>
                    </w:rPr>
                  </w:pPr>
                </w:p>
              </w:tc>
            </w:tr>
            <w:tr w14:paraId="606122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000" w:type="pct"/>
                  <w:gridSpan w:val="3"/>
                  <w:noWrap w:val="0"/>
                  <w:vAlign w:val="center"/>
                </w:tcPr>
                <w:p w14:paraId="76694058">
                  <w:pPr>
                    <w:pStyle w:val="56"/>
                    <w:adjustRightInd w:val="0"/>
                    <w:snapToGrid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a任一监控点(TSP自动监测)自整时起依次顺延15 min的总悬浮颗粒物浓度平均值不应超过的限值。根据HJ633判定设区市AQI在200~300之间且首要污染物为PM</w:t>
                  </w:r>
                  <w:r>
                    <w:rPr>
                      <w:rFonts w:hint="default" w:ascii="Times New Roman" w:hAnsi="Times New Roman" w:eastAsia="宋体" w:cs="Times New Roman"/>
                      <w:color w:val="auto"/>
                      <w:sz w:val="21"/>
                      <w:szCs w:val="21"/>
                      <w:vertAlign w:val="subscript"/>
                      <w:lang w:eastAsia="zh-CN"/>
                    </w:rPr>
                    <w:t>10</w:t>
                  </w:r>
                  <w:r>
                    <w:rPr>
                      <w:rFonts w:hint="default" w:ascii="Times New Roman" w:hAnsi="Times New Roman" w:eastAsia="宋体" w:cs="Times New Roman"/>
                      <w:color w:val="auto"/>
                      <w:sz w:val="21"/>
                      <w:szCs w:val="21"/>
                      <w:lang w:eastAsia="zh-CN"/>
                    </w:rPr>
                    <w:t>或PM</w:t>
                  </w:r>
                  <w:r>
                    <w:rPr>
                      <w:rFonts w:hint="default" w:ascii="Times New Roman" w:hAnsi="Times New Roman" w:eastAsia="宋体" w:cs="Times New Roman"/>
                      <w:color w:val="auto"/>
                      <w:sz w:val="21"/>
                      <w:szCs w:val="21"/>
                      <w:vertAlign w:val="subscript"/>
                      <w:lang w:eastAsia="zh-CN"/>
                    </w:rPr>
                    <w:t>2.5</w:t>
                  </w:r>
                  <w:r>
                    <w:rPr>
                      <w:rFonts w:hint="default" w:ascii="Times New Roman" w:hAnsi="Times New Roman" w:eastAsia="宋体" w:cs="Times New Roman"/>
                      <w:color w:val="auto"/>
                      <w:sz w:val="21"/>
                      <w:szCs w:val="21"/>
                      <w:lang w:eastAsia="zh-CN"/>
                    </w:rPr>
                    <w:t>时,TSP实测值扣除200μg/m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后再进行评价。</w:t>
                  </w:r>
                </w:p>
                <w:p w14:paraId="7EE7BFDB">
                  <w:pPr>
                    <w:pStyle w:val="56"/>
                    <w:adjustRightInd w:val="0"/>
                    <w:snapToGrid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b任一监控点(PM</w:t>
                  </w:r>
                  <w:r>
                    <w:rPr>
                      <w:rFonts w:hint="default" w:ascii="Times New Roman" w:hAnsi="Times New Roman" w:eastAsia="宋体" w:cs="Times New Roman"/>
                      <w:color w:val="auto"/>
                      <w:sz w:val="21"/>
                      <w:szCs w:val="21"/>
                      <w:vertAlign w:val="subscript"/>
                      <w:lang w:eastAsia="zh-CN"/>
                    </w:rPr>
                    <w:t>10</w:t>
                  </w:r>
                  <w:r>
                    <w:rPr>
                      <w:rFonts w:hint="default" w:ascii="Times New Roman" w:hAnsi="Times New Roman" w:eastAsia="宋体" w:cs="Times New Roman"/>
                      <w:color w:val="auto"/>
                      <w:sz w:val="21"/>
                      <w:szCs w:val="21"/>
                      <w:lang w:eastAsia="zh-CN"/>
                    </w:rPr>
                    <w:t>自动监测)自整时起依次顺延1h的PM</w:t>
                  </w:r>
                  <w:r>
                    <w:rPr>
                      <w:rFonts w:hint="default" w:ascii="Times New Roman" w:hAnsi="Times New Roman" w:eastAsia="宋体" w:cs="Times New Roman"/>
                      <w:color w:val="auto"/>
                      <w:sz w:val="21"/>
                      <w:szCs w:val="21"/>
                      <w:vertAlign w:val="subscript"/>
                      <w:lang w:eastAsia="zh-CN"/>
                    </w:rPr>
                    <w:t>10</w:t>
                  </w:r>
                  <w:r>
                    <w:rPr>
                      <w:rFonts w:hint="default" w:ascii="Times New Roman" w:hAnsi="Times New Roman" w:eastAsia="宋体" w:cs="Times New Roman"/>
                      <w:color w:val="auto"/>
                      <w:sz w:val="21"/>
                      <w:szCs w:val="21"/>
                      <w:lang w:eastAsia="zh-CN"/>
                    </w:rPr>
                    <w:t>浓度平均值与同时段所属设区市PM</w:t>
                  </w:r>
                  <w:r>
                    <w:rPr>
                      <w:rFonts w:hint="default" w:ascii="Times New Roman" w:hAnsi="Times New Roman" w:eastAsia="宋体" w:cs="Times New Roman"/>
                      <w:color w:val="auto"/>
                      <w:sz w:val="21"/>
                      <w:szCs w:val="21"/>
                      <w:vertAlign w:val="subscript"/>
                      <w:lang w:eastAsia="zh-CN"/>
                    </w:rPr>
                    <w:t>10</w:t>
                  </w:r>
                  <w:r>
                    <w:rPr>
                      <w:rFonts w:hint="default" w:ascii="Times New Roman" w:hAnsi="Times New Roman" w:eastAsia="宋体" w:cs="Times New Roman"/>
                      <w:color w:val="auto"/>
                      <w:sz w:val="21"/>
                      <w:szCs w:val="21"/>
                      <w:lang w:eastAsia="zh-CN"/>
                    </w:rPr>
                    <w:t>小时平均浓度的差值不应超过的限值。</w:t>
                  </w:r>
                </w:p>
              </w:tc>
            </w:tr>
          </w:tbl>
          <w:p w14:paraId="18A2C96C">
            <w:pPr>
              <w:pStyle w:val="76"/>
              <w:numPr>
                <w:ilvl w:val="0"/>
                <w:numId w:val="6"/>
              </w:numPr>
              <w:spacing w:line="360" w:lineRule="auto"/>
              <w:ind w:firstLine="420"/>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eastAsia="宋体" w:cs="Times New Roman"/>
                <w:color w:val="auto"/>
                <w:kern w:val="2"/>
                <w:sz w:val="24"/>
                <w:szCs w:val="22"/>
                <w:highlight w:val="none"/>
                <w:lang w:val="en-US" w:eastAsia="zh-CN" w:bidi="ar-SA"/>
              </w:rPr>
              <w:t>运营期</w:t>
            </w:r>
          </w:p>
          <w:p w14:paraId="74BF5950">
            <w:pPr>
              <w:spacing w:line="360" w:lineRule="auto"/>
              <w:ind w:firstLine="480" w:firstLineChars="200"/>
              <w:rPr>
                <w:rFonts w:hint="default" w:ascii="Times New Roman" w:hAnsi="Times New Roman" w:eastAsia="宋体" w:cs="Times New Roman"/>
                <w:color w:val="auto"/>
                <w:sz w:val="24"/>
                <w:highlight w:val="none"/>
                <w:shd w:val="clear" w:color="auto" w:fill="auto"/>
                <w:lang w:eastAsia="zh-CN"/>
              </w:rPr>
            </w:pPr>
            <w:r>
              <w:rPr>
                <w:rFonts w:hint="default" w:ascii="Times New Roman" w:hAnsi="Times New Roman" w:eastAsia="宋体" w:cs="Times New Roman"/>
                <w:color w:val="auto"/>
                <w:sz w:val="24"/>
                <w:highlight w:val="none"/>
                <w:shd w:val="clear" w:color="auto" w:fill="auto"/>
              </w:rPr>
              <w:t>本项目</w:t>
            </w:r>
            <w:r>
              <w:rPr>
                <w:rFonts w:hint="eastAsia" w:ascii="Times New Roman" w:hAnsi="Times New Roman" w:eastAsia="宋体" w:cs="Times New Roman"/>
                <w:color w:val="auto"/>
                <w:sz w:val="24"/>
                <w:highlight w:val="none"/>
                <w:shd w:val="clear" w:color="auto" w:fill="auto"/>
                <w:lang w:val="en-US" w:eastAsia="zh-CN"/>
              </w:rPr>
              <w:t>1#排气筒排放的</w:t>
            </w:r>
            <w:r>
              <w:rPr>
                <w:rFonts w:hint="default" w:ascii="Times New Roman" w:hAnsi="Times New Roman" w:eastAsia="宋体" w:cs="Times New Roman"/>
                <w:color w:val="auto"/>
                <w:sz w:val="24"/>
                <w:highlight w:val="none"/>
                <w:shd w:val="clear" w:color="auto" w:fill="auto"/>
              </w:rPr>
              <w:t>非甲烷总烃</w:t>
            </w:r>
            <w:r>
              <w:rPr>
                <w:rFonts w:hint="eastAsia" w:ascii="Times New Roman" w:hAnsi="Times New Roman" w:eastAsia="宋体" w:cs="Times New Roman"/>
                <w:color w:val="auto"/>
                <w:sz w:val="24"/>
                <w:highlight w:val="none"/>
                <w:shd w:val="clear" w:color="auto" w:fill="auto"/>
                <w:lang w:eastAsia="zh-CN"/>
              </w:rPr>
              <w:t>、</w:t>
            </w:r>
            <w:r>
              <w:rPr>
                <w:rFonts w:hint="eastAsia" w:ascii="Times New Roman" w:hAnsi="Times New Roman" w:eastAsia="宋体" w:cs="Times New Roman"/>
                <w:color w:val="auto"/>
                <w:sz w:val="24"/>
                <w:highlight w:val="none"/>
                <w:shd w:val="clear" w:color="auto" w:fill="auto"/>
                <w:lang w:val="en-US" w:eastAsia="zh-CN"/>
              </w:rPr>
              <w:t>TVOC</w:t>
            </w:r>
            <w:r>
              <w:rPr>
                <w:rFonts w:hint="default" w:ascii="Times New Roman" w:hAnsi="Times New Roman" w:eastAsia="宋体" w:cs="Times New Roman"/>
                <w:color w:val="auto"/>
                <w:sz w:val="24"/>
                <w:highlight w:val="none"/>
                <w:shd w:val="clear" w:color="auto" w:fill="auto"/>
              </w:rPr>
              <w:t>执行《印刷工业大气污染物排放标准》（DB32 4438-2022）表1中相关标准</w:t>
            </w:r>
            <w:r>
              <w:rPr>
                <w:rFonts w:hint="eastAsia" w:ascii="Times New Roman" w:hAnsi="Times New Roman" w:eastAsia="宋体" w:cs="Times New Roman"/>
                <w:color w:val="auto"/>
                <w:sz w:val="24"/>
                <w:highlight w:val="none"/>
                <w:shd w:val="clear" w:color="auto" w:fill="auto"/>
                <w:lang w:eastAsia="zh-CN"/>
              </w:rPr>
              <w:t>，</w:t>
            </w:r>
            <w:r>
              <w:rPr>
                <w:rFonts w:hint="eastAsia" w:ascii="Times New Roman" w:hAnsi="Times New Roman" w:eastAsia="宋体" w:cs="Times New Roman"/>
                <w:color w:val="auto"/>
                <w:sz w:val="24"/>
                <w:highlight w:val="none"/>
                <w:shd w:val="clear" w:color="auto" w:fill="auto"/>
                <w:lang w:val="en-US" w:eastAsia="zh-CN"/>
              </w:rPr>
              <w:t>2#排气筒排放的</w:t>
            </w:r>
            <w:r>
              <w:rPr>
                <w:rFonts w:hint="default" w:ascii="Times New Roman" w:hAnsi="Times New Roman" w:eastAsia="宋体" w:cs="Times New Roman"/>
                <w:color w:val="auto"/>
                <w:sz w:val="24"/>
                <w:highlight w:val="none"/>
                <w:shd w:val="clear" w:color="auto" w:fill="auto"/>
              </w:rPr>
              <w:t>非甲烷总烃执行合成树脂工业污染物排放标准》（GB 31572-2015，含2024年修改单）表1中相关标准</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厂界非甲烷总烃</w:t>
            </w:r>
            <w:r>
              <w:rPr>
                <w:rFonts w:hint="eastAsia" w:ascii="Times New Roman" w:hAnsi="Times New Roman" w:eastAsia="宋体" w:cs="Times New Roman"/>
                <w:color w:val="auto"/>
                <w:sz w:val="24"/>
                <w:highlight w:val="none"/>
                <w:shd w:val="clear" w:color="auto" w:fill="auto"/>
                <w:lang w:eastAsia="zh-CN"/>
              </w:rPr>
              <w:t>、</w:t>
            </w:r>
            <w:r>
              <w:rPr>
                <w:rFonts w:hint="eastAsia" w:ascii="Times New Roman" w:hAnsi="Times New Roman" w:eastAsia="宋体" w:cs="Times New Roman"/>
                <w:color w:val="auto"/>
                <w:sz w:val="24"/>
                <w:highlight w:val="none"/>
                <w:shd w:val="clear" w:color="auto" w:fill="auto"/>
                <w:lang w:val="en-US" w:eastAsia="zh-CN"/>
              </w:rPr>
              <w:t>颗粒物</w:t>
            </w:r>
            <w:r>
              <w:rPr>
                <w:rFonts w:hint="default" w:ascii="Times New Roman" w:hAnsi="Times New Roman" w:eastAsia="宋体" w:cs="Times New Roman"/>
                <w:color w:val="auto"/>
                <w:sz w:val="24"/>
                <w:highlight w:val="none"/>
                <w:shd w:val="clear" w:color="auto" w:fill="auto"/>
              </w:rPr>
              <w:t>无组织排放执行《合成树脂工业污染物排放标准》（GB 31572-2015，含2024年修改单）中</w:t>
            </w:r>
            <w:r>
              <w:rPr>
                <w:rFonts w:hint="default" w:ascii="Times New Roman" w:hAnsi="Times New Roman" w:eastAsia="宋体" w:cs="Times New Roman"/>
                <w:color w:val="auto"/>
                <w:sz w:val="24"/>
                <w:highlight w:val="none"/>
                <w:shd w:val="clear" w:color="auto" w:fill="auto"/>
                <w:lang w:val="en-US" w:eastAsia="zh-CN"/>
              </w:rPr>
              <w:t>表</w:t>
            </w:r>
            <w:r>
              <w:rPr>
                <w:rFonts w:hint="eastAsia" w:ascii="Times New Roman" w:hAnsi="Times New Roman" w:eastAsia="宋体" w:cs="Times New Roman"/>
                <w:color w:val="auto"/>
                <w:sz w:val="24"/>
                <w:highlight w:val="none"/>
                <w:shd w:val="clear" w:color="auto" w:fill="auto"/>
                <w:lang w:val="en-US" w:eastAsia="zh-CN"/>
              </w:rPr>
              <w:t>9</w:t>
            </w:r>
            <w:r>
              <w:rPr>
                <w:rFonts w:hint="default" w:ascii="Times New Roman" w:hAnsi="Times New Roman" w:eastAsia="宋体" w:cs="Times New Roman"/>
                <w:color w:val="auto"/>
                <w:sz w:val="24"/>
                <w:highlight w:val="none"/>
                <w:shd w:val="clear" w:color="auto" w:fill="auto"/>
                <w:lang w:val="en-US" w:eastAsia="zh-CN"/>
              </w:rPr>
              <w:t>排放</w:t>
            </w:r>
            <w:r>
              <w:rPr>
                <w:rFonts w:hint="default" w:ascii="Times New Roman" w:hAnsi="Times New Roman" w:eastAsia="宋体" w:cs="Times New Roman"/>
                <w:color w:val="auto"/>
                <w:sz w:val="24"/>
                <w:highlight w:val="none"/>
                <w:shd w:val="clear" w:color="auto" w:fill="auto"/>
              </w:rPr>
              <w:t>限值</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厂区内非甲烷总烃无组织排放执行《印刷工业大气污染物排放标准》（DB32 4438-2022）中</w:t>
            </w:r>
            <w:r>
              <w:rPr>
                <w:rFonts w:hint="default" w:ascii="Times New Roman" w:hAnsi="Times New Roman" w:eastAsia="宋体" w:cs="Times New Roman"/>
                <w:color w:val="auto"/>
                <w:sz w:val="24"/>
                <w:highlight w:val="none"/>
                <w:shd w:val="clear" w:color="auto" w:fill="auto"/>
                <w:lang w:val="en-US" w:eastAsia="zh-CN"/>
              </w:rPr>
              <w:t>表3排放</w:t>
            </w:r>
            <w:r>
              <w:rPr>
                <w:rFonts w:hint="default" w:ascii="Times New Roman" w:hAnsi="Times New Roman" w:eastAsia="宋体" w:cs="Times New Roman"/>
                <w:color w:val="auto"/>
                <w:sz w:val="24"/>
                <w:highlight w:val="none"/>
                <w:shd w:val="clear" w:color="auto" w:fill="auto"/>
              </w:rPr>
              <w:t>限值</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标准值见下表。</w:t>
            </w:r>
          </w:p>
          <w:p w14:paraId="106683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4"/>
                <w:szCs w:val="24"/>
                <w:highlight w:val="none"/>
                <w:shd w:val="clear" w:color="auto" w:fill="auto"/>
                <w:lang w:val="en-US" w:eastAsia="zh-CN"/>
              </w:rPr>
            </w:pPr>
            <w:r>
              <w:rPr>
                <w:rFonts w:hint="default" w:ascii="Times New Roman" w:hAnsi="Times New Roman" w:eastAsia="宋体" w:cs="Times New Roman"/>
                <w:b/>
                <w:bCs/>
                <w:color w:val="auto"/>
                <w:sz w:val="24"/>
                <w:szCs w:val="24"/>
                <w:highlight w:val="none"/>
                <w:shd w:val="clear" w:color="auto" w:fill="auto"/>
                <w:lang w:val="en-US" w:eastAsia="zh-CN"/>
              </w:rPr>
              <w:t>表3-</w:t>
            </w:r>
            <w:r>
              <w:rPr>
                <w:rFonts w:hint="eastAsia" w:ascii="Times New Roman" w:hAnsi="Times New Roman" w:eastAsia="宋体" w:cs="Times New Roman"/>
                <w:b/>
                <w:bCs/>
                <w:color w:val="auto"/>
                <w:sz w:val="24"/>
                <w:szCs w:val="24"/>
                <w:highlight w:val="none"/>
                <w:shd w:val="clear" w:color="auto" w:fill="auto"/>
                <w:lang w:val="en-US" w:eastAsia="zh-CN"/>
              </w:rPr>
              <w:t>7</w:t>
            </w:r>
            <w:r>
              <w:rPr>
                <w:rFonts w:hint="default" w:ascii="Times New Roman" w:hAnsi="Times New Roman" w:eastAsia="宋体" w:cs="Times New Roman"/>
                <w:b/>
                <w:bCs/>
                <w:color w:val="auto"/>
                <w:sz w:val="24"/>
                <w:szCs w:val="24"/>
                <w:highlight w:val="none"/>
                <w:shd w:val="clear" w:color="auto" w:fill="auto"/>
                <w:lang w:val="en-US" w:eastAsia="zh-CN"/>
              </w:rPr>
              <w:t xml:space="preserve">  大气污染物有组织排放标准</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153"/>
              <w:gridCol w:w="1280"/>
              <w:gridCol w:w="1492"/>
              <w:gridCol w:w="1279"/>
              <w:gridCol w:w="2222"/>
            </w:tblGrid>
            <w:tr w14:paraId="4D4D0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tcBorders>
                    <w:tl2br w:val="nil"/>
                    <w:tr2bl w:val="nil"/>
                  </w:tcBorders>
                  <w:noWrap w:val="0"/>
                  <w:vAlign w:val="center"/>
                </w:tcPr>
                <w:p w14:paraId="2068AE82">
                  <w:pPr>
                    <w:pStyle w:val="9"/>
                    <w:keepNext/>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排气筒</w:t>
                  </w:r>
                </w:p>
              </w:tc>
              <w:tc>
                <w:tcPr>
                  <w:tcW w:w="695" w:type="pct"/>
                  <w:tcBorders>
                    <w:tl2br w:val="nil"/>
                    <w:tr2bl w:val="nil"/>
                  </w:tcBorders>
                  <w:noWrap w:val="0"/>
                  <w:vAlign w:val="center"/>
                </w:tcPr>
                <w:p w14:paraId="7B389012">
                  <w:pPr>
                    <w:pStyle w:val="9"/>
                    <w:keepNext/>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污染工段</w:t>
                  </w:r>
                </w:p>
              </w:tc>
              <w:tc>
                <w:tcPr>
                  <w:tcW w:w="771" w:type="pct"/>
                  <w:tcBorders>
                    <w:tl2br w:val="nil"/>
                    <w:tr2bl w:val="nil"/>
                  </w:tcBorders>
                  <w:noWrap w:val="0"/>
                  <w:vAlign w:val="center"/>
                </w:tcPr>
                <w:p w14:paraId="567097B9">
                  <w:pPr>
                    <w:pStyle w:val="9"/>
                    <w:keepNext/>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污染物</w:t>
                  </w:r>
                </w:p>
              </w:tc>
              <w:tc>
                <w:tcPr>
                  <w:tcW w:w="899" w:type="pct"/>
                  <w:tcBorders>
                    <w:tl2br w:val="nil"/>
                    <w:tr2bl w:val="nil"/>
                  </w:tcBorders>
                  <w:noWrap w:val="0"/>
                  <w:vAlign w:val="center"/>
                </w:tcPr>
                <w:p w14:paraId="754DF27E">
                  <w:pPr>
                    <w:keepNext/>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kern w:val="2"/>
                      <w:sz w:val="21"/>
                      <w:szCs w:val="21"/>
                      <w:highlight w:val="none"/>
                      <w:shd w:val="clear" w:color="auto" w:fill="auto"/>
                    </w:rPr>
                    <w:t>最高允许排放浓度（</w:t>
                  </w:r>
                  <w:r>
                    <w:rPr>
                      <w:rFonts w:hint="default" w:ascii="Times New Roman" w:hAnsi="Times New Roman" w:eastAsia="宋体" w:cs="Times New Roman"/>
                      <w:b/>
                      <w:bCs/>
                      <w:color w:val="auto"/>
                      <w:sz w:val="21"/>
                      <w:szCs w:val="21"/>
                      <w:highlight w:val="none"/>
                      <w:shd w:val="clear" w:color="auto" w:fill="auto"/>
                    </w:rPr>
                    <w:t>mg/m</w:t>
                  </w:r>
                  <w:r>
                    <w:rPr>
                      <w:rFonts w:hint="default" w:ascii="Times New Roman" w:hAnsi="Times New Roman" w:eastAsia="宋体" w:cs="Times New Roman"/>
                      <w:b/>
                      <w:bCs/>
                      <w:color w:val="auto"/>
                      <w:sz w:val="21"/>
                      <w:szCs w:val="21"/>
                      <w:highlight w:val="none"/>
                      <w:shd w:val="clear" w:color="auto" w:fill="auto"/>
                      <w:vertAlign w:val="superscript"/>
                    </w:rPr>
                    <w:t>3</w:t>
                  </w:r>
                  <w:r>
                    <w:rPr>
                      <w:rFonts w:hint="default" w:ascii="Times New Roman" w:hAnsi="Times New Roman" w:eastAsia="宋体" w:cs="Times New Roman"/>
                      <w:b/>
                      <w:bCs/>
                      <w:color w:val="auto"/>
                      <w:kern w:val="2"/>
                      <w:sz w:val="21"/>
                      <w:szCs w:val="21"/>
                      <w:highlight w:val="none"/>
                      <w:shd w:val="clear" w:color="auto" w:fill="auto"/>
                    </w:rPr>
                    <w:t>）</w:t>
                  </w:r>
                </w:p>
              </w:tc>
              <w:tc>
                <w:tcPr>
                  <w:tcW w:w="771" w:type="pct"/>
                  <w:tcBorders>
                    <w:tl2br w:val="nil"/>
                    <w:tr2bl w:val="nil"/>
                  </w:tcBorders>
                  <w:noWrap w:val="0"/>
                  <w:vAlign w:val="center"/>
                </w:tcPr>
                <w:p w14:paraId="4FFD3E68">
                  <w:pPr>
                    <w:keepNext/>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shd w:val="clear" w:color="auto" w:fill="auto"/>
                    </w:rPr>
                  </w:pPr>
                  <w:r>
                    <w:rPr>
                      <w:rFonts w:hint="default" w:ascii="Times New Roman" w:hAnsi="Times New Roman" w:eastAsia="宋体" w:cs="Times New Roman"/>
                      <w:b/>
                      <w:bCs/>
                      <w:color w:val="auto"/>
                      <w:kern w:val="2"/>
                      <w:sz w:val="21"/>
                      <w:szCs w:val="21"/>
                      <w:highlight w:val="none"/>
                      <w:shd w:val="clear" w:color="auto" w:fill="auto"/>
                    </w:rPr>
                    <w:t>最高允许排放速率kg/h</w:t>
                  </w:r>
                </w:p>
              </w:tc>
              <w:tc>
                <w:tcPr>
                  <w:tcW w:w="1339" w:type="pct"/>
                  <w:tcBorders>
                    <w:tl2br w:val="nil"/>
                    <w:tr2bl w:val="nil"/>
                  </w:tcBorders>
                  <w:noWrap w:val="0"/>
                  <w:vAlign w:val="center"/>
                </w:tcPr>
                <w:p w14:paraId="5544A162">
                  <w:pPr>
                    <w:keepNext/>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标准</w:t>
                  </w:r>
                </w:p>
              </w:tc>
            </w:tr>
            <w:tr w14:paraId="3A5A7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23" w:type="pct"/>
                  <w:vMerge w:val="restart"/>
                  <w:tcBorders>
                    <w:tl2br w:val="nil"/>
                    <w:tr2bl w:val="nil"/>
                  </w:tcBorders>
                  <w:noWrap w:val="0"/>
                  <w:vAlign w:val="center"/>
                </w:tcPr>
                <w:p w14:paraId="704CE627">
                  <w:pPr>
                    <w:pStyle w:val="60"/>
                    <w:keepNext/>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1#</w:t>
                  </w:r>
                </w:p>
              </w:tc>
              <w:tc>
                <w:tcPr>
                  <w:tcW w:w="695" w:type="pct"/>
                  <w:vMerge w:val="restart"/>
                  <w:tcBorders>
                    <w:tl2br w:val="nil"/>
                    <w:tr2bl w:val="nil"/>
                  </w:tcBorders>
                  <w:noWrap w:val="0"/>
                  <w:vAlign w:val="center"/>
                </w:tcPr>
                <w:p w14:paraId="59210D75">
                  <w:pPr>
                    <w:pStyle w:val="60"/>
                    <w:keepNext/>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default" w:ascii="Times New Roman" w:hAnsi="Times New Roman" w:eastAsia="宋体" w:cs="Times New Roman"/>
                      <w:color w:val="auto"/>
                      <w:kern w:val="2"/>
                      <w:sz w:val="21"/>
                      <w:szCs w:val="21"/>
                      <w:highlight w:val="none"/>
                      <w:u w:val="none"/>
                      <w:shd w:val="clear" w:color="auto" w:fill="auto"/>
                      <w:lang w:val="en-US" w:eastAsia="zh-CN" w:bidi="ar-SA"/>
                    </w:rPr>
                    <w:t>复合、熟化、</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调墨、印刷、清洗</w:t>
                  </w:r>
                </w:p>
              </w:tc>
              <w:tc>
                <w:tcPr>
                  <w:tcW w:w="771" w:type="pct"/>
                  <w:tcBorders>
                    <w:tl2br w:val="nil"/>
                    <w:tr2bl w:val="nil"/>
                  </w:tcBorders>
                  <w:shd w:val="clear" w:color="auto" w:fill="auto"/>
                  <w:noWrap w:val="0"/>
                  <w:vAlign w:val="center"/>
                </w:tcPr>
                <w:p w14:paraId="578E6F89">
                  <w:pPr>
                    <w:pStyle w:val="60"/>
                    <w:keepNext/>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default" w:ascii="Times New Roman" w:hAnsi="Times New Roman" w:eastAsia="宋体" w:cs="Times New Roman"/>
                      <w:color w:val="auto"/>
                      <w:kern w:val="2"/>
                      <w:sz w:val="21"/>
                      <w:szCs w:val="21"/>
                      <w:highlight w:val="none"/>
                      <w:u w:val="none"/>
                      <w:shd w:val="clear" w:color="auto" w:fill="auto"/>
                      <w:lang w:val="en-US" w:eastAsia="zh-CN" w:bidi="ar-SA"/>
                    </w:rPr>
                    <w:t>非甲烷总烃</w:t>
                  </w:r>
                </w:p>
              </w:tc>
              <w:tc>
                <w:tcPr>
                  <w:tcW w:w="899" w:type="pct"/>
                  <w:tcBorders>
                    <w:tl2br w:val="nil"/>
                    <w:tr2bl w:val="nil"/>
                  </w:tcBorders>
                  <w:shd w:val="clear" w:color="auto" w:fill="auto"/>
                  <w:noWrap w:val="0"/>
                  <w:vAlign w:val="center"/>
                </w:tcPr>
                <w:p w14:paraId="27D74B59">
                  <w:pPr>
                    <w:keepNext/>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50</w:t>
                  </w:r>
                </w:p>
              </w:tc>
              <w:tc>
                <w:tcPr>
                  <w:tcW w:w="771" w:type="pct"/>
                  <w:tcBorders>
                    <w:tl2br w:val="nil"/>
                    <w:tr2bl w:val="nil"/>
                  </w:tcBorders>
                  <w:shd w:val="clear" w:color="auto" w:fill="auto"/>
                  <w:noWrap w:val="0"/>
                  <w:vAlign w:val="center"/>
                </w:tcPr>
                <w:p w14:paraId="3A3A17FD">
                  <w:pPr>
                    <w:keepNext/>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1.8</w:t>
                  </w:r>
                </w:p>
              </w:tc>
              <w:tc>
                <w:tcPr>
                  <w:tcW w:w="1339" w:type="pct"/>
                  <w:vMerge w:val="restart"/>
                  <w:tcBorders>
                    <w:tl2br w:val="nil"/>
                    <w:tr2bl w:val="nil"/>
                  </w:tcBorders>
                  <w:shd w:val="clear" w:color="auto" w:fill="auto"/>
                  <w:noWrap w:val="0"/>
                  <w:vAlign w:val="center"/>
                </w:tcPr>
                <w:p w14:paraId="2D7F347E">
                  <w:pPr>
                    <w:keepNext/>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lang w:val="en-US" w:eastAsia="zh-CN"/>
                    </w:rPr>
                    <w:t>《印刷工业大气污染物排放标准》（DB32 4438-2022）</w:t>
                  </w:r>
                  <w:r>
                    <w:rPr>
                      <w:rFonts w:hint="eastAsia" w:ascii="Times New Roman" w:hAnsi="Times New Roman" w:eastAsia="宋体" w:cs="Times New Roman"/>
                      <w:bCs/>
                      <w:color w:val="auto"/>
                      <w:sz w:val="21"/>
                      <w:szCs w:val="21"/>
                      <w:highlight w:val="none"/>
                      <w:shd w:val="clear" w:color="auto" w:fill="auto"/>
                      <w:vertAlign w:val="superscript"/>
                      <w:lang w:val="en-US" w:eastAsia="zh-CN"/>
                    </w:rPr>
                    <w:t>②</w:t>
                  </w:r>
                </w:p>
              </w:tc>
            </w:tr>
            <w:tr w14:paraId="12E0F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vMerge w:val="continue"/>
                  <w:tcBorders>
                    <w:tl2br w:val="nil"/>
                    <w:tr2bl w:val="nil"/>
                  </w:tcBorders>
                  <w:noWrap w:val="0"/>
                  <w:vAlign w:val="center"/>
                </w:tcPr>
                <w:p w14:paraId="53DB7777">
                  <w:pPr>
                    <w:pStyle w:val="60"/>
                    <w:keepNext/>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p>
              </w:tc>
              <w:tc>
                <w:tcPr>
                  <w:tcW w:w="695" w:type="pct"/>
                  <w:vMerge w:val="continue"/>
                  <w:tcBorders>
                    <w:tl2br w:val="nil"/>
                    <w:tr2bl w:val="nil"/>
                  </w:tcBorders>
                  <w:noWrap w:val="0"/>
                  <w:vAlign w:val="center"/>
                </w:tcPr>
                <w:p w14:paraId="6840F696">
                  <w:pPr>
                    <w:pStyle w:val="60"/>
                    <w:keepNext/>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p>
              </w:tc>
              <w:tc>
                <w:tcPr>
                  <w:tcW w:w="771" w:type="pct"/>
                  <w:tcBorders>
                    <w:tl2br w:val="nil"/>
                    <w:tr2bl w:val="nil"/>
                  </w:tcBorders>
                  <w:noWrap w:val="0"/>
                  <w:vAlign w:val="center"/>
                </w:tcPr>
                <w:p w14:paraId="313D1F70">
                  <w:pPr>
                    <w:pStyle w:val="60"/>
                    <w:keepNext/>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TVOC</w:t>
                  </w:r>
                  <w:r>
                    <w:rPr>
                      <w:rFonts w:hint="eastAsia" w:ascii="Times New Roman" w:hAnsi="Times New Roman" w:eastAsia="宋体" w:cs="Times New Roman"/>
                      <w:color w:val="auto"/>
                      <w:kern w:val="2"/>
                      <w:sz w:val="21"/>
                      <w:szCs w:val="21"/>
                      <w:highlight w:val="none"/>
                      <w:u w:val="none"/>
                      <w:shd w:val="clear" w:color="auto" w:fill="auto"/>
                      <w:vertAlign w:val="superscript"/>
                      <w:lang w:val="en-US" w:eastAsia="zh-CN" w:bidi="ar-SA"/>
                    </w:rPr>
                    <w:t>①</w:t>
                  </w:r>
                </w:p>
              </w:tc>
              <w:tc>
                <w:tcPr>
                  <w:tcW w:w="899" w:type="pct"/>
                  <w:tcBorders>
                    <w:tl2br w:val="nil"/>
                    <w:tr2bl w:val="nil"/>
                  </w:tcBorders>
                  <w:shd w:val="clear" w:color="auto" w:fill="auto"/>
                  <w:noWrap w:val="0"/>
                  <w:vAlign w:val="center"/>
                </w:tcPr>
                <w:p w14:paraId="33F252D2">
                  <w:pPr>
                    <w:keepNext/>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70</w:t>
                  </w:r>
                </w:p>
              </w:tc>
              <w:tc>
                <w:tcPr>
                  <w:tcW w:w="771" w:type="pct"/>
                  <w:tcBorders>
                    <w:tl2br w:val="nil"/>
                    <w:tr2bl w:val="nil"/>
                  </w:tcBorders>
                  <w:shd w:val="clear" w:color="auto" w:fill="auto"/>
                  <w:noWrap w:val="0"/>
                  <w:vAlign w:val="center"/>
                </w:tcPr>
                <w:p w14:paraId="23F78077">
                  <w:pPr>
                    <w:keepNext/>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2.5</w:t>
                  </w:r>
                </w:p>
              </w:tc>
              <w:tc>
                <w:tcPr>
                  <w:tcW w:w="1339" w:type="pct"/>
                  <w:vMerge w:val="continue"/>
                  <w:tcBorders>
                    <w:tl2br w:val="nil"/>
                    <w:tr2bl w:val="nil"/>
                  </w:tcBorders>
                  <w:shd w:val="clear" w:color="auto" w:fill="auto"/>
                  <w:noWrap w:val="0"/>
                  <w:vAlign w:val="center"/>
                </w:tcPr>
                <w:p w14:paraId="3A3C17C6">
                  <w:pPr>
                    <w:keepNext/>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kern w:val="2"/>
                      <w:sz w:val="21"/>
                      <w:szCs w:val="21"/>
                      <w:highlight w:val="none"/>
                      <w:shd w:val="clear" w:color="auto" w:fill="auto"/>
                      <w:lang w:val="en-US" w:eastAsia="zh-CN" w:bidi="ar-SA"/>
                    </w:rPr>
                  </w:pPr>
                </w:p>
              </w:tc>
            </w:tr>
            <w:tr w14:paraId="00413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3" w:type="pct"/>
                  <w:tcBorders>
                    <w:tl2br w:val="nil"/>
                    <w:tr2bl w:val="nil"/>
                  </w:tcBorders>
                  <w:noWrap w:val="0"/>
                  <w:vAlign w:val="center"/>
                </w:tcPr>
                <w:p w14:paraId="0FEFB546">
                  <w:pPr>
                    <w:pStyle w:val="60"/>
                    <w:keepNext/>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2#</w:t>
                  </w:r>
                </w:p>
              </w:tc>
              <w:tc>
                <w:tcPr>
                  <w:tcW w:w="695" w:type="pct"/>
                  <w:tcBorders>
                    <w:tl2br w:val="nil"/>
                    <w:tr2bl w:val="nil"/>
                  </w:tcBorders>
                  <w:noWrap w:val="0"/>
                  <w:vAlign w:val="center"/>
                </w:tcPr>
                <w:p w14:paraId="513BDB35">
                  <w:pPr>
                    <w:pStyle w:val="60"/>
                    <w:keepNext/>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吹膜、制袋</w:t>
                  </w:r>
                </w:p>
              </w:tc>
              <w:tc>
                <w:tcPr>
                  <w:tcW w:w="771" w:type="pct"/>
                  <w:tcBorders>
                    <w:tl2br w:val="nil"/>
                    <w:tr2bl w:val="nil"/>
                  </w:tcBorders>
                  <w:noWrap w:val="0"/>
                  <w:vAlign w:val="center"/>
                </w:tcPr>
                <w:p w14:paraId="6697AE6E">
                  <w:pPr>
                    <w:pStyle w:val="60"/>
                    <w:keepNext/>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eastAsia" w:ascii="Times New Roman" w:hAnsi="Times New Roman" w:eastAsia="宋体" w:cs="Times New Roman"/>
                      <w:color w:val="auto"/>
                      <w:kern w:val="2"/>
                      <w:sz w:val="21"/>
                      <w:szCs w:val="21"/>
                      <w:highlight w:val="none"/>
                      <w:u w:val="none"/>
                      <w:shd w:val="clear" w:color="auto" w:fill="auto"/>
                      <w:lang w:val="en-US" w:eastAsia="zh-CN" w:bidi="ar-SA"/>
                    </w:rPr>
                  </w:pPr>
                  <w:r>
                    <w:rPr>
                      <w:rFonts w:hint="default" w:ascii="Times New Roman" w:hAnsi="Times New Roman" w:eastAsia="宋体" w:cs="Times New Roman"/>
                      <w:color w:val="auto"/>
                      <w:kern w:val="2"/>
                      <w:sz w:val="21"/>
                      <w:szCs w:val="21"/>
                      <w:highlight w:val="none"/>
                      <w:u w:val="none"/>
                      <w:shd w:val="clear" w:color="auto" w:fill="auto"/>
                      <w:lang w:val="en-US" w:eastAsia="zh-CN" w:bidi="ar-SA"/>
                    </w:rPr>
                    <w:t>非甲烷总烃</w:t>
                  </w:r>
                </w:p>
              </w:tc>
              <w:tc>
                <w:tcPr>
                  <w:tcW w:w="899" w:type="pct"/>
                  <w:tcBorders>
                    <w:tl2br w:val="nil"/>
                    <w:tr2bl w:val="nil"/>
                  </w:tcBorders>
                  <w:shd w:val="clear" w:color="auto" w:fill="auto"/>
                  <w:noWrap w:val="0"/>
                  <w:vAlign w:val="center"/>
                </w:tcPr>
                <w:p w14:paraId="6EA4BF18">
                  <w:pPr>
                    <w:keepNext/>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60</w:t>
                  </w:r>
                </w:p>
              </w:tc>
              <w:tc>
                <w:tcPr>
                  <w:tcW w:w="771" w:type="pct"/>
                  <w:tcBorders>
                    <w:tl2br w:val="nil"/>
                    <w:tr2bl w:val="nil"/>
                  </w:tcBorders>
                  <w:shd w:val="clear" w:color="auto" w:fill="auto"/>
                  <w:noWrap w:val="0"/>
                  <w:vAlign w:val="center"/>
                </w:tcPr>
                <w:p w14:paraId="637E67CB">
                  <w:pPr>
                    <w:keepNext/>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1339" w:type="pct"/>
                  <w:tcBorders>
                    <w:tl2br w:val="nil"/>
                    <w:tr2bl w:val="nil"/>
                  </w:tcBorders>
                  <w:shd w:val="clear" w:color="auto" w:fill="auto"/>
                  <w:noWrap w:val="0"/>
                  <w:vAlign w:val="center"/>
                </w:tcPr>
                <w:p w14:paraId="4F3D9CB0">
                  <w:pPr>
                    <w:keepNext/>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u w:val="none"/>
                      <w:shd w:val="clear" w:color="auto" w:fill="auto"/>
                      <w:lang w:val="en-US" w:eastAsia="zh-CN" w:bidi="ar-SA"/>
                    </w:rPr>
                    <w:t>合成树脂工业污染物排放标准》（GB 31572-2015</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w:t>
                  </w:r>
                  <w:r>
                    <w:rPr>
                      <w:rFonts w:hint="eastAsia" w:ascii="Times New Roman" w:hAnsi="Times New Roman" w:eastAsia="宋体" w:cs="Times New Roman"/>
                      <w:color w:val="auto"/>
                      <w:szCs w:val="21"/>
                      <w:highlight w:val="none"/>
                      <w:u w:val="none"/>
                      <w:shd w:val="clear" w:color="auto" w:fill="auto"/>
                    </w:rPr>
                    <w:t>含2024年修改单</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w:t>
                  </w:r>
                </w:p>
              </w:tc>
            </w:tr>
            <w:tr w14:paraId="3F97D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14:paraId="341CB879">
                  <w:pPr>
                    <w:keepNext/>
                    <w:keepLines w:val="0"/>
                    <w:pageBreakBefore w:val="0"/>
                    <w:widowControl w:val="0"/>
                    <w:suppressLineNumbers w:val="0"/>
                    <w:kinsoku/>
                    <w:wordWrap/>
                    <w:overflowPunct/>
                    <w:topLinePunct w:val="0"/>
                    <w:autoSpaceDE/>
                    <w:autoSpaceDN/>
                    <w:bidi w:val="0"/>
                    <w:jc w:val="left"/>
                    <w:textAlignment w:val="auto"/>
                    <w:rPr>
                      <w:rFonts w:hint="default" w:ascii="Times New Roman" w:hAnsi="Times New Roman" w:eastAsia="宋体" w:cs="Times New Roman"/>
                      <w:color w:val="auto"/>
                      <w:kern w:val="0"/>
                      <w:sz w:val="21"/>
                      <w:szCs w:val="21"/>
                      <w:shd w:val="clear" w:color="auto" w:fill="auto"/>
                      <w:lang w:val="en-US" w:eastAsia="zh-CN" w:bidi="ar"/>
                    </w:rPr>
                  </w:pPr>
                  <w:r>
                    <w:rPr>
                      <w:rFonts w:hint="eastAsia" w:ascii="Times New Roman" w:hAnsi="Times New Roman" w:eastAsia="宋体" w:cs="Times New Roman"/>
                      <w:color w:val="auto"/>
                      <w:kern w:val="0"/>
                      <w:sz w:val="21"/>
                      <w:szCs w:val="21"/>
                      <w:shd w:val="clear" w:color="auto" w:fill="auto"/>
                      <w:lang w:val="en-US" w:eastAsia="zh-CN" w:bidi="ar"/>
                    </w:rPr>
                    <w:t>注：①本项目粘合剂不含</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《工业涂装工序大气污染物排放标准》（DB32</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 xml:space="preserve"> </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4439-2022）</w:t>
                  </w:r>
                  <w:r>
                    <w:rPr>
                      <w:rFonts w:hint="eastAsia" w:ascii="Times New Roman" w:hAnsi="Times New Roman" w:eastAsia="宋体" w:cs="Times New Roman"/>
                      <w:color w:val="auto"/>
                      <w:kern w:val="0"/>
                      <w:sz w:val="21"/>
                      <w:szCs w:val="21"/>
                      <w:shd w:val="clear" w:color="auto" w:fill="auto"/>
                      <w:lang w:val="en-US" w:eastAsia="zh-CN" w:bidi="ar"/>
                    </w:rPr>
                    <w:t>附录A中的物质。油墨、乙酸乙酯原料含有《印刷工业大气污染物排放标准》（DB32 4438-2022）附录A中的异丙醇、乙酸乙酯物质，故对TVOC进行监测。</w:t>
                  </w:r>
                </w:p>
                <w:p w14:paraId="137FCA2A">
                  <w:pPr>
                    <w:keepNext/>
                    <w:keepLines w:val="0"/>
                    <w:pageBreakBefore w:val="0"/>
                    <w:widowControl w:val="0"/>
                    <w:suppressLineNumbers w:val="0"/>
                    <w:kinsoku/>
                    <w:wordWrap/>
                    <w:overflowPunct/>
                    <w:topLinePunct w:val="0"/>
                    <w:autoSpaceDE/>
                    <w:autoSpaceDN/>
                    <w:bidi w:val="0"/>
                    <w:ind w:firstLine="420" w:firstLineChars="200"/>
                    <w:jc w:val="left"/>
                    <w:textAlignment w:val="auto"/>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shd w:val="clear" w:color="auto" w:fill="auto"/>
                      <w:lang w:val="en-US" w:eastAsia="zh-CN" w:bidi="ar"/>
                    </w:rPr>
                    <w:t>②</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调墨、</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印刷工序产生的非甲烷总烃执行《印刷工业大气污染物排放标准》（DB32</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 xml:space="preserve"> </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4438-2022）表1大气污染物排放限值及表</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3</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厂区内无组织排放监控要求</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；复合、熟化</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工序产生的非甲烷总烃执行《工业涂装工序大气污染物排放标准》（DB32</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 xml:space="preserve"> </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4439-2022）表1大气污染物排放限值及表</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3</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厂区内无组织排放监控要求</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；清洗</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工序产生的非甲烷总烃执行《大气污染物综合排放标准》（DB32/4041-2021）表1大气污染物排放限值</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、表2</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厂区内无组织排放监控要求</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及表3</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企业边界大气污染物浓度限值要求。本项目</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复合、熟化、调墨、</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印刷</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、清洗</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工序废气经过1根排气筒排放，</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因此</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非甲烷总烃排放浓度从严执行，则本项目非甲烷总烃</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、TVOC有组织</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排放浓度执行《印刷工业大气污染物排放标准》（DB32</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 xml:space="preserve"> </w:t>
                  </w:r>
                  <w:r>
                    <w:rPr>
                      <w:rFonts w:hint="default" w:ascii="Times New Roman" w:hAnsi="Times New Roman" w:eastAsia="宋体" w:cs="Times New Roman"/>
                      <w:color w:val="auto"/>
                      <w:kern w:val="2"/>
                      <w:sz w:val="21"/>
                      <w:szCs w:val="21"/>
                      <w:highlight w:val="none"/>
                      <w:u w:val="none"/>
                      <w:shd w:val="clear" w:color="auto" w:fill="auto"/>
                      <w:lang w:val="en-US" w:eastAsia="zh-CN" w:bidi="ar-SA"/>
                    </w:rPr>
                    <w:t>4438-2022）表1大气污染物排放限值要求</w:t>
                  </w:r>
                  <w:r>
                    <w:rPr>
                      <w:rFonts w:hint="eastAsia" w:ascii="Times New Roman" w:hAnsi="Times New Roman" w:eastAsia="宋体" w:cs="Times New Roman"/>
                      <w:color w:val="auto"/>
                      <w:kern w:val="2"/>
                      <w:sz w:val="21"/>
                      <w:szCs w:val="21"/>
                      <w:highlight w:val="none"/>
                      <w:u w:val="none"/>
                      <w:shd w:val="clear" w:color="auto" w:fill="auto"/>
                      <w:lang w:val="en-US" w:eastAsia="zh-CN" w:bidi="ar-SA"/>
                    </w:rPr>
                    <w:t>。</w:t>
                  </w:r>
                </w:p>
              </w:tc>
            </w:tr>
          </w:tbl>
          <w:p w14:paraId="224034F1">
            <w:pPr>
              <w:pStyle w:val="85"/>
              <w:rPr>
                <w:rFonts w:hint="default" w:ascii="Times New Roman" w:hAnsi="Times New Roman" w:eastAsia="宋体" w:cs="Times New Roman"/>
                <w:color w:val="auto"/>
                <w:sz w:val="24"/>
                <w:szCs w:val="24"/>
                <w:shd w:val="clear" w:color="auto" w:fill="auto"/>
              </w:rPr>
            </w:pPr>
            <w:r>
              <w:rPr>
                <w:rFonts w:hint="default" w:ascii="Times New Roman" w:hAnsi="Times New Roman" w:eastAsia="宋体" w:cs="Times New Roman"/>
                <w:color w:val="auto"/>
                <w:sz w:val="24"/>
                <w:szCs w:val="24"/>
                <w:shd w:val="clear" w:color="auto" w:fill="auto"/>
              </w:rPr>
              <w:t>表</w:t>
            </w:r>
            <w:r>
              <w:rPr>
                <w:rFonts w:hint="default" w:ascii="Times New Roman" w:hAnsi="Times New Roman" w:eastAsia="宋体" w:cs="Times New Roman"/>
                <w:color w:val="auto"/>
                <w:sz w:val="24"/>
                <w:szCs w:val="24"/>
                <w:shd w:val="clear" w:color="auto" w:fill="auto"/>
                <w:lang w:val="en-US" w:eastAsia="zh-CN"/>
              </w:rPr>
              <w:t>3</w:t>
            </w:r>
            <w:r>
              <w:rPr>
                <w:rFonts w:hint="default" w:ascii="Times New Roman" w:hAnsi="Times New Roman" w:eastAsia="宋体" w:cs="Times New Roman"/>
                <w:color w:val="auto"/>
                <w:sz w:val="24"/>
                <w:szCs w:val="24"/>
                <w:shd w:val="clear" w:color="auto" w:fill="auto"/>
              </w:rPr>
              <w:t>-</w:t>
            </w:r>
            <w:r>
              <w:rPr>
                <w:rFonts w:hint="eastAsia" w:cs="Times New Roman"/>
                <w:color w:val="auto"/>
                <w:sz w:val="24"/>
                <w:szCs w:val="24"/>
                <w:shd w:val="clear" w:color="auto" w:fill="auto"/>
                <w:lang w:val="en-US" w:eastAsia="zh-CN"/>
              </w:rPr>
              <w:t>8</w:t>
            </w:r>
            <w:r>
              <w:rPr>
                <w:rFonts w:hint="default" w:ascii="Times New Roman" w:hAnsi="Times New Roman" w:eastAsia="宋体" w:cs="Times New Roman"/>
                <w:color w:val="auto"/>
                <w:sz w:val="24"/>
                <w:szCs w:val="24"/>
                <w:shd w:val="clear" w:color="auto" w:fill="auto"/>
              </w:rPr>
              <w:t xml:space="preserve">  厂界无组织废气污染物排放监控浓度限值</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56"/>
              <w:gridCol w:w="1964"/>
              <w:gridCol w:w="1918"/>
              <w:gridCol w:w="3048"/>
            </w:tblGrid>
            <w:tr w14:paraId="1EADF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8" w:type="pct"/>
                  <w:vMerge w:val="restart"/>
                  <w:tcBorders>
                    <w:tl2br w:val="nil"/>
                    <w:tr2bl w:val="nil"/>
                  </w:tcBorders>
                  <w:noWrap w:val="0"/>
                  <w:vAlign w:val="center"/>
                </w:tcPr>
                <w:p w14:paraId="63B54460">
                  <w:pPr>
                    <w:pStyle w:val="79"/>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污染物名称</w:t>
                  </w:r>
                </w:p>
              </w:tc>
              <w:tc>
                <w:tcPr>
                  <w:tcW w:w="2342" w:type="pct"/>
                  <w:gridSpan w:val="2"/>
                  <w:tcBorders>
                    <w:tl2br w:val="nil"/>
                    <w:tr2bl w:val="nil"/>
                  </w:tcBorders>
                  <w:noWrap w:val="0"/>
                  <w:vAlign w:val="center"/>
                </w:tcPr>
                <w:p w14:paraId="286CBCE2">
                  <w:pPr>
                    <w:pStyle w:val="79"/>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无组织排放监控浓度限值</w:t>
                  </w:r>
                </w:p>
              </w:tc>
              <w:tc>
                <w:tcPr>
                  <w:tcW w:w="1839" w:type="pct"/>
                  <w:vMerge w:val="restart"/>
                  <w:tcBorders>
                    <w:tl2br w:val="nil"/>
                    <w:tr2bl w:val="nil"/>
                  </w:tcBorders>
                  <w:noWrap w:val="0"/>
                  <w:vAlign w:val="center"/>
                </w:tcPr>
                <w:p w14:paraId="4355807D">
                  <w:pPr>
                    <w:pStyle w:val="79"/>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标准</w:t>
                  </w:r>
                </w:p>
              </w:tc>
            </w:tr>
            <w:tr w14:paraId="42753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8" w:type="pct"/>
                  <w:vMerge w:val="continue"/>
                  <w:tcBorders>
                    <w:tl2br w:val="nil"/>
                    <w:tr2bl w:val="nil"/>
                  </w:tcBorders>
                  <w:noWrap w:val="0"/>
                  <w:vAlign w:val="center"/>
                </w:tcPr>
                <w:p w14:paraId="1DC6AD25">
                  <w:pPr>
                    <w:pStyle w:val="79"/>
                    <w:rPr>
                      <w:rFonts w:hint="default" w:ascii="Times New Roman" w:hAnsi="Times New Roman" w:eastAsia="宋体" w:cs="Times New Roman"/>
                      <w:b/>
                      <w:bCs/>
                      <w:color w:val="auto"/>
                      <w:sz w:val="21"/>
                      <w:szCs w:val="21"/>
                      <w:shd w:val="clear" w:color="auto" w:fill="auto"/>
                    </w:rPr>
                  </w:pPr>
                </w:p>
              </w:tc>
              <w:tc>
                <w:tcPr>
                  <w:tcW w:w="1185" w:type="pct"/>
                  <w:tcBorders>
                    <w:tl2br w:val="nil"/>
                    <w:tr2bl w:val="nil"/>
                  </w:tcBorders>
                  <w:noWrap w:val="0"/>
                  <w:vAlign w:val="center"/>
                </w:tcPr>
                <w:p w14:paraId="7BE66EDD">
                  <w:pPr>
                    <w:pStyle w:val="79"/>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监控位置</w:t>
                  </w:r>
                </w:p>
              </w:tc>
              <w:tc>
                <w:tcPr>
                  <w:tcW w:w="1157" w:type="pct"/>
                  <w:tcBorders>
                    <w:tl2br w:val="nil"/>
                    <w:tr2bl w:val="nil"/>
                  </w:tcBorders>
                  <w:noWrap w:val="0"/>
                  <w:vAlign w:val="center"/>
                </w:tcPr>
                <w:p w14:paraId="318017E6">
                  <w:pPr>
                    <w:pStyle w:val="79"/>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浓度（mg/m</w:t>
                  </w:r>
                  <w:r>
                    <w:rPr>
                      <w:rFonts w:hint="default" w:ascii="Times New Roman" w:hAnsi="Times New Roman" w:eastAsia="宋体" w:cs="Times New Roman"/>
                      <w:b/>
                      <w:bCs/>
                      <w:color w:val="auto"/>
                      <w:sz w:val="21"/>
                      <w:szCs w:val="21"/>
                      <w:shd w:val="clear" w:color="auto" w:fill="auto"/>
                      <w:vertAlign w:val="superscript"/>
                    </w:rPr>
                    <w:t>3</w:t>
                  </w:r>
                  <w:r>
                    <w:rPr>
                      <w:rFonts w:hint="default" w:ascii="Times New Roman" w:hAnsi="Times New Roman" w:eastAsia="宋体" w:cs="Times New Roman"/>
                      <w:b/>
                      <w:bCs/>
                      <w:color w:val="auto"/>
                      <w:sz w:val="21"/>
                      <w:szCs w:val="21"/>
                      <w:shd w:val="clear" w:color="auto" w:fill="auto"/>
                    </w:rPr>
                    <w:t>）</w:t>
                  </w:r>
                </w:p>
              </w:tc>
              <w:tc>
                <w:tcPr>
                  <w:tcW w:w="1839" w:type="pct"/>
                  <w:vMerge w:val="continue"/>
                  <w:tcBorders>
                    <w:tl2br w:val="nil"/>
                    <w:tr2bl w:val="nil"/>
                  </w:tcBorders>
                  <w:noWrap w:val="0"/>
                  <w:vAlign w:val="center"/>
                </w:tcPr>
                <w:p w14:paraId="129E7E23">
                  <w:pPr>
                    <w:pStyle w:val="79"/>
                    <w:rPr>
                      <w:rFonts w:hint="default" w:ascii="Times New Roman" w:hAnsi="Times New Roman" w:eastAsia="宋体" w:cs="Times New Roman"/>
                      <w:b/>
                      <w:bCs/>
                      <w:color w:val="auto"/>
                      <w:sz w:val="21"/>
                      <w:szCs w:val="21"/>
                      <w:shd w:val="clear" w:color="auto" w:fill="auto"/>
                    </w:rPr>
                  </w:pPr>
                </w:p>
              </w:tc>
            </w:tr>
            <w:tr w14:paraId="3EC5B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8" w:type="pct"/>
                  <w:tcBorders>
                    <w:tl2br w:val="nil"/>
                    <w:tr2bl w:val="nil"/>
                  </w:tcBorders>
                  <w:shd w:val="clear" w:color="auto" w:fill="auto"/>
                  <w:noWrap w:val="0"/>
                  <w:vAlign w:val="center"/>
                </w:tcPr>
                <w:p w14:paraId="20B260D9">
                  <w:pPr>
                    <w:pStyle w:val="60"/>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default" w:ascii="Times New Roman" w:hAnsi="Times New Roman" w:eastAsia="宋体" w:cs="Times New Roman"/>
                      <w:color w:val="auto"/>
                      <w:kern w:val="2"/>
                      <w:sz w:val="21"/>
                      <w:szCs w:val="21"/>
                      <w:highlight w:val="none"/>
                      <w:u w:val="none"/>
                      <w:shd w:val="clear" w:color="auto" w:fill="auto"/>
                      <w:lang w:val="en-US" w:eastAsia="zh-CN" w:bidi="ar-SA"/>
                    </w:rPr>
                    <w:t>非甲烷总烃</w:t>
                  </w:r>
                </w:p>
              </w:tc>
              <w:tc>
                <w:tcPr>
                  <w:tcW w:w="1185" w:type="pct"/>
                  <w:vMerge w:val="restart"/>
                  <w:tcBorders>
                    <w:tl2br w:val="nil"/>
                    <w:tr2bl w:val="nil"/>
                  </w:tcBorders>
                  <w:noWrap w:val="0"/>
                  <w:vAlign w:val="center"/>
                </w:tcPr>
                <w:p w14:paraId="4F1FDB9A">
                  <w:pPr>
                    <w:pStyle w:val="79"/>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边界外浓度最高点</w:t>
                  </w:r>
                </w:p>
              </w:tc>
              <w:tc>
                <w:tcPr>
                  <w:tcW w:w="1157" w:type="pct"/>
                  <w:tcBorders>
                    <w:tl2br w:val="nil"/>
                    <w:tr2bl w:val="nil"/>
                  </w:tcBorders>
                  <w:noWrap w:val="0"/>
                  <w:vAlign w:val="center"/>
                </w:tcPr>
                <w:p w14:paraId="6D053B5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bCs/>
                      <w:color w:val="auto"/>
                      <w:sz w:val="21"/>
                      <w:szCs w:val="21"/>
                      <w:highlight w:val="none"/>
                      <w:shd w:val="clear" w:color="auto" w:fill="auto"/>
                      <w:lang w:val="en-US" w:eastAsia="zh-CN"/>
                    </w:rPr>
                    <w:t>4.0</w:t>
                  </w:r>
                </w:p>
              </w:tc>
              <w:tc>
                <w:tcPr>
                  <w:tcW w:w="1839" w:type="pct"/>
                  <w:vMerge w:val="restart"/>
                  <w:tcBorders>
                    <w:tl2br w:val="nil"/>
                    <w:tr2bl w:val="nil"/>
                  </w:tcBorders>
                  <w:noWrap w:val="0"/>
                  <w:vAlign w:val="center"/>
                </w:tcPr>
                <w:p w14:paraId="4E8F6995">
                  <w:pPr>
                    <w:pStyle w:val="79"/>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lang w:eastAsia="zh-CN"/>
                    </w:rPr>
                    <w:t>《合成树脂工业污染物排放标准》（GB 31572-2015，含2024年修改单）</w:t>
                  </w:r>
                </w:p>
              </w:tc>
            </w:tr>
            <w:tr w14:paraId="5CEF2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18" w:type="pct"/>
                  <w:tcBorders>
                    <w:tl2br w:val="nil"/>
                    <w:tr2bl w:val="nil"/>
                  </w:tcBorders>
                  <w:shd w:val="clear" w:color="auto" w:fill="auto"/>
                  <w:noWrap w:val="0"/>
                  <w:vAlign w:val="center"/>
                </w:tcPr>
                <w:p w14:paraId="1019A7E7">
                  <w:pPr>
                    <w:pStyle w:val="60"/>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highlight w:val="none"/>
                      <w:u w:val="none"/>
                      <w:shd w:val="clear" w:color="auto" w:fill="auto"/>
                      <w:lang w:val="en-US" w:eastAsia="zh-CN" w:bidi="ar-SA"/>
                    </w:rPr>
                  </w:pPr>
                  <w:r>
                    <w:rPr>
                      <w:rFonts w:hint="eastAsia" w:ascii="Times New Roman" w:hAnsi="Times New Roman" w:eastAsia="宋体" w:cs="Times New Roman"/>
                      <w:color w:val="auto"/>
                      <w:kern w:val="2"/>
                      <w:sz w:val="21"/>
                      <w:szCs w:val="21"/>
                      <w:highlight w:val="none"/>
                      <w:u w:val="none"/>
                      <w:shd w:val="clear" w:color="auto" w:fill="auto"/>
                      <w:lang w:val="en-US" w:eastAsia="zh-CN" w:bidi="ar-SA"/>
                    </w:rPr>
                    <w:t>颗粒物</w:t>
                  </w:r>
                </w:p>
              </w:tc>
              <w:tc>
                <w:tcPr>
                  <w:tcW w:w="1185" w:type="pct"/>
                  <w:vMerge w:val="continue"/>
                  <w:tcBorders>
                    <w:tl2br w:val="nil"/>
                    <w:tr2bl w:val="nil"/>
                  </w:tcBorders>
                  <w:shd w:val="clear" w:color="auto" w:fill="auto"/>
                  <w:noWrap w:val="0"/>
                  <w:vAlign w:val="center"/>
                </w:tcPr>
                <w:p w14:paraId="6EB9D8CB">
                  <w:pPr>
                    <w:pStyle w:val="79"/>
                    <w:rPr>
                      <w:rFonts w:hint="default" w:ascii="Times New Roman" w:hAnsi="Times New Roman" w:eastAsia="宋体" w:cs="Times New Roman"/>
                      <w:color w:val="auto"/>
                      <w:kern w:val="2"/>
                      <w:sz w:val="21"/>
                      <w:szCs w:val="21"/>
                      <w:shd w:val="clear" w:color="auto" w:fill="auto"/>
                      <w:lang w:val="en-US" w:eastAsia="zh-CN" w:bidi="ar-SA"/>
                    </w:rPr>
                  </w:pPr>
                </w:p>
              </w:tc>
              <w:tc>
                <w:tcPr>
                  <w:tcW w:w="1157" w:type="pct"/>
                  <w:tcBorders>
                    <w:tl2br w:val="nil"/>
                    <w:tr2bl w:val="nil"/>
                  </w:tcBorders>
                  <w:shd w:val="clear" w:color="auto" w:fill="auto"/>
                  <w:noWrap w:val="0"/>
                  <w:vAlign w:val="center"/>
                </w:tcPr>
                <w:p w14:paraId="7DED855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bCs/>
                      <w:color w:val="auto"/>
                      <w:sz w:val="21"/>
                      <w:szCs w:val="21"/>
                      <w:highlight w:val="none"/>
                      <w:shd w:val="clear" w:color="auto" w:fill="auto"/>
                      <w:lang w:val="en-US" w:eastAsia="zh-CN"/>
                    </w:rPr>
                    <w:t>1.0</w:t>
                  </w:r>
                </w:p>
              </w:tc>
              <w:tc>
                <w:tcPr>
                  <w:tcW w:w="1839" w:type="pct"/>
                  <w:vMerge w:val="continue"/>
                  <w:tcBorders>
                    <w:tl2br w:val="nil"/>
                    <w:tr2bl w:val="nil"/>
                  </w:tcBorders>
                  <w:noWrap w:val="0"/>
                  <w:vAlign w:val="center"/>
                </w:tcPr>
                <w:p w14:paraId="2ACB48CC">
                  <w:pPr>
                    <w:pStyle w:val="79"/>
                    <w:rPr>
                      <w:rFonts w:hint="default" w:ascii="Times New Roman" w:hAnsi="Times New Roman" w:eastAsia="宋体" w:cs="Times New Roman"/>
                      <w:color w:val="auto"/>
                      <w:sz w:val="21"/>
                      <w:szCs w:val="21"/>
                      <w:shd w:val="clear" w:color="auto" w:fill="auto"/>
                      <w:lang w:eastAsia="zh-CN"/>
                    </w:rPr>
                  </w:pPr>
                </w:p>
              </w:tc>
            </w:tr>
          </w:tbl>
          <w:p w14:paraId="3BCACF7A">
            <w:pPr>
              <w:keepNext w:val="0"/>
              <w:keepLines w:val="0"/>
              <w:pageBreakBefore w:val="0"/>
              <w:widowControl w:val="0"/>
              <w:kinsoku/>
              <w:wordWrap/>
              <w:overflowPunct/>
              <w:topLinePunct w:val="0"/>
              <w:autoSpaceDE/>
              <w:autoSpaceDN/>
              <w:bidi w:val="0"/>
              <w:adjustRightInd w:val="0"/>
              <w:snapToGrid w:val="0"/>
              <w:spacing w:before="120" w:line="240" w:lineRule="auto"/>
              <w:ind w:left="0" w:leftChars="0" w:firstLine="0" w:firstLineChars="0"/>
              <w:jc w:val="center"/>
              <w:textAlignment w:val="auto"/>
              <w:rPr>
                <w:rFonts w:hint="default" w:ascii="Times New Roman" w:hAnsi="Times New Roman" w:eastAsia="宋体" w:cs="Times New Roman"/>
                <w:b/>
                <w:bCs/>
                <w:color w:val="auto"/>
                <w:sz w:val="24"/>
                <w:szCs w:val="24"/>
                <w:highlight w:val="none"/>
                <w:shd w:val="clear" w:color="auto" w:fill="auto"/>
                <w:lang w:val="en-US" w:eastAsia="zh-CN"/>
              </w:rPr>
            </w:pPr>
            <w:r>
              <w:rPr>
                <w:rFonts w:hint="default" w:ascii="Times New Roman" w:hAnsi="Times New Roman" w:eastAsia="宋体" w:cs="Times New Roman"/>
                <w:b/>
                <w:bCs/>
                <w:color w:val="auto"/>
                <w:sz w:val="24"/>
                <w:szCs w:val="24"/>
                <w:highlight w:val="none"/>
                <w:shd w:val="clear" w:color="auto" w:fill="auto"/>
                <w:lang w:val="en-US" w:eastAsia="zh-CN"/>
              </w:rPr>
              <w:t>表3-</w:t>
            </w:r>
            <w:r>
              <w:rPr>
                <w:rFonts w:hint="eastAsia" w:ascii="Times New Roman" w:hAnsi="Times New Roman" w:eastAsia="宋体" w:cs="Times New Roman"/>
                <w:b/>
                <w:bCs/>
                <w:color w:val="auto"/>
                <w:sz w:val="24"/>
                <w:szCs w:val="24"/>
                <w:highlight w:val="none"/>
                <w:shd w:val="clear" w:color="auto" w:fill="auto"/>
                <w:lang w:val="en-US" w:eastAsia="zh-CN"/>
              </w:rPr>
              <w:t>9</w:t>
            </w:r>
            <w:r>
              <w:rPr>
                <w:rFonts w:hint="default" w:ascii="Times New Roman" w:hAnsi="Times New Roman" w:eastAsia="宋体" w:cs="Times New Roman"/>
                <w:b/>
                <w:bCs/>
                <w:color w:val="auto"/>
                <w:sz w:val="24"/>
                <w:szCs w:val="24"/>
                <w:highlight w:val="none"/>
                <w:shd w:val="clear" w:color="auto" w:fill="auto"/>
                <w:lang w:val="en-US" w:eastAsia="zh-CN"/>
              </w:rPr>
              <w:t xml:space="preserve">  厂区内VOCs无组织排放限值</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997"/>
              <w:gridCol w:w="1441"/>
              <w:gridCol w:w="2414"/>
              <w:gridCol w:w="1446"/>
              <w:gridCol w:w="1993"/>
            </w:tblGrid>
            <w:tr w14:paraId="61BC7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601" w:type="pct"/>
                  <w:tcBorders>
                    <w:tl2br w:val="nil"/>
                    <w:tr2bl w:val="nil"/>
                  </w:tcBorders>
                  <w:noWrap w:val="0"/>
                  <w:vAlign w:val="center"/>
                </w:tcPr>
                <w:p w14:paraId="12334B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污染物项目</w:t>
                  </w:r>
                </w:p>
              </w:tc>
              <w:tc>
                <w:tcPr>
                  <w:tcW w:w="869" w:type="pct"/>
                  <w:tcBorders>
                    <w:tl2br w:val="nil"/>
                    <w:tr2bl w:val="nil"/>
                  </w:tcBorders>
                  <w:noWrap w:val="0"/>
                  <w:vAlign w:val="center"/>
                </w:tcPr>
                <w:p w14:paraId="5952E34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shd w:val="clear" w:color="auto" w:fill="auto"/>
                      <w:lang w:eastAsia="zh-CN"/>
                    </w:rPr>
                  </w:pPr>
                  <w:r>
                    <w:rPr>
                      <w:rFonts w:hint="default" w:ascii="Times New Roman" w:hAnsi="Times New Roman" w:eastAsia="宋体" w:cs="Times New Roman"/>
                      <w:b/>
                      <w:bCs/>
                      <w:color w:val="auto"/>
                      <w:sz w:val="21"/>
                      <w:szCs w:val="21"/>
                      <w:highlight w:val="none"/>
                      <w:shd w:val="clear" w:color="auto" w:fill="auto"/>
                    </w:rPr>
                    <w:t>特别排放限值</w:t>
                  </w:r>
                  <w:r>
                    <w:rPr>
                      <w:rFonts w:hint="default" w:ascii="Times New Roman" w:hAnsi="Times New Roman" w:eastAsia="宋体" w:cs="Times New Roman"/>
                      <w:b/>
                      <w:bCs/>
                      <w:color w:val="auto"/>
                      <w:sz w:val="21"/>
                      <w:szCs w:val="21"/>
                      <w:highlight w:val="none"/>
                      <w:shd w:val="clear" w:color="auto" w:fill="auto"/>
                      <w:lang w:val="en-US" w:eastAsia="zh-CN"/>
                    </w:rPr>
                    <w:t>（</w:t>
                  </w:r>
                  <w:r>
                    <w:rPr>
                      <w:rFonts w:hint="default" w:ascii="Times New Roman" w:hAnsi="Times New Roman" w:eastAsia="宋体" w:cs="Times New Roman"/>
                      <w:b/>
                      <w:bCs/>
                      <w:color w:val="auto"/>
                      <w:sz w:val="21"/>
                      <w:szCs w:val="21"/>
                      <w:highlight w:val="none"/>
                      <w:shd w:val="clear" w:color="auto" w:fill="auto"/>
                    </w:rPr>
                    <w:t>mg/m</w:t>
                  </w:r>
                  <w:r>
                    <w:rPr>
                      <w:rFonts w:hint="default" w:ascii="Times New Roman" w:hAnsi="Times New Roman" w:eastAsia="宋体" w:cs="Times New Roman"/>
                      <w:b/>
                      <w:bCs/>
                      <w:color w:val="auto"/>
                      <w:sz w:val="21"/>
                      <w:szCs w:val="21"/>
                      <w:highlight w:val="none"/>
                      <w:shd w:val="clear" w:color="auto" w:fill="auto"/>
                      <w:vertAlign w:val="superscript"/>
                    </w:rPr>
                    <w:t>3</w:t>
                  </w:r>
                  <w:r>
                    <w:rPr>
                      <w:rFonts w:hint="default" w:ascii="Times New Roman" w:hAnsi="Times New Roman" w:eastAsia="宋体" w:cs="Times New Roman"/>
                      <w:b/>
                      <w:bCs/>
                      <w:color w:val="auto"/>
                      <w:sz w:val="21"/>
                      <w:szCs w:val="21"/>
                      <w:highlight w:val="none"/>
                      <w:shd w:val="clear" w:color="auto" w:fill="auto"/>
                      <w:lang w:val="en-US" w:eastAsia="zh-CN"/>
                    </w:rPr>
                    <w:t>）</w:t>
                  </w:r>
                </w:p>
              </w:tc>
              <w:tc>
                <w:tcPr>
                  <w:tcW w:w="1455" w:type="pct"/>
                  <w:tcBorders>
                    <w:tl2br w:val="nil"/>
                    <w:tr2bl w:val="nil"/>
                  </w:tcBorders>
                  <w:noWrap w:val="0"/>
                  <w:vAlign w:val="center"/>
                </w:tcPr>
                <w:p w14:paraId="69AABE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限值含义</w:t>
                  </w:r>
                </w:p>
              </w:tc>
              <w:tc>
                <w:tcPr>
                  <w:tcW w:w="872" w:type="pct"/>
                  <w:tcBorders>
                    <w:tl2br w:val="nil"/>
                    <w:tr2bl w:val="nil"/>
                  </w:tcBorders>
                  <w:noWrap w:val="0"/>
                  <w:vAlign w:val="center"/>
                </w:tcPr>
                <w:p w14:paraId="12B8C0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无组织排放监控位置</w:t>
                  </w:r>
                </w:p>
              </w:tc>
              <w:tc>
                <w:tcPr>
                  <w:tcW w:w="1201" w:type="pct"/>
                  <w:tcBorders>
                    <w:tl2br w:val="nil"/>
                    <w:tr2bl w:val="nil"/>
                  </w:tcBorders>
                  <w:noWrap w:val="0"/>
                  <w:vAlign w:val="center"/>
                </w:tcPr>
                <w:p w14:paraId="5E10670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lang w:val="en-US" w:eastAsia="zh-CN"/>
                    </w:rPr>
                    <w:t>标准</w:t>
                  </w:r>
                </w:p>
              </w:tc>
            </w:tr>
            <w:tr w14:paraId="6D7CA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01" w:type="pct"/>
                  <w:vMerge w:val="restart"/>
                  <w:tcBorders>
                    <w:tl2br w:val="nil"/>
                    <w:tr2bl w:val="nil"/>
                  </w:tcBorders>
                  <w:noWrap w:val="0"/>
                  <w:vAlign w:val="center"/>
                </w:tcPr>
                <w:p w14:paraId="076347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非甲烷总烃</w:t>
                  </w:r>
                </w:p>
              </w:tc>
              <w:tc>
                <w:tcPr>
                  <w:tcW w:w="869" w:type="pct"/>
                  <w:tcBorders>
                    <w:tl2br w:val="nil"/>
                    <w:tr2bl w:val="nil"/>
                  </w:tcBorders>
                  <w:noWrap w:val="0"/>
                  <w:vAlign w:val="center"/>
                </w:tcPr>
                <w:p w14:paraId="157E4E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6</w:t>
                  </w:r>
                </w:p>
              </w:tc>
              <w:tc>
                <w:tcPr>
                  <w:tcW w:w="1455" w:type="pct"/>
                  <w:tcBorders>
                    <w:tl2br w:val="nil"/>
                    <w:tr2bl w:val="nil"/>
                  </w:tcBorders>
                  <w:noWrap w:val="0"/>
                  <w:vAlign w:val="center"/>
                </w:tcPr>
                <w:p w14:paraId="7DEFE7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监控点处1h平均浓度值</w:t>
                  </w:r>
                </w:p>
              </w:tc>
              <w:tc>
                <w:tcPr>
                  <w:tcW w:w="872" w:type="pct"/>
                  <w:vMerge w:val="restart"/>
                  <w:tcBorders>
                    <w:tl2br w:val="nil"/>
                    <w:tr2bl w:val="nil"/>
                  </w:tcBorders>
                  <w:noWrap w:val="0"/>
                  <w:vAlign w:val="center"/>
                </w:tcPr>
                <w:p w14:paraId="79F1D9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在厂房外设置监控点</w:t>
                  </w:r>
                </w:p>
              </w:tc>
              <w:tc>
                <w:tcPr>
                  <w:tcW w:w="1201" w:type="pct"/>
                  <w:vMerge w:val="restart"/>
                  <w:tcBorders>
                    <w:tl2br w:val="nil"/>
                    <w:tr2bl w:val="nil"/>
                  </w:tcBorders>
                  <w:noWrap w:val="0"/>
                  <w:vAlign w:val="center"/>
                </w:tcPr>
                <w:p w14:paraId="5BF63AF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lang w:val="en-US" w:eastAsia="zh-CN"/>
                    </w:rPr>
                    <w:t>《印刷工业大气污染物排放标准》（DB32 4438-2022）</w:t>
                  </w:r>
                </w:p>
              </w:tc>
            </w:tr>
            <w:tr w14:paraId="01EBB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601" w:type="pct"/>
                  <w:vMerge w:val="continue"/>
                  <w:tcBorders>
                    <w:tl2br w:val="nil"/>
                    <w:tr2bl w:val="nil"/>
                  </w:tcBorders>
                  <w:noWrap w:val="0"/>
                  <w:vAlign w:val="center"/>
                </w:tcPr>
                <w:p w14:paraId="3BCBFB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p>
              </w:tc>
              <w:tc>
                <w:tcPr>
                  <w:tcW w:w="869" w:type="pct"/>
                  <w:tcBorders>
                    <w:tl2br w:val="nil"/>
                    <w:tr2bl w:val="nil"/>
                  </w:tcBorders>
                  <w:noWrap w:val="0"/>
                  <w:vAlign w:val="center"/>
                </w:tcPr>
                <w:p w14:paraId="792EA6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20</w:t>
                  </w:r>
                </w:p>
              </w:tc>
              <w:tc>
                <w:tcPr>
                  <w:tcW w:w="1455" w:type="pct"/>
                  <w:tcBorders>
                    <w:tl2br w:val="nil"/>
                    <w:tr2bl w:val="nil"/>
                  </w:tcBorders>
                  <w:noWrap w:val="0"/>
                  <w:vAlign w:val="center"/>
                </w:tcPr>
                <w:p w14:paraId="53B711B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监控点处任意一次浓度值</w:t>
                  </w:r>
                </w:p>
              </w:tc>
              <w:tc>
                <w:tcPr>
                  <w:tcW w:w="872" w:type="pct"/>
                  <w:vMerge w:val="continue"/>
                  <w:tcBorders>
                    <w:tl2br w:val="nil"/>
                    <w:tr2bl w:val="nil"/>
                  </w:tcBorders>
                  <w:noWrap w:val="0"/>
                  <w:vAlign w:val="center"/>
                </w:tcPr>
                <w:p w14:paraId="00347C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p>
              </w:tc>
              <w:tc>
                <w:tcPr>
                  <w:tcW w:w="1201" w:type="pct"/>
                  <w:vMerge w:val="continue"/>
                  <w:tcBorders>
                    <w:tl2br w:val="nil"/>
                    <w:tr2bl w:val="nil"/>
                  </w:tcBorders>
                  <w:noWrap w:val="0"/>
                  <w:vAlign w:val="center"/>
                </w:tcPr>
                <w:p w14:paraId="600C21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p>
              </w:tc>
            </w:tr>
          </w:tbl>
          <w:p w14:paraId="1F7E8606">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2、废水</w:t>
            </w:r>
          </w:p>
          <w:p w14:paraId="408566CB">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b w:val="0"/>
                <w:bCs w:val="0"/>
                <w:color w:val="auto"/>
                <w:sz w:val="24"/>
                <w:highlight w:val="none"/>
                <w:shd w:val="clear" w:color="auto" w:fill="auto"/>
              </w:rPr>
              <w:t>本项目</w:t>
            </w:r>
            <w:r>
              <w:rPr>
                <w:rFonts w:hint="default" w:ascii="Times New Roman" w:hAnsi="Times New Roman" w:eastAsia="宋体" w:cs="Times New Roman"/>
                <w:color w:val="auto"/>
                <w:sz w:val="24"/>
                <w:highlight w:val="none"/>
                <w:shd w:val="clear" w:color="auto" w:fill="auto"/>
                <w:lang w:val="en-US" w:eastAsia="zh-CN"/>
              </w:rPr>
              <w:t>生活污水</w:t>
            </w:r>
            <w:r>
              <w:rPr>
                <w:rFonts w:hint="default" w:ascii="Times New Roman" w:hAnsi="Times New Roman" w:eastAsia="宋体" w:cs="Times New Roman"/>
                <w:bCs/>
                <w:color w:val="auto"/>
                <w:sz w:val="24"/>
                <w:highlight w:val="none"/>
                <w:shd w:val="clear" w:color="auto" w:fill="auto"/>
                <w:lang w:val="en-US" w:eastAsia="zh-CN"/>
              </w:rPr>
              <w:t>经市政污水管网接至</w:t>
            </w:r>
            <w:r>
              <w:rPr>
                <w:rFonts w:hint="default" w:ascii="Times New Roman" w:hAnsi="Times New Roman" w:eastAsia="宋体" w:cs="Times New Roman"/>
                <w:color w:val="auto"/>
                <w:sz w:val="24"/>
                <w:highlight w:val="none"/>
                <w:shd w:val="clear" w:color="auto" w:fill="auto"/>
              </w:rPr>
              <w:t>常州市金坛区第二污水处理厂</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lang w:val="en-US" w:eastAsia="zh-CN"/>
              </w:rPr>
              <w:t>接管废水</w:t>
            </w:r>
            <w:r>
              <w:rPr>
                <w:rFonts w:hint="default" w:ascii="Times New Roman" w:hAnsi="Times New Roman" w:eastAsia="宋体" w:cs="Times New Roman"/>
                <w:color w:val="auto"/>
                <w:sz w:val="24"/>
                <w:highlight w:val="none"/>
                <w:shd w:val="clear" w:color="auto" w:fill="auto"/>
              </w:rPr>
              <w:t>执行金坛区第二污水处理厂</w:t>
            </w:r>
            <w:r>
              <w:rPr>
                <w:rFonts w:hint="default" w:ascii="Times New Roman" w:hAnsi="Times New Roman" w:eastAsia="宋体" w:cs="Times New Roman"/>
                <w:color w:val="auto"/>
                <w:sz w:val="24"/>
                <w:highlight w:val="none"/>
                <w:shd w:val="clear" w:color="auto" w:fill="auto"/>
                <w:lang w:val="en-US" w:eastAsia="zh-CN"/>
              </w:rPr>
              <w:t>接管标准</w:t>
            </w:r>
            <w:r>
              <w:rPr>
                <w:rFonts w:hint="default" w:ascii="Times New Roman" w:hAnsi="Times New Roman" w:eastAsia="宋体" w:cs="Times New Roman"/>
                <w:color w:val="auto"/>
                <w:sz w:val="24"/>
                <w:highlight w:val="none"/>
                <w:shd w:val="clear" w:color="auto" w:fill="auto"/>
              </w:rPr>
              <w:t>，常州市金坛区第二污水处理厂处理后尾水排入尧塘河，排放标准执行《城镇污水处理厂污染物排放标准》</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GB18918-2002</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中一级A标准以及《太湖地区城镇污水处理厂及重点行业主要水污染物排放限值》（DB32/T1072-2018）中表2城镇污水处理标准，标准值参见下表。</w:t>
            </w:r>
          </w:p>
          <w:p w14:paraId="790ED1C0">
            <w:pPr>
              <w:jc w:val="center"/>
              <w:rPr>
                <w:rFonts w:hint="default" w:ascii="Times New Roman" w:hAnsi="Times New Roman" w:eastAsia="宋体" w:cs="Times New Roman"/>
                <w:b/>
                <w:color w:val="auto"/>
                <w:sz w:val="24"/>
                <w:highlight w:val="none"/>
                <w:shd w:val="clear" w:color="auto" w:fill="auto"/>
                <w:lang w:eastAsia="zh-CN"/>
              </w:rPr>
            </w:pPr>
            <w:r>
              <w:rPr>
                <w:rFonts w:hint="default" w:ascii="Times New Roman" w:hAnsi="Times New Roman" w:eastAsia="宋体" w:cs="Times New Roman"/>
                <w:b/>
                <w:color w:val="auto"/>
                <w:sz w:val="24"/>
                <w:highlight w:val="none"/>
                <w:shd w:val="clear" w:color="auto" w:fill="auto"/>
              </w:rPr>
              <w:t>表3-</w:t>
            </w:r>
            <w:r>
              <w:rPr>
                <w:rFonts w:hint="eastAsia" w:ascii="Times New Roman" w:hAnsi="Times New Roman" w:eastAsia="宋体" w:cs="Times New Roman"/>
                <w:b/>
                <w:color w:val="auto"/>
                <w:sz w:val="24"/>
                <w:highlight w:val="none"/>
                <w:shd w:val="clear" w:color="auto" w:fill="auto"/>
                <w:lang w:val="en-US" w:eastAsia="zh-CN"/>
              </w:rPr>
              <w:t>10</w:t>
            </w:r>
            <w:r>
              <w:rPr>
                <w:rFonts w:hint="default" w:ascii="Times New Roman" w:hAnsi="Times New Roman" w:eastAsia="宋体" w:cs="Times New Roman"/>
                <w:b/>
                <w:color w:val="auto"/>
                <w:sz w:val="24"/>
                <w:highlight w:val="none"/>
                <w:shd w:val="clear" w:color="auto" w:fill="auto"/>
              </w:rPr>
              <w:t xml:space="preserve">  废水排放标准 （单位：mg/L</w:t>
            </w:r>
            <w:r>
              <w:rPr>
                <w:rFonts w:hint="default" w:ascii="Times New Roman" w:hAnsi="Times New Roman" w:eastAsia="宋体" w:cs="Times New Roman"/>
                <w:b/>
                <w:color w:val="auto"/>
                <w:sz w:val="24"/>
                <w:highlight w:val="none"/>
                <w:shd w:val="clear" w:color="auto" w:fill="auto"/>
                <w:lang w:eastAsia="zh-CN"/>
              </w:rPr>
              <w:t>，</w:t>
            </w:r>
            <w:r>
              <w:rPr>
                <w:rFonts w:hint="default" w:ascii="Times New Roman" w:hAnsi="Times New Roman" w:eastAsia="宋体" w:cs="Times New Roman"/>
                <w:b/>
                <w:color w:val="auto"/>
                <w:sz w:val="24"/>
                <w:highlight w:val="none"/>
                <w:shd w:val="clear" w:color="auto" w:fill="auto"/>
                <w:lang w:val="en-US" w:eastAsia="zh-CN"/>
              </w:rPr>
              <w:t>pH无量纲</w:t>
            </w:r>
            <w:r>
              <w:rPr>
                <w:rFonts w:hint="default" w:ascii="Times New Roman" w:hAnsi="Times New Roman" w:eastAsia="宋体" w:cs="Times New Roman"/>
                <w:b/>
                <w:color w:val="auto"/>
                <w:sz w:val="24"/>
                <w:highlight w:val="none"/>
                <w:shd w:val="clear" w:color="auto" w:fill="auto"/>
                <w:lang w:eastAsia="zh-CN"/>
              </w:rPr>
              <w:t>）</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3516"/>
              <w:gridCol w:w="999"/>
              <w:gridCol w:w="1185"/>
              <w:gridCol w:w="1411"/>
            </w:tblGrid>
            <w:tr w14:paraId="610B06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tcBorders>
                    <w:tl2br w:val="nil"/>
                    <w:tr2bl w:val="nil"/>
                  </w:tcBorders>
                  <w:tcMar>
                    <w:top w:w="0" w:type="dxa"/>
                    <w:left w:w="108" w:type="dxa"/>
                    <w:bottom w:w="0" w:type="dxa"/>
                    <w:right w:w="108" w:type="dxa"/>
                  </w:tcMar>
                  <w:vAlign w:val="center"/>
                </w:tcPr>
                <w:p w14:paraId="2E3A3DD8">
                  <w:pPr>
                    <w:jc w:val="center"/>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类别</w:t>
                  </w:r>
                </w:p>
              </w:tc>
              <w:tc>
                <w:tcPr>
                  <w:tcW w:w="2119" w:type="pct"/>
                  <w:tcBorders>
                    <w:tl2br w:val="nil"/>
                    <w:tr2bl w:val="nil"/>
                  </w:tcBorders>
                  <w:tcMar>
                    <w:top w:w="0" w:type="dxa"/>
                    <w:left w:w="108" w:type="dxa"/>
                    <w:bottom w:w="0" w:type="dxa"/>
                    <w:right w:w="108" w:type="dxa"/>
                  </w:tcMar>
                  <w:vAlign w:val="center"/>
                </w:tcPr>
                <w:p w14:paraId="5439158B">
                  <w:pPr>
                    <w:jc w:val="center"/>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执行标准</w:t>
                  </w:r>
                </w:p>
              </w:tc>
              <w:tc>
                <w:tcPr>
                  <w:tcW w:w="602" w:type="pct"/>
                  <w:tcBorders>
                    <w:tl2br w:val="nil"/>
                    <w:tr2bl w:val="nil"/>
                  </w:tcBorders>
                  <w:tcMar>
                    <w:top w:w="0" w:type="dxa"/>
                    <w:left w:w="108" w:type="dxa"/>
                    <w:bottom w:w="0" w:type="dxa"/>
                    <w:right w:w="108" w:type="dxa"/>
                  </w:tcMar>
                  <w:vAlign w:val="center"/>
                </w:tcPr>
                <w:p w14:paraId="7A270615">
                  <w:pPr>
                    <w:jc w:val="center"/>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标准</w:t>
                  </w:r>
                </w:p>
                <w:p w14:paraId="382EF659">
                  <w:pPr>
                    <w:jc w:val="center"/>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级别</w:t>
                  </w:r>
                </w:p>
              </w:tc>
              <w:tc>
                <w:tcPr>
                  <w:tcW w:w="714" w:type="pct"/>
                  <w:tcBorders>
                    <w:tl2br w:val="nil"/>
                    <w:tr2bl w:val="nil"/>
                  </w:tcBorders>
                  <w:tcMar>
                    <w:top w:w="0" w:type="dxa"/>
                    <w:left w:w="108" w:type="dxa"/>
                    <w:bottom w:w="0" w:type="dxa"/>
                    <w:right w:w="108" w:type="dxa"/>
                  </w:tcMar>
                  <w:vAlign w:val="center"/>
                </w:tcPr>
                <w:p w14:paraId="3E7AAEBE">
                  <w:pPr>
                    <w:jc w:val="center"/>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指标</w:t>
                  </w:r>
                </w:p>
              </w:tc>
              <w:tc>
                <w:tcPr>
                  <w:tcW w:w="850" w:type="pct"/>
                  <w:tcBorders>
                    <w:tl2br w:val="nil"/>
                    <w:tr2bl w:val="nil"/>
                  </w:tcBorders>
                  <w:tcMar>
                    <w:top w:w="0" w:type="dxa"/>
                    <w:left w:w="108" w:type="dxa"/>
                    <w:bottom w:w="0" w:type="dxa"/>
                    <w:right w:w="108" w:type="dxa"/>
                  </w:tcMar>
                  <w:vAlign w:val="center"/>
                </w:tcPr>
                <w:p w14:paraId="4550BCD8">
                  <w:pPr>
                    <w:jc w:val="center"/>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标准限值</w:t>
                  </w:r>
                </w:p>
              </w:tc>
            </w:tr>
            <w:tr w14:paraId="0548E1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restart"/>
                  <w:tcBorders>
                    <w:tl2br w:val="nil"/>
                    <w:tr2bl w:val="nil"/>
                  </w:tcBorders>
                  <w:tcMar>
                    <w:top w:w="0" w:type="dxa"/>
                    <w:left w:w="108" w:type="dxa"/>
                    <w:bottom w:w="0" w:type="dxa"/>
                    <w:right w:w="108" w:type="dxa"/>
                  </w:tcMar>
                  <w:vAlign w:val="center"/>
                </w:tcPr>
                <w:p w14:paraId="2ECED8FF">
                  <w:pPr>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接管标准</w:t>
                  </w:r>
                </w:p>
              </w:tc>
              <w:tc>
                <w:tcPr>
                  <w:tcW w:w="2119" w:type="pct"/>
                  <w:vMerge w:val="restart"/>
                  <w:tcBorders>
                    <w:tl2br w:val="nil"/>
                    <w:tr2bl w:val="nil"/>
                  </w:tcBorders>
                  <w:tcMar>
                    <w:top w:w="0" w:type="dxa"/>
                    <w:left w:w="108" w:type="dxa"/>
                    <w:bottom w:w="0" w:type="dxa"/>
                    <w:right w:w="108" w:type="dxa"/>
                  </w:tcMar>
                  <w:vAlign w:val="center"/>
                </w:tcPr>
                <w:p w14:paraId="076214D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金坛区第二污水处理厂</w:t>
                  </w:r>
                  <w:r>
                    <w:rPr>
                      <w:rFonts w:hint="default" w:ascii="Times New Roman" w:hAnsi="Times New Roman" w:eastAsia="宋体" w:cs="Times New Roman"/>
                      <w:color w:val="auto"/>
                      <w:highlight w:val="none"/>
                      <w:shd w:val="clear" w:color="auto" w:fill="auto"/>
                      <w:lang w:val="en-US" w:eastAsia="zh-CN"/>
                    </w:rPr>
                    <w:t>接管标准</w:t>
                  </w:r>
                </w:p>
              </w:tc>
              <w:tc>
                <w:tcPr>
                  <w:tcW w:w="602" w:type="pct"/>
                  <w:vMerge w:val="restart"/>
                  <w:tcBorders>
                    <w:tl2br w:val="nil"/>
                    <w:tr2bl w:val="nil"/>
                  </w:tcBorders>
                  <w:tcMar>
                    <w:top w:w="0" w:type="dxa"/>
                    <w:left w:w="108" w:type="dxa"/>
                    <w:bottom w:w="0" w:type="dxa"/>
                    <w:right w:w="108" w:type="dxa"/>
                  </w:tcMar>
                  <w:vAlign w:val="center"/>
                </w:tcPr>
                <w:p w14:paraId="10D11A45">
                  <w:pPr>
                    <w:jc w:val="center"/>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lang w:val="en-US" w:eastAsia="zh-CN"/>
                    </w:rPr>
                    <w:t>/</w:t>
                  </w:r>
                </w:p>
              </w:tc>
              <w:tc>
                <w:tcPr>
                  <w:tcW w:w="714" w:type="pct"/>
                  <w:tcBorders>
                    <w:tl2br w:val="nil"/>
                    <w:tr2bl w:val="nil"/>
                  </w:tcBorders>
                  <w:tcMar>
                    <w:top w:w="0" w:type="dxa"/>
                    <w:left w:w="108" w:type="dxa"/>
                    <w:bottom w:w="0" w:type="dxa"/>
                    <w:right w:w="108" w:type="dxa"/>
                  </w:tcMar>
                  <w:vAlign w:val="center"/>
                </w:tcPr>
                <w:p w14:paraId="04B79B17">
                  <w:pPr>
                    <w:jc w:val="center"/>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rPr>
                    <w:t>pH</w:t>
                  </w:r>
                </w:p>
              </w:tc>
              <w:tc>
                <w:tcPr>
                  <w:tcW w:w="850" w:type="pct"/>
                  <w:tcBorders>
                    <w:tl2br w:val="nil"/>
                    <w:tr2bl w:val="nil"/>
                  </w:tcBorders>
                  <w:tcMar>
                    <w:top w:w="0" w:type="dxa"/>
                    <w:left w:w="108" w:type="dxa"/>
                    <w:bottom w:w="0" w:type="dxa"/>
                    <w:right w:w="108" w:type="dxa"/>
                  </w:tcMar>
                  <w:vAlign w:val="center"/>
                </w:tcPr>
                <w:p w14:paraId="7F4FF13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6~9</w:t>
                  </w:r>
                </w:p>
              </w:tc>
            </w:tr>
            <w:tr w14:paraId="63EBC7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13D90FF8">
                  <w:pPr>
                    <w:jc w:val="center"/>
                    <w:rPr>
                      <w:rFonts w:hint="default" w:ascii="Times New Roman" w:hAnsi="Times New Roman" w:eastAsia="宋体" w:cs="Times New Roman"/>
                      <w:color w:val="auto"/>
                      <w:highlight w:val="none"/>
                      <w:shd w:val="clear" w:color="auto" w:fill="auto"/>
                    </w:rPr>
                  </w:pPr>
                </w:p>
              </w:tc>
              <w:tc>
                <w:tcPr>
                  <w:tcW w:w="2119" w:type="pct"/>
                  <w:vMerge w:val="continue"/>
                  <w:tcBorders>
                    <w:tl2br w:val="nil"/>
                    <w:tr2bl w:val="nil"/>
                  </w:tcBorders>
                  <w:tcMar>
                    <w:top w:w="0" w:type="dxa"/>
                    <w:left w:w="108" w:type="dxa"/>
                    <w:bottom w:w="0" w:type="dxa"/>
                    <w:right w:w="108" w:type="dxa"/>
                  </w:tcMar>
                  <w:vAlign w:val="center"/>
                </w:tcPr>
                <w:p w14:paraId="2CD7C19E">
                  <w:pPr>
                    <w:jc w:val="center"/>
                    <w:rPr>
                      <w:rFonts w:hint="default" w:ascii="Times New Roman" w:hAnsi="Times New Roman" w:eastAsia="宋体" w:cs="Times New Roman"/>
                      <w:color w:val="auto"/>
                      <w:highlight w:val="none"/>
                      <w:shd w:val="clear" w:color="auto" w:fill="auto"/>
                    </w:rPr>
                  </w:pPr>
                </w:p>
              </w:tc>
              <w:tc>
                <w:tcPr>
                  <w:tcW w:w="602" w:type="pct"/>
                  <w:vMerge w:val="continue"/>
                  <w:tcBorders>
                    <w:tl2br w:val="nil"/>
                    <w:tr2bl w:val="nil"/>
                  </w:tcBorders>
                  <w:tcMar>
                    <w:top w:w="0" w:type="dxa"/>
                    <w:left w:w="108" w:type="dxa"/>
                    <w:bottom w:w="0" w:type="dxa"/>
                    <w:right w:w="108" w:type="dxa"/>
                  </w:tcMar>
                  <w:vAlign w:val="center"/>
                </w:tcPr>
                <w:p w14:paraId="2274DB05">
                  <w:pPr>
                    <w:jc w:val="center"/>
                    <w:rPr>
                      <w:rFonts w:hint="default" w:ascii="Times New Roman" w:hAnsi="Times New Roman" w:eastAsia="宋体" w:cs="Times New Roman"/>
                      <w:color w:val="auto"/>
                      <w:highlight w:val="none"/>
                      <w:shd w:val="clear" w:color="auto" w:fill="auto"/>
                    </w:rPr>
                  </w:pPr>
                </w:p>
              </w:tc>
              <w:tc>
                <w:tcPr>
                  <w:tcW w:w="714" w:type="pct"/>
                  <w:tcBorders>
                    <w:tl2br w:val="nil"/>
                    <w:tr2bl w:val="nil"/>
                  </w:tcBorders>
                  <w:tcMar>
                    <w:top w:w="0" w:type="dxa"/>
                    <w:left w:w="108" w:type="dxa"/>
                    <w:bottom w:w="0" w:type="dxa"/>
                    <w:right w:w="108" w:type="dxa"/>
                  </w:tcMar>
                  <w:vAlign w:val="center"/>
                </w:tcPr>
                <w:p w14:paraId="5C1C414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COD</w:t>
                  </w:r>
                </w:p>
              </w:tc>
              <w:tc>
                <w:tcPr>
                  <w:tcW w:w="850" w:type="pct"/>
                  <w:tcBorders>
                    <w:tl2br w:val="nil"/>
                    <w:tr2bl w:val="nil"/>
                  </w:tcBorders>
                  <w:tcMar>
                    <w:top w:w="0" w:type="dxa"/>
                    <w:left w:w="108" w:type="dxa"/>
                    <w:bottom w:w="0" w:type="dxa"/>
                    <w:right w:w="108" w:type="dxa"/>
                  </w:tcMar>
                  <w:vAlign w:val="center"/>
                </w:tcPr>
                <w:p w14:paraId="383E811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500</w:t>
                  </w:r>
                </w:p>
              </w:tc>
            </w:tr>
            <w:tr w14:paraId="55468F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3DAF9146">
                  <w:pPr>
                    <w:jc w:val="center"/>
                    <w:rPr>
                      <w:rFonts w:hint="default" w:ascii="Times New Roman" w:hAnsi="Times New Roman" w:eastAsia="宋体" w:cs="Times New Roman"/>
                      <w:color w:val="auto"/>
                      <w:highlight w:val="none"/>
                      <w:shd w:val="clear" w:color="auto" w:fill="auto"/>
                    </w:rPr>
                  </w:pPr>
                </w:p>
              </w:tc>
              <w:tc>
                <w:tcPr>
                  <w:tcW w:w="2119" w:type="pct"/>
                  <w:vMerge w:val="continue"/>
                  <w:tcBorders>
                    <w:tl2br w:val="nil"/>
                    <w:tr2bl w:val="nil"/>
                  </w:tcBorders>
                  <w:tcMar>
                    <w:top w:w="0" w:type="dxa"/>
                    <w:left w:w="108" w:type="dxa"/>
                    <w:bottom w:w="0" w:type="dxa"/>
                    <w:right w:w="108" w:type="dxa"/>
                  </w:tcMar>
                  <w:vAlign w:val="center"/>
                </w:tcPr>
                <w:p w14:paraId="41EF5F5A">
                  <w:pPr>
                    <w:jc w:val="center"/>
                    <w:rPr>
                      <w:rFonts w:hint="default" w:ascii="Times New Roman" w:hAnsi="Times New Roman" w:eastAsia="宋体" w:cs="Times New Roman"/>
                      <w:color w:val="auto"/>
                      <w:highlight w:val="none"/>
                      <w:shd w:val="clear" w:color="auto" w:fill="auto"/>
                    </w:rPr>
                  </w:pPr>
                </w:p>
              </w:tc>
              <w:tc>
                <w:tcPr>
                  <w:tcW w:w="602" w:type="pct"/>
                  <w:vMerge w:val="continue"/>
                  <w:tcBorders>
                    <w:tl2br w:val="nil"/>
                    <w:tr2bl w:val="nil"/>
                  </w:tcBorders>
                  <w:tcMar>
                    <w:top w:w="0" w:type="dxa"/>
                    <w:left w:w="108" w:type="dxa"/>
                    <w:bottom w:w="0" w:type="dxa"/>
                    <w:right w:w="108" w:type="dxa"/>
                  </w:tcMar>
                  <w:vAlign w:val="center"/>
                </w:tcPr>
                <w:p w14:paraId="15107756">
                  <w:pPr>
                    <w:jc w:val="center"/>
                    <w:rPr>
                      <w:rFonts w:hint="default" w:ascii="Times New Roman" w:hAnsi="Times New Roman" w:eastAsia="宋体" w:cs="Times New Roman"/>
                      <w:color w:val="auto"/>
                      <w:highlight w:val="none"/>
                      <w:shd w:val="clear" w:color="auto" w:fill="auto"/>
                    </w:rPr>
                  </w:pPr>
                </w:p>
              </w:tc>
              <w:tc>
                <w:tcPr>
                  <w:tcW w:w="714" w:type="pct"/>
                  <w:tcBorders>
                    <w:tl2br w:val="nil"/>
                    <w:tr2bl w:val="nil"/>
                  </w:tcBorders>
                  <w:tcMar>
                    <w:top w:w="0" w:type="dxa"/>
                    <w:left w:w="108" w:type="dxa"/>
                    <w:bottom w:w="0" w:type="dxa"/>
                    <w:right w:w="108" w:type="dxa"/>
                  </w:tcMar>
                  <w:vAlign w:val="center"/>
                </w:tcPr>
                <w:p w14:paraId="184E0A6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SS</w:t>
                  </w:r>
                </w:p>
              </w:tc>
              <w:tc>
                <w:tcPr>
                  <w:tcW w:w="850" w:type="pct"/>
                  <w:tcBorders>
                    <w:tl2br w:val="nil"/>
                    <w:tr2bl w:val="nil"/>
                  </w:tcBorders>
                  <w:tcMar>
                    <w:top w:w="0" w:type="dxa"/>
                    <w:left w:w="108" w:type="dxa"/>
                    <w:bottom w:w="0" w:type="dxa"/>
                    <w:right w:w="108" w:type="dxa"/>
                  </w:tcMar>
                  <w:vAlign w:val="center"/>
                </w:tcPr>
                <w:p w14:paraId="2469784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lang w:val="en-US" w:eastAsia="zh-CN"/>
                    </w:rPr>
                    <w:t>25</w:t>
                  </w:r>
                  <w:r>
                    <w:rPr>
                      <w:rFonts w:hint="default" w:ascii="Times New Roman" w:hAnsi="Times New Roman" w:eastAsia="宋体" w:cs="Times New Roman"/>
                      <w:color w:val="auto"/>
                      <w:highlight w:val="none"/>
                      <w:shd w:val="clear" w:color="auto" w:fill="auto"/>
                    </w:rPr>
                    <w:t>0</w:t>
                  </w:r>
                </w:p>
              </w:tc>
            </w:tr>
            <w:tr w14:paraId="5DE4F3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3620A306">
                  <w:pPr>
                    <w:jc w:val="center"/>
                    <w:rPr>
                      <w:rFonts w:hint="default" w:ascii="Times New Roman" w:hAnsi="Times New Roman" w:eastAsia="宋体" w:cs="Times New Roman"/>
                      <w:color w:val="auto"/>
                      <w:highlight w:val="none"/>
                      <w:shd w:val="clear" w:color="auto" w:fill="auto"/>
                    </w:rPr>
                  </w:pPr>
                </w:p>
              </w:tc>
              <w:tc>
                <w:tcPr>
                  <w:tcW w:w="2119" w:type="pct"/>
                  <w:vMerge w:val="continue"/>
                  <w:tcBorders>
                    <w:tl2br w:val="nil"/>
                    <w:tr2bl w:val="nil"/>
                  </w:tcBorders>
                  <w:tcMar>
                    <w:top w:w="0" w:type="dxa"/>
                    <w:left w:w="108" w:type="dxa"/>
                    <w:bottom w:w="0" w:type="dxa"/>
                    <w:right w:w="108" w:type="dxa"/>
                  </w:tcMar>
                  <w:vAlign w:val="center"/>
                </w:tcPr>
                <w:p w14:paraId="645F5BDA">
                  <w:pPr>
                    <w:jc w:val="center"/>
                    <w:rPr>
                      <w:rFonts w:hint="default" w:ascii="Times New Roman" w:hAnsi="Times New Roman" w:eastAsia="宋体" w:cs="Times New Roman"/>
                      <w:color w:val="auto"/>
                      <w:highlight w:val="none"/>
                      <w:shd w:val="clear" w:color="auto" w:fill="auto"/>
                    </w:rPr>
                  </w:pPr>
                </w:p>
              </w:tc>
              <w:tc>
                <w:tcPr>
                  <w:tcW w:w="602" w:type="pct"/>
                  <w:vMerge w:val="continue"/>
                  <w:tcBorders>
                    <w:tl2br w:val="nil"/>
                    <w:tr2bl w:val="nil"/>
                  </w:tcBorders>
                  <w:tcMar>
                    <w:top w:w="0" w:type="dxa"/>
                    <w:left w:w="108" w:type="dxa"/>
                    <w:bottom w:w="0" w:type="dxa"/>
                    <w:right w:w="108" w:type="dxa"/>
                  </w:tcMar>
                  <w:vAlign w:val="center"/>
                </w:tcPr>
                <w:p w14:paraId="29F7A3D6">
                  <w:pPr>
                    <w:jc w:val="center"/>
                    <w:rPr>
                      <w:rFonts w:hint="default" w:ascii="Times New Roman" w:hAnsi="Times New Roman" w:eastAsia="宋体" w:cs="Times New Roman"/>
                      <w:color w:val="auto"/>
                      <w:highlight w:val="none"/>
                      <w:shd w:val="clear" w:color="auto" w:fill="auto"/>
                    </w:rPr>
                  </w:pPr>
                </w:p>
              </w:tc>
              <w:tc>
                <w:tcPr>
                  <w:tcW w:w="714" w:type="pct"/>
                  <w:tcBorders>
                    <w:tl2br w:val="nil"/>
                    <w:tr2bl w:val="nil"/>
                  </w:tcBorders>
                  <w:tcMar>
                    <w:top w:w="0" w:type="dxa"/>
                    <w:left w:w="108" w:type="dxa"/>
                    <w:bottom w:w="0" w:type="dxa"/>
                    <w:right w:w="108" w:type="dxa"/>
                  </w:tcMar>
                  <w:vAlign w:val="center"/>
                </w:tcPr>
                <w:p w14:paraId="26E8B41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NH</w:t>
                  </w:r>
                  <w:r>
                    <w:rPr>
                      <w:rFonts w:hint="default" w:ascii="Times New Roman" w:hAnsi="Times New Roman" w:eastAsia="宋体" w:cs="Times New Roman"/>
                      <w:color w:val="auto"/>
                      <w:highlight w:val="none"/>
                      <w:shd w:val="clear" w:color="auto" w:fill="auto"/>
                      <w:vertAlign w:val="subscript"/>
                    </w:rPr>
                    <w:t>3</w:t>
                  </w:r>
                  <w:r>
                    <w:rPr>
                      <w:rFonts w:hint="default" w:ascii="Times New Roman" w:hAnsi="Times New Roman" w:eastAsia="宋体" w:cs="Times New Roman"/>
                      <w:color w:val="auto"/>
                      <w:highlight w:val="none"/>
                      <w:shd w:val="clear" w:color="auto" w:fill="auto"/>
                    </w:rPr>
                    <w:t>-N</w:t>
                  </w:r>
                </w:p>
              </w:tc>
              <w:tc>
                <w:tcPr>
                  <w:tcW w:w="850" w:type="pct"/>
                  <w:tcBorders>
                    <w:tl2br w:val="nil"/>
                    <w:tr2bl w:val="nil"/>
                  </w:tcBorders>
                  <w:tcMar>
                    <w:top w:w="0" w:type="dxa"/>
                    <w:left w:w="108" w:type="dxa"/>
                    <w:bottom w:w="0" w:type="dxa"/>
                    <w:right w:w="108" w:type="dxa"/>
                  </w:tcMar>
                  <w:vAlign w:val="center"/>
                </w:tcPr>
                <w:p w14:paraId="341EDA5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lang w:val="en-US" w:eastAsia="zh-CN"/>
                    </w:rPr>
                    <w:t>3</w:t>
                  </w:r>
                  <w:r>
                    <w:rPr>
                      <w:rFonts w:hint="default" w:ascii="Times New Roman" w:hAnsi="Times New Roman" w:eastAsia="宋体" w:cs="Times New Roman"/>
                      <w:color w:val="auto"/>
                      <w:highlight w:val="none"/>
                      <w:shd w:val="clear" w:color="auto" w:fill="auto"/>
                    </w:rPr>
                    <w:t>5</w:t>
                  </w:r>
                </w:p>
              </w:tc>
            </w:tr>
            <w:tr w14:paraId="1E7B1E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24C68904">
                  <w:pPr>
                    <w:jc w:val="center"/>
                    <w:rPr>
                      <w:rFonts w:hint="default" w:ascii="Times New Roman" w:hAnsi="Times New Roman" w:eastAsia="宋体" w:cs="Times New Roman"/>
                      <w:color w:val="auto"/>
                      <w:highlight w:val="none"/>
                      <w:shd w:val="clear" w:color="auto" w:fill="auto"/>
                    </w:rPr>
                  </w:pPr>
                </w:p>
              </w:tc>
              <w:tc>
                <w:tcPr>
                  <w:tcW w:w="2119" w:type="pct"/>
                  <w:vMerge w:val="continue"/>
                  <w:tcBorders>
                    <w:tl2br w:val="nil"/>
                    <w:tr2bl w:val="nil"/>
                  </w:tcBorders>
                  <w:tcMar>
                    <w:top w:w="0" w:type="dxa"/>
                    <w:left w:w="108" w:type="dxa"/>
                    <w:bottom w:w="0" w:type="dxa"/>
                    <w:right w:w="108" w:type="dxa"/>
                  </w:tcMar>
                  <w:vAlign w:val="center"/>
                </w:tcPr>
                <w:p w14:paraId="1B8696DA">
                  <w:pPr>
                    <w:jc w:val="center"/>
                    <w:rPr>
                      <w:rFonts w:hint="default" w:ascii="Times New Roman" w:hAnsi="Times New Roman" w:eastAsia="宋体" w:cs="Times New Roman"/>
                      <w:color w:val="auto"/>
                      <w:highlight w:val="none"/>
                      <w:shd w:val="clear" w:color="auto" w:fill="auto"/>
                    </w:rPr>
                  </w:pPr>
                </w:p>
              </w:tc>
              <w:tc>
                <w:tcPr>
                  <w:tcW w:w="602" w:type="pct"/>
                  <w:vMerge w:val="continue"/>
                  <w:tcBorders>
                    <w:tl2br w:val="nil"/>
                    <w:tr2bl w:val="nil"/>
                  </w:tcBorders>
                  <w:tcMar>
                    <w:top w:w="0" w:type="dxa"/>
                    <w:left w:w="108" w:type="dxa"/>
                    <w:bottom w:w="0" w:type="dxa"/>
                    <w:right w:w="108" w:type="dxa"/>
                  </w:tcMar>
                  <w:vAlign w:val="center"/>
                </w:tcPr>
                <w:p w14:paraId="557DFC83">
                  <w:pPr>
                    <w:jc w:val="center"/>
                    <w:rPr>
                      <w:rFonts w:hint="default" w:ascii="Times New Roman" w:hAnsi="Times New Roman" w:eastAsia="宋体" w:cs="Times New Roman"/>
                      <w:color w:val="auto"/>
                      <w:highlight w:val="none"/>
                      <w:shd w:val="clear" w:color="auto" w:fill="auto"/>
                    </w:rPr>
                  </w:pPr>
                </w:p>
              </w:tc>
              <w:tc>
                <w:tcPr>
                  <w:tcW w:w="714" w:type="pct"/>
                  <w:tcBorders>
                    <w:tl2br w:val="nil"/>
                    <w:tr2bl w:val="nil"/>
                  </w:tcBorders>
                  <w:tcMar>
                    <w:top w:w="0" w:type="dxa"/>
                    <w:left w:w="108" w:type="dxa"/>
                    <w:bottom w:w="0" w:type="dxa"/>
                    <w:right w:w="108" w:type="dxa"/>
                  </w:tcMar>
                  <w:vAlign w:val="center"/>
                </w:tcPr>
                <w:p w14:paraId="7238BCF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TP</w:t>
                  </w:r>
                </w:p>
              </w:tc>
              <w:tc>
                <w:tcPr>
                  <w:tcW w:w="850" w:type="pct"/>
                  <w:tcBorders>
                    <w:tl2br w:val="nil"/>
                    <w:tr2bl w:val="nil"/>
                  </w:tcBorders>
                  <w:tcMar>
                    <w:top w:w="0" w:type="dxa"/>
                    <w:left w:w="108" w:type="dxa"/>
                    <w:bottom w:w="0" w:type="dxa"/>
                    <w:right w:w="108" w:type="dxa"/>
                  </w:tcMar>
                  <w:vAlign w:val="center"/>
                </w:tcPr>
                <w:p w14:paraId="2922F45A">
                  <w:pPr>
                    <w:jc w:val="center"/>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lang w:val="en-US" w:eastAsia="zh-CN"/>
                    </w:rPr>
                    <w:t>3</w:t>
                  </w:r>
                </w:p>
              </w:tc>
            </w:tr>
            <w:tr w14:paraId="21734B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4BE78671">
                  <w:pPr>
                    <w:jc w:val="center"/>
                    <w:rPr>
                      <w:rFonts w:hint="default" w:ascii="Times New Roman" w:hAnsi="Times New Roman" w:eastAsia="宋体" w:cs="Times New Roman"/>
                      <w:color w:val="auto"/>
                      <w:highlight w:val="none"/>
                      <w:shd w:val="clear" w:color="auto" w:fill="auto"/>
                    </w:rPr>
                  </w:pPr>
                </w:p>
              </w:tc>
              <w:tc>
                <w:tcPr>
                  <w:tcW w:w="2119" w:type="pct"/>
                  <w:vMerge w:val="continue"/>
                  <w:tcBorders>
                    <w:tl2br w:val="nil"/>
                    <w:tr2bl w:val="nil"/>
                  </w:tcBorders>
                  <w:tcMar>
                    <w:top w:w="0" w:type="dxa"/>
                    <w:left w:w="108" w:type="dxa"/>
                    <w:bottom w:w="0" w:type="dxa"/>
                    <w:right w:w="108" w:type="dxa"/>
                  </w:tcMar>
                  <w:vAlign w:val="center"/>
                </w:tcPr>
                <w:p w14:paraId="03E2D19C">
                  <w:pPr>
                    <w:jc w:val="center"/>
                    <w:rPr>
                      <w:rFonts w:hint="default" w:ascii="Times New Roman" w:hAnsi="Times New Roman" w:eastAsia="宋体" w:cs="Times New Roman"/>
                      <w:color w:val="auto"/>
                      <w:highlight w:val="none"/>
                      <w:shd w:val="clear" w:color="auto" w:fill="auto"/>
                    </w:rPr>
                  </w:pPr>
                </w:p>
              </w:tc>
              <w:tc>
                <w:tcPr>
                  <w:tcW w:w="602" w:type="pct"/>
                  <w:vMerge w:val="continue"/>
                  <w:tcBorders>
                    <w:tl2br w:val="nil"/>
                    <w:tr2bl w:val="nil"/>
                  </w:tcBorders>
                  <w:tcMar>
                    <w:top w:w="0" w:type="dxa"/>
                    <w:left w:w="108" w:type="dxa"/>
                    <w:bottom w:w="0" w:type="dxa"/>
                    <w:right w:w="108" w:type="dxa"/>
                  </w:tcMar>
                  <w:vAlign w:val="center"/>
                </w:tcPr>
                <w:p w14:paraId="18D3211F">
                  <w:pPr>
                    <w:jc w:val="center"/>
                    <w:rPr>
                      <w:rFonts w:hint="default" w:ascii="Times New Roman" w:hAnsi="Times New Roman" w:eastAsia="宋体" w:cs="Times New Roman"/>
                      <w:color w:val="auto"/>
                      <w:highlight w:val="none"/>
                      <w:shd w:val="clear" w:color="auto" w:fill="auto"/>
                    </w:rPr>
                  </w:pPr>
                </w:p>
              </w:tc>
              <w:tc>
                <w:tcPr>
                  <w:tcW w:w="714" w:type="pct"/>
                  <w:tcBorders>
                    <w:tl2br w:val="nil"/>
                    <w:tr2bl w:val="nil"/>
                  </w:tcBorders>
                  <w:shd w:val="clear" w:color="auto" w:fill="auto"/>
                  <w:tcMar>
                    <w:top w:w="0" w:type="dxa"/>
                    <w:left w:w="108" w:type="dxa"/>
                    <w:bottom w:w="0" w:type="dxa"/>
                    <w:right w:w="108" w:type="dxa"/>
                  </w:tcMar>
                  <w:vAlign w:val="center"/>
                </w:tcPr>
                <w:p w14:paraId="08B4B913">
                  <w:pPr>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TN</w:t>
                  </w:r>
                </w:p>
              </w:tc>
              <w:tc>
                <w:tcPr>
                  <w:tcW w:w="850" w:type="pct"/>
                  <w:tcBorders>
                    <w:tl2br w:val="nil"/>
                    <w:tr2bl w:val="nil"/>
                  </w:tcBorders>
                  <w:shd w:val="clear" w:color="auto" w:fill="auto"/>
                  <w:tcMar>
                    <w:top w:w="0" w:type="dxa"/>
                    <w:left w:w="108" w:type="dxa"/>
                    <w:bottom w:w="0" w:type="dxa"/>
                    <w:right w:w="108" w:type="dxa"/>
                  </w:tcMar>
                  <w:vAlign w:val="center"/>
                </w:tcPr>
                <w:p w14:paraId="1CD03758">
                  <w:pPr>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lang w:val="en-US" w:eastAsia="zh-CN"/>
                    </w:rPr>
                    <w:t>5</w:t>
                  </w:r>
                  <w:r>
                    <w:rPr>
                      <w:rFonts w:hint="default" w:ascii="Times New Roman" w:hAnsi="Times New Roman" w:eastAsia="宋体" w:cs="Times New Roman"/>
                      <w:color w:val="auto"/>
                      <w:highlight w:val="none"/>
                      <w:shd w:val="clear" w:color="auto" w:fill="auto"/>
                    </w:rPr>
                    <w:t>0</w:t>
                  </w:r>
                </w:p>
              </w:tc>
            </w:tr>
            <w:tr w14:paraId="199B5A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restart"/>
                  <w:tcBorders>
                    <w:tl2br w:val="nil"/>
                    <w:tr2bl w:val="nil"/>
                  </w:tcBorders>
                  <w:tcMar>
                    <w:top w:w="0" w:type="dxa"/>
                    <w:left w:w="108" w:type="dxa"/>
                    <w:bottom w:w="0" w:type="dxa"/>
                    <w:right w:w="108" w:type="dxa"/>
                  </w:tcMar>
                  <w:vAlign w:val="center"/>
                </w:tcPr>
                <w:p w14:paraId="6DC5FFC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常州市金坛区第二污水处理厂排口</w:t>
                  </w:r>
                </w:p>
              </w:tc>
              <w:tc>
                <w:tcPr>
                  <w:tcW w:w="2119" w:type="pct"/>
                  <w:vMerge w:val="restart"/>
                  <w:tcBorders>
                    <w:tl2br w:val="nil"/>
                    <w:tr2bl w:val="nil"/>
                  </w:tcBorders>
                  <w:tcMar>
                    <w:top w:w="0" w:type="dxa"/>
                    <w:left w:w="108" w:type="dxa"/>
                    <w:bottom w:w="0" w:type="dxa"/>
                    <w:right w:w="108" w:type="dxa"/>
                  </w:tcMar>
                  <w:vAlign w:val="center"/>
                </w:tcPr>
                <w:p w14:paraId="161C3DB6">
                  <w:pPr>
                    <w:jc w:val="center"/>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rPr>
                    <w:t>《城镇污水处理厂污染物排放标准》</w:t>
                  </w:r>
                  <w:r>
                    <w:rPr>
                      <w:rFonts w:hint="default" w:ascii="Times New Roman" w:hAnsi="Times New Roman" w:eastAsia="宋体"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GB 18918-2002</w:t>
                  </w:r>
                  <w:r>
                    <w:rPr>
                      <w:rFonts w:hint="default" w:ascii="Times New Roman" w:hAnsi="Times New Roman" w:eastAsia="宋体" w:cs="Times New Roman"/>
                      <w:color w:val="auto"/>
                      <w:highlight w:val="none"/>
                      <w:shd w:val="clear" w:color="auto" w:fill="auto"/>
                      <w:lang w:eastAsia="zh-CN"/>
                    </w:rPr>
                    <w:t>）</w:t>
                  </w:r>
                </w:p>
              </w:tc>
              <w:tc>
                <w:tcPr>
                  <w:tcW w:w="602" w:type="pct"/>
                  <w:vMerge w:val="restart"/>
                  <w:tcBorders>
                    <w:tl2br w:val="nil"/>
                    <w:tr2bl w:val="nil"/>
                  </w:tcBorders>
                  <w:tcMar>
                    <w:top w:w="0" w:type="dxa"/>
                    <w:left w:w="108" w:type="dxa"/>
                    <w:bottom w:w="0" w:type="dxa"/>
                    <w:right w:w="108" w:type="dxa"/>
                  </w:tcMar>
                  <w:vAlign w:val="center"/>
                </w:tcPr>
                <w:p w14:paraId="11C773F8">
                  <w:pP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一级A</w:t>
                  </w:r>
                </w:p>
              </w:tc>
              <w:tc>
                <w:tcPr>
                  <w:tcW w:w="714" w:type="pct"/>
                  <w:tcBorders>
                    <w:tl2br w:val="nil"/>
                    <w:tr2bl w:val="nil"/>
                  </w:tcBorders>
                  <w:tcMar>
                    <w:top w:w="0" w:type="dxa"/>
                    <w:left w:w="108" w:type="dxa"/>
                    <w:bottom w:w="0" w:type="dxa"/>
                    <w:right w:w="108" w:type="dxa"/>
                  </w:tcMar>
                  <w:vAlign w:val="center"/>
                </w:tcPr>
                <w:p w14:paraId="1BA96516">
                  <w:pPr>
                    <w:autoSpaceDE w:val="0"/>
                    <w:autoSpaceDN w:val="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pH</w:t>
                  </w:r>
                </w:p>
              </w:tc>
              <w:tc>
                <w:tcPr>
                  <w:tcW w:w="850" w:type="pct"/>
                  <w:tcBorders>
                    <w:tl2br w:val="nil"/>
                    <w:tr2bl w:val="nil"/>
                  </w:tcBorders>
                  <w:tcMar>
                    <w:top w:w="0" w:type="dxa"/>
                    <w:left w:w="108" w:type="dxa"/>
                    <w:bottom w:w="0" w:type="dxa"/>
                    <w:right w:w="108" w:type="dxa"/>
                  </w:tcMar>
                  <w:vAlign w:val="center"/>
                </w:tcPr>
                <w:p w14:paraId="5BB7ACAA">
                  <w:pPr>
                    <w:autoSpaceDE w:val="0"/>
                    <w:autoSpaceDN w:val="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6~9</w:t>
                  </w:r>
                </w:p>
              </w:tc>
            </w:tr>
            <w:tr w14:paraId="2D459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Mar>
                    <w:top w:w="0" w:type="dxa"/>
                    <w:left w:w="108" w:type="dxa"/>
                    <w:bottom w:w="0" w:type="dxa"/>
                    <w:right w:w="108" w:type="dxa"/>
                  </w:tcMar>
                  <w:vAlign w:val="center"/>
                </w:tcPr>
                <w:p w14:paraId="46743BA5">
                  <w:pPr>
                    <w:jc w:val="center"/>
                    <w:rPr>
                      <w:rFonts w:hint="default" w:ascii="Times New Roman" w:hAnsi="Times New Roman" w:eastAsia="宋体" w:cs="Times New Roman"/>
                      <w:color w:val="auto"/>
                      <w:highlight w:val="none"/>
                      <w:shd w:val="clear" w:color="auto" w:fill="auto"/>
                    </w:rPr>
                  </w:pPr>
                </w:p>
              </w:tc>
              <w:tc>
                <w:tcPr>
                  <w:tcW w:w="2119" w:type="pct"/>
                  <w:vMerge w:val="continue"/>
                  <w:tcBorders>
                    <w:tl2br w:val="nil"/>
                    <w:tr2bl w:val="nil"/>
                  </w:tcBorders>
                  <w:tcMar>
                    <w:top w:w="0" w:type="dxa"/>
                    <w:left w:w="108" w:type="dxa"/>
                    <w:bottom w:w="0" w:type="dxa"/>
                    <w:right w:w="108" w:type="dxa"/>
                  </w:tcMar>
                  <w:vAlign w:val="center"/>
                </w:tcPr>
                <w:p w14:paraId="3ED8273C">
                  <w:pPr>
                    <w:jc w:val="center"/>
                    <w:rPr>
                      <w:rFonts w:hint="default" w:ascii="Times New Roman" w:hAnsi="Times New Roman" w:eastAsia="宋体" w:cs="Times New Roman"/>
                      <w:color w:val="auto"/>
                      <w:highlight w:val="none"/>
                      <w:shd w:val="clear" w:color="auto" w:fill="auto"/>
                    </w:rPr>
                  </w:pPr>
                </w:p>
              </w:tc>
              <w:tc>
                <w:tcPr>
                  <w:tcW w:w="602" w:type="pct"/>
                  <w:vMerge w:val="continue"/>
                  <w:tcBorders>
                    <w:tl2br w:val="nil"/>
                    <w:tr2bl w:val="nil"/>
                  </w:tcBorders>
                  <w:tcMar>
                    <w:top w:w="0" w:type="dxa"/>
                    <w:left w:w="108" w:type="dxa"/>
                    <w:bottom w:w="0" w:type="dxa"/>
                    <w:right w:w="108" w:type="dxa"/>
                  </w:tcMar>
                  <w:vAlign w:val="center"/>
                </w:tcPr>
                <w:p w14:paraId="7E6D1C2A">
                  <w:pPr>
                    <w:rPr>
                      <w:rFonts w:hint="default" w:ascii="Times New Roman" w:hAnsi="Times New Roman" w:eastAsia="宋体" w:cs="Times New Roman"/>
                      <w:color w:val="auto"/>
                      <w:highlight w:val="none"/>
                      <w:shd w:val="clear" w:color="auto" w:fill="auto"/>
                    </w:rPr>
                  </w:pPr>
                </w:p>
              </w:tc>
              <w:tc>
                <w:tcPr>
                  <w:tcW w:w="714" w:type="pct"/>
                  <w:tcBorders>
                    <w:tl2br w:val="nil"/>
                    <w:tr2bl w:val="nil"/>
                  </w:tcBorders>
                  <w:tcMar>
                    <w:top w:w="0" w:type="dxa"/>
                    <w:left w:w="108" w:type="dxa"/>
                    <w:bottom w:w="0" w:type="dxa"/>
                    <w:right w:w="108" w:type="dxa"/>
                  </w:tcMar>
                  <w:vAlign w:val="center"/>
                </w:tcPr>
                <w:p w14:paraId="0F864FED">
                  <w:pPr>
                    <w:autoSpaceDE w:val="0"/>
                    <w:autoSpaceDN w:val="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SS</w:t>
                  </w:r>
                </w:p>
              </w:tc>
              <w:tc>
                <w:tcPr>
                  <w:tcW w:w="850" w:type="pct"/>
                  <w:tcBorders>
                    <w:tl2br w:val="nil"/>
                    <w:tr2bl w:val="nil"/>
                  </w:tcBorders>
                  <w:tcMar>
                    <w:top w:w="0" w:type="dxa"/>
                    <w:left w:w="108" w:type="dxa"/>
                    <w:bottom w:w="0" w:type="dxa"/>
                    <w:right w:w="108" w:type="dxa"/>
                  </w:tcMar>
                  <w:vAlign w:val="center"/>
                </w:tcPr>
                <w:p w14:paraId="67E6CB67">
                  <w:pPr>
                    <w:autoSpaceDE w:val="0"/>
                    <w:autoSpaceDN w:val="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10</w:t>
                  </w:r>
                </w:p>
              </w:tc>
            </w:tr>
            <w:tr w14:paraId="08A9A2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5CE9BC1B">
                  <w:pPr>
                    <w:autoSpaceDE w:val="0"/>
                    <w:autoSpaceDN w:val="0"/>
                    <w:jc w:val="center"/>
                    <w:rPr>
                      <w:rFonts w:hint="default" w:ascii="Times New Roman" w:hAnsi="Times New Roman" w:eastAsia="宋体" w:cs="Times New Roman"/>
                      <w:color w:val="auto"/>
                      <w:highlight w:val="none"/>
                      <w:shd w:val="clear" w:color="auto" w:fill="auto"/>
                    </w:rPr>
                  </w:pPr>
                </w:p>
              </w:tc>
              <w:tc>
                <w:tcPr>
                  <w:tcW w:w="2119" w:type="pct"/>
                  <w:vMerge w:val="restart"/>
                  <w:tcBorders>
                    <w:tl2br w:val="nil"/>
                    <w:tr2bl w:val="nil"/>
                  </w:tcBorders>
                  <w:vAlign w:val="center"/>
                </w:tcPr>
                <w:p w14:paraId="6191A5C2">
                  <w:pPr>
                    <w:autoSpaceDE w:val="0"/>
                    <w:autoSpaceDN w:val="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《太湖地区城镇污水处理厂及重点工业行业主要水污染物排放限值》（DB 32/1072-2018）</w:t>
                  </w:r>
                </w:p>
              </w:tc>
              <w:tc>
                <w:tcPr>
                  <w:tcW w:w="602" w:type="pct"/>
                  <w:vMerge w:val="restart"/>
                  <w:tcBorders>
                    <w:tl2br w:val="nil"/>
                    <w:tr2bl w:val="nil"/>
                  </w:tcBorders>
                  <w:vAlign w:val="center"/>
                </w:tcPr>
                <w:p w14:paraId="0114E81B">
                  <w:pPr>
                    <w:autoSpaceDE w:val="0"/>
                    <w:autoSpaceDN w:val="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表2</w:t>
                  </w:r>
                </w:p>
              </w:tc>
              <w:tc>
                <w:tcPr>
                  <w:tcW w:w="714" w:type="pct"/>
                  <w:tcBorders>
                    <w:tl2br w:val="nil"/>
                    <w:tr2bl w:val="nil"/>
                  </w:tcBorders>
                  <w:vAlign w:val="center"/>
                </w:tcPr>
                <w:p w14:paraId="0C7DA83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COD</w:t>
                  </w:r>
                </w:p>
              </w:tc>
              <w:tc>
                <w:tcPr>
                  <w:tcW w:w="850" w:type="pct"/>
                  <w:tcBorders>
                    <w:tl2br w:val="nil"/>
                    <w:tr2bl w:val="nil"/>
                  </w:tcBorders>
                  <w:vAlign w:val="center"/>
                </w:tcPr>
                <w:p w14:paraId="6B4CEBD4">
                  <w:pPr>
                    <w:autoSpaceDE w:val="0"/>
                    <w:autoSpaceDN w:val="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50</w:t>
                  </w:r>
                </w:p>
              </w:tc>
            </w:tr>
            <w:tr w14:paraId="1A6122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5603302C">
                  <w:pPr>
                    <w:autoSpaceDE w:val="0"/>
                    <w:autoSpaceDN w:val="0"/>
                    <w:jc w:val="center"/>
                    <w:rPr>
                      <w:rFonts w:hint="default" w:ascii="Times New Roman" w:hAnsi="Times New Roman" w:eastAsia="宋体" w:cs="Times New Roman"/>
                      <w:color w:val="auto"/>
                      <w:highlight w:val="none"/>
                      <w:shd w:val="clear" w:color="auto" w:fill="auto"/>
                    </w:rPr>
                  </w:pPr>
                </w:p>
              </w:tc>
              <w:tc>
                <w:tcPr>
                  <w:tcW w:w="2119" w:type="pct"/>
                  <w:vMerge w:val="continue"/>
                  <w:tcBorders>
                    <w:tl2br w:val="nil"/>
                    <w:tr2bl w:val="nil"/>
                  </w:tcBorders>
                </w:tcPr>
                <w:p w14:paraId="1E73D973">
                  <w:pPr>
                    <w:autoSpaceDE w:val="0"/>
                    <w:autoSpaceDN w:val="0"/>
                    <w:jc w:val="center"/>
                    <w:rPr>
                      <w:rFonts w:hint="default" w:ascii="Times New Roman" w:hAnsi="Times New Roman" w:eastAsia="宋体" w:cs="Times New Roman"/>
                      <w:color w:val="auto"/>
                      <w:highlight w:val="none"/>
                      <w:shd w:val="clear" w:color="auto" w:fill="auto"/>
                    </w:rPr>
                  </w:pPr>
                </w:p>
              </w:tc>
              <w:tc>
                <w:tcPr>
                  <w:tcW w:w="602" w:type="pct"/>
                  <w:vMerge w:val="continue"/>
                  <w:tcBorders>
                    <w:tl2br w:val="nil"/>
                    <w:tr2bl w:val="nil"/>
                  </w:tcBorders>
                </w:tcPr>
                <w:p w14:paraId="45E56E2C">
                  <w:pPr>
                    <w:autoSpaceDE w:val="0"/>
                    <w:autoSpaceDN w:val="0"/>
                    <w:jc w:val="center"/>
                    <w:rPr>
                      <w:rFonts w:hint="default" w:ascii="Times New Roman" w:hAnsi="Times New Roman" w:eastAsia="宋体" w:cs="Times New Roman"/>
                      <w:color w:val="auto"/>
                      <w:highlight w:val="none"/>
                      <w:shd w:val="clear" w:color="auto" w:fill="auto"/>
                    </w:rPr>
                  </w:pPr>
                </w:p>
              </w:tc>
              <w:tc>
                <w:tcPr>
                  <w:tcW w:w="714" w:type="pct"/>
                  <w:tcBorders>
                    <w:tl2br w:val="nil"/>
                    <w:tr2bl w:val="nil"/>
                  </w:tcBorders>
                  <w:vAlign w:val="center"/>
                </w:tcPr>
                <w:p w14:paraId="2A50E9F6">
                  <w:pPr>
                    <w:autoSpaceDE w:val="0"/>
                    <w:autoSpaceDN w:val="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氨氮</w:t>
                  </w:r>
                </w:p>
              </w:tc>
              <w:tc>
                <w:tcPr>
                  <w:tcW w:w="850" w:type="pct"/>
                  <w:tcBorders>
                    <w:tl2br w:val="nil"/>
                    <w:tr2bl w:val="nil"/>
                  </w:tcBorders>
                  <w:vAlign w:val="center"/>
                </w:tcPr>
                <w:p w14:paraId="4126BDB2">
                  <w:pPr>
                    <w:autoSpaceDE w:val="0"/>
                    <w:autoSpaceDN w:val="0"/>
                    <w:jc w:val="center"/>
                    <w:rPr>
                      <w:rFonts w:hint="eastAsia"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rPr>
                    <w:t>4（6）</w:t>
                  </w:r>
                  <w:r>
                    <w:rPr>
                      <w:rFonts w:hint="eastAsia" w:ascii="Times New Roman" w:hAnsi="Times New Roman" w:eastAsia="宋体" w:cs="Times New Roman"/>
                      <w:color w:val="auto"/>
                      <w:highlight w:val="none"/>
                      <w:shd w:val="clear" w:color="auto" w:fill="auto"/>
                      <w:vertAlign w:val="superscript"/>
                      <w:lang w:val="en-US" w:eastAsia="zh-CN"/>
                    </w:rPr>
                    <w:t>①</w:t>
                  </w:r>
                </w:p>
              </w:tc>
            </w:tr>
            <w:tr w14:paraId="499F5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7852B6C7">
                  <w:pPr>
                    <w:autoSpaceDE w:val="0"/>
                    <w:autoSpaceDN w:val="0"/>
                    <w:jc w:val="center"/>
                    <w:rPr>
                      <w:rFonts w:hint="default" w:ascii="Times New Roman" w:hAnsi="Times New Roman" w:eastAsia="宋体" w:cs="Times New Roman"/>
                      <w:color w:val="auto"/>
                      <w:highlight w:val="none"/>
                      <w:shd w:val="clear" w:color="auto" w:fill="auto"/>
                    </w:rPr>
                  </w:pPr>
                </w:p>
              </w:tc>
              <w:tc>
                <w:tcPr>
                  <w:tcW w:w="2119" w:type="pct"/>
                  <w:vMerge w:val="continue"/>
                  <w:tcBorders>
                    <w:tl2br w:val="nil"/>
                    <w:tr2bl w:val="nil"/>
                  </w:tcBorders>
                </w:tcPr>
                <w:p w14:paraId="03A4BBFD">
                  <w:pPr>
                    <w:autoSpaceDE w:val="0"/>
                    <w:autoSpaceDN w:val="0"/>
                    <w:jc w:val="center"/>
                    <w:rPr>
                      <w:rFonts w:hint="default" w:ascii="Times New Roman" w:hAnsi="Times New Roman" w:eastAsia="宋体" w:cs="Times New Roman"/>
                      <w:color w:val="auto"/>
                      <w:highlight w:val="none"/>
                      <w:shd w:val="clear" w:color="auto" w:fill="auto"/>
                    </w:rPr>
                  </w:pPr>
                </w:p>
              </w:tc>
              <w:tc>
                <w:tcPr>
                  <w:tcW w:w="602" w:type="pct"/>
                  <w:vMerge w:val="continue"/>
                  <w:tcBorders>
                    <w:tl2br w:val="nil"/>
                    <w:tr2bl w:val="nil"/>
                  </w:tcBorders>
                </w:tcPr>
                <w:p w14:paraId="21AA28FA">
                  <w:pPr>
                    <w:autoSpaceDE w:val="0"/>
                    <w:autoSpaceDN w:val="0"/>
                    <w:jc w:val="center"/>
                    <w:rPr>
                      <w:rFonts w:hint="default" w:ascii="Times New Roman" w:hAnsi="Times New Roman" w:eastAsia="宋体" w:cs="Times New Roman"/>
                      <w:color w:val="auto"/>
                      <w:highlight w:val="none"/>
                      <w:shd w:val="clear" w:color="auto" w:fill="auto"/>
                    </w:rPr>
                  </w:pPr>
                </w:p>
              </w:tc>
              <w:tc>
                <w:tcPr>
                  <w:tcW w:w="714" w:type="pct"/>
                  <w:tcBorders>
                    <w:tl2br w:val="nil"/>
                    <w:tr2bl w:val="nil"/>
                  </w:tcBorders>
                  <w:vAlign w:val="center"/>
                </w:tcPr>
                <w:p w14:paraId="0D0EA221">
                  <w:pPr>
                    <w:autoSpaceDE w:val="0"/>
                    <w:autoSpaceDN w:val="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TP</w:t>
                  </w:r>
                </w:p>
              </w:tc>
              <w:tc>
                <w:tcPr>
                  <w:tcW w:w="850" w:type="pct"/>
                  <w:tcBorders>
                    <w:tl2br w:val="nil"/>
                    <w:tr2bl w:val="nil"/>
                  </w:tcBorders>
                  <w:vAlign w:val="center"/>
                </w:tcPr>
                <w:p w14:paraId="1B65EC36">
                  <w:pPr>
                    <w:autoSpaceDE w:val="0"/>
                    <w:autoSpaceDN w:val="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0.5</w:t>
                  </w:r>
                </w:p>
              </w:tc>
            </w:tr>
            <w:tr w14:paraId="4FF3BE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13677EE0">
                  <w:pPr>
                    <w:autoSpaceDE w:val="0"/>
                    <w:autoSpaceDN w:val="0"/>
                    <w:jc w:val="center"/>
                    <w:rPr>
                      <w:rFonts w:hint="default" w:ascii="Times New Roman" w:hAnsi="Times New Roman" w:eastAsia="宋体" w:cs="Times New Roman"/>
                      <w:color w:val="auto"/>
                      <w:highlight w:val="none"/>
                      <w:shd w:val="clear" w:color="auto" w:fill="auto"/>
                    </w:rPr>
                  </w:pPr>
                </w:p>
              </w:tc>
              <w:tc>
                <w:tcPr>
                  <w:tcW w:w="2119" w:type="pct"/>
                  <w:vMerge w:val="continue"/>
                  <w:tcBorders>
                    <w:tl2br w:val="nil"/>
                    <w:tr2bl w:val="nil"/>
                  </w:tcBorders>
                </w:tcPr>
                <w:p w14:paraId="59C2ABB5">
                  <w:pPr>
                    <w:autoSpaceDE w:val="0"/>
                    <w:autoSpaceDN w:val="0"/>
                    <w:jc w:val="center"/>
                    <w:rPr>
                      <w:rFonts w:hint="default" w:ascii="Times New Roman" w:hAnsi="Times New Roman" w:eastAsia="宋体" w:cs="Times New Roman"/>
                      <w:color w:val="auto"/>
                      <w:highlight w:val="none"/>
                      <w:shd w:val="clear" w:color="auto" w:fill="auto"/>
                    </w:rPr>
                  </w:pPr>
                </w:p>
              </w:tc>
              <w:tc>
                <w:tcPr>
                  <w:tcW w:w="602" w:type="pct"/>
                  <w:vMerge w:val="continue"/>
                  <w:tcBorders>
                    <w:tl2br w:val="nil"/>
                    <w:tr2bl w:val="nil"/>
                  </w:tcBorders>
                </w:tcPr>
                <w:p w14:paraId="5C61B1B0">
                  <w:pPr>
                    <w:autoSpaceDE w:val="0"/>
                    <w:autoSpaceDN w:val="0"/>
                    <w:jc w:val="center"/>
                    <w:rPr>
                      <w:rFonts w:hint="default" w:ascii="Times New Roman" w:hAnsi="Times New Roman" w:eastAsia="宋体" w:cs="Times New Roman"/>
                      <w:color w:val="auto"/>
                      <w:highlight w:val="none"/>
                      <w:shd w:val="clear" w:color="auto" w:fill="auto"/>
                    </w:rPr>
                  </w:pPr>
                </w:p>
              </w:tc>
              <w:tc>
                <w:tcPr>
                  <w:tcW w:w="714" w:type="pct"/>
                  <w:tcBorders>
                    <w:tl2br w:val="nil"/>
                    <w:tr2bl w:val="nil"/>
                  </w:tcBorders>
                  <w:vAlign w:val="center"/>
                </w:tcPr>
                <w:p w14:paraId="32018E5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TN</w:t>
                  </w:r>
                </w:p>
              </w:tc>
              <w:tc>
                <w:tcPr>
                  <w:tcW w:w="850" w:type="pct"/>
                  <w:tcBorders>
                    <w:tl2br w:val="nil"/>
                    <w:tr2bl w:val="nil"/>
                  </w:tcBorders>
                  <w:vAlign w:val="center"/>
                </w:tcPr>
                <w:p w14:paraId="39006BB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12（15）</w:t>
                  </w:r>
                  <w:r>
                    <w:rPr>
                      <w:rFonts w:hint="eastAsia" w:ascii="Times New Roman" w:hAnsi="Times New Roman" w:eastAsia="宋体" w:cs="Times New Roman"/>
                      <w:color w:val="auto"/>
                      <w:highlight w:val="none"/>
                      <w:shd w:val="clear" w:color="auto" w:fill="auto"/>
                      <w:vertAlign w:val="superscript"/>
                      <w:lang w:val="en-US" w:eastAsia="zh-CN"/>
                    </w:rPr>
                    <w:t>①</w:t>
                  </w:r>
                </w:p>
              </w:tc>
            </w:tr>
            <w:tr w14:paraId="7B7AEC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Borders>
                    <w:tl2br w:val="nil"/>
                    <w:tr2bl w:val="nil"/>
                  </w:tcBorders>
                </w:tcPr>
                <w:p w14:paraId="415EB1A7">
                  <w:pPr>
                    <w:autoSpaceDE w:val="0"/>
                    <w:autoSpaceDN w:val="0"/>
                    <w:jc w:val="center"/>
                    <w:rPr>
                      <w:rFonts w:hint="default" w:ascii="Times New Roman" w:hAnsi="Times New Roman" w:eastAsia="宋体" w:cs="Times New Roman"/>
                      <w:color w:val="auto"/>
                      <w:highlight w:val="none"/>
                      <w:shd w:val="clear" w:color="auto" w:fill="auto"/>
                    </w:rPr>
                  </w:pPr>
                </w:p>
              </w:tc>
              <w:tc>
                <w:tcPr>
                  <w:tcW w:w="2119" w:type="pct"/>
                  <w:vMerge w:val="restart"/>
                  <w:tcBorders>
                    <w:tl2br w:val="nil"/>
                    <w:tr2bl w:val="nil"/>
                  </w:tcBorders>
                  <w:shd w:val="clear" w:color="auto" w:fill="auto"/>
                  <w:vAlign w:val="center"/>
                </w:tcPr>
                <w:p w14:paraId="4D50FE6A">
                  <w:pPr>
                    <w:pStyle w:val="89"/>
                    <w:spacing w:line="310" w:lineRule="exact"/>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《城镇污水处理厂污染物排放标准》（DB32/4440-2022）</w:t>
                  </w:r>
                </w:p>
                <w:p w14:paraId="700E39C9">
                  <w:pPr>
                    <w:autoSpaceDE w:val="0"/>
                    <w:autoSpaceDN w:val="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sz w:val="21"/>
                      <w:szCs w:val="21"/>
                      <w:shd w:val="clear" w:color="auto" w:fill="auto"/>
                    </w:rPr>
                    <w:t>（2026年3月28日起施行）</w:t>
                  </w:r>
                </w:p>
              </w:tc>
              <w:tc>
                <w:tcPr>
                  <w:tcW w:w="602" w:type="pct"/>
                  <w:vMerge w:val="restart"/>
                  <w:tcBorders>
                    <w:tl2br w:val="nil"/>
                    <w:tr2bl w:val="nil"/>
                  </w:tcBorders>
                  <w:shd w:val="clear" w:color="auto" w:fill="auto"/>
                  <w:vAlign w:val="center"/>
                </w:tcPr>
                <w:p w14:paraId="2EF57B02">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表1C标准</w:t>
                  </w:r>
                </w:p>
              </w:tc>
              <w:tc>
                <w:tcPr>
                  <w:tcW w:w="714" w:type="pct"/>
                  <w:tcBorders>
                    <w:tl2br w:val="nil"/>
                    <w:tr2bl w:val="nil"/>
                  </w:tcBorders>
                  <w:shd w:val="clear" w:color="auto" w:fill="auto"/>
                  <w:vAlign w:val="center"/>
                </w:tcPr>
                <w:p w14:paraId="4664252A">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pH</w:t>
                  </w:r>
                </w:p>
              </w:tc>
              <w:tc>
                <w:tcPr>
                  <w:tcW w:w="850" w:type="pct"/>
                  <w:tcBorders>
                    <w:tl2br w:val="nil"/>
                    <w:tr2bl w:val="nil"/>
                  </w:tcBorders>
                  <w:shd w:val="clear" w:color="auto" w:fill="auto"/>
                  <w:vAlign w:val="center"/>
                </w:tcPr>
                <w:p w14:paraId="15C6DD4E">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6～9</w:t>
                  </w:r>
                </w:p>
              </w:tc>
            </w:tr>
            <w:tr w14:paraId="655E46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Pr>
                <w:p w14:paraId="6C741F3A">
                  <w:pPr>
                    <w:autoSpaceDE w:val="0"/>
                    <w:autoSpaceDN w:val="0"/>
                    <w:jc w:val="center"/>
                    <w:rPr>
                      <w:rFonts w:hint="default" w:ascii="Times New Roman" w:hAnsi="Times New Roman" w:eastAsia="宋体" w:cs="Times New Roman"/>
                      <w:color w:val="auto"/>
                      <w:highlight w:val="none"/>
                      <w:shd w:val="clear" w:color="auto" w:fill="auto"/>
                    </w:rPr>
                  </w:pPr>
                </w:p>
              </w:tc>
              <w:tc>
                <w:tcPr>
                  <w:tcW w:w="2119" w:type="pct"/>
                  <w:vMerge w:val="continue"/>
                </w:tcPr>
                <w:p w14:paraId="03399D50">
                  <w:pPr>
                    <w:autoSpaceDE w:val="0"/>
                    <w:autoSpaceDN w:val="0"/>
                    <w:jc w:val="center"/>
                    <w:rPr>
                      <w:rFonts w:hint="default" w:ascii="Times New Roman" w:hAnsi="Times New Roman" w:eastAsia="宋体" w:cs="Times New Roman"/>
                      <w:color w:val="auto"/>
                      <w:highlight w:val="none"/>
                      <w:shd w:val="clear" w:color="auto" w:fill="auto"/>
                    </w:rPr>
                  </w:pPr>
                </w:p>
              </w:tc>
              <w:tc>
                <w:tcPr>
                  <w:tcW w:w="602" w:type="pct"/>
                  <w:vMerge w:val="continue"/>
                </w:tcPr>
                <w:p w14:paraId="28A7EF22">
                  <w:pPr>
                    <w:autoSpaceDE w:val="0"/>
                    <w:autoSpaceDN w:val="0"/>
                    <w:jc w:val="center"/>
                    <w:rPr>
                      <w:rFonts w:hint="default" w:ascii="Times New Roman" w:hAnsi="Times New Roman" w:eastAsia="宋体" w:cs="Times New Roman"/>
                      <w:color w:val="auto"/>
                      <w:highlight w:val="none"/>
                      <w:shd w:val="clear" w:color="auto" w:fill="auto"/>
                    </w:rPr>
                  </w:pPr>
                </w:p>
              </w:tc>
              <w:tc>
                <w:tcPr>
                  <w:tcW w:w="714" w:type="pct"/>
                  <w:shd w:val="clear" w:color="auto" w:fill="auto"/>
                  <w:vAlign w:val="center"/>
                </w:tcPr>
                <w:p w14:paraId="7C6557E6">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COD</w:t>
                  </w:r>
                </w:p>
              </w:tc>
              <w:tc>
                <w:tcPr>
                  <w:tcW w:w="850" w:type="pct"/>
                  <w:shd w:val="clear" w:color="auto" w:fill="auto"/>
                  <w:vAlign w:val="center"/>
                </w:tcPr>
                <w:p w14:paraId="74629AFB">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50</w:t>
                  </w:r>
                </w:p>
              </w:tc>
            </w:tr>
            <w:tr w14:paraId="0473FD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Pr>
                <w:p w14:paraId="0DDF461E">
                  <w:pPr>
                    <w:autoSpaceDE w:val="0"/>
                    <w:autoSpaceDN w:val="0"/>
                    <w:jc w:val="center"/>
                    <w:rPr>
                      <w:rFonts w:hint="default" w:ascii="Times New Roman" w:hAnsi="Times New Roman" w:eastAsia="宋体" w:cs="Times New Roman"/>
                      <w:color w:val="auto"/>
                      <w:highlight w:val="none"/>
                      <w:shd w:val="clear" w:color="auto" w:fill="auto"/>
                    </w:rPr>
                  </w:pPr>
                </w:p>
              </w:tc>
              <w:tc>
                <w:tcPr>
                  <w:tcW w:w="2119" w:type="pct"/>
                  <w:vMerge w:val="continue"/>
                </w:tcPr>
                <w:p w14:paraId="68B7B9D2">
                  <w:pPr>
                    <w:autoSpaceDE w:val="0"/>
                    <w:autoSpaceDN w:val="0"/>
                    <w:jc w:val="center"/>
                    <w:rPr>
                      <w:rFonts w:hint="default" w:ascii="Times New Roman" w:hAnsi="Times New Roman" w:eastAsia="宋体" w:cs="Times New Roman"/>
                      <w:color w:val="auto"/>
                      <w:highlight w:val="none"/>
                      <w:shd w:val="clear" w:color="auto" w:fill="auto"/>
                    </w:rPr>
                  </w:pPr>
                </w:p>
              </w:tc>
              <w:tc>
                <w:tcPr>
                  <w:tcW w:w="602" w:type="pct"/>
                  <w:vMerge w:val="continue"/>
                </w:tcPr>
                <w:p w14:paraId="2532C441">
                  <w:pPr>
                    <w:autoSpaceDE w:val="0"/>
                    <w:autoSpaceDN w:val="0"/>
                    <w:jc w:val="center"/>
                    <w:rPr>
                      <w:rFonts w:hint="default" w:ascii="Times New Roman" w:hAnsi="Times New Roman" w:eastAsia="宋体" w:cs="Times New Roman"/>
                      <w:color w:val="auto"/>
                      <w:highlight w:val="none"/>
                      <w:shd w:val="clear" w:color="auto" w:fill="auto"/>
                    </w:rPr>
                  </w:pPr>
                </w:p>
              </w:tc>
              <w:tc>
                <w:tcPr>
                  <w:tcW w:w="714" w:type="pct"/>
                  <w:shd w:val="clear" w:color="auto" w:fill="auto"/>
                  <w:vAlign w:val="center"/>
                </w:tcPr>
                <w:p w14:paraId="173D1326">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SS</w:t>
                  </w:r>
                </w:p>
              </w:tc>
              <w:tc>
                <w:tcPr>
                  <w:tcW w:w="850" w:type="pct"/>
                  <w:shd w:val="clear" w:color="auto" w:fill="auto"/>
                  <w:vAlign w:val="center"/>
                </w:tcPr>
                <w:p w14:paraId="1F39512F">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10</w:t>
                  </w:r>
                </w:p>
              </w:tc>
            </w:tr>
            <w:tr w14:paraId="4FA91A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Pr>
                <w:p w14:paraId="5F431FF9">
                  <w:pPr>
                    <w:autoSpaceDE w:val="0"/>
                    <w:autoSpaceDN w:val="0"/>
                    <w:jc w:val="center"/>
                    <w:rPr>
                      <w:rFonts w:hint="default" w:ascii="Times New Roman" w:hAnsi="Times New Roman" w:eastAsia="宋体" w:cs="Times New Roman"/>
                      <w:color w:val="auto"/>
                      <w:highlight w:val="none"/>
                      <w:shd w:val="clear" w:color="auto" w:fill="auto"/>
                    </w:rPr>
                  </w:pPr>
                </w:p>
              </w:tc>
              <w:tc>
                <w:tcPr>
                  <w:tcW w:w="2119" w:type="pct"/>
                  <w:vMerge w:val="continue"/>
                </w:tcPr>
                <w:p w14:paraId="44FD734F">
                  <w:pPr>
                    <w:autoSpaceDE w:val="0"/>
                    <w:autoSpaceDN w:val="0"/>
                    <w:jc w:val="center"/>
                    <w:rPr>
                      <w:rFonts w:hint="default" w:ascii="Times New Roman" w:hAnsi="Times New Roman" w:eastAsia="宋体" w:cs="Times New Roman"/>
                      <w:color w:val="auto"/>
                      <w:highlight w:val="none"/>
                      <w:shd w:val="clear" w:color="auto" w:fill="auto"/>
                    </w:rPr>
                  </w:pPr>
                </w:p>
              </w:tc>
              <w:tc>
                <w:tcPr>
                  <w:tcW w:w="602" w:type="pct"/>
                  <w:vMerge w:val="continue"/>
                </w:tcPr>
                <w:p w14:paraId="62A0A5BA">
                  <w:pPr>
                    <w:autoSpaceDE w:val="0"/>
                    <w:autoSpaceDN w:val="0"/>
                    <w:jc w:val="center"/>
                    <w:rPr>
                      <w:rFonts w:hint="default" w:ascii="Times New Roman" w:hAnsi="Times New Roman" w:eastAsia="宋体" w:cs="Times New Roman"/>
                      <w:color w:val="auto"/>
                      <w:highlight w:val="none"/>
                      <w:shd w:val="clear" w:color="auto" w:fill="auto"/>
                    </w:rPr>
                  </w:pPr>
                </w:p>
              </w:tc>
              <w:tc>
                <w:tcPr>
                  <w:tcW w:w="714" w:type="pct"/>
                  <w:shd w:val="clear" w:color="auto" w:fill="auto"/>
                  <w:vAlign w:val="center"/>
                </w:tcPr>
                <w:p w14:paraId="0B1A31E4">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氨氮</w:t>
                  </w:r>
                </w:p>
              </w:tc>
              <w:tc>
                <w:tcPr>
                  <w:tcW w:w="850" w:type="pct"/>
                  <w:shd w:val="clear" w:color="auto" w:fill="auto"/>
                  <w:vAlign w:val="center"/>
                </w:tcPr>
                <w:p w14:paraId="03F9A261">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4</w:t>
                  </w:r>
                  <w:r>
                    <w:rPr>
                      <w:rFonts w:hint="eastAsia" w:ascii="Times New Roman" w:hAnsi="Times New Roman" w:eastAsia="宋体" w:cs="Times New Roman"/>
                      <w:color w:val="auto"/>
                      <w:sz w:val="21"/>
                      <w:szCs w:val="21"/>
                      <w:shd w:val="clear" w:color="auto" w:fill="auto"/>
                      <w:lang w:eastAsia="zh-CN"/>
                    </w:rPr>
                    <w:t>（</w:t>
                  </w:r>
                  <w:r>
                    <w:rPr>
                      <w:rFonts w:hint="eastAsia" w:ascii="Times New Roman" w:hAnsi="Times New Roman" w:eastAsia="宋体" w:cs="Times New Roman"/>
                      <w:color w:val="auto"/>
                      <w:sz w:val="21"/>
                      <w:szCs w:val="21"/>
                      <w:shd w:val="clear" w:color="auto" w:fill="auto"/>
                      <w:lang w:val="en-US" w:eastAsia="zh-CN"/>
                    </w:rPr>
                    <w:t>6</w:t>
                  </w:r>
                  <w:r>
                    <w:rPr>
                      <w:rFonts w:hint="eastAsia" w:ascii="Times New Roman" w:hAnsi="Times New Roman" w:eastAsia="宋体" w:cs="Times New Roman"/>
                      <w:color w:val="auto"/>
                      <w:sz w:val="21"/>
                      <w:szCs w:val="21"/>
                      <w:shd w:val="clear" w:color="auto" w:fill="auto"/>
                      <w:lang w:eastAsia="zh-CN"/>
                    </w:rPr>
                    <w:t>）</w:t>
                  </w:r>
                  <w:r>
                    <w:rPr>
                      <w:rFonts w:hint="eastAsia" w:ascii="Times New Roman" w:hAnsi="Times New Roman" w:eastAsia="宋体" w:cs="Times New Roman"/>
                      <w:color w:val="auto"/>
                      <w:sz w:val="21"/>
                      <w:szCs w:val="21"/>
                      <w:shd w:val="clear" w:color="auto" w:fill="auto"/>
                      <w:vertAlign w:val="superscript"/>
                      <w:lang w:val="en-US" w:eastAsia="zh-CN"/>
                    </w:rPr>
                    <w:t>②</w:t>
                  </w:r>
                </w:p>
              </w:tc>
            </w:tr>
            <w:tr w14:paraId="010EB3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Pr>
                <w:p w14:paraId="7AEA6AA2">
                  <w:pPr>
                    <w:autoSpaceDE w:val="0"/>
                    <w:autoSpaceDN w:val="0"/>
                    <w:jc w:val="center"/>
                    <w:rPr>
                      <w:rFonts w:hint="default" w:ascii="Times New Roman" w:hAnsi="Times New Roman" w:eastAsia="宋体" w:cs="Times New Roman"/>
                      <w:color w:val="auto"/>
                      <w:highlight w:val="none"/>
                      <w:shd w:val="clear" w:color="auto" w:fill="auto"/>
                    </w:rPr>
                  </w:pPr>
                </w:p>
              </w:tc>
              <w:tc>
                <w:tcPr>
                  <w:tcW w:w="2119" w:type="pct"/>
                  <w:vMerge w:val="continue"/>
                </w:tcPr>
                <w:p w14:paraId="1E5357CE">
                  <w:pPr>
                    <w:autoSpaceDE w:val="0"/>
                    <w:autoSpaceDN w:val="0"/>
                    <w:jc w:val="center"/>
                    <w:rPr>
                      <w:rFonts w:hint="default" w:ascii="Times New Roman" w:hAnsi="Times New Roman" w:eastAsia="宋体" w:cs="Times New Roman"/>
                      <w:color w:val="auto"/>
                      <w:highlight w:val="none"/>
                      <w:shd w:val="clear" w:color="auto" w:fill="auto"/>
                    </w:rPr>
                  </w:pPr>
                </w:p>
              </w:tc>
              <w:tc>
                <w:tcPr>
                  <w:tcW w:w="602" w:type="pct"/>
                  <w:vMerge w:val="continue"/>
                </w:tcPr>
                <w:p w14:paraId="6ADAA8B1">
                  <w:pPr>
                    <w:autoSpaceDE w:val="0"/>
                    <w:autoSpaceDN w:val="0"/>
                    <w:jc w:val="center"/>
                    <w:rPr>
                      <w:rFonts w:hint="default" w:ascii="Times New Roman" w:hAnsi="Times New Roman" w:eastAsia="宋体" w:cs="Times New Roman"/>
                      <w:color w:val="auto"/>
                      <w:highlight w:val="none"/>
                      <w:shd w:val="clear" w:color="auto" w:fill="auto"/>
                    </w:rPr>
                  </w:pPr>
                </w:p>
              </w:tc>
              <w:tc>
                <w:tcPr>
                  <w:tcW w:w="714" w:type="pct"/>
                  <w:shd w:val="clear" w:color="auto" w:fill="auto"/>
                  <w:vAlign w:val="center"/>
                </w:tcPr>
                <w:p w14:paraId="6A79EF9E">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TP</w:t>
                  </w:r>
                </w:p>
              </w:tc>
              <w:tc>
                <w:tcPr>
                  <w:tcW w:w="850" w:type="pct"/>
                  <w:shd w:val="clear" w:color="auto" w:fill="auto"/>
                  <w:vAlign w:val="center"/>
                </w:tcPr>
                <w:p w14:paraId="269B99C9">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0.5</w:t>
                  </w:r>
                </w:p>
              </w:tc>
            </w:tr>
            <w:tr w14:paraId="1D0076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3" w:type="pct"/>
                  <w:vMerge w:val="continue"/>
                </w:tcPr>
                <w:p w14:paraId="71A8C907">
                  <w:pPr>
                    <w:autoSpaceDE w:val="0"/>
                    <w:autoSpaceDN w:val="0"/>
                    <w:jc w:val="center"/>
                    <w:rPr>
                      <w:rFonts w:hint="default" w:ascii="Times New Roman" w:hAnsi="Times New Roman" w:eastAsia="宋体" w:cs="Times New Roman"/>
                      <w:color w:val="auto"/>
                      <w:highlight w:val="none"/>
                      <w:shd w:val="clear" w:color="auto" w:fill="auto"/>
                    </w:rPr>
                  </w:pPr>
                </w:p>
              </w:tc>
              <w:tc>
                <w:tcPr>
                  <w:tcW w:w="2119" w:type="pct"/>
                  <w:vMerge w:val="continue"/>
                </w:tcPr>
                <w:p w14:paraId="7E2AAEC0">
                  <w:pPr>
                    <w:autoSpaceDE w:val="0"/>
                    <w:autoSpaceDN w:val="0"/>
                    <w:jc w:val="center"/>
                    <w:rPr>
                      <w:rFonts w:hint="default" w:ascii="Times New Roman" w:hAnsi="Times New Roman" w:eastAsia="宋体" w:cs="Times New Roman"/>
                      <w:color w:val="auto"/>
                      <w:highlight w:val="none"/>
                      <w:shd w:val="clear" w:color="auto" w:fill="auto"/>
                    </w:rPr>
                  </w:pPr>
                </w:p>
              </w:tc>
              <w:tc>
                <w:tcPr>
                  <w:tcW w:w="602" w:type="pct"/>
                  <w:vMerge w:val="continue"/>
                </w:tcPr>
                <w:p w14:paraId="22F87150">
                  <w:pPr>
                    <w:autoSpaceDE w:val="0"/>
                    <w:autoSpaceDN w:val="0"/>
                    <w:jc w:val="center"/>
                    <w:rPr>
                      <w:rFonts w:hint="default" w:ascii="Times New Roman" w:hAnsi="Times New Roman" w:eastAsia="宋体" w:cs="Times New Roman"/>
                      <w:color w:val="auto"/>
                      <w:highlight w:val="none"/>
                      <w:shd w:val="clear" w:color="auto" w:fill="auto"/>
                    </w:rPr>
                  </w:pPr>
                </w:p>
              </w:tc>
              <w:tc>
                <w:tcPr>
                  <w:tcW w:w="714" w:type="pct"/>
                  <w:shd w:val="clear" w:color="auto" w:fill="auto"/>
                  <w:vAlign w:val="center"/>
                </w:tcPr>
                <w:p w14:paraId="1857BD5C">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TN</w:t>
                  </w:r>
                </w:p>
              </w:tc>
              <w:tc>
                <w:tcPr>
                  <w:tcW w:w="850" w:type="pct"/>
                  <w:shd w:val="clear" w:color="auto" w:fill="auto"/>
                  <w:vAlign w:val="center"/>
                </w:tcPr>
                <w:p w14:paraId="0936FDC2">
                  <w:pPr>
                    <w:pStyle w:val="89"/>
                    <w:spacing w:line="310" w:lineRule="exac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rPr>
                    <w:t>12</w:t>
                  </w:r>
                  <w:r>
                    <w:rPr>
                      <w:rFonts w:hint="eastAsia" w:ascii="Times New Roman" w:hAnsi="Times New Roman" w:eastAsia="宋体" w:cs="Times New Roman"/>
                      <w:color w:val="auto"/>
                      <w:sz w:val="21"/>
                      <w:szCs w:val="21"/>
                      <w:shd w:val="clear" w:color="auto" w:fill="auto"/>
                      <w:lang w:eastAsia="zh-CN"/>
                    </w:rPr>
                    <w:t>（</w:t>
                  </w:r>
                  <w:r>
                    <w:rPr>
                      <w:rFonts w:hint="eastAsia" w:ascii="Times New Roman" w:hAnsi="Times New Roman" w:eastAsia="宋体" w:cs="Times New Roman"/>
                      <w:color w:val="auto"/>
                      <w:sz w:val="21"/>
                      <w:szCs w:val="21"/>
                      <w:shd w:val="clear" w:color="auto" w:fill="auto"/>
                      <w:lang w:val="en-US" w:eastAsia="zh-CN"/>
                    </w:rPr>
                    <w:t>15</w:t>
                  </w:r>
                  <w:r>
                    <w:rPr>
                      <w:rFonts w:hint="eastAsia" w:ascii="Times New Roman" w:hAnsi="Times New Roman" w:eastAsia="宋体" w:cs="Times New Roman"/>
                      <w:color w:val="auto"/>
                      <w:sz w:val="21"/>
                      <w:szCs w:val="21"/>
                      <w:shd w:val="clear" w:color="auto" w:fill="auto"/>
                      <w:lang w:eastAsia="zh-CN"/>
                    </w:rPr>
                    <w:t>）</w:t>
                  </w:r>
                  <w:r>
                    <w:rPr>
                      <w:rFonts w:hint="eastAsia" w:ascii="Times New Roman" w:hAnsi="Times New Roman" w:eastAsia="宋体" w:cs="Times New Roman"/>
                      <w:color w:val="auto"/>
                      <w:sz w:val="21"/>
                      <w:szCs w:val="21"/>
                      <w:shd w:val="clear" w:color="auto" w:fill="auto"/>
                      <w:vertAlign w:val="superscript"/>
                      <w:lang w:val="en-US" w:eastAsia="zh-CN"/>
                    </w:rPr>
                    <w:t>②</w:t>
                  </w:r>
                </w:p>
              </w:tc>
            </w:tr>
          </w:tbl>
          <w:p w14:paraId="27DEA691">
            <w:pP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注：</w:t>
            </w:r>
            <w:r>
              <w:rPr>
                <w:rFonts w:hint="eastAsia" w:ascii="Times New Roman" w:hAnsi="Times New Roman" w:eastAsia="宋体" w:cs="Times New Roman"/>
                <w:color w:val="auto"/>
                <w:szCs w:val="21"/>
                <w:highlight w:val="none"/>
                <w:shd w:val="clear" w:color="auto" w:fill="auto"/>
                <w:lang w:val="en-US" w:eastAsia="zh-CN"/>
              </w:rPr>
              <w:t>①</w:t>
            </w:r>
            <w:r>
              <w:rPr>
                <w:rFonts w:hint="default" w:ascii="Times New Roman" w:hAnsi="Times New Roman" w:eastAsia="宋体" w:cs="Times New Roman"/>
                <w:color w:val="auto"/>
                <w:szCs w:val="21"/>
                <w:highlight w:val="none"/>
                <w:shd w:val="clear" w:color="auto" w:fill="auto"/>
              </w:rPr>
              <w:t>括号外数值为水温＞12℃时的控制指标，括号内数值为水温≤12℃时的控制指标。</w:t>
            </w:r>
          </w:p>
          <w:p w14:paraId="46592FA0">
            <w:pPr>
              <w:ind w:firstLine="420" w:firstLineChars="200"/>
              <w:rPr>
                <w:rFonts w:hint="eastAsia"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②</w:t>
            </w:r>
            <w:r>
              <w:rPr>
                <w:rFonts w:hint="eastAsia" w:ascii="Times New Roman" w:hAnsi="Times New Roman" w:eastAsia="宋体" w:cs="Times New Roman"/>
                <w:color w:val="auto"/>
                <w:szCs w:val="21"/>
                <w:highlight w:val="none"/>
                <w:shd w:val="clear" w:color="auto" w:fill="auto"/>
              </w:rPr>
              <w:t>每年11月1日至次年3月31日执行括号内排放限值</w:t>
            </w:r>
            <w:r>
              <w:rPr>
                <w:rFonts w:hint="eastAsia" w:ascii="Times New Roman" w:hAnsi="Times New Roman" w:eastAsia="宋体" w:cs="Times New Roman"/>
                <w:color w:val="auto"/>
                <w:szCs w:val="21"/>
                <w:highlight w:val="none"/>
                <w:shd w:val="clear" w:color="auto" w:fill="auto"/>
                <w:lang w:eastAsia="zh-CN"/>
              </w:rPr>
              <w:t>。</w:t>
            </w:r>
          </w:p>
          <w:p w14:paraId="59269864">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3、噪声</w:t>
            </w:r>
          </w:p>
          <w:p w14:paraId="29844A8B">
            <w:pPr>
              <w:pStyle w:val="76"/>
              <w:ind w:firstLine="42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（1）施工期</w:t>
            </w:r>
          </w:p>
          <w:p w14:paraId="6B91662C">
            <w:pPr>
              <w:pStyle w:val="76"/>
              <w:ind w:firstLine="42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施工期场界噪声排放标准执行《建筑施工场界环境噪声排放标准》（GB 12523-2011）排放标准，具体见表3-1</w:t>
            </w:r>
            <w:r>
              <w:rPr>
                <w:rFonts w:hint="eastAsia" w:ascii="Times New Roman" w:hAnsi="Times New Roman" w:eastAsia="宋体" w:cs="Times New Roman"/>
                <w:color w:val="auto"/>
                <w:sz w:val="24"/>
                <w:szCs w:val="22"/>
                <w:highlight w:val="none"/>
                <w:lang w:val="en-US" w:eastAsia="zh-CN"/>
              </w:rPr>
              <w:t>1</w:t>
            </w:r>
            <w:r>
              <w:rPr>
                <w:rFonts w:hint="default" w:ascii="Times New Roman" w:hAnsi="Times New Roman" w:eastAsia="宋体" w:cs="Times New Roman"/>
                <w:color w:val="auto"/>
                <w:sz w:val="24"/>
                <w:szCs w:val="22"/>
                <w:highlight w:val="none"/>
              </w:rPr>
              <w:t>。</w:t>
            </w:r>
          </w:p>
          <w:p w14:paraId="100D2E41">
            <w:pPr>
              <w:pStyle w:val="85"/>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表3-1</w:t>
            </w:r>
            <w:r>
              <w:rPr>
                <w:rFonts w:hint="eastAsia" w:ascii="Times New Roman" w:hAnsi="Times New Roman" w:eastAsia="宋体" w:cs="Times New Roman"/>
                <w:color w:val="auto"/>
                <w:sz w:val="24"/>
                <w:szCs w:val="22"/>
                <w:highlight w:val="none"/>
                <w:lang w:val="en-US" w:eastAsia="zh-CN"/>
              </w:rPr>
              <w:t>1</w:t>
            </w:r>
            <w:r>
              <w:rPr>
                <w:rFonts w:hint="default" w:ascii="Times New Roman" w:hAnsi="Times New Roman" w:eastAsia="宋体" w:cs="Times New Roman"/>
                <w:color w:val="auto"/>
                <w:sz w:val="24"/>
                <w:szCs w:val="22"/>
                <w:highlight w:val="none"/>
              </w:rPr>
              <w:t xml:space="preserve">  建筑施工场界环境噪声排放限值</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67"/>
              <w:gridCol w:w="4324"/>
            </w:tblGrid>
            <w:tr w14:paraId="511CF8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2" w:type="pct"/>
                  <w:noWrap w:val="0"/>
                  <w:vAlign w:val="center"/>
                </w:tcPr>
                <w:p w14:paraId="50BECC18">
                  <w:pPr>
                    <w:pStyle w:val="7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昼间*</w:t>
                  </w:r>
                </w:p>
              </w:tc>
              <w:tc>
                <w:tcPr>
                  <w:tcW w:w="2607" w:type="pct"/>
                  <w:noWrap w:val="0"/>
                  <w:vAlign w:val="center"/>
                </w:tcPr>
                <w:p w14:paraId="3E92B1AA">
                  <w:pPr>
                    <w:pStyle w:val="79"/>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夜间*</w:t>
                  </w:r>
                </w:p>
              </w:tc>
            </w:tr>
            <w:tr w14:paraId="5D8925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2" w:type="pct"/>
                  <w:noWrap w:val="0"/>
                  <w:vAlign w:val="center"/>
                </w:tcPr>
                <w:p w14:paraId="500A907B">
                  <w:pPr>
                    <w:pStyle w:val="7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2607" w:type="pct"/>
                  <w:noWrap w:val="0"/>
                  <w:vAlign w:val="center"/>
                </w:tcPr>
                <w:p w14:paraId="108CEC98">
                  <w:pPr>
                    <w:pStyle w:val="7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bl>
          <w:p w14:paraId="4B6095B6">
            <w:pPr>
              <w:spacing w:line="360" w:lineRule="auto"/>
              <w:ind w:firstLine="420" w:firstLineChars="20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注*：昼间为6时~22时，夜间为22时~6时（次日）。夜间噪声最大声级超过限值的幅度不得高于15dB（A）。</w:t>
            </w:r>
          </w:p>
          <w:p w14:paraId="6E6E580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14:paraId="4ADCA39A">
            <w:pPr>
              <w:spacing w:line="360" w:lineRule="auto"/>
              <w:ind w:firstLine="480"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w:t>
            </w:r>
            <w:r>
              <w:rPr>
                <w:rFonts w:hint="eastAsia" w:ascii="Times New Roman" w:hAnsi="Times New Roman" w:eastAsia="宋体" w:cs="Times New Roman"/>
                <w:color w:val="auto"/>
                <w:sz w:val="24"/>
                <w:highlight w:val="none"/>
                <w:shd w:val="clear" w:color="auto" w:fill="auto"/>
                <w:lang w:val="en-US" w:eastAsia="zh-CN"/>
              </w:rPr>
              <w:t>东、</w:t>
            </w:r>
            <w:r>
              <w:rPr>
                <w:rFonts w:hint="eastAsia" w:ascii="Times New Roman" w:hAnsi="Times New Roman" w:eastAsia="宋体" w:cs="Times New Roman"/>
                <w:bCs/>
                <w:color w:val="auto"/>
                <w:sz w:val="24"/>
                <w:highlight w:val="none"/>
                <w:shd w:val="clear" w:color="auto" w:fill="auto"/>
                <w:lang w:val="en-US" w:eastAsia="zh-CN"/>
              </w:rPr>
              <w:t>南、</w:t>
            </w:r>
            <w:r>
              <w:rPr>
                <w:rFonts w:hint="eastAsia" w:ascii="Times New Roman" w:hAnsi="Times New Roman" w:eastAsia="宋体" w:cs="Times New Roman"/>
                <w:color w:val="auto"/>
                <w:sz w:val="24"/>
                <w:highlight w:val="none"/>
                <w:shd w:val="clear" w:color="auto" w:fill="auto"/>
                <w:lang w:val="en-US" w:eastAsia="zh-CN"/>
              </w:rPr>
              <w:t>西、北</w:t>
            </w:r>
            <w:r>
              <w:rPr>
                <w:rFonts w:hint="default" w:ascii="Times New Roman" w:hAnsi="Times New Roman" w:eastAsia="宋体" w:cs="Times New Roman"/>
                <w:color w:val="auto"/>
                <w:sz w:val="24"/>
                <w:highlight w:val="none"/>
                <w:shd w:val="clear" w:color="auto" w:fill="auto"/>
              </w:rPr>
              <w:t>厂界噪声执行《工业企业厂界环境噪声排放标准》（GB12348-2008）</w:t>
            </w:r>
            <w:r>
              <w:rPr>
                <w:rFonts w:hint="eastAsia" w:ascii="Times New Roman" w:hAnsi="Times New Roman" w:eastAsia="宋体" w:cs="Times New Roman"/>
                <w:color w:val="auto"/>
                <w:sz w:val="24"/>
                <w:highlight w:val="none"/>
                <w:shd w:val="clear" w:color="auto" w:fill="auto"/>
                <w:lang w:val="en-US" w:eastAsia="zh-CN"/>
              </w:rPr>
              <w:t>2</w:t>
            </w:r>
            <w:r>
              <w:rPr>
                <w:rFonts w:hint="default" w:ascii="Times New Roman" w:hAnsi="Times New Roman" w:eastAsia="宋体" w:cs="Times New Roman"/>
                <w:color w:val="auto"/>
                <w:sz w:val="24"/>
                <w:highlight w:val="none"/>
                <w:shd w:val="clear" w:color="auto" w:fill="auto"/>
              </w:rPr>
              <w:t>类功能区标准。</w:t>
            </w:r>
          </w:p>
          <w:p w14:paraId="671EE3A7">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表3-</w:t>
            </w:r>
            <w:r>
              <w:rPr>
                <w:rFonts w:hint="default" w:ascii="Times New Roman" w:hAnsi="Times New Roman" w:eastAsia="宋体" w:cs="Times New Roman"/>
                <w:b/>
                <w:color w:val="auto"/>
                <w:sz w:val="24"/>
                <w:highlight w:val="none"/>
                <w:shd w:val="clear" w:color="auto" w:fill="auto"/>
                <w:lang w:val="en-US" w:eastAsia="zh-CN"/>
              </w:rPr>
              <w:t>1</w:t>
            </w:r>
            <w:r>
              <w:rPr>
                <w:rFonts w:hint="eastAsia" w:ascii="Times New Roman" w:hAnsi="Times New Roman" w:eastAsia="宋体" w:cs="Times New Roman"/>
                <w:b/>
                <w:color w:val="auto"/>
                <w:sz w:val="24"/>
                <w:highlight w:val="none"/>
                <w:shd w:val="clear" w:color="auto" w:fill="auto"/>
                <w:lang w:val="en-US" w:eastAsia="zh-CN"/>
              </w:rPr>
              <w:t>2</w:t>
            </w:r>
            <w:r>
              <w:rPr>
                <w:rFonts w:hint="default" w:ascii="Times New Roman" w:hAnsi="Times New Roman" w:eastAsia="宋体" w:cs="Times New Roman"/>
                <w:b/>
                <w:color w:val="auto"/>
                <w:sz w:val="24"/>
                <w:highlight w:val="none"/>
                <w:shd w:val="clear" w:color="auto" w:fill="auto"/>
              </w:rPr>
              <w:t xml:space="preserve">  噪声排放标准限值</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15"/>
              <w:gridCol w:w="2921"/>
              <w:gridCol w:w="1675"/>
              <w:gridCol w:w="1100"/>
              <w:gridCol w:w="1383"/>
            </w:tblGrid>
            <w:tr w14:paraId="6AED732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2" w:type="pct"/>
                  <w:vMerge w:val="restart"/>
                  <w:tcBorders>
                    <w:tl2br w:val="nil"/>
                    <w:tr2bl w:val="nil"/>
                  </w:tcBorders>
                  <w:vAlign w:val="center"/>
                </w:tcPr>
                <w:p w14:paraId="0CF2B79B">
                  <w:pPr>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厂界名</w:t>
                  </w:r>
                </w:p>
              </w:tc>
              <w:tc>
                <w:tcPr>
                  <w:tcW w:w="1760" w:type="pct"/>
                  <w:vMerge w:val="restart"/>
                  <w:tcBorders>
                    <w:tl2br w:val="nil"/>
                    <w:tr2bl w:val="nil"/>
                  </w:tcBorders>
                  <w:vAlign w:val="center"/>
                </w:tcPr>
                <w:p w14:paraId="1FC4F8A7">
                  <w:pPr>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执行标准</w:t>
                  </w:r>
                </w:p>
              </w:tc>
              <w:tc>
                <w:tcPr>
                  <w:tcW w:w="1009" w:type="pct"/>
                  <w:vMerge w:val="restart"/>
                  <w:tcBorders>
                    <w:tl2br w:val="nil"/>
                    <w:tr2bl w:val="nil"/>
                  </w:tcBorders>
                  <w:vAlign w:val="center"/>
                </w:tcPr>
                <w:p w14:paraId="0B877497">
                  <w:pPr>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级别</w:t>
                  </w:r>
                </w:p>
              </w:tc>
              <w:tc>
                <w:tcPr>
                  <w:tcW w:w="663" w:type="pct"/>
                  <w:vMerge w:val="restart"/>
                  <w:tcBorders>
                    <w:tl2br w:val="nil"/>
                    <w:tr2bl w:val="nil"/>
                  </w:tcBorders>
                  <w:vAlign w:val="center"/>
                </w:tcPr>
                <w:p w14:paraId="1130DC61">
                  <w:pPr>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单位</w:t>
                  </w:r>
                </w:p>
              </w:tc>
              <w:tc>
                <w:tcPr>
                  <w:tcW w:w="833" w:type="pct"/>
                  <w:tcBorders>
                    <w:tl2br w:val="nil"/>
                    <w:tr2bl w:val="nil"/>
                  </w:tcBorders>
                  <w:vAlign w:val="center"/>
                </w:tcPr>
                <w:p w14:paraId="45CE31BC">
                  <w:pPr>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标准限值</w:t>
                  </w:r>
                </w:p>
              </w:tc>
            </w:tr>
            <w:tr w14:paraId="7C0AF1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732" w:type="pct"/>
                  <w:vMerge w:val="continue"/>
                  <w:tcBorders>
                    <w:tl2br w:val="nil"/>
                    <w:tr2bl w:val="nil"/>
                  </w:tcBorders>
                  <w:vAlign w:val="center"/>
                </w:tcPr>
                <w:p w14:paraId="20A4CEB2">
                  <w:pPr>
                    <w:widowControl/>
                    <w:jc w:val="center"/>
                    <w:rPr>
                      <w:rFonts w:hint="default" w:ascii="Times New Roman" w:hAnsi="Times New Roman" w:eastAsia="宋体" w:cs="Times New Roman"/>
                      <w:b/>
                      <w:color w:val="auto"/>
                      <w:szCs w:val="21"/>
                      <w:highlight w:val="none"/>
                      <w:shd w:val="clear" w:color="auto" w:fill="auto"/>
                    </w:rPr>
                  </w:pPr>
                </w:p>
              </w:tc>
              <w:tc>
                <w:tcPr>
                  <w:tcW w:w="1760" w:type="pct"/>
                  <w:vMerge w:val="continue"/>
                  <w:tcBorders>
                    <w:tl2br w:val="nil"/>
                    <w:tr2bl w:val="nil"/>
                  </w:tcBorders>
                  <w:vAlign w:val="center"/>
                </w:tcPr>
                <w:p w14:paraId="03A68C9A">
                  <w:pPr>
                    <w:widowControl/>
                    <w:jc w:val="center"/>
                    <w:rPr>
                      <w:rFonts w:hint="default" w:ascii="Times New Roman" w:hAnsi="Times New Roman" w:eastAsia="宋体" w:cs="Times New Roman"/>
                      <w:b/>
                      <w:color w:val="auto"/>
                      <w:szCs w:val="21"/>
                      <w:highlight w:val="none"/>
                      <w:shd w:val="clear" w:color="auto" w:fill="auto"/>
                    </w:rPr>
                  </w:pPr>
                </w:p>
              </w:tc>
              <w:tc>
                <w:tcPr>
                  <w:tcW w:w="1009" w:type="pct"/>
                  <w:vMerge w:val="continue"/>
                  <w:tcBorders>
                    <w:tl2br w:val="nil"/>
                    <w:tr2bl w:val="nil"/>
                  </w:tcBorders>
                  <w:vAlign w:val="center"/>
                </w:tcPr>
                <w:p w14:paraId="6833468D">
                  <w:pPr>
                    <w:widowControl/>
                    <w:jc w:val="center"/>
                    <w:rPr>
                      <w:rFonts w:hint="default" w:ascii="Times New Roman" w:hAnsi="Times New Roman" w:eastAsia="宋体" w:cs="Times New Roman"/>
                      <w:b/>
                      <w:color w:val="auto"/>
                      <w:szCs w:val="21"/>
                      <w:highlight w:val="none"/>
                      <w:shd w:val="clear" w:color="auto" w:fill="auto"/>
                    </w:rPr>
                  </w:pPr>
                </w:p>
              </w:tc>
              <w:tc>
                <w:tcPr>
                  <w:tcW w:w="663" w:type="pct"/>
                  <w:vMerge w:val="continue"/>
                  <w:tcBorders>
                    <w:tl2br w:val="nil"/>
                    <w:tr2bl w:val="nil"/>
                  </w:tcBorders>
                  <w:vAlign w:val="center"/>
                </w:tcPr>
                <w:p w14:paraId="4AC28982">
                  <w:pPr>
                    <w:widowControl/>
                    <w:jc w:val="center"/>
                    <w:rPr>
                      <w:rFonts w:hint="default" w:ascii="Times New Roman" w:hAnsi="Times New Roman" w:eastAsia="宋体" w:cs="Times New Roman"/>
                      <w:b/>
                      <w:color w:val="auto"/>
                      <w:szCs w:val="21"/>
                      <w:highlight w:val="none"/>
                      <w:shd w:val="clear" w:color="auto" w:fill="auto"/>
                    </w:rPr>
                  </w:pPr>
                </w:p>
              </w:tc>
              <w:tc>
                <w:tcPr>
                  <w:tcW w:w="833" w:type="pct"/>
                  <w:tcBorders>
                    <w:tl2br w:val="nil"/>
                    <w:tr2bl w:val="nil"/>
                  </w:tcBorders>
                  <w:vAlign w:val="center"/>
                </w:tcPr>
                <w:p w14:paraId="17D0B163">
                  <w:pPr>
                    <w:jc w:val="center"/>
                    <w:rPr>
                      <w:rFonts w:hint="default" w:ascii="Times New Roman" w:hAnsi="Times New Roman" w:eastAsia="宋体" w:cs="Times New Roman"/>
                      <w:b/>
                      <w:color w:val="auto"/>
                      <w:szCs w:val="21"/>
                      <w:highlight w:val="none"/>
                      <w:shd w:val="clear" w:color="auto" w:fill="auto"/>
                      <w:lang w:val="en-US" w:eastAsia="zh-CN"/>
                    </w:rPr>
                  </w:pPr>
                  <w:r>
                    <w:rPr>
                      <w:rFonts w:hint="default" w:ascii="Times New Roman" w:hAnsi="Times New Roman" w:eastAsia="宋体" w:cs="Times New Roman"/>
                      <w:b/>
                      <w:color w:val="auto"/>
                      <w:szCs w:val="21"/>
                      <w:highlight w:val="none"/>
                      <w:shd w:val="clear" w:color="auto" w:fill="auto"/>
                    </w:rPr>
                    <w:t>昼</w:t>
                  </w:r>
                </w:p>
              </w:tc>
            </w:tr>
            <w:tr w14:paraId="0E8280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784" w:hRule="atLeast"/>
                <w:jc w:val="center"/>
              </w:trPr>
              <w:tc>
                <w:tcPr>
                  <w:tcW w:w="732" w:type="pct"/>
                  <w:tcBorders>
                    <w:tl2br w:val="nil"/>
                    <w:tr2bl w:val="nil"/>
                  </w:tcBorders>
                  <w:vAlign w:val="center"/>
                </w:tcPr>
                <w:p w14:paraId="79E12B0E">
                  <w:pPr>
                    <w:jc w:val="center"/>
                    <w:rPr>
                      <w:rFonts w:hint="default" w:ascii="Times New Roman" w:hAnsi="Times New Roman" w:eastAsia="宋体" w:cs="Times New Roman"/>
                      <w:color w:val="auto"/>
                      <w:szCs w:val="21"/>
                      <w:highlight w:val="none"/>
                      <w:shd w:val="clear" w:color="auto" w:fill="auto"/>
                    </w:rPr>
                  </w:pPr>
                  <w:r>
                    <w:rPr>
                      <w:rFonts w:hint="eastAsia" w:ascii="Times New Roman" w:hAnsi="Times New Roman" w:eastAsia="宋体" w:cs="Times New Roman"/>
                      <w:color w:val="auto"/>
                      <w:szCs w:val="21"/>
                      <w:highlight w:val="none"/>
                      <w:shd w:val="clear" w:color="auto" w:fill="auto"/>
                      <w:lang w:val="en-US" w:eastAsia="zh-CN"/>
                    </w:rPr>
                    <w:t>东、南、西、北</w:t>
                  </w:r>
                  <w:r>
                    <w:rPr>
                      <w:rFonts w:hint="default" w:ascii="Times New Roman" w:hAnsi="Times New Roman" w:eastAsia="宋体" w:cs="Times New Roman"/>
                      <w:color w:val="auto"/>
                      <w:szCs w:val="21"/>
                      <w:highlight w:val="none"/>
                      <w:shd w:val="clear" w:color="auto" w:fill="auto"/>
                    </w:rPr>
                    <w:t>厂界</w:t>
                  </w:r>
                </w:p>
              </w:tc>
              <w:tc>
                <w:tcPr>
                  <w:tcW w:w="1760" w:type="pct"/>
                  <w:tcBorders>
                    <w:tl2br w:val="nil"/>
                    <w:tr2bl w:val="nil"/>
                  </w:tcBorders>
                  <w:vAlign w:val="center"/>
                </w:tcPr>
                <w:p w14:paraId="6E368CDD">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《工业企业厂界环境噪声排放标准》（GB12348－2008）</w:t>
                  </w:r>
                </w:p>
              </w:tc>
              <w:tc>
                <w:tcPr>
                  <w:tcW w:w="1009" w:type="pct"/>
                  <w:tcBorders>
                    <w:tl2br w:val="nil"/>
                    <w:tr2bl w:val="nil"/>
                  </w:tcBorders>
                  <w:vAlign w:val="center"/>
                </w:tcPr>
                <w:p w14:paraId="6B6F407B">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2</w:t>
                  </w:r>
                  <w:r>
                    <w:rPr>
                      <w:rFonts w:hint="default" w:ascii="Times New Roman" w:hAnsi="Times New Roman" w:eastAsia="宋体" w:cs="Times New Roman"/>
                      <w:color w:val="auto"/>
                      <w:szCs w:val="21"/>
                      <w:highlight w:val="none"/>
                      <w:shd w:val="clear" w:color="auto" w:fill="auto"/>
                    </w:rPr>
                    <w:t>类功能区标准</w:t>
                  </w:r>
                </w:p>
              </w:tc>
              <w:tc>
                <w:tcPr>
                  <w:tcW w:w="663" w:type="pct"/>
                  <w:tcBorders>
                    <w:tl2br w:val="nil"/>
                    <w:tr2bl w:val="nil"/>
                  </w:tcBorders>
                  <w:vAlign w:val="center"/>
                </w:tcPr>
                <w:p w14:paraId="3A6FE091">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dB（A）</w:t>
                  </w:r>
                </w:p>
              </w:tc>
              <w:tc>
                <w:tcPr>
                  <w:tcW w:w="833" w:type="pct"/>
                  <w:tcBorders>
                    <w:tl2br w:val="nil"/>
                    <w:tr2bl w:val="nil"/>
                  </w:tcBorders>
                  <w:vAlign w:val="center"/>
                </w:tcPr>
                <w:p w14:paraId="5896140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6</w:t>
                  </w:r>
                  <w:r>
                    <w:rPr>
                      <w:rFonts w:hint="eastAsia" w:ascii="Times New Roman" w:hAnsi="Times New Roman" w:eastAsia="宋体" w:cs="Times New Roman"/>
                      <w:color w:val="auto"/>
                      <w:szCs w:val="21"/>
                      <w:highlight w:val="none"/>
                      <w:shd w:val="clear" w:color="auto" w:fill="auto"/>
                      <w:lang w:val="en-US" w:eastAsia="zh-CN"/>
                    </w:rPr>
                    <w:t>0</w:t>
                  </w:r>
                </w:p>
              </w:tc>
            </w:tr>
          </w:tbl>
          <w:p w14:paraId="5A0007DE">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4、固体废物</w:t>
            </w:r>
          </w:p>
          <w:p w14:paraId="035A7AB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（1）一般固废贮存执行《一般工业固体废物贮存和填埋污染控制标准》（GB18599-2020）的要求</w:t>
            </w:r>
            <w:r>
              <w:rPr>
                <w:rFonts w:hint="default" w:ascii="Times New Roman" w:hAnsi="Times New Roman" w:eastAsia="宋体" w:cs="Times New Roman"/>
                <w:color w:val="auto"/>
                <w:sz w:val="24"/>
                <w:highlight w:val="none"/>
                <w:shd w:val="clear" w:color="auto" w:fill="auto"/>
                <w:lang w:val="en-US" w:eastAsia="zh-CN"/>
              </w:rPr>
              <w:t>，同时执行《省生态环境厅关于印发&lt;江苏省固体废物全过程环境监管工作意见&gt;的通知》（苏环办〔2024〕16号）的要求</w:t>
            </w:r>
            <w:r>
              <w:rPr>
                <w:rFonts w:hint="default" w:ascii="Times New Roman" w:hAnsi="Times New Roman" w:eastAsia="宋体" w:cs="Times New Roman"/>
                <w:color w:val="auto"/>
                <w:sz w:val="24"/>
                <w:highlight w:val="none"/>
                <w:shd w:val="clear" w:color="auto" w:fill="auto"/>
              </w:rPr>
              <w:t>；</w:t>
            </w:r>
          </w:p>
          <w:p w14:paraId="6A8314F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（2）危险废物执行《危险废物贮存污染控制标准》（GB18597-20</w:t>
            </w:r>
            <w:r>
              <w:rPr>
                <w:rFonts w:hint="default" w:ascii="Times New Roman" w:hAnsi="Times New Roman" w:eastAsia="宋体" w:cs="Times New Roman"/>
                <w:color w:val="auto"/>
                <w:sz w:val="24"/>
                <w:highlight w:val="none"/>
                <w:shd w:val="clear" w:color="auto" w:fill="auto"/>
                <w:lang w:val="en-US" w:eastAsia="zh-CN"/>
              </w:rPr>
              <w:t>23</w:t>
            </w:r>
            <w:r>
              <w:rPr>
                <w:rFonts w:hint="default" w:ascii="Times New Roman" w:hAnsi="Times New Roman" w:eastAsia="宋体" w:cs="Times New Roman"/>
                <w:color w:val="auto"/>
                <w:sz w:val="24"/>
                <w:highlight w:val="none"/>
                <w:shd w:val="clear" w:color="auto" w:fill="auto"/>
              </w:rPr>
              <w:t>），同时执行《省生态环境厅关于进一步加强危险废物环境管理工作的通知》（苏环办［2021］207号）</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lang w:val="en-US" w:eastAsia="zh-CN"/>
              </w:rPr>
              <w:t>《省生态环境厅关于印发&lt;江苏省固体废物全过程环境监管工作意见&gt;的通知》（苏环办〔2024〕16号）</w:t>
            </w:r>
            <w:r>
              <w:rPr>
                <w:rFonts w:hint="default" w:ascii="Times New Roman" w:hAnsi="Times New Roman" w:eastAsia="宋体" w:cs="Times New Roman"/>
                <w:color w:val="auto"/>
                <w:sz w:val="24"/>
                <w:highlight w:val="none"/>
                <w:shd w:val="clear" w:color="auto" w:fill="auto"/>
              </w:rPr>
              <w:t>的要求。</w:t>
            </w:r>
          </w:p>
        </w:tc>
      </w:tr>
      <w:tr w14:paraId="4CD2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4789BCF8">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总量控制指标</w:t>
            </w:r>
          </w:p>
        </w:tc>
        <w:tc>
          <w:tcPr>
            <w:tcW w:w="4581" w:type="pct"/>
          </w:tcPr>
          <w:p w14:paraId="18062DB7">
            <w:pPr>
              <w:keepNext w:val="0"/>
              <w:keepLines w:val="0"/>
              <w:pageBreakBefore w:val="0"/>
              <w:numPr>
                <w:ilvl w:val="0"/>
                <w:numId w:val="0"/>
              </w:numPr>
              <w:kinsoku/>
              <w:wordWrap/>
              <w:topLinePunct w:val="0"/>
              <w:autoSpaceDE/>
              <w:autoSpaceDN/>
              <w:bidi w:val="0"/>
              <w:adjustRightInd w:val="0"/>
              <w:snapToGrid w:val="0"/>
              <w:spacing w:line="500" w:lineRule="exact"/>
              <w:jc w:val="left"/>
              <w:textAlignment w:val="auto"/>
              <w:rPr>
                <w:rFonts w:hint="default" w:ascii="Times New Roman" w:hAnsi="Times New Roman" w:eastAsia="宋体" w:cs="Times New Roman"/>
                <w:b/>
                <w:color w:val="auto"/>
                <w:sz w:val="24"/>
                <w:highlight w:val="none"/>
                <w:shd w:val="clear" w:color="auto" w:fill="auto"/>
                <w:lang w:val="en-US" w:eastAsia="zh-CN"/>
              </w:rPr>
            </w:pPr>
            <w:r>
              <w:rPr>
                <w:rFonts w:hint="default" w:ascii="Times New Roman" w:hAnsi="Times New Roman" w:eastAsia="宋体" w:cs="Times New Roman"/>
                <w:b/>
                <w:color w:val="auto"/>
                <w:sz w:val="24"/>
                <w:highlight w:val="none"/>
                <w:shd w:val="clear" w:color="auto" w:fill="auto"/>
              </w:rPr>
              <w:t>1、总量控制指标</w:t>
            </w:r>
          </w:p>
          <w:p w14:paraId="22982FC7">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lang w:val="en-US" w:eastAsia="zh-CN"/>
              </w:rPr>
              <w:t>本项目污染物总量控制指标及来源途径见下表。</w:t>
            </w:r>
          </w:p>
          <w:p w14:paraId="19CF0258">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表3-</w:t>
            </w:r>
            <w:r>
              <w:rPr>
                <w:rFonts w:hint="default" w:ascii="Times New Roman" w:hAnsi="Times New Roman" w:eastAsia="宋体" w:cs="Times New Roman"/>
                <w:b/>
                <w:color w:val="auto"/>
                <w:sz w:val="24"/>
                <w:highlight w:val="none"/>
                <w:shd w:val="clear" w:color="auto" w:fill="auto"/>
                <w:lang w:val="en-US" w:eastAsia="zh-CN"/>
              </w:rPr>
              <w:t>1</w:t>
            </w:r>
            <w:r>
              <w:rPr>
                <w:rFonts w:hint="eastAsia" w:ascii="Times New Roman" w:hAnsi="Times New Roman" w:eastAsia="宋体" w:cs="Times New Roman"/>
                <w:b/>
                <w:color w:val="auto"/>
                <w:sz w:val="24"/>
                <w:highlight w:val="none"/>
                <w:shd w:val="clear" w:color="auto" w:fill="auto"/>
                <w:lang w:val="en-US" w:eastAsia="zh-CN"/>
              </w:rPr>
              <w:t>3</w:t>
            </w:r>
            <w:r>
              <w:rPr>
                <w:rFonts w:hint="default" w:ascii="Times New Roman" w:hAnsi="Times New Roman" w:eastAsia="宋体" w:cs="Times New Roman"/>
                <w:b/>
                <w:color w:val="auto"/>
                <w:sz w:val="24"/>
                <w:highlight w:val="none"/>
                <w:shd w:val="clear" w:color="auto" w:fill="auto"/>
              </w:rPr>
              <w:t xml:space="preserve">  建设项目全厂污染物排放总量表（单位：t/a）</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1"/>
              <w:gridCol w:w="468"/>
              <w:gridCol w:w="1017"/>
              <w:gridCol w:w="1012"/>
              <w:gridCol w:w="1004"/>
              <w:gridCol w:w="1004"/>
              <w:gridCol w:w="1120"/>
              <w:gridCol w:w="1075"/>
              <w:gridCol w:w="1000"/>
            </w:tblGrid>
            <w:tr w14:paraId="0A223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gridSpan w:val="3"/>
                  <w:vMerge w:val="restart"/>
                  <w:tcBorders>
                    <w:tl2br w:val="nil"/>
                    <w:tr2bl w:val="nil"/>
                  </w:tcBorders>
                  <w:vAlign w:val="center"/>
                </w:tcPr>
                <w:p w14:paraId="1EA85B3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污染物名称</w:t>
                  </w:r>
                </w:p>
              </w:tc>
              <w:tc>
                <w:tcPr>
                  <w:tcW w:w="610" w:type="pct"/>
                  <w:vMerge w:val="restart"/>
                  <w:tcBorders>
                    <w:tl2br w:val="nil"/>
                    <w:tr2bl w:val="nil"/>
                  </w:tcBorders>
                  <w:vAlign w:val="center"/>
                </w:tcPr>
                <w:p w14:paraId="1BD50A5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本项目产生量</w:t>
                  </w:r>
                </w:p>
              </w:tc>
              <w:tc>
                <w:tcPr>
                  <w:tcW w:w="605" w:type="pct"/>
                  <w:vMerge w:val="restart"/>
                  <w:tcBorders>
                    <w:tl2br w:val="nil"/>
                    <w:tr2bl w:val="nil"/>
                  </w:tcBorders>
                  <w:vAlign w:val="center"/>
                </w:tcPr>
                <w:p w14:paraId="7BBA2F8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lang w:val="en-US" w:eastAsia="zh-CN"/>
                    </w:rPr>
                  </w:pPr>
                  <w:r>
                    <w:rPr>
                      <w:rFonts w:hint="default" w:ascii="Times New Roman" w:hAnsi="Times New Roman" w:eastAsia="宋体" w:cs="Times New Roman"/>
                      <w:b/>
                      <w:color w:val="auto"/>
                      <w:kern w:val="0"/>
                      <w:sz w:val="21"/>
                      <w:szCs w:val="21"/>
                      <w:highlight w:val="none"/>
                      <w:shd w:val="clear" w:color="auto" w:fill="auto"/>
                      <w:lang w:val="en-US" w:eastAsia="zh-CN"/>
                    </w:rPr>
                    <w:t>本项目削减量</w:t>
                  </w:r>
                </w:p>
              </w:tc>
              <w:tc>
                <w:tcPr>
                  <w:tcW w:w="605" w:type="pct"/>
                  <w:vMerge w:val="restart"/>
                  <w:tcBorders>
                    <w:tl2br w:val="nil"/>
                    <w:tr2bl w:val="nil"/>
                  </w:tcBorders>
                  <w:vAlign w:val="center"/>
                </w:tcPr>
                <w:p w14:paraId="4FF9CBB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本项目排放量</w:t>
                  </w:r>
                </w:p>
              </w:tc>
              <w:tc>
                <w:tcPr>
                  <w:tcW w:w="1323" w:type="pct"/>
                  <w:gridSpan w:val="2"/>
                  <w:tcBorders>
                    <w:tl2br w:val="nil"/>
                    <w:tr2bl w:val="nil"/>
                  </w:tcBorders>
                  <w:vAlign w:val="center"/>
                </w:tcPr>
                <w:p w14:paraId="6170E23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申请量</w:t>
                  </w:r>
                </w:p>
              </w:tc>
              <w:tc>
                <w:tcPr>
                  <w:tcW w:w="603" w:type="pct"/>
                  <w:vMerge w:val="restart"/>
                  <w:tcBorders>
                    <w:tl2br w:val="nil"/>
                    <w:tr2bl w:val="nil"/>
                  </w:tcBorders>
                  <w:vAlign w:val="center"/>
                </w:tcPr>
                <w:p w14:paraId="6A29A9B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最终排入外环境量</w:t>
                  </w:r>
                </w:p>
              </w:tc>
            </w:tr>
            <w:tr w14:paraId="4EC42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1" w:type="pct"/>
                  <w:gridSpan w:val="3"/>
                  <w:vMerge w:val="continue"/>
                  <w:tcBorders>
                    <w:tl2br w:val="nil"/>
                    <w:tr2bl w:val="nil"/>
                  </w:tcBorders>
                  <w:vAlign w:val="center"/>
                </w:tcPr>
                <w:p w14:paraId="14E579E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rPr>
                  </w:pPr>
                </w:p>
              </w:tc>
              <w:tc>
                <w:tcPr>
                  <w:tcW w:w="610" w:type="pct"/>
                  <w:vMerge w:val="continue"/>
                  <w:tcBorders>
                    <w:tl2br w:val="nil"/>
                    <w:tr2bl w:val="nil"/>
                  </w:tcBorders>
                  <w:vAlign w:val="center"/>
                </w:tcPr>
                <w:p w14:paraId="14B7FFF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rPr>
                  </w:pPr>
                </w:p>
              </w:tc>
              <w:tc>
                <w:tcPr>
                  <w:tcW w:w="605" w:type="pct"/>
                  <w:vMerge w:val="continue"/>
                  <w:tcBorders>
                    <w:tl2br w:val="nil"/>
                    <w:tr2bl w:val="nil"/>
                  </w:tcBorders>
                  <w:vAlign w:val="center"/>
                </w:tcPr>
                <w:p w14:paraId="2696A9DC">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rPr>
                  </w:pPr>
                </w:p>
              </w:tc>
              <w:tc>
                <w:tcPr>
                  <w:tcW w:w="605" w:type="pct"/>
                  <w:vMerge w:val="continue"/>
                  <w:tcBorders>
                    <w:tl2br w:val="nil"/>
                    <w:tr2bl w:val="nil"/>
                  </w:tcBorders>
                  <w:vAlign w:val="center"/>
                </w:tcPr>
                <w:p w14:paraId="79CF80B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rPr>
                  </w:pPr>
                </w:p>
              </w:tc>
              <w:tc>
                <w:tcPr>
                  <w:tcW w:w="675" w:type="pct"/>
                  <w:tcBorders>
                    <w:tl2br w:val="nil"/>
                    <w:tr2bl w:val="nil"/>
                  </w:tcBorders>
                  <w:vAlign w:val="center"/>
                </w:tcPr>
                <w:p w14:paraId="16FC98C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控制因子</w:t>
                  </w:r>
                </w:p>
              </w:tc>
              <w:tc>
                <w:tcPr>
                  <w:tcW w:w="648" w:type="pct"/>
                  <w:tcBorders>
                    <w:tl2br w:val="nil"/>
                    <w:tr2bl w:val="nil"/>
                  </w:tcBorders>
                  <w:vAlign w:val="center"/>
                </w:tcPr>
                <w:p w14:paraId="64A7868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考核因子</w:t>
                  </w:r>
                </w:p>
              </w:tc>
              <w:tc>
                <w:tcPr>
                  <w:tcW w:w="603" w:type="pct"/>
                  <w:vMerge w:val="continue"/>
                  <w:tcBorders>
                    <w:tl2br w:val="nil"/>
                    <w:tr2bl w:val="nil"/>
                  </w:tcBorders>
                  <w:vAlign w:val="center"/>
                </w:tcPr>
                <w:p w14:paraId="0D5443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p>
              </w:tc>
            </w:tr>
            <w:tr w14:paraId="182FD1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restart"/>
                  <w:tcBorders>
                    <w:tl2br w:val="nil"/>
                    <w:tr2bl w:val="nil"/>
                  </w:tcBorders>
                  <w:vAlign w:val="center"/>
                </w:tcPr>
                <w:p w14:paraId="75967C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lang w:val="en-US" w:eastAsia="zh-CN"/>
                    </w:rPr>
                    <w:t>废水</w:t>
                  </w:r>
                </w:p>
              </w:tc>
              <w:tc>
                <w:tcPr>
                  <w:tcW w:w="613" w:type="pct"/>
                  <w:tcBorders>
                    <w:tl2br w:val="nil"/>
                    <w:tr2bl w:val="nil"/>
                  </w:tcBorders>
                  <w:vAlign w:val="center"/>
                </w:tcPr>
                <w:p w14:paraId="406D03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水量</w:t>
                  </w:r>
                </w:p>
              </w:tc>
              <w:tc>
                <w:tcPr>
                  <w:tcW w:w="610" w:type="pct"/>
                  <w:tcBorders>
                    <w:tl2br w:val="nil"/>
                    <w:tr2bl w:val="nil"/>
                  </w:tcBorders>
                  <w:vAlign w:val="center"/>
                </w:tcPr>
                <w:p w14:paraId="0E9288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4</w:t>
                  </w:r>
                  <w:r>
                    <w:rPr>
                      <w:rFonts w:hint="default" w:ascii="Times New Roman" w:hAnsi="Times New Roman" w:eastAsia="宋体" w:cs="Times New Roman"/>
                      <w:color w:val="auto"/>
                      <w:kern w:val="0"/>
                      <w:sz w:val="21"/>
                      <w:szCs w:val="21"/>
                      <w:highlight w:val="none"/>
                      <w:shd w:val="clear" w:color="auto" w:fill="auto"/>
                      <w:lang w:val="en-US" w:eastAsia="zh-CN"/>
                    </w:rPr>
                    <w:t>80</w:t>
                  </w:r>
                </w:p>
              </w:tc>
              <w:tc>
                <w:tcPr>
                  <w:tcW w:w="605" w:type="pct"/>
                  <w:tcBorders>
                    <w:tl2br w:val="nil"/>
                    <w:tr2bl w:val="nil"/>
                  </w:tcBorders>
                  <w:shd w:val="clear" w:color="auto" w:fill="auto"/>
                  <w:vAlign w:val="center"/>
                </w:tcPr>
                <w:p w14:paraId="1CFB86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rPr>
                    <w:t>/</w:t>
                  </w:r>
                </w:p>
              </w:tc>
              <w:tc>
                <w:tcPr>
                  <w:tcW w:w="605" w:type="pct"/>
                  <w:tcBorders>
                    <w:tl2br w:val="nil"/>
                    <w:tr2bl w:val="nil"/>
                  </w:tcBorders>
                  <w:shd w:val="clear" w:color="auto" w:fill="auto"/>
                  <w:vAlign w:val="center"/>
                </w:tcPr>
                <w:p w14:paraId="3385D2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rPr>
                    <w:t>4</w:t>
                  </w:r>
                  <w:r>
                    <w:rPr>
                      <w:rFonts w:hint="default" w:ascii="Times New Roman" w:hAnsi="Times New Roman" w:eastAsia="宋体" w:cs="Times New Roman"/>
                      <w:color w:val="auto"/>
                      <w:kern w:val="0"/>
                      <w:sz w:val="21"/>
                      <w:szCs w:val="21"/>
                      <w:highlight w:val="none"/>
                      <w:shd w:val="clear" w:color="auto" w:fill="auto"/>
                      <w:lang w:val="en-US" w:eastAsia="zh-CN"/>
                    </w:rPr>
                    <w:t>80</w:t>
                  </w:r>
                </w:p>
              </w:tc>
              <w:tc>
                <w:tcPr>
                  <w:tcW w:w="675" w:type="pct"/>
                  <w:tcBorders>
                    <w:tl2br w:val="nil"/>
                    <w:tr2bl w:val="nil"/>
                  </w:tcBorders>
                  <w:shd w:val="clear" w:color="auto" w:fill="auto"/>
                  <w:vAlign w:val="center"/>
                </w:tcPr>
                <w:p w14:paraId="5778EC9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rPr>
                    <w:t>4</w:t>
                  </w:r>
                  <w:r>
                    <w:rPr>
                      <w:rFonts w:hint="default" w:ascii="Times New Roman" w:hAnsi="Times New Roman" w:eastAsia="宋体" w:cs="Times New Roman"/>
                      <w:color w:val="auto"/>
                      <w:kern w:val="0"/>
                      <w:sz w:val="21"/>
                      <w:szCs w:val="21"/>
                      <w:highlight w:val="none"/>
                      <w:shd w:val="clear" w:color="auto" w:fill="auto"/>
                      <w:lang w:val="en-US" w:eastAsia="zh-CN"/>
                    </w:rPr>
                    <w:t>80</w:t>
                  </w:r>
                </w:p>
              </w:tc>
              <w:tc>
                <w:tcPr>
                  <w:tcW w:w="648" w:type="pct"/>
                  <w:tcBorders>
                    <w:tl2br w:val="nil"/>
                    <w:tr2bl w:val="nil"/>
                  </w:tcBorders>
                  <w:vAlign w:val="center"/>
                </w:tcPr>
                <w:p w14:paraId="512276A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w:t>
                  </w:r>
                </w:p>
              </w:tc>
              <w:tc>
                <w:tcPr>
                  <w:tcW w:w="603" w:type="pct"/>
                  <w:tcBorders>
                    <w:tl2br w:val="nil"/>
                    <w:tr2bl w:val="nil"/>
                  </w:tcBorders>
                  <w:shd w:val="clear" w:color="auto" w:fill="auto"/>
                  <w:vAlign w:val="center"/>
                </w:tcPr>
                <w:p w14:paraId="6F8099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rPr>
                    <w:t>4</w:t>
                  </w:r>
                  <w:r>
                    <w:rPr>
                      <w:rFonts w:hint="default" w:ascii="Times New Roman" w:hAnsi="Times New Roman" w:eastAsia="宋体" w:cs="Times New Roman"/>
                      <w:color w:val="auto"/>
                      <w:kern w:val="0"/>
                      <w:sz w:val="21"/>
                      <w:szCs w:val="21"/>
                      <w:highlight w:val="none"/>
                      <w:shd w:val="clear" w:color="auto" w:fill="auto"/>
                      <w:lang w:val="en-US" w:eastAsia="zh-CN"/>
                    </w:rPr>
                    <w:t>80</w:t>
                  </w:r>
                </w:p>
              </w:tc>
            </w:tr>
            <w:tr w14:paraId="1286F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259773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p>
              </w:tc>
              <w:tc>
                <w:tcPr>
                  <w:tcW w:w="613" w:type="pct"/>
                  <w:tcBorders>
                    <w:tl2br w:val="nil"/>
                    <w:tr2bl w:val="nil"/>
                  </w:tcBorders>
                  <w:vAlign w:val="center"/>
                </w:tcPr>
                <w:p w14:paraId="45C22B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COD</w:t>
                  </w:r>
                </w:p>
              </w:tc>
              <w:tc>
                <w:tcPr>
                  <w:tcW w:w="610" w:type="pct"/>
                  <w:tcBorders>
                    <w:tl2br w:val="nil"/>
                    <w:tr2bl w:val="nil"/>
                  </w:tcBorders>
                  <w:shd w:val="clear" w:color="auto" w:fill="auto"/>
                  <w:vAlign w:val="center"/>
                </w:tcPr>
                <w:p w14:paraId="1118D3C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0.192</w:t>
                  </w:r>
                </w:p>
              </w:tc>
              <w:tc>
                <w:tcPr>
                  <w:tcW w:w="605" w:type="pct"/>
                  <w:tcBorders>
                    <w:tl2br w:val="nil"/>
                    <w:tr2bl w:val="nil"/>
                  </w:tcBorders>
                  <w:shd w:val="clear" w:color="auto" w:fill="auto"/>
                  <w:vAlign w:val="center"/>
                </w:tcPr>
                <w:p w14:paraId="47B635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rPr>
                    <w:t>/</w:t>
                  </w:r>
                </w:p>
              </w:tc>
              <w:tc>
                <w:tcPr>
                  <w:tcW w:w="605" w:type="pct"/>
                  <w:tcBorders>
                    <w:tl2br w:val="nil"/>
                    <w:tr2bl w:val="nil"/>
                  </w:tcBorders>
                  <w:shd w:val="clear" w:color="auto" w:fill="auto"/>
                  <w:vAlign w:val="center"/>
                </w:tcPr>
                <w:p w14:paraId="6D7DE3E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0.192</w:t>
                  </w:r>
                </w:p>
              </w:tc>
              <w:tc>
                <w:tcPr>
                  <w:tcW w:w="675" w:type="pct"/>
                  <w:tcBorders>
                    <w:tl2br w:val="nil"/>
                    <w:tr2bl w:val="nil"/>
                  </w:tcBorders>
                  <w:shd w:val="clear" w:color="auto" w:fill="auto"/>
                  <w:vAlign w:val="center"/>
                </w:tcPr>
                <w:p w14:paraId="3A74E5E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0.192</w:t>
                  </w:r>
                </w:p>
              </w:tc>
              <w:tc>
                <w:tcPr>
                  <w:tcW w:w="648" w:type="pct"/>
                  <w:tcBorders>
                    <w:tl2br w:val="nil"/>
                    <w:tr2bl w:val="nil"/>
                  </w:tcBorders>
                  <w:vAlign w:val="center"/>
                </w:tcPr>
                <w:p w14:paraId="3593EF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w:t>
                  </w:r>
                </w:p>
              </w:tc>
              <w:tc>
                <w:tcPr>
                  <w:tcW w:w="603" w:type="pct"/>
                  <w:tcBorders>
                    <w:tl2br w:val="nil"/>
                    <w:tr2bl w:val="nil"/>
                  </w:tcBorders>
                  <w:shd w:val="clear" w:color="auto" w:fill="auto"/>
                  <w:vAlign w:val="center"/>
                </w:tcPr>
                <w:p w14:paraId="0070438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0.024</w:t>
                  </w:r>
                </w:p>
              </w:tc>
            </w:tr>
            <w:tr w14:paraId="29018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07259E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p>
              </w:tc>
              <w:tc>
                <w:tcPr>
                  <w:tcW w:w="613" w:type="pct"/>
                  <w:tcBorders>
                    <w:tl2br w:val="nil"/>
                    <w:tr2bl w:val="nil"/>
                  </w:tcBorders>
                  <w:vAlign w:val="center"/>
                </w:tcPr>
                <w:p w14:paraId="3B999E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SS</w:t>
                  </w:r>
                </w:p>
              </w:tc>
              <w:tc>
                <w:tcPr>
                  <w:tcW w:w="610" w:type="pct"/>
                  <w:tcBorders>
                    <w:tl2br w:val="nil"/>
                    <w:tr2bl w:val="nil"/>
                  </w:tcBorders>
                  <w:shd w:val="clear" w:color="auto" w:fill="auto"/>
                  <w:vAlign w:val="center"/>
                </w:tcPr>
                <w:p w14:paraId="1F9147A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0.096</w:t>
                  </w:r>
                </w:p>
              </w:tc>
              <w:tc>
                <w:tcPr>
                  <w:tcW w:w="605" w:type="pct"/>
                  <w:tcBorders>
                    <w:tl2br w:val="nil"/>
                    <w:tr2bl w:val="nil"/>
                  </w:tcBorders>
                  <w:shd w:val="clear" w:color="auto" w:fill="auto"/>
                  <w:vAlign w:val="center"/>
                </w:tcPr>
                <w:p w14:paraId="57A5C9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rPr>
                    <w:t>/</w:t>
                  </w:r>
                </w:p>
              </w:tc>
              <w:tc>
                <w:tcPr>
                  <w:tcW w:w="605" w:type="pct"/>
                  <w:tcBorders>
                    <w:tl2br w:val="nil"/>
                    <w:tr2bl w:val="nil"/>
                  </w:tcBorders>
                  <w:shd w:val="clear" w:color="auto" w:fill="auto"/>
                  <w:vAlign w:val="center"/>
                </w:tcPr>
                <w:p w14:paraId="0418FF1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0.096</w:t>
                  </w:r>
                </w:p>
              </w:tc>
              <w:tc>
                <w:tcPr>
                  <w:tcW w:w="675" w:type="pct"/>
                  <w:tcBorders>
                    <w:tl2br w:val="nil"/>
                    <w:tr2bl w:val="nil"/>
                  </w:tcBorders>
                  <w:shd w:val="clear" w:color="auto" w:fill="auto"/>
                  <w:vAlign w:val="center"/>
                </w:tcPr>
                <w:p w14:paraId="18B1BE0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
                    </w:rPr>
                  </w:pPr>
                  <w:r>
                    <w:rPr>
                      <w:rFonts w:hint="eastAsia" w:ascii="Times New Roman" w:hAnsi="Times New Roman" w:eastAsia="宋体" w:cs="Times New Roman"/>
                      <w:color w:val="auto"/>
                      <w:kern w:val="0"/>
                      <w:sz w:val="21"/>
                      <w:szCs w:val="21"/>
                      <w:shd w:val="clear" w:color="auto" w:fill="auto"/>
                      <w:lang w:val="en-US" w:eastAsia="zh-CN" w:bidi="ar"/>
                    </w:rPr>
                    <w:t>/</w:t>
                  </w:r>
                </w:p>
              </w:tc>
              <w:tc>
                <w:tcPr>
                  <w:tcW w:w="648" w:type="pct"/>
                  <w:tcBorders>
                    <w:tl2br w:val="nil"/>
                    <w:tr2bl w:val="nil"/>
                  </w:tcBorders>
                  <w:vAlign w:val="center"/>
                </w:tcPr>
                <w:p w14:paraId="41650F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i w:val="0"/>
                      <w:iCs w:val="0"/>
                      <w:color w:val="auto"/>
                      <w:kern w:val="0"/>
                      <w:sz w:val="21"/>
                      <w:szCs w:val="21"/>
                      <w:u w:val="none"/>
                      <w:lang w:val="en-US" w:eastAsia="zh-CN" w:bidi="ar"/>
                    </w:rPr>
                    <w:t>0.096</w:t>
                  </w:r>
                </w:p>
              </w:tc>
              <w:tc>
                <w:tcPr>
                  <w:tcW w:w="603" w:type="pct"/>
                  <w:tcBorders>
                    <w:tl2br w:val="nil"/>
                    <w:tr2bl w:val="nil"/>
                  </w:tcBorders>
                  <w:shd w:val="clear" w:color="auto" w:fill="auto"/>
                  <w:vAlign w:val="center"/>
                </w:tcPr>
                <w:p w14:paraId="55941E1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0.005</w:t>
                  </w:r>
                </w:p>
              </w:tc>
            </w:tr>
            <w:tr w14:paraId="69836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8" w:type="pct"/>
                  <w:gridSpan w:val="2"/>
                  <w:vMerge w:val="continue"/>
                  <w:tcBorders>
                    <w:tl2br w:val="nil"/>
                    <w:tr2bl w:val="nil"/>
                  </w:tcBorders>
                  <w:vAlign w:val="center"/>
                </w:tcPr>
                <w:p w14:paraId="3837F9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p>
              </w:tc>
              <w:tc>
                <w:tcPr>
                  <w:tcW w:w="613" w:type="pct"/>
                  <w:tcBorders>
                    <w:tl2br w:val="nil"/>
                    <w:tr2bl w:val="nil"/>
                  </w:tcBorders>
                  <w:vAlign w:val="center"/>
                </w:tcPr>
                <w:p w14:paraId="248632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NH</w:t>
                  </w:r>
                  <w:r>
                    <w:rPr>
                      <w:rFonts w:hint="default" w:ascii="Times New Roman" w:hAnsi="Times New Roman" w:eastAsia="宋体" w:cs="Times New Roman"/>
                      <w:color w:val="auto"/>
                      <w:kern w:val="0"/>
                      <w:sz w:val="21"/>
                      <w:szCs w:val="21"/>
                      <w:highlight w:val="none"/>
                      <w:shd w:val="clear" w:color="auto" w:fill="auto"/>
                      <w:vertAlign w:val="subscript"/>
                    </w:rPr>
                    <w:t>3</w:t>
                  </w:r>
                  <w:r>
                    <w:rPr>
                      <w:rFonts w:hint="default" w:ascii="Times New Roman" w:hAnsi="Times New Roman" w:eastAsia="宋体" w:cs="Times New Roman"/>
                      <w:color w:val="auto"/>
                      <w:kern w:val="0"/>
                      <w:sz w:val="21"/>
                      <w:szCs w:val="21"/>
                      <w:highlight w:val="none"/>
                      <w:shd w:val="clear" w:color="auto" w:fill="auto"/>
                    </w:rPr>
                    <w:t>-N</w:t>
                  </w:r>
                </w:p>
              </w:tc>
              <w:tc>
                <w:tcPr>
                  <w:tcW w:w="610" w:type="pct"/>
                  <w:tcBorders>
                    <w:tl2br w:val="nil"/>
                    <w:tr2bl w:val="nil"/>
                  </w:tcBorders>
                  <w:shd w:val="clear" w:color="auto" w:fill="auto"/>
                  <w:vAlign w:val="center"/>
                </w:tcPr>
                <w:p w14:paraId="3236066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605" w:type="pct"/>
                  <w:tcBorders>
                    <w:tl2br w:val="nil"/>
                    <w:tr2bl w:val="nil"/>
                  </w:tcBorders>
                  <w:shd w:val="clear" w:color="auto" w:fill="auto"/>
                  <w:vAlign w:val="center"/>
                </w:tcPr>
                <w:p w14:paraId="6E823C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rPr>
                    <w:t>/</w:t>
                  </w:r>
                </w:p>
              </w:tc>
              <w:tc>
                <w:tcPr>
                  <w:tcW w:w="605" w:type="pct"/>
                  <w:tcBorders>
                    <w:tl2br w:val="nil"/>
                    <w:tr2bl w:val="nil"/>
                  </w:tcBorders>
                  <w:shd w:val="clear" w:color="auto" w:fill="auto"/>
                  <w:vAlign w:val="center"/>
                </w:tcPr>
                <w:p w14:paraId="625FB99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675" w:type="pct"/>
                  <w:tcBorders>
                    <w:tl2br w:val="nil"/>
                    <w:tr2bl w:val="nil"/>
                  </w:tcBorders>
                  <w:shd w:val="clear" w:color="auto" w:fill="auto"/>
                  <w:vAlign w:val="center"/>
                </w:tcPr>
                <w:p w14:paraId="21FC54D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648" w:type="pct"/>
                  <w:tcBorders>
                    <w:tl2br w:val="nil"/>
                    <w:tr2bl w:val="nil"/>
                  </w:tcBorders>
                  <w:vAlign w:val="center"/>
                </w:tcPr>
                <w:p w14:paraId="4996C9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w:t>
                  </w:r>
                </w:p>
              </w:tc>
              <w:tc>
                <w:tcPr>
                  <w:tcW w:w="603" w:type="pct"/>
                  <w:tcBorders>
                    <w:tl2br w:val="nil"/>
                    <w:tr2bl w:val="nil"/>
                  </w:tcBorders>
                  <w:shd w:val="clear" w:color="auto" w:fill="auto"/>
                  <w:vAlign w:val="center"/>
                </w:tcPr>
                <w:p w14:paraId="71C9ED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0.002</w:t>
                  </w:r>
                </w:p>
              </w:tc>
            </w:tr>
            <w:tr w14:paraId="6B3D3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70E039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p>
              </w:tc>
              <w:tc>
                <w:tcPr>
                  <w:tcW w:w="613" w:type="pct"/>
                  <w:tcBorders>
                    <w:tl2br w:val="nil"/>
                    <w:tr2bl w:val="nil"/>
                  </w:tcBorders>
                  <w:vAlign w:val="center"/>
                </w:tcPr>
                <w:p w14:paraId="175CFB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lang w:eastAsia="zh-CN"/>
                    </w:rPr>
                  </w:pPr>
                  <w:r>
                    <w:rPr>
                      <w:rFonts w:hint="default" w:ascii="Times New Roman" w:hAnsi="Times New Roman" w:eastAsia="宋体" w:cs="Times New Roman"/>
                      <w:color w:val="auto"/>
                      <w:kern w:val="0"/>
                      <w:sz w:val="21"/>
                      <w:szCs w:val="21"/>
                      <w:highlight w:val="none"/>
                      <w:shd w:val="clear" w:color="auto" w:fill="auto"/>
                    </w:rPr>
                    <w:t>T</w:t>
                  </w:r>
                  <w:r>
                    <w:rPr>
                      <w:rFonts w:hint="default" w:ascii="Times New Roman" w:hAnsi="Times New Roman" w:eastAsia="宋体" w:cs="Times New Roman"/>
                      <w:color w:val="auto"/>
                      <w:kern w:val="0"/>
                      <w:sz w:val="21"/>
                      <w:szCs w:val="21"/>
                      <w:highlight w:val="none"/>
                      <w:shd w:val="clear" w:color="auto" w:fill="auto"/>
                      <w:lang w:val="en-US" w:eastAsia="zh-CN"/>
                    </w:rPr>
                    <w:t>N</w:t>
                  </w:r>
                </w:p>
              </w:tc>
              <w:tc>
                <w:tcPr>
                  <w:tcW w:w="610" w:type="pct"/>
                  <w:tcBorders>
                    <w:tl2br w:val="nil"/>
                    <w:tr2bl w:val="nil"/>
                  </w:tcBorders>
                  <w:shd w:val="clear" w:color="auto" w:fill="auto"/>
                  <w:vAlign w:val="center"/>
                </w:tcPr>
                <w:p w14:paraId="0C841A4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w:t>
                  </w:r>
                  <w:r>
                    <w:rPr>
                      <w:rFonts w:hint="eastAsia" w:ascii="Times New Roman" w:hAnsi="Times New Roman" w:eastAsia="宋体" w:cs="Times New Roman"/>
                      <w:i w:val="0"/>
                      <w:iCs w:val="0"/>
                      <w:color w:val="auto"/>
                      <w:kern w:val="0"/>
                      <w:sz w:val="21"/>
                      <w:szCs w:val="21"/>
                      <w:u w:val="none"/>
                      <w:lang w:val="en-US" w:eastAsia="zh-CN" w:bidi="ar"/>
                    </w:rPr>
                    <w:t>7</w:t>
                  </w:r>
                </w:p>
              </w:tc>
              <w:tc>
                <w:tcPr>
                  <w:tcW w:w="605" w:type="pct"/>
                  <w:tcBorders>
                    <w:tl2br w:val="nil"/>
                    <w:tr2bl w:val="nil"/>
                  </w:tcBorders>
                  <w:shd w:val="clear" w:color="auto" w:fill="auto"/>
                  <w:vAlign w:val="center"/>
                </w:tcPr>
                <w:p w14:paraId="6846C6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rPr>
                    <w:t>/</w:t>
                  </w:r>
                </w:p>
              </w:tc>
              <w:tc>
                <w:tcPr>
                  <w:tcW w:w="605" w:type="pct"/>
                  <w:tcBorders>
                    <w:tl2br w:val="nil"/>
                    <w:tr2bl w:val="nil"/>
                  </w:tcBorders>
                  <w:shd w:val="clear" w:color="auto" w:fill="auto"/>
                  <w:vAlign w:val="center"/>
                </w:tcPr>
                <w:p w14:paraId="16D5271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w:t>
                  </w:r>
                  <w:r>
                    <w:rPr>
                      <w:rFonts w:hint="eastAsia" w:ascii="Times New Roman" w:hAnsi="Times New Roman" w:eastAsia="宋体" w:cs="Times New Roman"/>
                      <w:i w:val="0"/>
                      <w:iCs w:val="0"/>
                      <w:color w:val="auto"/>
                      <w:kern w:val="0"/>
                      <w:sz w:val="21"/>
                      <w:szCs w:val="21"/>
                      <w:u w:val="none"/>
                      <w:lang w:val="en-US" w:eastAsia="zh-CN" w:bidi="ar"/>
                    </w:rPr>
                    <w:t>7</w:t>
                  </w:r>
                </w:p>
              </w:tc>
              <w:tc>
                <w:tcPr>
                  <w:tcW w:w="675" w:type="pct"/>
                  <w:tcBorders>
                    <w:tl2br w:val="nil"/>
                    <w:tr2bl w:val="nil"/>
                  </w:tcBorders>
                  <w:shd w:val="clear" w:color="auto" w:fill="auto"/>
                  <w:vAlign w:val="center"/>
                </w:tcPr>
                <w:p w14:paraId="630EEC5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r>
                    <w:rPr>
                      <w:rFonts w:hint="eastAsia" w:ascii="Times New Roman" w:hAnsi="Times New Roman" w:eastAsia="宋体" w:cs="Times New Roman"/>
                      <w:i w:val="0"/>
                      <w:iCs w:val="0"/>
                      <w:color w:val="auto"/>
                      <w:kern w:val="0"/>
                      <w:sz w:val="21"/>
                      <w:szCs w:val="21"/>
                      <w:u w:val="none"/>
                      <w:lang w:val="en-US" w:eastAsia="zh-CN" w:bidi="ar"/>
                    </w:rPr>
                    <w:t>7</w:t>
                  </w:r>
                </w:p>
              </w:tc>
              <w:tc>
                <w:tcPr>
                  <w:tcW w:w="648" w:type="pct"/>
                  <w:tcBorders>
                    <w:tl2br w:val="nil"/>
                    <w:tr2bl w:val="nil"/>
                  </w:tcBorders>
                  <w:vAlign w:val="center"/>
                </w:tcPr>
                <w:p w14:paraId="1E29B6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w:t>
                  </w:r>
                </w:p>
              </w:tc>
              <w:tc>
                <w:tcPr>
                  <w:tcW w:w="603" w:type="pct"/>
                  <w:tcBorders>
                    <w:tl2br w:val="nil"/>
                    <w:tr2bl w:val="nil"/>
                  </w:tcBorders>
                  <w:shd w:val="clear" w:color="auto" w:fill="auto"/>
                  <w:vAlign w:val="center"/>
                </w:tcPr>
                <w:p w14:paraId="071CA7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0.006</w:t>
                  </w:r>
                </w:p>
              </w:tc>
            </w:tr>
            <w:tr w14:paraId="3009F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75BF02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p>
              </w:tc>
              <w:tc>
                <w:tcPr>
                  <w:tcW w:w="613" w:type="pct"/>
                  <w:tcBorders>
                    <w:tl2br w:val="nil"/>
                    <w:tr2bl w:val="nil"/>
                  </w:tcBorders>
                  <w:vAlign w:val="center"/>
                </w:tcPr>
                <w:p w14:paraId="6367C1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lang w:eastAsia="zh-CN"/>
                    </w:rPr>
                  </w:pPr>
                  <w:r>
                    <w:rPr>
                      <w:rFonts w:hint="default" w:ascii="Times New Roman" w:hAnsi="Times New Roman" w:eastAsia="宋体" w:cs="Times New Roman"/>
                      <w:color w:val="auto"/>
                      <w:kern w:val="0"/>
                      <w:sz w:val="21"/>
                      <w:szCs w:val="21"/>
                      <w:highlight w:val="none"/>
                      <w:shd w:val="clear" w:color="auto" w:fill="auto"/>
                    </w:rPr>
                    <w:t>T</w:t>
                  </w:r>
                  <w:r>
                    <w:rPr>
                      <w:rFonts w:hint="default" w:ascii="Times New Roman" w:hAnsi="Times New Roman" w:eastAsia="宋体" w:cs="Times New Roman"/>
                      <w:color w:val="auto"/>
                      <w:kern w:val="0"/>
                      <w:sz w:val="21"/>
                      <w:szCs w:val="21"/>
                      <w:highlight w:val="none"/>
                      <w:shd w:val="clear" w:color="auto" w:fill="auto"/>
                      <w:lang w:val="en-US" w:eastAsia="zh-CN"/>
                    </w:rPr>
                    <w:t>P</w:t>
                  </w:r>
                </w:p>
              </w:tc>
              <w:tc>
                <w:tcPr>
                  <w:tcW w:w="610" w:type="pct"/>
                  <w:tcBorders>
                    <w:tl2br w:val="nil"/>
                    <w:tr2bl w:val="nil"/>
                  </w:tcBorders>
                  <w:shd w:val="clear" w:color="auto" w:fill="auto"/>
                  <w:vAlign w:val="center"/>
                </w:tcPr>
                <w:p w14:paraId="7C3B552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605" w:type="pct"/>
                  <w:tcBorders>
                    <w:tl2br w:val="nil"/>
                    <w:tr2bl w:val="nil"/>
                  </w:tcBorders>
                  <w:shd w:val="clear" w:color="auto" w:fill="auto"/>
                  <w:vAlign w:val="center"/>
                </w:tcPr>
                <w:p w14:paraId="46286C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rPr>
                    <w:t>/</w:t>
                  </w:r>
                </w:p>
              </w:tc>
              <w:tc>
                <w:tcPr>
                  <w:tcW w:w="605" w:type="pct"/>
                  <w:tcBorders>
                    <w:tl2br w:val="nil"/>
                    <w:tr2bl w:val="nil"/>
                  </w:tcBorders>
                  <w:shd w:val="clear" w:color="auto" w:fill="auto"/>
                  <w:vAlign w:val="center"/>
                </w:tcPr>
                <w:p w14:paraId="71D2D9F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675" w:type="pct"/>
                  <w:tcBorders>
                    <w:tl2br w:val="nil"/>
                    <w:tr2bl w:val="nil"/>
                  </w:tcBorders>
                  <w:shd w:val="clear" w:color="auto" w:fill="auto"/>
                  <w:vAlign w:val="center"/>
                </w:tcPr>
                <w:p w14:paraId="7CB9392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648" w:type="pct"/>
                  <w:tcBorders>
                    <w:tl2br w:val="nil"/>
                    <w:tr2bl w:val="nil"/>
                  </w:tcBorders>
                  <w:vAlign w:val="center"/>
                </w:tcPr>
                <w:p w14:paraId="028C777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w:t>
                  </w:r>
                </w:p>
              </w:tc>
              <w:tc>
                <w:tcPr>
                  <w:tcW w:w="603" w:type="pct"/>
                  <w:tcBorders>
                    <w:tl2br w:val="nil"/>
                    <w:tr2bl w:val="nil"/>
                  </w:tcBorders>
                  <w:shd w:val="clear" w:color="auto" w:fill="auto"/>
                  <w:vAlign w:val="center"/>
                </w:tcPr>
                <w:p w14:paraId="1330634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0.0002</w:t>
                  </w:r>
                </w:p>
              </w:tc>
            </w:tr>
            <w:tr w14:paraId="5AB4E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56" w:type="pct"/>
                  <w:vMerge w:val="restart"/>
                  <w:tcBorders>
                    <w:tl2br w:val="nil"/>
                    <w:tr2bl w:val="nil"/>
                  </w:tcBorders>
                  <w:vAlign w:val="center"/>
                </w:tcPr>
                <w:p w14:paraId="4BD1733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大气污染物</w:t>
                  </w:r>
                </w:p>
              </w:tc>
              <w:tc>
                <w:tcPr>
                  <w:tcW w:w="282" w:type="pct"/>
                  <w:vMerge w:val="restart"/>
                  <w:tcBorders>
                    <w:tl2br w:val="nil"/>
                    <w:tr2bl w:val="nil"/>
                  </w:tcBorders>
                  <w:vAlign w:val="center"/>
                </w:tcPr>
                <w:p w14:paraId="1D6CA8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lang w:val="en-US" w:eastAsia="zh-CN"/>
                    </w:rPr>
                    <w:t>有组织</w:t>
                  </w:r>
                </w:p>
              </w:tc>
              <w:tc>
                <w:tcPr>
                  <w:tcW w:w="613" w:type="pct"/>
                  <w:tcBorders>
                    <w:tl2br w:val="nil"/>
                    <w:tr2bl w:val="nil"/>
                  </w:tcBorders>
                  <w:vAlign w:val="center"/>
                </w:tcPr>
                <w:p w14:paraId="0153F9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非甲烷总烃</w:t>
                  </w:r>
                </w:p>
              </w:tc>
              <w:tc>
                <w:tcPr>
                  <w:tcW w:w="610" w:type="pct"/>
                  <w:tcBorders>
                    <w:tl2br w:val="nil"/>
                    <w:tr2bl w:val="nil"/>
                  </w:tcBorders>
                  <w:shd w:val="clear" w:color="auto" w:fill="auto"/>
                  <w:vAlign w:val="center"/>
                </w:tcPr>
                <w:p w14:paraId="1A3DC1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1.1177</w:t>
                  </w:r>
                </w:p>
              </w:tc>
              <w:tc>
                <w:tcPr>
                  <w:tcW w:w="605" w:type="pct"/>
                  <w:tcBorders>
                    <w:tl2br w:val="nil"/>
                    <w:tr2bl w:val="nil"/>
                  </w:tcBorders>
                  <w:shd w:val="clear" w:color="auto" w:fill="auto"/>
                  <w:vAlign w:val="center"/>
                </w:tcPr>
                <w:p w14:paraId="7F8910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1.0059</w:t>
                  </w:r>
                </w:p>
              </w:tc>
              <w:tc>
                <w:tcPr>
                  <w:tcW w:w="605" w:type="pct"/>
                  <w:tcBorders>
                    <w:tl2br w:val="nil"/>
                    <w:tr2bl w:val="nil"/>
                  </w:tcBorders>
                  <w:shd w:val="clear" w:color="auto" w:fill="auto"/>
                  <w:vAlign w:val="center"/>
                </w:tcPr>
                <w:p w14:paraId="0BB967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0.1118</w:t>
                  </w:r>
                </w:p>
              </w:tc>
              <w:tc>
                <w:tcPr>
                  <w:tcW w:w="675" w:type="pct"/>
                  <w:tcBorders>
                    <w:tl2br w:val="nil"/>
                    <w:tr2bl w:val="nil"/>
                  </w:tcBorders>
                  <w:shd w:val="clear" w:color="auto" w:fill="auto"/>
                  <w:vAlign w:val="center"/>
                </w:tcPr>
                <w:p w14:paraId="2ECC7D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0.1118</w:t>
                  </w:r>
                </w:p>
              </w:tc>
              <w:tc>
                <w:tcPr>
                  <w:tcW w:w="648" w:type="pct"/>
                  <w:tcBorders>
                    <w:tl2br w:val="nil"/>
                    <w:tr2bl w:val="nil"/>
                  </w:tcBorders>
                  <w:vAlign w:val="center"/>
                </w:tcPr>
                <w:p w14:paraId="3CC150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rPr>
                    <w:t>/</w:t>
                  </w:r>
                </w:p>
              </w:tc>
              <w:tc>
                <w:tcPr>
                  <w:tcW w:w="603" w:type="pct"/>
                  <w:tcBorders>
                    <w:tl2br w:val="nil"/>
                    <w:tr2bl w:val="nil"/>
                  </w:tcBorders>
                  <w:shd w:val="clear" w:color="auto" w:fill="auto"/>
                  <w:vAlign w:val="center"/>
                </w:tcPr>
                <w:p w14:paraId="70FC5F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0.1118</w:t>
                  </w:r>
                </w:p>
              </w:tc>
            </w:tr>
            <w:tr w14:paraId="2942B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56" w:type="pct"/>
                  <w:vMerge w:val="continue"/>
                  <w:tcBorders>
                    <w:tl2br w:val="nil"/>
                    <w:tr2bl w:val="nil"/>
                  </w:tcBorders>
                  <w:vAlign w:val="center"/>
                </w:tcPr>
                <w:p w14:paraId="2439FB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color w:val="auto"/>
                      <w:sz w:val="21"/>
                      <w:szCs w:val="21"/>
                    </w:rPr>
                  </w:pPr>
                </w:p>
              </w:tc>
              <w:tc>
                <w:tcPr>
                  <w:tcW w:w="282" w:type="pct"/>
                  <w:vMerge w:val="continue"/>
                  <w:tcBorders>
                    <w:tl2br w:val="nil"/>
                    <w:tr2bl w:val="nil"/>
                  </w:tcBorders>
                  <w:vAlign w:val="center"/>
                </w:tcPr>
                <w:p w14:paraId="3A3BCF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color w:val="auto"/>
                      <w:sz w:val="21"/>
                      <w:szCs w:val="21"/>
                    </w:rPr>
                  </w:pPr>
                </w:p>
              </w:tc>
              <w:tc>
                <w:tcPr>
                  <w:tcW w:w="613" w:type="pct"/>
                  <w:tcBorders>
                    <w:tl2br w:val="nil"/>
                    <w:tr2bl w:val="nil"/>
                  </w:tcBorders>
                  <w:vAlign w:val="center"/>
                </w:tcPr>
                <w:p w14:paraId="387C2E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TVOC</w:t>
                  </w:r>
                </w:p>
              </w:tc>
              <w:tc>
                <w:tcPr>
                  <w:tcW w:w="610" w:type="pct"/>
                  <w:tcBorders>
                    <w:tl2br w:val="nil"/>
                    <w:tr2bl w:val="nil"/>
                  </w:tcBorders>
                  <w:shd w:val="clear" w:color="auto" w:fill="auto"/>
                  <w:vAlign w:val="center"/>
                </w:tcPr>
                <w:p w14:paraId="5142CB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0.7505</w:t>
                  </w:r>
                </w:p>
              </w:tc>
              <w:tc>
                <w:tcPr>
                  <w:tcW w:w="605" w:type="pct"/>
                  <w:tcBorders>
                    <w:tl2br w:val="nil"/>
                    <w:tr2bl w:val="nil"/>
                  </w:tcBorders>
                  <w:shd w:val="clear" w:color="auto" w:fill="auto"/>
                  <w:vAlign w:val="center"/>
                </w:tcPr>
                <w:p w14:paraId="6CCA1C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0.6754</w:t>
                  </w:r>
                </w:p>
              </w:tc>
              <w:tc>
                <w:tcPr>
                  <w:tcW w:w="605" w:type="pct"/>
                  <w:tcBorders>
                    <w:tl2br w:val="nil"/>
                    <w:tr2bl w:val="nil"/>
                  </w:tcBorders>
                  <w:shd w:val="clear" w:color="auto" w:fill="auto"/>
                  <w:vAlign w:val="center"/>
                </w:tcPr>
                <w:p w14:paraId="0F6923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0.0751</w:t>
                  </w:r>
                </w:p>
              </w:tc>
              <w:tc>
                <w:tcPr>
                  <w:tcW w:w="675" w:type="pct"/>
                  <w:tcBorders>
                    <w:tl2br w:val="nil"/>
                    <w:tr2bl w:val="nil"/>
                  </w:tcBorders>
                  <w:shd w:val="clear" w:color="auto" w:fill="auto"/>
                  <w:vAlign w:val="center"/>
                </w:tcPr>
                <w:p w14:paraId="5876E4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w:t>
                  </w:r>
                </w:p>
              </w:tc>
              <w:tc>
                <w:tcPr>
                  <w:tcW w:w="648" w:type="pct"/>
                  <w:tcBorders>
                    <w:tl2br w:val="nil"/>
                    <w:tr2bl w:val="nil"/>
                  </w:tcBorders>
                  <w:vAlign w:val="center"/>
                </w:tcPr>
                <w:p w14:paraId="59118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0.0751</w:t>
                  </w:r>
                </w:p>
              </w:tc>
              <w:tc>
                <w:tcPr>
                  <w:tcW w:w="603" w:type="pct"/>
                  <w:tcBorders>
                    <w:tl2br w:val="nil"/>
                    <w:tr2bl w:val="nil"/>
                  </w:tcBorders>
                  <w:shd w:val="clear" w:color="auto" w:fill="auto"/>
                  <w:vAlign w:val="center"/>
                </w:tcPr>
                <w:p w14:paraId="45E28F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0.0751</w:t>
                  </w:r>
                </w:p>
              </w:tc>
            </w:tr>
            <w:tr w14:paraId="0C6E5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56" w:type="pct"/>
                  <w:vMerge w:val="continue"/>
                  <w:tcBorders>
                    <w:tl2br w:val="nil"/>
                    <w:tr2bl w:val="nil"/>
                  </w:tcBorders>
                  <w:vAlign w:val="center"/>
                </w:tcPr>
                <w:p w14:paraId="0B8668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p>
              </w:tc>
              <w:tc>
                <w:tcPr>
                  <w:tcW w:w="282" w:type="pct"/>
                  <w:vMerge w:val="restart"/>
                  <w:tcBorders>
                    <w:tl2br w:val="nil"/>
                    <w:tr2bl w:val="nil"/>
                  </w:tcBorders>
                  <w:vAlign w:val="center"/>
                </w:tcPr>
                <w:p w14:paraId="3CCDAA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无组织</w:t>
                  </w:r>
                </w:p>
              </w:tc>
              <w:tc>
                <w:tcPr>
                  <w:tcW w:w="613" w:type="pct"/>
                  <w:tcBorders>
                    <w:tl2br w:val="nil"/>
                    <w:tr2bl w:val="nil"/>
                  </w:tcBorders>
                  <w:shd w:val="clear" w:color="auto" w:fill="auto"/>
                  <w:vAlign w:val="center"/>
                </w:tcPr>
                <w:p w14:paraId="481E28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lang w:val="en-US" w:eastAsia="zh-CN"/>
                    </w:rPr>
                    <w:t>非甲烷总烃</w:t>
                  </w:r>
                </w:p>
              </w:tc>
              <w:tc>
                <w:tcPr>
                  <w:tcW w:w="610" w:type="pct"/>
                  <w:tcBorders>
                    <w:tl2br w:val="nil"/>
                    <w:tr2bl w:val="nil"/>
                  </w:tcBorders>
                  <w:shd w:val="clear" w:color="auto" w:fill="auto"/>
                  <w:vAlign w:val="center"/>
                </w:tcPr>
                <w:p w14:paraId="1E23A30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0.0793</w:t>
                  </w:r>
                </w:p>
              </w:tc>
              <w:tc>
                <w:tcPr>
                  <w:tcW w:w="605" w:type="pct"/>
                  <w:tcBorders>
                    <w:tl2br w:val="nil"/>
                    <w:tr2bl w:val="nil"/>
                  </w:tcBorders>
                  <w:shd w:val="clear" w:color="auto" w:fill="auto"/>
                  <w:vAlign w:val="center"/>
                </w:tcPr>
                <w:p w14:paraId="4EF731B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rPr>
                    <w:t>/</w:t>
                  </w:r>
                </w:p>
              </w:tc>
              <w:tc>
                <w:tcPr>
                  <w:tcW w:w="605" w:type="pct"/>
                  <w:tcBorders>
                    <w:tl2br w:val="nil"/>
                    <w:tr2bl w:val="nil"/>
                  </w:tcBorders>
                  <w:shd w:val="clear" w:color="auto" w:fill="auto"/>
                  <w:vAlign w:val="center"/>
                </w:tcPr>
                <w:p w14:paraId="1286C14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0.0793</w:t>
                  </w:r>
                </w:p>
              </w:tc>
              <w:tc>
                <w:tcPr>
                  <w:tcW w:w="675" w:type="pct"/>
                  <w:tcBorders>
                    <w:tl2br w:val="nil"/>
                    <w:tr2bl w:val="nil"/>
                  </w:tcBorders>
                  <w:shd w:val="clear" w:color="auto" w:fill="auto"/>
                  <w:vAlign w:val="center"/>
                </w:tcPr>
                <w:p w14:paraId="5DFC1B7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0.0793</w:t>
                  </w:r>
                </w:p>
              </w:tc>
              <w:tc>
                <w:tcPr>
                  <w:tcW w:w="648" w:type="pct"/>
                  <w:tcBorders>
                    <w:tl2br w:val="nil"/>
                    <w:tr2bl w:val="nil"/>
                  </w:tcBorders>
                  <w:shd w:val="clear" w:color="auto" w:fill="auto"/>
                  <w:vAlign w:val="center"/>
                </w:tcPr>
                <w:p w14:paraId="339F83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rPr>
                    <w:t>/</w:t>
                  </w:r>
                </w:p>
              </w:tc>
              <w:tc>
                <w:tcPr>
                  <w:tcW w:w="603" w:type="pct"/>
                  <w:tcBorders>
                    <w:tl2br w:val="nil"/>
                    <w:tr2bl w:val="nil"/>
                  </w:tcBorders>
                  <w:shd w:val="clear" w:color="auto" w:fill="auto"/>
                  <w:vAlign w:val="center"/>
                </w:tcPr>
                <w:p w14:paraId="18AD15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0.0793</w:t>
                  </w:r>
                </w:p>
              </w:tc>
            </w:tr>
            <w:tr w14:paraId="21C70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56" w:type="pct"/>
                  <w:vMerge w:val="continue"/>
                  <w:tcBorders>
                    <w:tl2br w:val="nil"/>
                    <w:tr2bl w:val="nil"/>
                  </w:tcBorders>
                  <w:vAlign w:val="center"/>
                </w:tcPr>
                <w:p w14:paraId="0933665C">
                  <w:pPr>
                    <w:keepNext w:val="0"/>
                    <w:keepLines w:val="0"/>
                    <w:suppressLineNumbers w:val="0"/>
                    <w:adjustRightInd w:val="0"/>
                    <w:snapToGrid w:val="0"/>
                    <w:spacing w:before="0" w:beforeAutospacing="0" w:after="0" w:afterAutospacing="0"/>
                    <w:ind w:left="0" w:leftChars="0" w:right="0" w:rightChars="0"/>
                    <w:jc w:val="center"/>
                    <w:rPr>
                      <w:color w:val="auto"/>
                      <w:sz w:val="21"/>
                      <w:szCs w:val="21"/>
                    </w:rPr>
                  </w:pPr>
                </w:p>
              </w:tc>
              <w:tc>
                <w:tcPr>
                  <w:tcW w:w="282" w:type="pct"/>
                  <w:vMerge w:val="continue"/>
                  <w:tcBorders>
                    <w:tl2br w:val="nil"/>
                    <w:tr2bl w:val="nil"/>
                  </w:tcBorders>
                  <w:vAlign w:val="center"/>
                </w:tcPr>
                <w:p w14:paraId="0775262B">
                  <w:pPr>
                    <w:keepNext w:val="0"/>
                    <w:keepLines w:val="0"/>
                    <w:suppressLineNumbers w:val="0"/>
                    <w:adjustRightInd w:val="0"/>
                    <w:snapToGrid w:val="0"/>
                    <w:spacing w:before="0" w:beforeAutospacing="0" w:after="0" w:afterAutospacing="0"/>
                    <w:ind w:left="0" w:leftChars="0" w:right="0" w:rightChars="0"/>
                    <w:jc w:val="center"/>
                    <w:rPr>
                      <w:color w:val="auto"/>
                      <w:sz w:val="21"/>
                      <w:szCs w:val="21"/>
                    </w:rPr>
                  </w:pPr>
                </w:p>
              </w:tc>
              <w:tc>
                <w:tcPr>
                  <w:tcW w:w="613" w:type="pct"/>
                  <w:tcBorders>
                    <w:tl2br w:val="nil"/>
                    <w:tr2bl w:val="nil"/>
                  </w:tcBorders>
                  <w:shd w:val="clear" w:color="auto" w:fill="auto"/>
                  <w:vAlign w:val="center"/>
                </w:tcPr>
                <w:p w14:paraId="4A06C1B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TVOC</w:t>
                  </w:r>
                </w:p>
              </w:tc>
              <w:tc>
                <w:tcPr>
                  <w:tcW w:w="610" w:type="pct"/>
                  <w:tcBorders>
                    <w:tl2br w:val="nil"/>
                    <w:tr2bl w:val="nil"/>
                  </w:tcBorders>
                  <w:shd w:val="clear" w:color="auto" w:fill="auto"/>
                  <w:vAlign w:val="center"/>
                </w:tcPr>
                <w:p w14:paraId="6785CF8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0.0395</w:t>
                  </w:r>
                </w:p>
              </w:tc>
              <w:tc>
                <w:tcPr>
                  <w:tcW w:w="605" w:type="pct"/>
                  <w:tcBorders>
                    <w:tl2br w:val="nil"/>
                    <w:tr2bl w:val="nil"/>
                  </w:tcBorders>
                  <w:shd w:val="clear" w:color="auto" w:fill="auto"/>
                  <w:vAlign w:val="center"/>
                </w:tcPr>
                <w:p w14:paraId="659160A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w:t>
                  </w:r>
                </w:p>
              </w:tc>
              <w:tc>
                <w:tcPr>
                  <w:tcW w:w="605" w:type="pct"/>
                  <w:tcBorders>
                    <w:tl2br w:val="nil"/>
                    <w:tr2bl w:val="nil"/>
                  </w:tcBorders>
                  <w:shd w:val="clear" w:color="auto" w:fill="auto"/>
                  <w:vAlign w:val="center"/>
                </w:tcPr>
                <w:p w14:paraId="75FD982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0.0395</w:t>
                  </w:r>
                </w:p>
              </w:tc>
              <w:tc>
                <w:tcPr>
                  <w:tcW w:w="675" w:type="pct"/>
                  <w:tcBorders>
                    <w:tl2br w:val="nil"/>
                    <w:tr2bl w:val="nil"/>
                  </w:tcBorders>
                  <w:shd w:val="clear" w:color="auto" w:fill="auto"/>
                  <w:vAlign w:val="center"/>
                </w:tcPr>
                <w:p w14:paraId="506B7C7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w:t>
                  </w:r>
                </w:p>
              </w:tc>
              <w:tc>
                <w:tcPr>
                  <w:tcW w:w="648" w:type="pct"/>
                  <w:tcBorders>
                    <w:tl2br w:val="nil"/>
                    <w:tr2bl w:val="nil"/>
                  </w:tcBorders>
                  <w:shd w:val="clear" w:color="auto" w:fill="auto"/>
                  <w:vAlign w:val="center"/>
                </w:tcPr>
                <w:p w14:paraId="1687127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0.0395</w:t>
                  </w:r>
                </w:p>
              </w:tc>
              <w:tc>
                <w:tcPr>
                  <w:tcW w:w="603" w:type="pct"/>
                  <w:tcBorders>
                    <w:tl2br w:val="nil"/>
                    <w:tr2bl w:val="nil"/>
                  </w:tcBorders>
                  <w:shd w:val="clear" w:color="auto" w:fill="auto"/>
                  <w:vAlign w:val="center"/>
                </w:tcPr>
                <w:p w14:paraId="02C0614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0.0395</w:t>
                  </w:r>
                </w:p>
              </w:tc>
            </w:tr>
            <w:tr w14:paraId="57BB1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restart"/>
                  <w:tcBorders>
                    <w:tl2br w:val="nil"/>
                    <w:tr2bl w:val="nil"/>
                  </w:tcBorders>
                  <w:vAlign w:val="center"/>
                </w:tcPr>
                <w:p w14:paraId="691829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固废</w:t>
                  </w:r>
                </w:p>
              </w:tc>
              <w:tc>
                <w:tcPr>
                  <w:tcW w:w="613" w:type="pct"/>
                  <w:tcBorders>
                    <w:tl2br w:val="nil"/>
                    <w:tr2bl w:val="nil"/>
                  </w:tcBorders>
                  <w:vAlign w:val="center"/>
                </w:tcPr>
                <w:p w14:paraId="5EFA90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危险固废</w:t>
                  </w:r>
                </w:p>
              </w:tc>
              <w:tc>
                <w:tcPr>
                  <w:tcW w:w="610" w:type="pct"/>
                  <w:tcBorders>
                    <w:tl2br w:val="nil"/>
                    <w:tr2bl w:val="nil"/>
                  </w:tcBorders>
                  <w:shd w:val="clear" w:color="auto" w:fill="auto"/>
                  <w:vAlign w:val="center"/>
                </w:tcPr>
                <w:p w14:paraId="1F606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15.71</w:t>
                  </w:r>
                </w:p>
              </w:tc>
              <w:tc>
                <w:tcPr>
                  <w:tcW w:w="605" w:type="pct"/>
                  <w:tcBorders>
                    <w:tl2br w:val="nil"/>
                    <w:tr2bl w:val="nil"/>
                  </w:tcBorders>
                  <w:shd w:val="clear" w:color="auto" w:fill="auto"/>
                  <w:vAlign w:val="center"/>
                </w:tcPr>
                <w:p w14:paraId="76945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15.71</w:t>
                  </w:r>
                </w:p>
              </w:tc>
              <w:tc>
                <w:tcPr>
                  <w:tcW w:w="605" w:type="pct"/>
                  <w:tcBorders>
                    <w:tl2br w:val="nil"/>
                    <w:tr2bl w:val="nil"/>
                  </w:tcBorders>
                  <w:vAlign w:val="center"/>
                </w:tcPr>
                <w:p w14:paraId="65B847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c>
                <w:tcPr>
                  <w:tcW w:w="675" w:type="pct"/>
                  <w:tcBorders>
                    <w:tl2br w:val="nil"/>
                    <w:tr2bl w:val="nil"/>
                  </w:tcBorders>
                  <w:vAlign w:val="center"/>
                </w:tcPr>
                <w:p w14:paraId="79852E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c>
                <w:tcPr>
                  <w:tcW w:w="648" w:type="pct"/>
                  <w:tcBorders>
                    <w:tl2br w:val="nil"/>
                    <w:tr2bl w:val="nil"/>
                  </w:tcBorders>
                  <w:vAlign w:val="center"/>
                </w:tcPr>
                <w:p w14:paraId="2A3311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c>
                <w:tcPr>
                  <w:tcW w:w="603" w:type="pct"/>
                  <w:tcBorders>
                    <w:tl2br w:val="nil"/>
                    <w:tr2bl w:val="nil"/>
                  </w:tcBorders>
                  <w:vAlign w:val="center"/>
                </w:tcPr>
                <w:p w14:paraId="17E281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r>
            <w:tr w14:paraId="21651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45CE0B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p>
              </w:tc>
              <w:tc>
                <w:tcPr>
                  <w:tcW w:w="613" w:type="pct"/>
                  <w:tcBorders>
                    <w:tl2br w:val="nil"/>
                    <w:tr2bl w:val="nil"/>
                  </w:tcBorders>
                  <w:vAlign w:val="center"/>
                </w:tcPr>
                <w:p w14:paraId="2D2449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一般固废</w:t>
                  </w:r>
                </w:p>
              </w:tc>
              <w:tc>
                <w:tcPr>
                  <w:tcW w:w="610" w:type="pct"/>
                  <w:tcBorders>
                    <w:tl2br w:val="nil"/>
                    <w:tr2bl w:val="nil"/>
                  </w:tcBorders>
                  <w:shd w:val="clear" w:color="auto" w:fill="auto"/>
                  <w:vAlign w:val="center"/>
                </w:tcPr>
                <w:p w14:paraId="6F882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val="0"/>
                      <w:color w:val="auto"/>
                      <w:spacing w:val="0"/>
                      <w:kern w:val="0"/>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5.05</w:t>
                  </w:r>
                </w:p>
              </w:tc>
              <w:tc>
                <w:tcPr>
                  <w:tcW w:w="605" w:type="pct"/>
                  <w:tcBorders>
                    <w:tl2br w:val="nil"/>
                    <w:tr2bl w:val="nil"/>
                  </w:tcBorders>
                  <w:shd w:val="clear" w:color="auto" w:fill="auto"/>
                  <w:vAlign w:val="center"/>
                </w:tcPr>
                <w:p w14:paraId="4ADCD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0"/>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5.05</w:t>
                  </w:r>
                </w:p>
              </w:tc>
              <w:tc>
                <w:tcPr>
                  <w:tcW w:w="605" w:type="pct"/>
                  <w:tcBorders>
                    <w:tl2br w:val="nil"/>
                    <w:tr2bl w:val="nil"/>
                  </w:tcBorders>
                  <w:vAlign w:val="center"/>
                </w:tcPr>
                <w:p w14:paraId="3B79AA5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c>
                <w:tcPr>
                  <w:tcW w:w="675" w:type="pct"/>
                  <w:tcBorders>
                    <w:tl2br w:val="nil"/>
                    <w:tr2bl w:val="nil"/>
                  </w:tcBorders>
                  <w:vAlign w:val="center"/>
                </w:tcPr>
                <w:p w14:paraId="68563E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c>
                <w:tcPr>
                  <w:tcW w:w="648" w:type="pct"/>
                  <w:tcBorders>
                    <w:tl2br w:val="nil"/>
                    <w:tr2bl w:val="nil"/>
                  </w:tcBorders>
                  <w:vAlign w:val="center"/>
                </w:tcPr>
                <w:p w14:paraId="5501F8B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c>
                <w:tcPr>
                  <w:tcW w:w="603" w:type="pct"/>
                  <w:tcBorders>
                    <w:tl2br w:val="nil"/>
                    <w:tr2bl w:val="nil"/>
                  </w:tcBorders>
                  <w:vAlign w:val="center"/>
                </w:tcPr>
                <w:p w14:paraId="1264BC9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r>
            <w:tr w14:paraId="0B33B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8" w:type="pct"/>
                  <w:gridSpan w:val="2"/>
                  <w:vMerge w:val="continue"/>
                  <w:tcBorders>
                    <w:tl2br w:val="nil"/>
                    <w:tr2bl w:val="nil"/>
                  </w:tcBorders>
                  <w:vAlign w:val="center"/>
                </w:tcPr>
                <w:p w14:paraId="2E6FB97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p>
              </w:tc>
              <w:tc>
                <w:tcPr>
                  <w:tcW w:w="613" w:type="pct"/>
                  <w:tcBorders>
                    <w:tl2br w:val="nil"/>
                    <w:tr2bl w:val="nil"/>
                  </w:tcBorders>
                  <w:vAlign w:val="center"/>
                </w:tcPr>
                <w:p w14:paraId="6FC187D5">
                  <w:pPr>
                    <w:keepNext w:val="0"/>
                    <w:keepLines w:val="0"/>
                    <w:suppressLineNumbers w:val="0"/>
                    <w:spacing w:before="0" w:beforeAutospacing="0" w:after="0" w:afterAutospacing="0"/>
                    <w:ind w:left="-105" w:leftChars="-50" w:right="-105" w:rightChars="-5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生活垃圾</w:t>
                  </w:r>
                </w:p>
              </w:tc>
              <w:tc>
                <w:tcPr>
                  <w:tcW w:w="610" w:type="pct"/>
                  <w:tcBorders>
                    <w:tl2br w:val="nil"/>
                    <w:tr2bl w:val="nil"/>
                  </w:tcBorders>
                  <w:shd w:val="clear" w:color="auto" w:fill="auto"/>
                  <w:vAlign w:val="center"/>
                </w:tcPr>
                <w:p w14:paraId="6849AA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0"/>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0"/>
                      <w:sz w:val="21"/>
                      <w:szCs w:val="21"/>
                      <w:highlight w:val="none"/>
                      <w:shd w:val="clear" w:color="auto" w:fill="auto"/>
                      <w:lang w:val="en-US" w:eastAsia="zh-CN"/>
                    </w:rPr>
                    <w:t>3</w:t>
                  </w:r>
                </w:p>
              </w:tc>
              <w:tc>
                <w:tcPr>
                  <w:tcW w:w="605" w:type="pct"/>
                  <w:tcBorders>
                    <w:tl2br w:val="nil"/>
                    <w:tr2bl w:val="nil"/>
                  </w:tcBorders>
                  <w:shd w:val="clear" w:color="auto" w:fill="auto"/>
                  <w:vAlign w:val="center"/>
                </w:tcPr>
                <w:p w14:paraId="238ADC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0"/>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0"/>
                      <w:sz w:val="21"/>
                      <w:szCs w:val="21"/>
                      <w:highlight w:val="none"/>
                      <w:shd w:val="clear" w:color="auto" w:fill="auto"/>
                      <w:lang w:val="en-US" w:eastAsia="zh-CN"/>
                    </w:rPr>
                    <w:t>3</w:t>
                  </w:r>
                </w:p>
              </w:tc>
              <w:tc>
                <w:tcPr>
                  <w:tcW w:w="605" w:type="pct"/>
                  <w:tcBorders>
                    <w:tl2br w:val="nil"/>
                    <w:tr2bl w:val="nil"/>
                  </w:tcBorders>
                  <w:vAlign w:val="center"/>
                </w:tcPr>
                <w:p w14:paraId="43B774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c>
                <w:tcPr>
                  <w:tcW w:w="675" w:type="pct"/>
                  <w:tcBorders>
                    <w:tl2br w:val="nil"/>
                    <w:tr2bl w:val="nil"/>
                  </w:tcBorders>
                  <w:vAlign w:val="center"/>
                </w:tcPr>
                <w:p w14:paraId="66F5CB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c>
                <w:tcPr>
                  <w:tcW w:w="648" w:type="pct"/>
                  <w:tcBorders>
                    <w:tl2br w:val="nil"/>
                    <w:tr2bl w:val="nil"/>
                  </w:tcBorders>
                  <w:vAlign w:val="center"/>
                </w:tcPr>
                <w:p w14:paraId="561D7C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c>
                <w:tcPr>
                  <w:tcW w:w="603" w:type="pct"/>
                  <w:tcBorders>
                    <w:tl2br w:val="nil"/>
                    <w:tr2bl w:val="nil"/>
                  </w:tcBorders>
                  <w:vAlign w:val="center"/>
                </w:tcPr>
                <w:p w14:paraId="53508D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0</w:t>
                  </w:r>
                </w:p>
              </w:tc>
            </w:tr>
          </w:tbl>
          <w:p w14:paraId="54445DF4">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lang w:val="en-US" w:eastAsia="zh-CN"/>
              </w:rPr>
              <w:t>3</w:t>
            </w:r>
            <w:r>
              <w:rPr>
                <w:rFonts w:hint="default" w:ascii="Times New Roman" w:hAnsi="Times New Roman" w:eastAsia="宋体" w:cs="Times New Roman"/>
                <w:b/>
                <w:color w:val="auto"/>
                <w:sz w:val="24"/>
                <w:highlight w:val="none"/>
                <w:shd w:val="clear" w:color="auto" w:fill="auto"/>
              </w:rPr>
              <w:t>、总量平衡方案</w:t>
            </w:r>
          </w:p>
          <w:p w14:paraId="2A42EEB8">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lang w:val="en-US" w:eastAsia="zh-CN"/>
              </w:rPr>
              <w:t>（1）大气污染物</w:t>
            </w:r>
          </w:p>
          <w:p w14:paraId="5951919D">
            <w:pPr>
              <w:spacing w:line="360" w:lineRule="auto"/>
              <w:ind w:firstLine="480" w:firstLineChars="200"/>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本项目大气污染物总量控制因子为非甲烷总烃。非甲烷总烃排放量</w:t>
            </w:r>
            <w:r>
              <w:rPr>
                <w:rFonts w:hint="eastAsia" w:ascii="Times New Roman" w:hAnsi="Times New Roman" w:eastAsia="宋体" w:cs="Times New Roman"/>
                <w:color w:val="auto"/>
                <w:sz w:val="24"/>
                <w:szCs w:val="24"/>
                <w:highlight w:val="none"/>
                <w:shd w:val="clear" w:color="auto" w:fill="auto"/>
                <w:lang w:val="en-US" w:eastAsia="zh-CN"/>
              </w:rPr>
              <w:t>0.1911</w:t>
            </w:r>
            <w:r>
              <w:rPr>
                <w:rFonts w:hint="default" w:ascii="Times New Roman" w:hAnsi="Times New Roman" w:eastAsia="宋体" w:cs="Times New Roman"/>
                <w:color w:val="auto"/>
                <w:sz w:val="24"/>
                <w:szCs w:val="24"/>
                <w:highlight w:val="none"/>
                <w:shd w:val="clear" w:color="auto" w:fill="auto"/>
                <w:lang w:val="en-US" w:eastAsia="zh-CN"/>
              </w:rPr>
              <w:t>t/a，其中有组织排放量为</w:t>
            </w:r>
            <w:r>
              <w:rPr>
                <w:rFonts w:hint="eastAsia" w:ascii="Times New Roman" w:hAnsi="Times New Roman" w:eastAsia="宋体" w:cs="Times New Roman"/>
                <w:color w:val="auto"/>
                <w:sz w:val="24"/>
                <w:szCs w:val="24"/>
                <w:highlight w:val="none"/>
                <w:shd w:val="clear" w:color="auto" w:fill="auto"/>
                <w:lang w:val="en-US" w:eastAsia="zh-CN"/>
              </w:rPr>
              <w:t>0.1118</w:t>
            </w:r>
            <w:r>
              <w:rPr>
                <w:rFonts w:hint="default" w:ascii="Times New Roman" w:hAnsi="Times New Roman" w:eastAsia="宋体" w:cs="Times New Roman"/>
                <w:color w:val="auto"/>
                <w:sz w:val="24"/>
                <w:szCs w:val="24"/>
                <w:highlight w:val="none"/>
                <w:shd w:val="clear" w:color="auto" w:fill="auto"/>
                <w:lang w:val="en-US" w:eastAsia="zh-CN"/>
              </w:rPr>
              <w:t>t/a，无组织排放量为</w:t>
            </w:r>
            <w:r>
              <w:rPr>
                <w:rFonts w:hint="eastAsia" w:ascii="Times New Roman" w:hAnsi="Times New Roman" w:eastAsia="宋体" w:cs="Times New Roman"/>
                <w:color w:val="auto"/>
                <w:sz w:val="24"/>
                <w:szCs w:val="24"/>
                <w:highlight w:val="none"/>
                <w:shd w:val="clear" w:color="auto" w:fill="auto"/>
                <w:lang w:val="en-US" w:eastAsia="zh-CN"/>
              </w:rPr>
              <w:t>0.0793</w:t>
            </w:r>
            <w:r>
              <w:rPr>
                <w:rFonts w:hint="default" w:ascii="Times New Roman" w:hAnsi="Times New Roman" w:eastAsia="宋体" w:cs="Times New Roman"/>
                <w:color w:val="auto"/>
                <w:sz w:val="24"/>
                <w:szCs w:val="24"/>
                <w:highlight w:val="none"/>
                <w:shd w:val="clear" w:color="auto" w:fill="auto"/>
                <w:lang w:val="en-US" w:eastAsia="zh-CN"/>
              </w:rPr>
              <w:t>t/a。</w:t>
            </w:r>
          </w:p>
          <w:p w14:paraId="2F796D72">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lang w:val="en-US" w:eastAsia="zh-CN"/>
              </w:rPr>
              <w:t>（2）水污染物</w:t>
            </w:r>
          </w:p>
          <w:p w14:paraId="6E447311">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lang w:val="en-US" w:eastAsia="zh-CN"/>
              </w:rPr>
              <w:t>本项目生活污水</w:t>
            </w:r>
            <w:r>
              <w:rPr>
                <w:rFonts w:hint="default" w:ascii="Times New Roman" w:hAnsi="Times New Roman" w:eastAsia="宋体" w:cs="Times New Roman"/>
                <w:bCs/>
                <w:color w:val="auto"/>
                <w:sz w:val="24"/>
                <w:highlight w:val="none"/>
                <w:shd w:val="clear" w:color="auto" w:fill="auto"/>
                <w:lang w:val="en-US" w:eastAsia="zh-CN"/>
              </w:rPr>
              <w:t>经市政污水管网接至</w:t>
            </w:r>
            <w:r>
              <w:rPr>
                <w:rFonts w:hint="default" w:ascii="Times New Roman" w:hAnsi="Times New Roman" w:eastAsia="宋体" w:cs="Times New Roman"/>
                <w:color w:val="auto"/>
                <w:sz w:val="24"/>
                <w:highlight w:val="none"/>
                <w:shd w:val="clear" w:color="auto" w:fill="auto"/>
                <w:lang w:val="en-US" w:eastAsia="zh-CN"/>
              </w:rPr>
              <w:t>常州市金坛区第二污水厂集中处理，项目建成后全厂废水排放总量为</w:t>
            </w:r>
            <w:r>
              <w:rPr>
                <w:rFonts w:hint="eastAsia" w:ascii="Times New Roman" w:hAnsi="Times New Roman" w:eastAsia="宋体" w:cs="Times New Roman"/>
                <w:color w:val="auto"/>
                <w:sz w:val="24"/>
                <w:highlight w:val="none"/>
                <w:shd w:val="clear" w:color="auto" w:fill="auto"/>
                <w:lang w:val="en-US" w:eastAsia="zh-CN"/>
              </w:rPr>
              <w:t>4</w:t>
            </w:r>
            <w:r>
              <w:rPr>
                <w:rFonts w:hint="default" w:ascii="Times New Roman" w:hAnsi="Times New Roman" w:eastAsia="宋体" w:cs="Times New Roman"/>
                <w:color w:val="auto"/>
                <w:sz w:val="24"/>
                <w:highlight w:val="none"/>
                <w:shd w:val="clear" w:color="auto" w:fill="auto"/>
                <w:lang w:val="en-US" w:eastAsia="zh-CN"/>
              </w:rPr>
              <w:t>80t/a，水污染物排放总量在常州市金坛区第二污水厂内平衡。</w:t>
            </w:r>
          </w:p>
          <w:p w14:paraId="33B5A2FA">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lang w:val="en-US" w:eastAsia="zh-CN"/>
              </w:rPr>
              <w:t>（3）固体废弃物</w:t>
            </w:r>
          </w:p>
          <w:p w14:paraId="601C8ADF">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lang w:val="en-US" w:eastAsia="zh-CN"/>
              </w:rPr>
              <w:t>本项目固体废弃物全部“零”排放，不会产生二次污染，故不申请总量。</w:t>
            </w:r>
          </w:p>
        </w:tc>
      </w:tr>
    </w:tbl>
    <w:p w14:paraId="045D8452">
      <w:pPr>
        <w:rPr>
          <w:rFonts w:hint="default" w:ascii="Times New Roman" w:hAnsi="Times New Roman" w:eastAsia="宋体" w:cs="Times New Roman"/>
          <w:color w:val="auto"/>
          <w:highlight w:val="none"/>
          <w:shd w:val="clear" w:color="auto" w:fill="auto"/>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5D31DA9">
      <w:pPr>
        <w:pStyle w:val="4"/>
        <w:numPr>
          <w:ilvl w:val="0"/>
          <w:numId w:val="7"/>
        </w:numPr>
        <w:ind w:left="420" w:leftChars="0" w:firstLineChars="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主要环境影响和保护措施</w:t>
      </w:r>
    </w:p>
    <w:tbl>
      <w:tblPr>
        <w:tblStyle w:val="27"/>
        <w:tblW w:w="92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577"/>
      </w:tblGrid>
      <w:tr w14:paraId="3D7CA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629" w:type="dxa"/>
            <w:shd w:val="clear" w:color="auto" w:fill="auto"/>
            <w:noWrap w:val="0"/>
            <w:tcMar>
              <w:left w:w="28" w:type="dxa"/>
              <w:right w:w="28" w:type="dxa"/>
            </w:tcMar>
            <w:vAlign w:val="center"/>
          </w:tcPr>
          <w:p w14:paraId="4529F301">
            <w:pPr>
              <w:pStyle w:val="24"/>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shd w:val="clear" w:color="auto" w:fill="auto"/>
                <w:lang w:val="en-US" w:eastAsia="zh-CN" w:bidi="ar-SA"/>
              </w:rPr>
            </w:pPr>
            <w:r>
              <w:rPr>
                <w:rFonts w:hint="default" w:ascii="Times New Roman" w:hAnsi="Times New Roman" w:eastAsia="宋体" w:cs="Times New Roman"/>
                <w:b/>
                <w:bCs w:val="0"/>
                <w:color w:val="auto"/>
                <w:kern w:val="2"/>
                <w:sz w:val="24"/>
                <w:szCs w:val="22"/>
                <w:highlight w:val="none"/>
                <w:shd w:val="clear" w:color="auto" w:fill="auto"/>
                <w:lang w:val="en-US" w:eastAsia="zh-CN" w:bidi="ar-SA"/>
              </w:rPr>
              <w:t>施工期环境保护措施</w:t>
            </w:r>
          </w:p>
        </w:tc>
        <w:tc>
          <w:tcPr>
            <w:tcW w:w="8577" w:type="dxa"/>
            <w:shd w:val="clear" w:color="auto" w:fill="auto"/>
            <w:noWrap w:val="0"/>
            <w:vAlign w:val="center"/>
          </w:tcPr>
          <w:p w14:paraId="3A2AE5EB">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施工期环境影响简要分析：</w:t>
            </w:r>
          </w:p>
          <w:p w14:paraId="0A217FA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江苏冠龙新材料科技有限公司</w:t>
            </w:r>
            <w:r>
              <w:rPr>
                <w:rFonts w:hint="default" w:ascii="Times New Roman" w:hAnsi="Times New Roman" w:eastAsia="宋体" w:cs="Times New Roman"/>
                <w:color w:val="auto"/>
                <w:sz w:val="24"/>
              </w:rPr>
              <w:t>租赁</w:t>
            </w:r>
            <w:r>
              <w:rPr>
                <w:rFonts w:hint="eastAsia" w:ascii="Times New Roman" w:hAnsi="Times New Roman" w:eastAsia="宋体" w:cs="Times New Roman"/>
                <w:color w:val="auto"/>
                <w:sz w:val="24"/>
                <w:lang w:eastAsia="zh-CN"/>
              </w:rPr>
              <w:t>江苏高高制衣有限公司</w:t>
            </w:r>
            <w:r>
              <w:rPr>
                <w:rFonts w:hint="default" w:ascii="Times New Roman" w:hAnsi="Times New Roman" w:eastAsia="宋体" w:cs="Times New Roman"/>
                <w:color w:val="auto"/>
                <w:sz w:val="24"/>
              </w:rPr>
              <w:t>位于江苏省常州市金坛区晨风路188号的现有空置厂房车间四，</w:t>
            </w:r>
            <w:r>
              <w:rPr>
                <w:rFonts w:hint="eastAsia" w:ascii="Times New Roman" w:hAnsi="Times New Roman" w:eastAsia="宋体" w:cs="Times New Roman"/>
                <w:color w:val="auto"/>
                <w:sz w:val="24"/>
                <w:lang w:val="en-US" w:eastAsia="zh-CN"/>
              </w:rPr>
              <w:t>建筑面积4500m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本项目在该车间内进行生产，施工期主要是在现有的生产车间内</w:t>
            </w:r>
            <w:r>
              <w:rPr>
                <w:rFonts w:hint="eastAsia" w:ascii="Times New Roman" w:hAnsi="Times New Roman" w:eastAsia="宋体" w:cs="Times New Roman"/>
                <w:color w:val="auto"/>
                <w:sz w:val="24"/>
                <w:lang w:val="en-US" w:eastAsia="zh-CN"/>
              </w:rPr>
              <w:t>搭建洁净车间，</w:t>
            </w:r>
            <w:r>
              <w:rPr>
                <w:rFonts w:hint="default" w:ascii="Times New Roman" w:hAnsi="Times New Roman" w:eastAsia="宋体" w:cs="Times New Roman"/>
                <w:color w:val="auto"/>
                <w:sz w:val="24"/>
              </w:rPr>
              <w:t>进行设备的安装和调试，不涉及厂房施工建设。</w:t>
            </w:r>
            <w:r>
              <w:rPr>
                <w:rFonts w:hint="eastAsia" w:ascii="Times New Roman" w:hAnsi="Times New Roman" w:eastAsia="宋体" w:cs="Times New Roman"/>
                <w:color w:val="auto"/>
                <w:sz w:val="24"/>
                <w:lang w:val="en-US" w:eastAsia="zh-CN"/>
              </w:rPr>
              <w:t>同时</w:t>
            </w:r>
            <w:r>
              <w:rPr>
                <w:rFonts w:hint="default"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需新建事故应急池。</w:t>
            </w:r>
            <w:r>
              <w:rPr>
                <w:rFonts w:hint="default" w:ascii="Times New Roman" w:hAnsi="Times New Roman" w:eastAsia="宋体" w:cs="Times New Roman"/>
                <w:color w:val="auto"/>
                <w:sz w:val="24"/>
              </w:rPr>
              <w:t>施工期</w:t>
            </w:r>
            <w:r>
              <w:rPr>
                <w:rFonts w:hint="eastAsia" w:ascii="Times New Roman" w:hAnsi="Times New Roman" w:eastAsia="宋体" w:cs="Times New Roman"/>
                <w:color w:val="auto"/>
                <w:sz w:val="24"/>
                <w:lang w:val="en-US" w:eastAsia="zh-CN"/>
              </w:rPr>
              <w:t>约为3个月</w:t>
            </w:r>
            <w:r>
              <w:rPr>
                <w:rFonts w:hint="default" w:ascii="Times New Roman" w:hAnsi="Times New Roman" w:eastAsia="宋体" w:cs="Times New Roman"/>
                <w:color w:val="auto"/>
                <w:sz w:val="24"/>
              </w:rPr>
              <w:t>。</w:t>
            </w:r>
          </w:p>
          <w:p w14:paraId="4E2E8942">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1、水环境影响分析</w:t>
            </w:r>
          </w:p>
          <w:p w14:paraId="05615A8C">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项目施工期产生的废水主要包括：生产废水和生活废水。</w:t>
            </w:r>
          </w:p>
          <w:p w14:paraId="3BABED71">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生产废水：施工期各种施工机械设备运转的冷却水及洗涤用水和施工现场清洗、建材清洗、混凝土养护等产生的废水，这部分废水含有一定量的油污和泥沙。同时施工期内在进行场地清理，管道架设、机械施工时会产生大量的建筑垃圾和渣土。由于施工场地表面裸露的原因，在工程正常排水或在一定强度的降雨作用下，地表径流将携带大量的污染物（内含油污）和悬浮物进入到附近排水系统或受纳水体中造成对水环境的污染。</w:t>
            </w:r>
          </w:p>
          <w:p w14:paraId="65B76B30">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生活污水：施工期间，施工人员一般居住在现场临时活动房内，施工人员的生活活动将产生生活污水，主要包括洗涤污水和冲厕水等。现场劳动人数可达150人，按照用水定额100L/（人•d）计算，预计排放生活污水12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/d，COD排放量3.6kg/d。</w:t>
            </w:r>
          </w:p>
          <w:p w14:paraId="2EE49DA8">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上述废污水水量不大，但如果不经处理或处理不当，同样会污染环境。所以，施工期废污水不能随意直排。另外，可能发生暴雨冲刷施工裸土和物料堆场，引起表土和物料流失，影响交通，淤积河道。</w:t>
            </w:r>
          </w:p>
          <w:p w14:paraId="2E529BF6">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区域应建有排水明沟，沟口设沉淀池，使废污水经沉淀后统一进入厂区污水管网进金坛第二污水处理厂处理达标后排放。施工过程中产生的泥浆水或含有砂石的工程废水，未经沉淀一律不准排放，沉淀下来的泥浆和固体废物，应与建筑渣土一起处理。同时应尽量减少物料流失、散落和溢流现象。同时对施工人员产生的生活污水也应妥善处理。</w:t>
            </w:r>
          </w:p>
          <w:p w14:paraId="439BF0AD">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2、大气环境影响分析</w:t>
            </w:r>
          </w:p>
          <w:p w14:paraId="5E33A832">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本项目在施工过程中，大气污染物主要有：</w:t>
            </w:r>
          </w:p>
          <w:p w14:paraId="15A1B4E8">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（1）废气</w:t>
            </w:r>
          </w:p>
          <w:p w14:paraId="4B8F2F01">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施工过程中废气主要来源于施工机械、驱动设备（如柴油机等）与运输及施工车辆所排放的废气，此外，还有施工队伍因生活需要使用燃料而排放的废气等。</w:t>
            </w:r>
          </w:p>
          <w:p w14:paraId="2A7B81D0">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（2）粉尘和扬尘</w:t>
            </w:r>
          </w:p>
          <w:p w14:paraId="3E9C300E">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本工程项目在建设过程中，粉尘污染主要来源于：</w:t>
            </w:r>
          </w:p>
          <w:p w14:paraId="6374C72F">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①土方的挖掘、堆放、清运、回填和场地平整等过程产生的粉尘；</w:t>
            </w:r>
          </w:p>
          <w:p w14:paraId="3550D0C5">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②建筑材料，如水泥、白灰、砂子以及土方等在其装卸、运输、堆放等过程中，因风力作用而产生的扬尘污染；</w:t>
            </w:r>
          </w:p>
          <w:p w14:paraId="5CADB547">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③搅拌车辆及运输车辆往来造成地面扬尘；</w:t>
            </w:r>
          </w:p>
          <w:p w14:paraId="6C83E9A4">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④施工垃圾堆放及清运过程中产生扬尘。</w:t>
            </w:r>
          </w:p>
          <w:p w14:paraId="3E1B4592">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上述施工过程中产生的废气、粉尘及扬尘将会造成周围大气环境污染，其中又以粉尘的危害较为严重。</w:t>
            </w:r>
          </w:p>
          <w:p w14:paraId="44E3BFEF">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施工期间产生的粉尘（扬尘）污染主要取决于施工作业方式、材料的堆放及风力等因素，其中受风力因素的影响最大。随着风速的增大，施工扬尘产生的污染程度和超标范围也将随之增强和扩大。</w:t>
            </w:r>
          </w:p>
          <w:p w14:paraId="170EFF0F">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施工期伴随着土方的挖掘、装卸和运输等施工活动，其扬尘将给附近的大气环境带来不利影响。因此必须采取合理可行的控制措施，尽量减轻其污染程度，缩小其影响范围。其主要对策有：</w:t>
            </w:r>
          </w:p>
          <w:p w14:paraId="469829D9">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①对施工现场实行合理化管理，使砂石料统一堆放，水泥应设专门库房堆放，并尽量减少搬运环节，搬运时做到轻举轻放，防止包装袋破裂；</w:t>
            </w:r>
          </w:p>
          <w:p w14:paraId="49465C69">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②开挖时，对作业面和土堆适当喷水，使其保持一定湿度，以减少扬尘量。而且开挖泥土和建筑垃圾要及时运走，以防长期堆放表面干燥起尘被雨水冲刷；</w:t>
            </w:r>
          </w:p>
          <w:p w14:paraId="34284447">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③运输车辆应完好，不应装载过满，并尽量采取遮盖、密闭措施，减少沿途抛洒，并及时清扫散落在路面上的泥土和建筑材料，冲洗轮胎，定时洒水压尘，以减少运输过程中的扬尘；</w:t>
            </w:r>
          </w:p>
          <w:p w14:paraId="5E90A68C">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④首选使用商品混凝土，因需要必须进行现场搅拌砂浆、混凝土时，应尽量做到不洒、不漏、不剩不倒；混凝土搅拌应设置在棚内，搅拌时要有喷雾降尘措施；</w:t>
            </w:r>
          </w:p>
          <w:p w14:paraId="77717D1F">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⑤施工现场要设围栏或部分围栏，减少施工扬尘扩散范围；</w:t>
            </w:r>
          </w:p>
          <w:p w14:paraId="1A01B070">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⑥当风速过大时，应停止施工作业，并对堆存的砂粉等建筑材料采取遮盖措施。</w:t>
            </w:r>
          </w:p>
          <w:p w14:paraId="63C927DF">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另外，在设备调试过程中，不要随意排放各种废气。</w:t>
            </w:r>
          </w:p>
          <w:p w14:paraId="411D28BB">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3、声环境影响分析</w:t>
            </w:r>
          </w:p>
          <w:p w14:paraId="315DFD17">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噪声是施工期间的主要污染因子，施工过程中使用的运输车辆及施工机械设备如打桩机、挖掘机、推土机、混凝土搅拌机、运输车辆等是噪声的产生源。现场施工机械噪声很高，而且实际施工过程中，往往是多种机械同时工作，各种噪声源辐射的相互叠加，噪声值将更高，辐射范围亦更大。本项目施工基本在昼间进行，夜间不施工(少数混凝土须连续浇筑完毕的除外)。主要施工机械设备噪声声级统计见表4-1。</w:t>
            </w:r>
          </w:p>
          <w:p w14:paraId="1B3F9386">
            <w:pPr>
              <w:pStyle w:val="85"/>
              <w:keepNext w:val="0"/>
              <w:keepLines w:val="0"/>
              <w:pageBreakBefore w:val="0"/>
              <w:kinsoku/>
              <w:wordWrap/>
              <w:overflowPunct/>
              <w:topLinePunct w:val="0"/>
              <w:autoSpaceDE/>
              <w:autoSpaceDN/>
              <w:bidi w:val="0"/>
              <w:adjustRightInd/>
              <w:snapToGrid/>
              <w:spacing w:line="480" w:lineRule="exac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表4-1  主要施工机械设备的噪声声级（dB（A））</w:t>
            </w:r>
          </w:p>
          <w:tbl>
            <w:tblPr>
              <w:tblStyle w:val="27"/>
              <w:tblW w:w="839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880"/>
              <w:gridCol w:w="1399"/>
              <w:gridCol w:w="1139"/>
              <w:gridCol w:w="1659"/>
              <w:gridCol w:w="1401"/>
            </w:tblGrid>
            <w:tr w14:paraId="59562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noWrap w:val="0"/>
                  <w:vAlign w:val="center"/>
                </w:tcPr>
                <w:p w14:paraId="351BC4B3">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序号</w:t>
                  </w:r>
                </w:p>
              </w:tc>
              <w:tc>
                <w:tcPr>
                  <w:tcW w:w="1880" w:type="dxa"/>
                  <w:noWrap w:val="0"/>
                  <w:vAlign w:val="center"/>
                </w:tcPr>
                <w:p w14:paraId="11CED1E5">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设备名称</w:t>
                  </w:r>
                </w:p>
              </w:tc>
              <w:tc>
                <w:tcPr>
                  <w:tcW w:w="1399" w:type="dxa"/>
                  <w:noWrap w:val="0"/>
                  <w:vAlign w:val="center"/>
                </w:tcPr>
                <w:p w14:paraId="41470B64">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噪声强度</w:t>
                  </w:r>
                </w:p>
              </w:tc>
              <w:tc>
                <w:tcPr>
                  <w:tcW w:w="1139" w:type="dxa"/>
                  <w:noWrap w:val="0"/>
                  <w:vAlign w:val="center"/>
                </w:tcPr>
                <w:p w14:paraId="11E6F3D8">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序号</w:t>
                  </w:r>
                </w:p>
              </w:tc>
              <w:tc>
                <w:tcPr>
                  <w:tcW w:w="1659" w:type="dxa"/>
                  <w:noWrap w:val="0"/>
                  <w:vAlign w:val="center"/>
                </w:tcPr>
                <w:p w14:paraId="4BE29EC7">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设备名称</w:t>
                  </w:r>
                </w:p>
              </w:tc>
              <w:tc>
                <w:tcPr>
                  <w:tcW w:w="1401" w:type="dxa"/>
                  <w:noWrap w:val="0"/>
                  <w:vAlign w:val="center"/>
                </w:tcPr>
                <w:p w14:paraId="2D21E39D">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噪声强度</w:t>
                  </w:r>
                </w:p>
              </w:tc>
            </w:tr>
            <w:tr w14:paraId="7E4CE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noWrap w:val="0"/>
                  <w:vAlign w:val="center"/>
                </w:tcPr>
                <w:p w14:paraId="77E68E4E">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c>
                <w:tcPr>
                  <w:tcW w:w="1880" w:type="dxa"/>
                  <w:noWrap w:val="0"/>
                  <w:vAlign w:val="center"/>
                </w:tcPr>
                <w:p w14:paraId="5EB3EB9D">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挖掘机</w:t>
                  </w:r>
                </w:p>
              </w:tc>
              <w:tc>
                <w:tcPr>
                  <w:tcW w:w="1399" w:type="dxa"/>
                  <w:noWrap w:val="0"/>
                  <w:vAlign w:val="center"/>
                </w:tcPr>
                <w:p w14:paraId="6803D7BE">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80~90</w:t>
                  </w:r>
                </w:p>
              </w:tc>
              <w:tc>
                <w:tcPr>
                  <w:tcW w:w="1139" w:type="dxa"/>
                  <w:noWrap w:val="0"/>
                  <w:vAlign w:val="center"/>
                </w:tcPr>
                <w:p w14:paraId="7F93F52D">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w:t>
                  </w:r>
                </w:p>
              </w:tc>
              <w:tc>
                <w:tcPr>
                  <w:tcW w:w="1659" w:type="dxa"/>
                  <w:noWrap w:val="0"/>
                  <w:vAlign w:val="center"/>
                </w:tcPr>
                <w:p w14:paraId="7B22AD3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机动翻斗车</w:t>
                  </w:r>
                </w:p>
              </w:tc>
              <w:tc>
                <w:tcPr>
                  <w:tcW w:w="1401" w:type="dxa"/>
                  <w:noWrap w:val="0"/>
                  <w:vAlign w:val="center"/>
                </w:tcPr>
                <w:p w14:paraId="10148D9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85~90</w:t>
                  </w:r>
                </w:p>
              </w:tc>
            </w:tr>
            <w:tr w14:paraId="394EF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noWrap w:val="0"/>
                  <w:vAlign w:val="center"/>
                </w:tcPr>
                <w:p w14:paraId="3A1EF246">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w:t>
                  </w:r>
                </w:p>
              </w:tc>
              <w:tc>
                <w:tcPr>
                  <w:tcW w:w="1880" w:type="dxa"/>
                  <w:noWrap w:val="0"/>
                  <w:vAlign w:val="center"/>
                </w:tcPr>
                <w:p w14:paraId="77BBD05B">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推土机</w:t>
                  </w:r>
                </w:p>
              </w:tc>
              <w:tc>
                <w:tcPr>
                  <w:tcW w:w="1399" w:type="dxa"/>
                  <w:noWrap w:val="0"/>
                  <w:vAlign w:val="center"/>
                </w:tcPr>
                <w:p w14:paraId="08D234F0">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80~90</w:t>
                  </w:r>
                </w:p>
              </w:tc>
              <w:tc>
                <w:tcPr>
                  <w:tcW w:w="1139" w:type="dxa"/>
                  <w:noWrap w:val="0"/>
                  <w:vAlign w:val="center"/>
                </w:tcPr>
                <w:p w14:paraId="71BFBE01">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w:t>
                  </w:r>
                </w:p>
              </w:tc>
              <w:tc>
                <w:tcPr>
                  <w:tcW w:w="1659" w:type="dxa"/>
                  <w:noWrap w:val="0"/>
                  <w:vAlign w:val="center"/>
                </w:tcPr>
                <w:p w14:paraId="2F2C922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自卸汽车</w:t>
                  </w:r>
                </w:p>
              </w:tc>
              <w:tc>
                <w:tcPr>
                  <w:tcW w:w="1401" w:type="dxa"/>
                  <w:noWrap w:val="0"/>
                  <w:vAlign w:val="center"/>
                </w:tcPr>
                <w:p w14:paraId="00F3DB5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85~90</w:t>
                  </w:r>
                </w:p>
              </w:tc>
            </w:tr>
            <w:tr w14:paraId="66970F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noWrap w:val="0"/>
                  <w:vAlign w:val="center"/>
                </w:tcPr>
                <w:p w14:paraId="5E77E633">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p>
              </w:tc>
              <w:tc>
                <w:tcPr>
                  <w:tcW w:w="1880" w:type="dxa"/>
                  <w:noWrap w:val="0"/>
                  <w:vAlign w:val="center"/>
                </w:tcPr>
                <w:p w14:paraId="44B05443">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履带式起重机</w:t>
                  </w:r>
                </w:p>
              </w:tc>
              <w:tc>
                <w:tcPr>
                  <w:tcW w:w="1399" w:type="dxa"/>
                  <w:noWrap w:val="0"/>
                  <w:vAlign w:val="center"/>
                </w:tcPr>
                <w:p w14:paraId="23AB7B2B">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80~85</w:t>
                  </w:r>
                </w:p>
              </w:tc>
              <w:tc>
                <w:tcPr>
                  <w:tcW w:w="1139" w:type="dxa"/>
                  <w:noWrap w:val="0"/>
                  <w:vAlign w:val="center"/>
                </w:tcPr>
                <w:p w14:paraId="53A4DC88">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w:t>
                  </w:r>
                </w:p>
              </w:tc>
              <w:tc>
                <w:tcPr>
                  <w:tcW w:w="1659" w:type="dxa"/>
                  <w:noWrap w:val="0"/>
                  <w:vAlign w:val="center"/>
                </w:tcPr>
                <w:p w14:paraId="138CBCE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柴油打桩机</w:t>
                  </w:r>
                </w:p>
              </w:tc>
              <w:tc>
                <w:tcPr>
                  <w:tcW w:w="1401" w:type="dxa"/>
                  <w:noWrap w:val="0"/>
                  <w:vAlign w:val="center"/>
                </w:tcPr>
                <w:p w14:paraId="3DA91A3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110~115</w:t>
                  </w:r>
                </w:p>
              </w:tc>
            </w:tr>
            <w:tr w14:paraId="3A2F0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noWrap w:val="0"/>
                  <w:vAlign w:val="center"/>
                </w:tcPr>
                <w:p w14:paraId="776A58AF">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w:t>
                  </w:r>
                </w:p>
              </w:tc>
              <w:tc>
                <w:tcPr>
                  <w:tcW w:w="1880" w:type="dxa"/>
                  <w:noWrap w:val="0"/>
                  <w:vAlign w:val="center"/>
                </w:tcPr>
                <w:p w14:paraId="756BD2DB">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汽车式起重机</w:t>
                  </w:r>
                </w:p>
              </w:tc>
              <w:tc>
                <w:tcPr>
                  <w:tcW w:w="1399" w:type="dxa"/>
                  <w:noWrap w:val="0"/>
                  <w:vAlign w:val="center"/>
                </w:tcPr>
                <w:p w14:paraId="1E22034F">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80~85</w:t>
                  </w:r>
                </w:p>
              </w:tc>
              <w:tc>
                <w:tcPr>
                  <w:tcW w:w="1139" w:type="dxa"/>
                  <w:noWrap w:val="0"/>
                  <w:vAlign w:val="center"/>
                </w:tcPr>
                <w:p w14:paraId="1BC547C1">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w:t>
                  </w:r>
                </w:p>
              </w:tc>
              <w:tc>
                <w:tcPr>
                  <w:tcW w:w="1659" w:type="dxa"/>
                  <w:noWrap w:val="0"/>
                  <w:vAlign w:val="center"/>
                </w:tcPr>
                <w:p w14:paraId="03007B2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蛙式打夯机</w:t>
                  </w:r>
                </w:p>
              </w:tc>
              <w:tc>
                <w:tcPr>
                  <w:tcW w:w="1401" w:type="dxa"/>
                  <w:noWrap w:val="0"/>
                  <w:vAlign w:val="center"/>
                </w:tcPr>
                <w:p w14:paraId="30728BB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90~95</w:t>
                  </w:r>
                </w:p>
              </w:tc>
            </w:tr>
            <w:tr w14:paraId="0622C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 w:type="dxa"/>
                  <w:noWrap w:val="0"/>
                  <w:vAlign w:val="center"/>
                </w:tcPr>
                <w:p w14:paraId="1C43F1F3">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p>
              </w:tc>
              <w:tc>
                <w:tcPr>
                  <w:tcW w:w="1880" w:type="dxa"/>
                  <w:noWrap w:val="0"/>
                  <w:vAlign w:val="center"/>
                </w:tcPr>
                <w:p w14:paraId="7D2F47D9">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振捣棒</w:t>
                  </w:r>
                </w:p>
              </w:tc>
              <w:tc>
                <w:tcPr>
                  <w:tcW w:w="1399" w:type="dxa"/>
                  <w:noWrap w:val="0"/>
                  <w:vAlign w:val="center"/>
                </w:tcPr>
                <w:p w14:paraId="3B23D48D">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75~80</w:t>
                  </w:r>
                </w:p>
              </w:tc>
              <w:tc>
                <w:tcPr>
                  <w:tcW w:w="1139" w:type="dxa"/>
                  <w:noWrap w:val="0"/>
                  <w:vAlign w:val="center"/>
                </w:tcPr>
                <w:p w14:paraId="71309DD1">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w:t>
                  </w:r>
                </w:p>
              </w:tc>
              <w:tc>
                <w:tcPr>
                  <w:tcW w:w="1659" w:type="dxa"/>
                  <w:noWrap w:val="0"/>
                  <w:vAlign w:val="center"/>
                </w:tcPr>
                <w:p w14:paraId="252FC53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混凝土搅拌机</w:t>
                  </w:r>
                </w:p>
              </w:tc>
              <w:tc>
                <w:tcPr>
                  <w:tcW w:w="1401" w:type="dxa"/>
                  <w:noWrap w:val="0"/>
                  <w:vAlign w:val="center"/>
                </w:tcPr>
                <w:p w14:paraId="60E7D8A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95~100</w:t>
                  </w:r>
                </w:p>
              </w:tc>
            </w:tr>
          </w:tbl>
          <w:p w14:paraId="3743D8E0">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上表为主要施工机械的噪声源强，在多台机械设备同时作业时，各台设备产生的噪声会产生叠加。根据类比调查，叠加后的噪声增值约3~8dB(A)。</w:t>
            </w:r>
          </w:p>
          <w:p w14:paraId="16D6A825">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按照《环境影响评价技术导则 声环境》附录A，在不能取得声源倍频带声功率级或倍频带声压级，只能获得A声功率级或某点的A声级时，可采用下式作近似计算：</w:t>
            </w:r>
          </w:p>
          <w:p w14:paraId="52B4EF1E">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LA(r)=LA(r0)-A</w:t>
            </w:r>
          </w:p>
          <w:p w14:paraId="2D8C4334">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在不计建筑物阻隔及其它防护措施的条件下，本项目施工机械随距离衰减的情况见表4-2。</w:t>
            </w:r>
          </w:p>
          <w:p w14:paraId="5FE70E99">
            <w:pPr>
              <w:pStyle w:val="85"/>
              <w:keepNext w:val="0"/>
              <w:keepLines w:val="0"/>
              <w:pageBreakBefore w:val="0"/>
              <w:kinsoku/>
              <w:wordWrap/>
              <w:overflowPunct/>
              <w:topLinePunct w:val="0"/>
              <w:autoSpaceDE/>
              <w:autoSpaceDN/>
              <w:bidi w:val="0"/>
              <w:adjustRightInd/>
              <w:snapToGrid/>
              <w:spacing w:line="480" w:lineRule="exact"/>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表4-2  主要施工机械设备的噪声声级（dB（A））</w:t>
            </w:r>
          </w:p>
          <w:tbl>
            <w:tblPr>
              <w:tblStyle w:val="27"/>
              <w:tblW w:w="839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79"/>
              <w:gridCol w:w="780"/>
              <w:gridCol w:w="675"/>
              <w:gridCol w:w="900"/>
              <w:gridCol w:w="735"/>
              <w:gridCol w:w="960"/>
              <w:gridCol w:w="750"/>
              <w:gridCol w:w="960"/>
              <w:gridCol w:w="660"/>
              <w:gridCol w:w="897"/>
            </w:tblGrid>
            <w:tr w14:paraId="7F11E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79" w:type="dxa"/>
                  <w:noWrap w:val="0"/>
                  <w:vAlign w:val="center"/>
                </w:tcPr>
                <w:p w14:paraId="5381568B">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名称</w:t>
                  </w:r>
                </w:p>
              </w:tc>
              <w:tc>
                <w:tcPr>
                  <w:tcW w:w="780" w:type="dxa"/>
                  <w:noWrap w:val="0"/>
                  <w:vAlign w:val="center"/>
                </w:tcPr>
                <w:p w14:paraId="58E8B3A7">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5m</w:t>
                  </w:r>
                </w:p>
              </w:tc>
              <w:tc>
                <w:tcPr>
                  <w:tcW w:w="675" w:type="dxa"/>
                  <w:noWrap w:val="0"/>
                  <w:vAlign w:val="center"/>
                </w:tcPr>
                <w:p w14:paraId="59740025">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10m</w:t>
                  </w:r>
                </w:p>
              </w:tc>
              <w:tc>
                <w:tcPr>
                  <w:tcW w:w="900" w:type="dxa"/>
                  <w:noWrap w:val="0"/>
                  <w:vAlign w:val="center"/>
                </w:tcPr>
                <w:p w14:paraId="1C34C136">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30m</w:t>
                  </w:r>
                </w:p>
              </w:tc>
              <w:tc>
                <w:tcPr>
                  <w:tcW w:w="735" w:type="dxa"/>
                  <w:noWrap w:val="0"/>
                  <w:vAlign w:val="center"/>
                </w:tcPr>
                <w:p w14:paraId="4A0B83E2">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50m</w:t>
                  </w:r>
                </w:p>
              </w:tc>
              <w:tc>
                <w:tcPr>
                  <w:tcW w:w="960" w:type="dxa"/>
                  <w:noWrap w:val="0"/>
                  <w:vAlign w:val="center"/>
                </w:tcPr>
                <w:p w14:paraId="7B4E7308">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60m</w:t>
                  </w:r>
                </w:p>
              </w:tc>
              <w:tc>
                <w:tcPr>
                  <w:tcW w:w="750" w:type="dxa"/>
                  <w:noWrap w:val="0"/>
                  <w:vAlign w:val="center"/>
                </w:tcPr>
                <w:p w14:paraId="5C403BC9">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100m</w:t>
                  </w:r>
                </w:p>
              </w:tc>
              <w:tc>
                <w:tcPr>
                  <w:tcW w:w="960" w:type="dxa"/>
                  <w:noWrap w:val="0"/>
                  <w:vAlign w:val="center"/>
                </w:tcPr>
                <w:p w14:paraId="6A22E2A7">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150m</w:t>
                  </w:r>
                </w:p>
              </w:tc>
              <w:tc>
                <w:tcPr>
                  <w:tcW w:w="660" w:type="dxa"/>
                  <w:noWrap w:val="0"/>
                  <w:vAlign w:val="center"/>
                </w:tcPr>
                <w:p w14:paraId="0310E677">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200m</w:t>
                  </w:r>
                </w:p>
              </w:tc>
              <w:tc>
                <w:tcPr>
                  <w:tcW w:w="897" w:type="dxa"/>
                  <w:noWrap w:val="0"/>
                  <w:vAlign w:val="center"/>
                </w:tcPr>
                <w:p w14:paraId="75A7B10C">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300m</w:t>
                  </w:r>
                </w:p>
              </w:tc>
            </w:tr>
            <w:tr w14:paraId="6CBE6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79" w:type="dxa"/>
                  <w:noWrap w:val="0"/>
                  <w:vAlign w:val="center"/>
                </w:tcPr>
                <w:p w14:paraId="2F49F6ED">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挖掘机</w:t>
                  </w:r>
                </w:p>
              </w:tc>
              <w:tc>
                <w:tcPr>
                  <w:tcW w:w="780" w:type="dxa"/>
                  <w:noWrap w:val="0"/>
                  <w:vAlign w:val="center"/>
                </w:tcPr>
                <w:p w14:paraId="10085F3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66~76</w:t>
                  </w:r>
                </w:p>
              </w:tc>
              <w:tc>
                <w:tcPr>
                  <w:tcW w:w="675" w:type="dxa"/>
                  <w:noWrap w:val="0"/>
                  <w:vAlign w:val="center"/>
                </w:tcPr>
                <w:p w14:paraId="65E7910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60~70</w:t>
                  </w:r>
                </w:p>
              </w:tc>
              <w:tc>
                <w:tcPr>
                  <w:tcW w:w="900" w:type="dxa"/>
                  <w:noWrap w:val="0"/>
                  <w:vAlign w:val="center"/>
                </w:tcPr>
                <w:p w14:paraId="3C57E7E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50.5~60.5</w:t>
                  </w:r>
                </w:p>
              </w:tc>
              <w:tc>
                <w:tcPr>
                  <w:tcW w:w="735" w:type="dxa"/>
                  <w:noWrap w:val="0"/>
                  <w:vAlign w:val="center"/>
                </w:tcPr>
                <w:p w14:paraId="6F4C677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46~56</w:t>
                  </w:r>
                </w:p>
              </w:tc>
              <w:tc>
                <w:tcPr>
                  <w:tcW w:w="960" w:type="dxa"/>
                  <w:noWrap w:val="0"/>
                  <w:vAlign w:val="center"/>
                </w:tcPr>
                <w:p w14:paraId="5395E38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44.4~54.4</w:t>
                  </w:r>
                </w:p>
              </w:tc>
              <w:tc>
                <w:tcPr>
                  <w:tcW w:w="750" w:type="dxa"/>
                  <w:noWrap w:val="0"/>
                  <w:vAlign w:val="center"/>
                </w:tcPr>
                <w:p w14:paraId="16CE038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40~50</w:t>
                  </w:r>
                </w:p>
              </w:tc>
              <w:tc>
                <w:tcPr>
                  <w:tcW w:w="960" w:type="dxa"/>
                  <w:noWrap w:val="0"/>
                  <w:vAlign w:val="center"/>
                </w:tcPr>
                <w:p w14:paraId="4D95E01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36.5~46.5</w:t>
                  </w:r>
                </w:p>
              </w:tc>
              <w:tc>
                <w:tcPr>
                  <w:tcW w:w="660" w:type="dxa"/>
                  <w:noWrap w:val="0"/>
                  <w:vAlign w:val="center"/>
                </w:tcPr>
                <w:p w14:paraId="466CDF6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34~44</w:t>
                  </w:r>
                </w:p>
              </w:tc>
              <w:tc>
                <w:tcPr>
                  <w:tcW w:w="897" w:type="dxa"/>
                  <w:noWrap w:val="0"/>
                  <w:vAlign w:val="center"/>
                </w:tcPr>
                <w:p w14:paraId="5AB1705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30.5~40.5</w:t>
                  </w:r>
                </w:p>
              </w:tc>
            </w:tr>
            <w:tr w14:paraId="6ABD9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79" w:type="dxa"/>
                  <w:noWrap w:val="0"/>
                  <w:vAlign w:val="center"/>
                </w:tcPr>
                <w:p w14:paraId="5973B058">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推土机</w:t>
                  </w:r>
                </w:p>
              </w:tc>
              <w:tc>
                <w:tcPr>
                  <w:tcW w:w="780" w:type="dxa"/>
                  <w:noWrap w:val="0"/>
                  <w:vAlign w:val="center"/>
                </w:tcPr>
                <w:p w14:paraId="5C0F8DE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66~76</w:t>
                  </w:r>
                </w:p>
              </w:tc>
              <w:tc>
                <w:tcPr>
                  <w:tcW w:w="675" w:type="dxa"/>
                  <w:noWrap w:val="0"/>
                  <w:vAlign w:val="center"/>
                </w:tcPr>
                <w:p w14:paraId="204A00B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60~70</w:t>
                  </w:r>
                </w:p>
              </w:tc>
              <w:tc>
                <w:tcPr>
                  <w:tcW w:w="900" w:type="dxa"/>
                  <w:noWrap w:val="0"/>
                  <w:vAlign w:val="center"/>
                </w:tcPr>
                <w:p w14:paraId="0ACD2E9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50.5~60.5</w:t>
                  </w:r>
                </w:p>
              </w:tc>
              <w:tc>
                <w:tcPr>
                  <w:tcW w:w="735" w:type="dxa"/>
                  <w:noWrap w:val="0"/>
                  <w:vAlign w:val="center"/>
                </w:tcPr>
                <w:p w14:paraId="67C5D0A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46~56</w:t>
                  </w:r>
                </w:p>
              </w:tc>
              <w:tc>
                <w:tcPr>
                  <w:tcW w:w="960" w:type="dxa"/>
                  <w:noWrap w:val="0"/>
                  <w:vAlign w:val="center"/>
                </w:tcPr>
                <w:p w14:paraId="1281663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44.4~54.4</w:t>
                  </w:r>
                </w:p>
              </w:tc>
              <w:tc>
                <w:tcPr>
                  <w:tcW w:w="750" w:type="dxa"/>
                  <w:noWrap w:val="0"/>
                  <w:vAlign w:val="center"/>
                </w:tcPr>
                <w:p w14:paraId="53EAD91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40~50</w:t>
                  </w:r>
                </w:p>
              </w:tc>
              <w:tc>
                <w:tcPr>
                  <w:tcW w:w="960" w:type="dxa"/>
                  <w:noWrap w:val="0"/>
                  <w:vAlign w:val="center"/>
                </w:tcPr>
                <w:p w14:paraId="6E87727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36.5~46.5</w:t>
                  </w:r>
                </w:p>
              </w:tc>
              <w:tc>
                <w:tcPr>
                  <w:tcW w:w="660" w:type="dxa"/>
                  <w:noWrap w:val="0"/>
                  <w:vAlign w:val="center"/>
                </w:tcPr>
                <w:p w14:paraId="06B9F7D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34~44</w:t>
                  </w:r>
                </w:p>
              </w:tc>
              <w:tc>
                <w:tcPr>
                  <w:tcW w:w="897" w:type="dxa"/>
                  <w:noWrap w:val="0"/>
                  <w:vAlign w:val="center"/>
                </w:tcPr>
                <w:p w14:paraId="63A89E2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30.5~40.5</w:t>
                  </w:r>
                </w:p>
              </w:tc>
            </w:tr>
            <w:tr w14:paraId="04591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79" w:type="dxa"/>
                  <w:noWrap w:val="0"/>
                  <w:vAlign w:val="center"/>
                </w:tcPr>
                <w:p w14:paraId="03091BE0">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起重机</w:t>
                  </w:r>
                </w:p>
              </w:tc>
              <w:tc>
                <w:tcPr>
                  <w:tcW w:w="780" w:type="dxa"/>
                  <w:noWrap w:val="0"/>
                  <w:vAlign w:val="center"/>
                </w:tcPr>
                <w:p w14:paraId="78C5F3E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66~71</w:t>
                  </w:r>
                </w:p>
              </w:tc>
              <w:tc>
                <w:tcPr>
                  <w:tcW w:w="675" w:type="dxa"/>
                  <w:noWrap w:val="0"/>
                  <w:vAlign w:val="center"/>
                </w:tcPr>
                <w:p w14:paraId="5C53A47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60~65</w:t>
                  </w:r>
                </w:p>
              </w:tc>
              <w:tc>
                <w:tcPr>
                  <w:tcW w:w="900" w:type="dxa"/>
                  <w:noWrap w:val="0"/>
                  <w:vAlign w:val="center"/>
                </w:tcPr>
                <w:p w14:paraId="2086021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50.5~55.5</w:t>
                  </w:r>
                </w:p>
              </w:tc>
              <w:tc>
                <w:tcPr>
                  <w:tcW w:w="735" w:type="dxa"/>
                  <w:noWrap w:val="0"/>
                  <w:vAlign w:val="center"/>
                </w:tcPr>
                <w:p w14:paraId="5D91007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46~51</w:t>
                  </w:r>
                </w:p>
              </w:tc>
              <w:tc>
                <w:tcPr>
                  <w:tcW w:w="960" w:type="dxa"/>
                  <w:noWrap w:val="0"/>
                  <w:vAlign w:val="center"/>
                </w:tcPr>
                <w:p w14:paraId="1711B70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44.4~49.4</w:t>
                  </w:r>
                </w:p>
              </w:tc>
              <w:tc>
                <w:tcPr>
                  <w:tcW w:w="750" w:type="dxa"/>
                  <w:noWrap w:val="0"/>
                  <w:vAlign w:val="center"/>
                </w:tcPr>
                <w:p w14:paraId="3B68984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40~45</w:t>
                  </w:r>
                </w:p>
              </w:tc>
              <w:tc>
                <w:tcPr>
                  <w:tcW w:w="960" w:type="dxa"/>
                  <w:noWrap w:val="0"/>
                  <w:vAlign w:val="center"/>
                </w:tcPr>
                <w:p w14:paraId="4555586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36.5~41.5</w:t>
                  </w:r>
                </w:p>
              </w:tc>
              <w:tc>
                <w:tcPr>
                  <w:tcW w:w="660" w:type="dxa"/>
                  <w:noWrap w:val="0"/>
                  <w:vAlign w:val="center"/>
                </w:tcPr>
                <w:p w14:paraId="5925CB4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34~39</w:t>
                  </w:r>
                </w:p>
              </w:tc>
              <w:tc>
                <w:tcPr>
                  <w:tcW w:w="897" w:type="dxa"/>
                  <w:noWrap w:val="0"/>
                  <w:vAlign w:val="center"/>
                </w:tcPr>
                <w:p w14:paraId="07C0076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30.5~35.5</w:t>
                  </w:r>
                </w:p>
              </w:tc>
            </w:tr>
            <w:tr w14:paraId="58FD9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79" w:type="dxa"/>
                  <w:noWrap w:val="0"/>
                  <w:vAlign w:val="center"/>
                </w:tcPr>
                <w:p w14:paraId="1AAC8287">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振捣棒</w:t>
                  </w:r>
                </w:p>
              </w:tc>
              <w:tc>
                <w:tcPr>
                  <w:tcW w:w="780" w:type="dxa"/>
                  <w:noWrap w:val="0"/>
                  <w:vAlign w:val="center"/>
                </w:tcPr>
                <w:p w14:paraId="29A32CE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61~66</w:t>
                  </w:r>
                </w:p>
              </w:tc>
              <w:tc>
                <w:tcPr>
                  <w:tcW w:w="675" w:type="dxa"/>
                  <w:noWrap w:val="0"/>
                  <w:vAlign w:val="center"/>
                </w:tcPr>
                <w:p w14:paraId="7029F26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55~60</w:t>
                  </w:r>
                </w:p>
              </w:tc>
              <w:tc>
                <w:tcPr>
                  <w:tcW w:w="900" w:type="dxa"/>
                  <w:noWrap w:val="0"/>
                  <w:vAlign w:val="center"/>
                </w:tcPr>
                <w:p w14:paraId="011D3DE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45.5~50.5</w:t>
                  </w:r>
                </w:p>
              </w:tc>
              <w:tc>
                <w:tcPr>
                  <w:tcW w:w="735" w:type="dxa"/>
                  <w:noWrap w:val="0"/>
                  <w:vAlign w:val="center"/>
                </w:tcPr>
                <w:p w14:paraId="7D1A75A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41~46</w:t>
                  </w:r>
                </w:p>
              </w:tc>
              <w:tc>
                <w:tcPr>
                  <w:tcW w:w="960" w:type="dxa"/>
                  <w:noWrap w:val="0"/>
                  <w:vAlign w:val="center"/>
                </w:tcPr>
                <w:p w14:paraId="33E7BA9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39.4~44.4</w:t>
                  </w:r>
                </w:p>
              </w:tc>
              <w:tc>
                <w:tcPr>
                  <w:tcW w:w="750" w:type="dxa"/>
                  <w:noWrap w:val="0"/>
                  <w:vAlign w:val="center"/>
                </w:tcPr>
                <w:p w14:paraId="0239DEF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35~40</w:t>
                  </w:r>
                </w:p>
              </w:tc>
              <w:tc>
                <w:tcPr>
                  <w:tcW w:w="960" w:type="dxa"/>
                  <w:noWrap w:val="0"/>
                  <w:vAlign w:val="center"/>
                </w:tcPr>
                <w:p w14:paraId="3A2CAE6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31.5~36.5</w:t>
                  </w:r>
                </w:p>
              </w:tc>
              <w:tc>
                <w:tcPr>
                  <w:tcW w:w="660" w:type="dxa"/>
                  <w:noWrap w:val="0"/>
                  <w:vAlign w:val="center"/>
                </w:tcPr>
                <w:p w14:paraId="32D33D64">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29~34</w:t>
                  </w:r>
                </w:p>
              </w:tc>
              <w:tc>
                <w:tcPr>
                  <w:tcW w:w="897" w:type="dxa"/>
                  <w:noWrap w:val="0"/>
                  <w:vAlign w:val="center"/>
                </w:tcPr>
                <w:p w14:paraId="2489E20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25.5~30.5</w:t>
                  </w:r>
                </w:p>
              </w:tc>
            </w:tr>
            <w:tr w14:paraId="6CCC1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79" w:type="dxa"/>
                  <w:noWrap w:val="0"/>
                  <w:vAlign w:val="center"/>
                </w:tcPr>
                <w:p w14:paraId="29A03E28">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机动翻斗车</w:t>
                  </w:r>
                </w:p>
              </w:tc>
              <w:tc>
                <w:tcPr>
                  <w:tcW w:w="780" w:type="dxa"/>
                  <w:noWrap w:val="0"/>
                  <w:vAlign w:val="center"/>
                </w:tcPr>
                <w:p w14:paraId="324FF69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71~76</w:t>
                  </w:r>
                </w:p>
              </w:tc>
              <w:tc>
                <w:tcPr>
                  <w:tcW w:w="675" w:type="dxa"/>
                  <w:noWrap w:val="0"/>
                  <w:vAlign w:val="center"/>
                </w:tcPr>
                <w:p w14:paraId="70221B2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65~70</w:t>
                  </w:r>
                </w:p>
              </w:tc>
              <w:tc>
                <w:tcPr>
                  <w:tcW w:w="900" w:type="dxa"/>
                  <w:noWrap w:val="0"/>
                  <w:vAlign w:val="center"/>
                </w:tcPr>
                <w:p w14:paraId="62DD9B2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55.5~60.5</w:t>
                  </w:r>
                </w:p>
              </w:tc>
              <w:tc>
                <w:tcPr>
                  <w:tcW w:w="735" w:type="dxa"/>
                  <w:noWrap w:val="0"/>
                  <w:vAlign w:val="center"/>
                </w:tcPr>
                <w:p w14:paraId="50F344C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51~56</w:t>
                  </w:r>
                </w:p>
              </w:tc>
              <w:tc>
                <w:tcPr>
                  <w:tcW w:w="960" w:type="dxa"/>
                  <w:noWrap w:val="0"/>
                  <w:vAlign w:val="center"/>
                </w:tcPr>
                <w:p w14:paraId="14D7001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49.4~54.4</w:t>
                  </w:r>
                </w:p>
              </w:tc>
              <w:tc>
                <w:tcPr>
                  <w:tcW w:w="750" w:type="dxa"/>
                  <w:noWrap w:val="0"/>
                  <w:vAlign w:val="center"/>
                </w:tcPr>
                <w:p w14:paraId="46C3DD0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45~50</w:t>
                  </w:r>
                </w:p>
              </w:tc>
              <w:tc>
                <w:tcPr>
                  <w:tcW w:w="960" w:type="dxa"/>
                  <w:noWrap w:val="0"/>
                  <w:vAlign w:val="center"/>
                </w:tcPr>
                <w:p w14:paraId="0387290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41.5~46.5</w:t>
                  </w:r>
                </w:p>
              </w:tc>
              <w:tc>
                <w:tcPr>
                  <w:tcW w:w="660" w:type="dxa"/>
                  <w:noWrap w:val="0"/>
                  <w:vAlign w:val="center"/>
                </w:tcPr>
                <w:p w14:paraId="300A0FB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39~44</w:t>
                  </w:r>
                </w:p>
              </w:tc>
              <w:tc>
                <w:tcPr>
                  <w:tcW w:w="897" w:type="dxa"/>
                  <w:noWrap w:val="0"/>
                  <w:vAlign w:val="center"/>
                </w:tcPr>
                <w:p w14:paraId="462EDC6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35.5~40.5</w:t>
                  </w:r>
                </w:p>
              </w:tc>
            </w:tr>
            <w:tr w14:paraId="0A4D7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79" w:type="dxa"/>
                  <w:noWrap w:val="0"/>
                  <w:vAlign w:val="center"/>
                </w:tcPr>
                <w:p w14:paraId="1850A668">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自卸汽车</w:t>
                  </w:r>
                </w:p>
              </w:tc>
              <w:tc>
                <w:tcPr>
                  <w:tcW w:w="780" w:type="dxa"/>
                  <w:noWrap w:val="0"/>
                  <w:vAlign w:val="center"/>
                </w:tcPr>
                <w:p w14:paraId="51A0D0A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71~76</w:t>
                  </w:r>
                </w:p>
              </w:tc>
              <w:tc>
                <w:tcPr>
                  <w:tcW w:w="675" w:type="dxa"/>
                  <w:noWrap w:val="0"/>
                  <w:vAlign w:val="center"/>
                </w:tcPr>
                <w:p w14:paraId="02A0D75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65~70</w:t>
                  </w:r>
                </w:p>
              </w:tc>
              <w:tc>
                <w:tcPr>
                  <w:tcW w:w="900" w:type="dxa"/>
                  <w:noWrap w:val="0"/>
                  <w:vAlign w:val="center"/>
                </w:tcPr>
                <w:p w14:paraId="65E3256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55.5~60.5</w:t>
                  </w:r>
                </w:p>
              </w:tc>
              <w:tc>
                <w:tcPr>
                  <w:tcW w:w="735" w:type="dxa"/>
                  <w:noWrap w:val="0"/>
                  <w:vAlign w:val="center"/>
                </w:tcPr>
                <w:p w14:paraId="1DC5F7A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51~56</w:t>
                  </w:r>
                </w:p>
              </w:tc>
              <w:tc>
                <w:tcPr>
                  <w:tcW w:w="960" w:type="dxa"/>
                  <w:noWrap w:val="0"/>
                  <w:vAlign w:val="center"/>
                </w:tcPr>
                <w:p w14:paraId="7630F59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49.4~54.4</w:t>
                  </w:r>
                </w:p>
              </w:tc>
              <w:tc>
                <w:tcPr>
                  <w:tcW w:w="750" w:type="dxa"/>
                  <w:noWrap w:val="0"/>
                  <w:vAlign w:val="center"/>
                </w:tcPr>
                <w:p w14:paraId="4541CD9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45~50</w:t>
                  </w:r>
                </w:p>
              </w:tc>
              <w:tc>
                <w:tcPr>
                  <w:tcW w:w="960" w:type="dxa"/>
                  <w:noWrap w:val="0"/>
                  <w:vAlign w:val="center"/>
                </w:tcPr>
                <w:p w14:paraId="276C305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41.5~46.5</w:t>
                  </w:r>
                </w:p>
              </w:tc>
              <w:tc>
                <w:tcPr>
                  <w:tcW w:w="660" w:type="dxa"/>
                  <w:noWrap w:val="0"/>
                  <w:vAlign w:val="center"/>
                </w:tcPr>
                <w:p w14:paraId="1D861C4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39~44</w:t>
                  </w:r>
                </w:p>
              </w:tc>
              <w:tc>
                <w:tcPr>
                  <w:tcW w:w="897" w:type="dxa"/>
                  <w:noWrap w:val="0"/>
                  <w:vAlign w:val="center"/>
                </w:tcPr>
                <w:p w14:paraId="7714C6F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35.5~40.5</w:t>
                  </w:r>
                </w:p>
              </w:tc>
            </w:tr>
            <w:tr w14:paraId="7BAD4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79" w:type="dxa"/>
                  <w:noWrap w:val="0"/>
                  <w:vAlign w:val="center"/>
                </w:tcPr>
                <w:p w14:paraId="693E42E6">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打桩机</w:t>
                  </w:r>
                </w:p>
              </w:tc>
              <w:tc>
                <w:tcPr>
                  <w:tcW w:w="780" w:type="dxa"/>
                  <w:noWrap w:val="0"/>
                  <w:vAlign w:val="center"/>
                </w:tcPr>
                <w:p w14:paraId="2C4D28C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96~101</w:t>
                  </w:r>
                </w:p>
              </w:tc>
              <w:tc>
                <w:tcPr>
                  <w:tcW w:w="675" w:type="dxa"/>
                  <w:noWrap w:val="0"/>
                  <w:vAlign w:val="center"/>
                </w:tcPr>
                <w:p w14:paraId="0E03124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90~95</w:t>
                  </w:r>
                </w:p>
              </w:tc>
              <w:tc>
                <w:tcPr>
                  <w:tcW w:w="900" w:type="dxa"/>
                  <w:noWrap w:val="0"/>
                  <w:vAlign w:val="center"/>
                </w:tcPr>
                <w:p w14:paraId="6E6F7F7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80.5~85.5</w:t>
                  </w:r>
                </w:p>
              </w:tc>
              <w:tc>
                <w:tcPr>
                  <w:tcW w:w="735" w:type="dxa"/>
                  <w:noWrap w:val="0"/>
                  <w:vAlign w:val="center"/>
                </w:tcPr>
                <w:p w14:paraId="3BFE577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76~81</w:t>
                  </w:r>
                </w:p>
              </w:tc>
              <w:tc>
                <w:tcPr>
                  <w:tcW w:w="960" w:type="dxa"/>
                  <w:noWrap w:val="0"/>
                  <w:vAlign w:val="center"/>
                </w:tcPr>
                <w:p w14:paraId="7B80A27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74.4~79.4</w:t>
                  </w:r>
                </w:p>
              </w:tc>
              <w:tc>
                <w:tcPr>
                  <w:tcW w:w="750" w:type="dxa"/>
                  <w:noWrap w:val="0"/>
                  <w:vAlign w:val="center"/>
                </w:tcPr>
                <w:p w14:paraId="2833AA4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70~75</w:t>
                  </w:r>
                </w:p>
              </w:tc>
              <w:tc>
                <w:tcPr>
                  <w:tcW w:w="960" w:type="dxa"/>
                  <w:noWrap w:val="0"/>
                  <w:vAlign w:val="center"/>
                </w:tcPr>
                <w:p w14:paraId="02AA6BE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66.5~71.5</w:t>
                  </w:r>
                </w:p>
              </w:tc>
              <w:tc>
                <w:tcPr>
                  <w:tcW w:w="660" w:type="dxa"/>
                  <w:noWrap w:val="0"/>
                  <w:vAlign w:val="center"/>
                </w:tcPr>
                <w:p w14:paraId="602EEA3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64~69</w:t>
                  </w:r>
                </w:p>
              </w:tc>
              <w:tc>
                <w:tcPr>
                  <w:tcW w:w="897" w:type="dxa"/>
                  <w:noWrap w:val="0"/>
                  <w:vAlign w:val="center"/>
                </w:tcPr>
                <w:p w14:paraId="79195DA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60.5~65.5</w:t>
                  </w:r>
                </w:p>
              </w:tc>
            </w:tr>
            <w:tr w14:paraId="76DF8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79" w:type="dxa"/>
                  <w:noWrap w:val="0"/>
                  <w:vAlign w:val="center"/>
                </w:tcPr>
                <w:p w14:paraId="29B809AB">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蛙式打夯机</w:t>
                  </w:r>
                </w:p>
              </w:tc>
              <w:tc>
                <w:tcPr>
                  <w:tcW w:w="780" w:type="dxa"/>
                  <w:noWrap w:val="0"/>
                  <w:vAlign w:val="center"/>
                </w:tcPr>
                <w:p w14:paraId="71CA223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76~81</w:t>
                  </w:r>
                </w:p>
              </w:tc>
              <w:tc>
                <w:tcPr>
                  <w:tcW w:w="675" w:type="dxa"/>
                  <w:noWrap w:val="0"/>
                  <w:vAlign w:val="center"/>
                </w:tcPr>
                <w:p w14:paraId="3CD5674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70~75</w:t>
                  </w:r>
                </w:p>
              </w:tc>
              <w:tc>
                <w:tcPr>
                  <w:tcW w:w="900" w:type="dxa"/>
                  <w:noWrap w:val="0"/>
                  <w:vAlign w:val="center"/>
                </w:tcPr>
                <w:p w14:paraId="2EC5283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60.5~65.5</w:t>
                  </w:r>
                </w:p>
              </w:tc>
              <w:tc>
                <w:tcPr>
                  <w:tcW w:w="735" w:type="dxa"/>
                  <w:noWrap w:val="0"/>
                  <w:vAlign w:val="center"/>
                </w:tcPr>
                <w:p w14:paraId="6D13731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56~61</w:t>
                  </w:r>
                </w:p>
              </w:tc>
              <w:tc>
                <w:tcPr>
                  <w:tcW w:w="960" w:type="dxa"/>
                  <w:noWrap w:val="0"/>
                  <w:vAlign w:val="center"/>
                </w:tcPr>
                <w:p w14:paraId="6EA9D8DF">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54.4~59.4</w:t>
                  </w:r>
                </w:p>
              </w:tc>
              <w:tc>
                <w:tcPr>
                  <w:tcW w:w="750" w:type="dxa"/>
                  <w:noWrap w:val="0"/>
                  <w:vAlign w:val="center"/>
                </w:tcPr>
                <w:p w14:paraId="046BC6C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50~55</w:t>
                  </w:r>
                </w:p>
              </w:tc>
              <w:tc>
                <w:tcPr>
                  <w:tcW w:w="960" w:type="dxa"/>
                  <w:noWrap w:val="0"/>
                  <w:vAlign w:val="center"/>
                </w:tcPr>
                <w:p w14:paraId="0D5822C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46.5~51.5</w:t>
                  </w:r>
                </w:p>
              </w:tc>
              <w:tc>
                <w:tcPr>
                  <w:tcW w:w="660" w:type="dxa"/>
                  <w:noWrap w:val="0"/>
                  <w:vAlign w:val="center"/>
                </w:tcPr>
                <w:p w14:paraId="6197BA7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44~49</w:t>
                  </w:r>
                </w:p>
              </w:tc>
              <w:tc>
                <w:tcPr>
                  <w:tcW w:w="897" w:type="dxa"/>
                  <w:noWrap w:val="0"/>
                  <w:vAlign w:val="center"/>
                </w:tcPr>
                <w:p w14:paraId="3598B3DB">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40.5~45.5</w:t>
                  </w:r>
                </w:p>
              </w:tc>
            </w:tr>
            <w:tr w14:paraId="7200F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79" w:type="dxa"/>
                  <w:noWrap w:val="0"/>
                  <w:vAlign w:val="center"/>
                </w:tcPr>
                <w:p w14:paraId="71865A5E">
                  <w:pPr>
                    <w:pStyle w:val="79"/>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搅拌机</w:t>
                  </w:r>
                </w:p>
              </w:tc>
              <w:tc>
                <w:tcPr>
                  <w:tcW w:w="780" w:type="dxa"/>
                  <w:noWrap w:val="0"/>
                  <w:vAlign w:val="center"/>
                </w:tcPr>
                <w:p w14:paraId="0882D98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81~86</w:t>
                  </w:r>
                </w:p>
              </w:tc>
              <w:tc>
                <w:tcPr>
                  <w:tcW w:w="675" w:type="dxa"/>
                  <w:noWrap w:val="0"/>
                  <w:vAlign w:val="center"/>
                </w:tcPr>
                <w:p w14:paraId="2F0FD737">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75~80</w:t>
                  </w:r>
                </w:p>
              </w:tc>
              <w:tc>
                <w:tcPr>
                  <w:tcW w:w="900" w:type="dxa"/>
                  <w:noWrap w:val="0"/>
                  <w:vAlign w:val="center"/>
                </w:tcPr>
                <w:p w14:paraId="6DE3672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65.5~70.5</w:t>
                  </w:r>
                </w:p>
              </w:tc>
              <w:tc>
                <w:tcPr>
                  <w:tcW w:w="735" w:type="dxa"/>
                  <w:noWrap w:val="0"/>
                  <w:vAlign w:val="center"/>
                </w:tcPr>
                <w:p w14:paraId="4360DE0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61~66</w:t>
                  </w:r>
                </w:p>
              </w:tc>
              <w:tc>
                <w:tcPr>
                  <w:tcW w:w="960" w:type="dxa"/>
                  <w:noWrap w:val="0"/>
                  <w:vAlign w:val="center"/>
                </w:tcPr>
                <w:p w14:paraId="526E9BF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59.4~64.4</w:t>
                  </w:r>
                </w:p>
              </w:tc>
              <w:tc>
                <w:tcPr>
                  <w:tcW w:w="750" w:type="dxa"/>
                  <w:noWrap w:val="0"/>
                  <w:vAlign w:val="center"/>
                </w:tcPr>
                <w:p w14:paraId="7242866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55~60</w:t>
                  </w:r>
                </w:p>
              </w:tc>
              <w:tc>
                <w:tcPr>
                  <w:tcW w:w="960" w:type="dxa"/>
                  <w:noWrap w:val="0"/>
                  <w:vAlign w:val="center"/>
                </w:tcPr>
                <w:p w14:paraId="56CD6E2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51.5~56.5</w:t>
                  </w:r>
                </w:p>
              </w:tc>
              <w:tc>
                <w:tcPr>
                  <w:tcW w:w="660" w:type="dxa"/>
                  <w:noWrap w:val="0"/>
                  <w:vAlign w:val="center"/>
                </w:tcPr>
                <w:p w14:paraId="663DDAC0">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49~54</w:t>
                  </w:r>
                </w:p>
              </w:tc>
              <w:tc>
                <w:tcPr>
                  <w:tcW w:w="897" w:type="dxa"/>
                  <w:noWrap w:val="0"/>
                  <w:vAlign w:val="center"/>
                </w:tcPr>
                <w:p w14:paraId="0F750FE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45.5~50.5</w:t>
                  </w:r>
                </w:p>
              </w:tc>
            </w:tr>
          </w:tbl>
          <w:p w14:paraId="7ABC9C81">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由表4-2可见，施工噪声在距离施工现场白天50m，夜间200m外即可满足《建筑施工场界环境噪声排放标准》（GB12523-2011）的要求。本项目地处工业集中区，周边50m范围内无声环境保护目标。因此，建设单位在认真落实相应的隔声消音措施后，预计本项目施工噪声对周边环境的影响范围和程度不大。</w:t>
            </w:r>
          </w:p>
          <w:p w14:paraId="766C1382">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设备的选用：施工单位应首先选用低噪声的施工机械设备，或选用作过降噪技术处理和改装的设备，尽量以液压工具代替气压工具，并且注意经常维护和保养，使得施工机械设备保持运转正常，同时要定期检验设备的噪声声级，以便有效地缩小施工期的噪声影响范围。</w:t>
            </w:r>
          </w:p>
          <w:p w14:paraId="4DD2C30F">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施工机械的安置区域：施工机械设备的安置应该尽可能远离居民住宅和敏感区域，在高噪声设备周围设置掩蔽物，以增加噪声的衰减量，减少对周边环境的影响。</w:t>
            </w:r>
          </w:p>
          <w:p w14:paraId="633CFE38">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减少作业噪声：施工单位应该根据施工作业阶段的具体情况，统筹安排好施工时间和动用设备的数量，尽量避免高噪声机械设备集中使用或者几台声功率相同的设备同时、同点作业，以减少作业的噪声声级。</w:t>
            </w:r>
          </w:p>
          <w:p w14:paraId="7F474FC8">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减少施工交通噪声：施工场地应保持通道和道路畅通，控制运输车辆的车速，限制车辆鸣笛，减少交通噪声对周边环境的影响。</w:t>
            </w:r>
          </w:p>
          <w:p w14:paraId="46645205">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时间的要求：加强施工管理，合理安排施工作业时间，禁止夜间进行高噪声施工作业。对于装卸车辆、压路机、打桩机、挖掘机、推土机、混凝土搅拌机、电锯、起重机等高噪声设备应控制施工时间，尽量白天集中使用，打桩机夜间禁止使用，使用时要缩短作业周期，从而减少对周围环境的影响。</w:t>
            </w:r>
          </w:p>
          <w:p w14:paraId="06CCF1EF">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施工时间的安排：施工单位要安排好施工时间，尽量避免夜间施工。夜间要施工时应严格执行申报制度，经过相关主管部门核准后才能施工，并做好有关公示和宣传解释工作。</w:t>
            </w:r>
          </w:p>
          <w:p w14:paraId="23AC03BA">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4、固废影响分析</w:t>
            </w:r>
          </w:p>
          <w:p w14:paraId="769A5BD1">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期间在土地平整过程中会产生大量的建筑垃圾、渣土和固体废物；施工人员产生的生活垃圾以及其它固废若管理不善会造成施工区域环境污染，影响生活卫生质量。建设期现场施工人员产生的生活垃圾，按施工高峰期</w:t>
            </w:r>
            <w:r>
              <w:rPr>
                <w:rFonts w:hint="eastAsia" w:cs="Times New Roman"/>
                <w:color w:val="auto"/>
                <w:kern w:val="0"/>
                <w:sz w:val="24"/>
                <w:szCs w:val="24"/>
                <w:highlight w:val="none"/>
                <w:lang w:val="en-US" w:eastAsia="zh-CN" w:bidi="ar-SA"/>
              </w:rPr>
              <w:t>1</w:t>
            </w:r>
            <w:r>
              <w:rPr>
                <w:rFonts w:hint="default" w:ascii="Times New Roman" w:hAnsi="Times New Roman" w:eastAsia="宋体" w:cs="Times New Roman"/>
                <w:color w:val="auto"/>
                <w:kern w:val="0"/>
                <w:sz w:val="24"/>
                <w:szCs w:val="24"/>
                <w:highlight w:val="none"/>
                <w:lang w:val="en-US" w:eastAsia="zh-CN" w:bidi="ar-SA"/>
              </w:rPr>
              <w:t>0人，每人每天产生1公斤计算，预计排放生活垃圾量约为</w:t>
            </w:r>
            <w:r>
              <w:rPr>
                <w:rFonts w:hint="eastAsia" w:cs="Times New Roman"/>
                <w:color w:val="auto"/>
                <w:kern w:val="0"/>
                <w:sz w:val="24"/>
                <w:szCs w:val="24"/>
                <w:highlight w:val="none"/>
                <w:lang w:val="en-US" w:eastAsia="zh-CN" w:bidi="ar-SA"/>
              </w:rPr>
              <w:t>1</w:t>
            </w:r>
            <w:r>
              <w:rPr>
                <w:rFonts w:hint="default" w:ascii="Times New Roman" w:hAnsi="Times New Roman" w:eastAsia="宋体" w:cs="Times New Roman"/>
                <w:color w:val="auto"/>
                <w:kern w:val="0"/>
                <w:sz w:val="24"/>
                <w:szCs w:val="24"/>
                <w:highlight w:val="none"/>
                <w:lang w:val="en-US" w:eastAsia="zh-CN" w:bidi="ar-SA"/>
              </w:rPr>
              <w:t>0kg/d。</w:t>
            </w:r>
          </w:p>
          <w:p w14:paraId="72C109E6">
            <w:pPr>
              <w:pStyle w:val="76"/>
              <w:keepNext w:val="0"/>
              <w:keepLines w:val="0"/>
              <w:pageBreakBefore w:val="0"/>
              <w:kinsoku/>
              <w:wordWrap/>
              <w:overflowPunct/>
              <w:topLinePunct w:val="0"/>
              <w:autoSpaceDE/>
              <w:autoSpaceDN/>
              <w:bidi w:val="0"/>
              <w:adjustRightInd/>
              <w:snapToGrid/>
              <w:spacing w:line="480" w:lineRule="exact"/>
              <w:ind w:firstLine="42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对建筑垃圾和工程渣土应当严格管理，开挖土方与废弃建筑材料，可以回填的应就地作为回填处理。同时在开工前影响渣土管理部门办理渣土处置计划申报手续。同时配备管理人员，对渣土垃圾的处置进行管理，渣土的运输路线应由渣土管理部门会同公安和交通部门商定。</w:t>
            </w:r>
          </w:p>
          <w:p w14:paraId="2B3FC3F4">
            <w:pPr>
              <w:pStyle w:val="76"/>
              <w:keepNext w:val="0"/>
              <w:keepLines w:val="0"/>
              <w:pageBreakBefore w:val="0"/>
              <w:kinsoku/>
              <w:wordWrap/>
              <w:overflowPunct/>
              <w:topLinePunct w:val="0"/>
              <w:autoSpaceDE/>
              <w:autoSpaceDN/>
              <w:bidi w:val="0"/>
              <w:adjustRightInd/>
              <w:snapToGrid/>
              <w:spacing w:line="480" w:lineRule="exact"/>
              <w:ind w:firstLine="480" w:firstLineChars="200"/>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0"/>
                <w:sz w:val="24"/>
                <w:szCs w:val="24"/>
                <w:highlight w:val="none"/>
                <w:lang w:val="en-US" w:eastAsia="zh-CN" w:bidi="ar-SA"/>
              </w:rPr>
              <w:t>施工单位应加强对施工人员的宣传教育，同时加强对固体废物的管理，建筑垃圾和生活垃圾要分开收集，不准建筑垃圾及渣土混入生活垃圾，生活垃圾由环卫部门统一收集处置，不允许倒入河道或随意抛弃，以免对施工区域及周边环境造成污染。</w:t>
            </w:r>
          </w:p>
        </w:tc>
      </w:tr>
      <w:tr w14:paraId="62550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9" w:type="dxa"/>
            <w:noWrap w:val="0"/>
            <w:tcMar>
              <w:left w:w="28" w:type="dxa"/>
              <w:right w:w="28" w:type="dxa"/>
            </w:tcMar>
            <w:vAlign w:val="center"/>
          </w:tcPr>
          <w:p w14:paraId="71AF62B5">
            <w:pPr>
              <w:adjustRightInd w:val="0"/>
              <w:snapToGrid w:val="0"/>
              <w:jc w:val="center"/>
              <w:rPr>
                <w:rFonts w:hint="default" w:ascii="Times New Roman" w:hAnsi="Times New Roman" w:eastAsia="宋体" w:cs="Times New Roman"/>
                <w:bCs/>
                <w:color w:val="auto"/>
                <w:sz w:val="24"/>
                <w:highlight w:val="none"/>
                <w:shd w:val="clear" w:color="auto" w:fill="auto"/>
              </w:rPr>
            </w:pPr>
            <w:r>
              <w:rPr>
                <w:rFonts w:hint="default" w:ascii="Times New Roman" w:hAnsi="Times New Roman" w:eastAsia="宋体" w:cs="Times New Roman"/>
                <w:b/>
                <w:bCs w:val="0"/>
                <w:color w:val="auto"/>
                <w:sz w:val="24"/>
                <w:highlight w:val="none"/>
                <w:shd w:val="clear" w:color="auto" w:fill="auto"/>
              </w:rPr>
              <w:t>运营期环境影响和保护措施</w:t>
            </w:r>
          </w:p>
        </w:tc>
        <w:tc>
          <w:tcPr>
            <w:tcW w:w="8577" w:type="dxa"/>
            <w:noWrap w:val="0"/>
            <w:vAlign w:val="center"/>
          </w:tcPr>
          <w:p w14:paraId="2C533006">
            <w:pPr>
              <w:keepNext w:val="0"/>
              <w:keepLines w:val="0"/>
              <w:pageBreakBefore w:val="0"/>
              <w:widowControl w:val="0"/>
              <w:kinsoku/>
              <w:wordWrap/>
              <w:overflowPunct/>
              <w:topLinePunct w:val="0"/>
              <w:autoSpaceDE/>
              <w:autoSpaceDN/>
              <w:bidi w:val="0"/>
              <w:adjustRightInd w:val="0"/>
              <w:snapToGrid w:val="0"/>
              <w:spacing w:before="120" w:line="360" w:lineRule="auto"/>
              <w:textAlignment w:val="auto"/>
              <w:rPr>
                <w:rFonts w:hint="default" w:ascii="Times New Roman" w:hAnsi="Times New Roman" w:eastAsia="宋体" w:cs="Times New Roman"/>
                <w:b/>
                <w:color w:val="auto"/>
                <w:sz w:val="24"/>
                <w:highlight w:val="none"/>
                <w:shd w:val="clear" w:color="auto" w:fill="auto"/>
                <w:lang w:val="en-US" w:eastAsia="zh-CN"/>
              </w:rPr>
            </w:pPr>
            <w:r>
              <w:rPr>
                <w:rFonts w:hint="default" w:ascii="Times New Roman" w:hAnsi="Times New Roman" w:eastAsia="宋体" w:cs="Times New Roman"/>
                <w:b/>
                <w:color w:val="auto"/>
                <w:sz w:val="24"/>
                <w:highlight w:val="none"/>
                <w:shd w:val="clear" w:color="auto" w:fill="auto"/>
                <w:lang w:val="en-US" w:eastAsia="zh-CN"/>
              </w:rPr>
              <w:t>一、废气</w:t>
            </w:r>
          </w:p>
          <w:p w14:paraId="4959CE1D">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lang w:val="en-US" w:eastAsia="zh-CN"/>
              </w:rPr>
              <w:t>1.</w:t>
            </w:r>
            <w:r>
              <w:rPr>
                <w:rFonts w:hint="default" w:ascii="Times New Roman" w:hAnsi="Times New Roman" w:eastAsia="宋体" w:cs="Times New Roman"/>
                <w:b/>
                <w:color w:val="auto"/>
                <w:sz w:val="24"/>
                <w:highlight w:val="none"/>
                <w:shd w:val="clear" w:color="auto" w:fill="auto"/>
              </w:rPr>
              <w:t>大气污染物产生情况</w:t>
            </w:r>
          </w:p>
          <w:p w14:paraId="1CE6287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b/>
                <w:bCs/>
                <w:color w:val="auto"/>
                <w:sz w:val="24"/>
                <w:szCs w:val="24"/>
                <w:highlight w:val="none"/>
                <w:shd w:val="clear" w:color="auto" w:fill="auto"/>
                <w:lang w:val="en-US" w:eastAsia="zh-CN"/>
              </w:rPr>
              <w:t>（1）</w:t>
            </w:r>
            <w:r>
              <w:rPr>
                <w:rFonts w:hint="eastAsia" w:ascii="Times New Roman" w:hAnsi="Times New Roman" w:eastAsia="宋体" w:cs="Times New Roman"/>
                <w:b/>
                <w:bCs/>
                <w:color w:val="auto"/>
                <w:sz w:val="24"/>
                <w:szCs w:val="24"/>
                <w:highlight w:val="none"/>
                <w:shd w:val="clear" w:color="auto" w:fill="auto"/>
                <w:lang w:val="en-US" w:eastAsia="zh-CN"/>
              </w:rPr>
              <w:t>有组织</w:t>
            </w:r>
            <w:r>
              <w:rPr>
                <w:rFonts w:hint="default" w:ascii="Times New Roman" w:hAnsi="Times New Roman" w:eastAsia="宋体" w:cs="Times New Roman"/>
                <w:b/>
                <w:bCs/>
                <w:color w:val="auto"/>
                <w:sz w:val="24"/>
                <w:szCs w:val="24"/>
                <w:highlight w:val="none"/>
                <w:shd w:val="clear" w:color="auto" w:fill="auto"/>
              </w:rPr>
              <w:t>废气</w:t>
            </w:r>
          </w:p>
          <w:p w14:paraId="203D8E03">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①</w:t>
            </w:r>
            <w:r>
              <w:rPr>
                <w:rFonts w:hint="eastAsia" w:ascii="Times New Roman" w:hAnsi="Times New Roman" w:eastAsia="宋体" w:cs="Times New Roman"/>
                <w:color w:val="auto"/>
                <w:kern w:val="0"/>
                <w:sz w:val="24"/>
                <w:szCs w:val="24"/>
                <w:highlight w:val="none"/>
                <w:shd w:val="clear" w:color="auto" w:fill="auto"/>
                <w:lang w:val="en-US" w:eastAsia="zh-CN"/>
              </w:rPr>
              <w:t>吹膜</w:t>
            </w:r>
            <w:r>
              <w:rPr>
                <w:rFonts w:hint="default" w:ascii="Times New Roman" w:hAnsi="Times New Roman" w:eastAsia="宋体" w:cs="Times New Roman"/>
                <w:color w:val="auto"/>
                <w:kern w:val="0"/>
                <w:sz w:val="24"/>
                <w:szCs w:val="24"/>
                <w:highlight w:val="none"/>
                <w:shd w:val="clear" w:color="auto" w:fill="auto"/>
                <w:lang w:val="en-US" w:eastAsia="zh-CN"/>
              </w:rPr>
              <w:t>废气</w:t>
            </w:r>
          </w:p>
          <w:p w14:paraId="79F3F4AF">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本项目</w:t>
            </w:r>
            <w:r>
              <w:rPr>
                <w:rFonts w:hint="eastAsia" w:ascii="Times New Roman" w:hAnsi="Times New Roman" w:eastAsia="宋体" w:cs="Times New Roman"/>
                <w:color w:val="auto"/>
                <w:kern w:val="0"/>
                <w:sz w:val="24"/>
                <w:szCs w:val="24"/>
                <w:highlight w:val="none"/>
                <w:shd w:val="clear" w:color="auto" w:fill="auto"/>
                <w:lang w:val="en-US" w:eastAsia="zh-CN"/>
              </w:rPr>
              <w:t>LD</w:t>
            </w:r>
            <w:r>
              <w:rPr>
                <w:rFonts w:hint="default" w:ascii="Times New Roman" w:hAnsi="Times New Roman" w:eastAsia="宋体" w:cs="Times New Roman"/>
                <w:color w:val="auto"/>
                <w:kern w:val="0"/>
                <w:sz w:val="24"/>
                <w:szCs w:val="24"/>
                <w:highlight w:val="none"/>
                <w:shd w:val="clear" w:color="auto" w:fill="auto"/>
                <w:lang w:val="en-US" w:eastAsia="zh-CN"/>
              </w:rPr>
              <w:t>PE塑料粒子加热熔融会产生有机废气，吹膜工序工作温度为1</w:t>
            </w:r>
            <w:r>
              <w:rPr>
                <w:rFonts w:hint="eastAsia" w:ascii="Times New Roman" w:hAnsi="Times New Roman" w:eastAsia="宋体" w:cs="Times New Roman"/>
                <w:color w:val="auto"/>
                <w:kern w:val="0"/>
                <w:sz w:val="24"/>
                <w:szCs w:val="24"/>
                <w:highlight w:val="none"/>
                <w:shd w:val="clear" w:color="auto" w:fill="auto"/>
                <w:lang w:val="en-US" w:eastAsia="zh-CN"/>
              </w:rPr>
              <w:t>7</w:t>
            </w:r>
            <w:r>
              <w:rPr>
                <w:rFonts w:hint="default" w:ascii="Times New Roman" w:hAnsi="Times New Roman" w:eastAsia="宋体" w:cs="Times New Roman"/>
                <w:color w:val="auto"/>
                <w:kern w:val="0"/>
                <w:sz w:val="24"/>
                <w:szCs w:val="24"/>
                <w:highlight w:val="none"/>
                <w:shd w:val="clear" w:color="auto" w:fill="auto"/>
                <w:lang w:val="en-US" w:eastAsia="zh-CN"/>
              </w:rPr>
              <w:t>0°C左右，低于</w:t>
            </w:r>
            <w:r>
              <w:rPr>
                <w:rFonts w:hint="eastAsia" w:ascii="Times New Roman" w:hAnsi="Times New Roman" w:eastAsia="宋体" w:cs="Times New Roman"/>
                <w:color w:val="auto"/>
                <w:kern w:val="0"/>
                <w:sz w:val="24"/>
                <w:szCs w:val="24"/>
                <w:highlight w:val="none"/>
                <w:shd w:val="clear" w:color="auto" w:fill="auto"/>
                <w:lang w:val="en-US" w:eastAsia="zh-CN"/>
              </w:rPr>
              <w:t>LD</w:t>
            </w:r>
            <w:r>
              <w:rPr>
                <w:rFonts w:hint="default" w:ascii="Times New Roman" w:hAnsi="Times New Roman" w:eastAsia="宋体" w:cs="Times New Roman"/>
                <w:color w:val="auto"/>
                <w:kern w:val="0"/>
                <w:sz w:val="24"/>
                <w:szCs w:val="24"/>
                <w:highlight w:val="none"/>
                <w:shd w:val="clear" w:color="auto" w:fill="auto"/>
                <w:lang w:val="en-US" w:eastAsia="zh-CN"/>
              </w:rPr>
              <w:t>PE的分解温度（300°C以上），因此不会产生裂解废气。但在塑料粒子受热转化为熔融态的过程中，可能会释放少量的废气，废气成分较为复杂，主要为塑料颗粒中的微量未聚合的游离单体受热产生的挥发物，以碳氢化合物成分为主，以非甲烷总烃计。本项目吹膜过程产生的有机废气污染源强参考《空气污染物排放和控制手册》（美国国家环保局）中推荐的塑料加工废气排放系数</w:t>
            </w:r>
            <w:r>
              <w:rPr>
                <w:rFonts w:hint="eastAsia" w:ascii="Times New Roman" w:hAnsi="Times New Roman" w:eastAsia="宋体" w:cs="Times New Roman"/>
                <w:color w:val="auto"/>
                <w:kern w:val="0"/>
                <w:sz w:val="24"/>
                <w:szCs w:val="24"/>
                <w:highlight w:val="none"/>
                <w:shd w:val="clear" w:color="auto" w:fill="auto"/>
                <w:lang w:val="en-US" w:eastAsia="zh-CN"/>
              </w:rPr>
              <w:t>（此手册中</w:t>
            </w:r>
            <w:r>
              <w:rPr>
                <w:rFonts w:hint="default" w:ascii="Times New Roman" w:hAnsi="Times New Roman" w:eastAsia="宋体" w:cs="Times New Roman"/>
                <w:color w:val="auto"/>
                <w:kern w:val="0"/>
                <w:sz w:val="24"/>
                <w:szCs w:val="24"/>
                <w:highlight w:val="none"/>
                <w:shd w:val="clear" w:color="auto" w:fill="auto"/>
              </w:rPr>
              <w:t>排放因子标注</w:t>
            </w:r>
            <w:r>
              <w:rPr>
                <w:rFonts w:hint="eastAsia" w:ascii="Times New Roman" w:hAnsi="Times New Roman" w:eastAsia="宋体" w:cs="Times New Roman"/>
                <w:color w:val="auto"/>
                <w:kern w:val="0"/>
                <w:sz w:val="24"/>
                <w:szCs w:val="24"/>
                <w:highlight w:val="none"/>
                <w:shd w:val="clear" w:color="auto" w:fill="auto"/>
                <w:lang w:val="en-US" w:eastAsia="zh-CN"/>
              </w:rPr>
              <w:t>了文献</w:t>
            </w:r>
            <w:r>
              <w:rPr>
                <w:rFonts w:hint="default" w:ascii="Times New Roman" w:hAnsi="Times New Roman" w:eastAsia="宋体" w:cs="Times New Roman"/>
                <w:color w:val="auto"/>
                <w:kern w:val="0"/>
                <w:sz w:val="24"/>
                <w:szCs w:val="24"/>
                <w:highlight w:val="none"/>
                <w:shd w:val="clear" w:color="auto" w:fill="auto"/>
              </w:rPr>
              <w:t>来源，便于环评中追溯和论证</w:t>
            </w:r>
            <w:r>
              <w:rPr>
                <w:rFonts w:hint="eastAsia"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因此参考此手册的排放系数</w:t>
            </w:r>
            <w:r>
              <w:rPr>
                <w:rFonts w:hint="eastAsia"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，有机废气排放系数为0.35kg/t原料，本项目原料用量为</w:t>
            </w:r>
            <w:r>
              <w:rPr>
                <w:rFonts w:hint="eastAsia" w:ascii="Times New Roman" w:hAnsi="Times New Roman" w:eastAsia="宋体" w:cs="Times New Roman"/>
                <w:color w:val="auto"/>
                <w:kern w:val="0"/>
                <w:sz w:val="24"/>
                <w:szCs w:val="24"/>
                <w:highlight w:val="none"/>
                <w:shd w:val="clear" w:color="auto" w:fill="auto"/>
                <w:lang w:val="en-US" w:eastAsia="zh-CN"/>
              </w:rPr>
              <w:t>1000</w:t>
            </w:r>
            <w:r>
              <w:rPr>
                <w:rFonts w:hint="default" w:ascii="Times New Roman" w:hAnsi="Times New Roman" w:eastAsia="宋体" w:cs="Times New Roman"/>
                <w:color w:val="auto"/>
                <w:kern w:val="0"/>
                <w:sz w:val="24"/>
                <w:szCs w:val="24"/>
                <w:highlight w:val="none"/>
                <w:shd w:val="clear" w:color="auto" w:fill="auto"/>
                <w:lang w:val="en-US" w:eastAsia="zh-CN"/>
              </w:rPr>
              <w:t>t/a，则项目吹膜非甲烷总烃产生量约为</w:t>
            </w:r>
            <w:r>
              <w:rPr>
                <w:rFonts w:hint="eastAsia" w:ascii="Times New Roman" w:hAnsi="Times New Roman" w:eastAsia="宋体" w:cs="Times New Roman"/>
                <w:color w:val="auto"/>
                <w:kern w:val="0"/>
                <w:sz w:val="24"/>
                <w:szCs w:val="24"/>
                <w:highlight w:val="none"/>
                <w:shd w:val="clear" w:color="auto" w:fill="auto"/>
                <w:lang w:val="en-US" w:eastAsia="zh-CN"/>
              </w:rPr>
              <w:t>0.3500</w:t>
            </w:r>
            <w:r>
              <w:rPr>
                <w:rFonts w:hint="default" w:ascii="Times New Roman" w:hAnsi="Times New Roman" w:eastAsia="宋体" w:cs="Times New Roman"/>
                <w:color w:val="auto"/>
                <w:kern w:val="0"/>
                <w:sz w:val="24"/>
                <w:szCs w:val="24"/>
                <w:highlight w:val="none"/>
                <w:shd w:val="clear" w:color="auto" w:fill="auto"/>
                <w:lang w:val="en-US" w:eastAsia="zh-CN"/>
              </w:rPr>
              <w:t>t/a。</w:t>
            </w:r>
            <w:r>
              <w:rPr>
                <w:rFonts w:hint="eastAsia" w:ascii="Times New Roman" w:hAnsi="Times New Roman" w:eastAsia="宋体" w:cs="Times New Roman"/>
                <w:color w:val="auto"/>
                <w:kern w:val="0"/>
                <w:sz w:val="24"/>
                <w:szCs w:val="24"/>
                <w:highlight w:val="none"/>
                <w:shd w:val="clear" w:color="auto"/>
                <w:lang w:val="en-US" w:eastAsia="zh-CN" w:bidi="ar-SA"/>
              </w:rPr>
              <w:t>吹膜废气经集气罩收集后</w:t>
            </w:r>
            <w:r>
              <w:rPr>
                <w:rFonts w:hint="default" w:ascii="Times New Roman" w:hAnsi="Times New Roman" w:eastAsia="宋体" w:cs="Times New Roman"/>
                <w:color w:val="auto"/>
                <w:kern w:val="0"/>
                <w:sz w:val="24"/>
                <w:szCs w:val="24"/>
                <w:highlight w:val="none"/>
                <w:shd w:val="clear" w:color="auto"/>
                <w:lang w:val="en-US" w:eastAsia="zh-CN" w:bidi="ar-SA"/>
              </w:rPr>
              <w:t>进入</w:t>
            </w:r>
            <w:r>
              <w:rPr>
                <w:rFonts w:hint="eastAsia" w:ascii="Times New Roman" w:hAnsi="Times New Roman" w:eastAsia="宋体" w:cs="Times New Roman"/>
                <w:color w:val="auto"/>
                <w:kern w:val="0"/>
                <w:sz w:val="24"/>
                <w:szCs w:val="24"/>
                <w:highlight w:val="none"/>
                <w:shd w:val="clear" w:color="auto"/>
                <w:lang w:val="en-US" w:eastAsia="zh-CN" w:bidi="ar-SA"/>
              </w:rPr>
              <w:t>2#二级活性炭</w:t>
            </w:r>
            <w:r>
              <w:rPr>
                <w:rFonts w:hint="default" w:ascii="Times New Roman" w:hAnsi="Times New Roman" w:eastAsia="宋体" w:cs="Times New Roman"/>
                <w:color w:val="auto"/>
                <w:kern w:val="0"/>
                <w:sz w:val="24"/>
                <w:szCs w:val="24"/>
                <w:highlight w:val="none"/>
                <w:shd w:val="clear" w:color="auto"/>
                <w:lang w:val="en-US" w:eastAsia="zh-CN" w:bidi="ar-SA"/>
              </w:rPr>
              <w:t>处理</w:t>
            </w:r>
            <w:r>
              <w:rPr>
                <w:rFonts w:hint="eastAsia" w:ascii="Times New Roman" w:hAnsi="Times New Roman" w:eastAsia="宋体" w:cs="Times New Roman"/>
                <w:color w:val="auto"/>
                <w:kern w:val="0"/>
                <w:sz w:val="24"/>
                <w:szCs w:val="24"/>
                <w:highlight w:val="none"/>
                <w:shd w:val="clear" w:color="auto"/>
                <w:lang w:val="en-US" w:eastAsia="zh-CN" w:bidi="ar-SA"/>
              </w:rPr>
              <w:t>，通过2#</w:t>
            </w:r>
            <w:r>
              <w:rPr>
                <w:rFonts w:hint="default" w:ascii="Times New Roman" w:hAnsi="Times New Roman" w:eastAsia="宋体" w:cs="Times New Roman"/>
                <w:color w:val="auto"/>
                <w:kern w:val="0"/>
                <w:sz w:val="24"/>
                <w:szCs w:val="24"/>
                <w:highlight w:val="none"/>
                <w:shd w:val="clear" w:color="auto"/>
                <w:lang w:val="en-US" w:eastAsia="zh-CN" w:bidi="ar-SA"/>
              </w:rPr>
              <w:t>排气筒排放</w:t>
            </w:r>
            <w:r>
              <w:rPr>
                <w:rFonts w:hint="default" w:ascii="Times New Roman" w:hAnsi="Times New Roman" w:eastAsia="宋体" w:cs="Times New Roman"/>
                <w:color w:val="auto"/>
                <w:kern w:val="0"/>
                <w:sz w:val="24"/>
                <w:szCs w:val="24"/>
                <w:highlight w:val="none"/>
                <w:shd w:val="clear" w:color="auto"/>
                <w:lang w:val="en-US" w:eastAsia="zh-CN"/>
              </w:rPr>
              <w:t>（捕集率为9</w:t>
            </w:r>
            <w:r>
              <w:rPr>
                <w:rFonts w:hint="eastAsia" w:ascii="Times New Roman" w:hAnsi="Times New Roman" w:eastAsia="宋体" w:cs="Times New Roman"/>
                <w:color w:val="auto"/>
                <w:kern w:val="0"/>
                <w:sz w:val="24"/>
                <w:szCs w:val="24"/>
                <w:highlight w:val="none"/>
                <w:shd w:val="clear" w:color="auto"/>
                <w:lang w:val="en-US" w:eastAsia="zh-CN"/>
              </w:rPr>
              <w:t>0</w:t>
            </w:r>
            <w:r>
              <w:rPr>
                <w:rFonts w:hint="default" w:ascii="Times New Roman" w:hAnsi="Times New Roman" w:eastAsia="宋体" w:cs="Times New Roman"/>
                <w:color w:val="auto"/>
                <w:kern w:val="0"/>
                <w:sz w:val="24"/>
                <w:szCs w:val="24"/>
                <w:highlight w:val="none"/>
                <w:shd w:val="clear" w:color="auto"/>
                <w:lang w:val="en-US" w:eastAsia="zh-CN"/>
              </w:rPr>
              <w:t>%，</w:t>
            </w:r>
            <w:r>
              <w:rPr>
                <w:rFonts w:hint="default" w:ascii="Times New Roman" w:hAnsi="Times New Roman" w:eastAsia="宋体" w:cs="Times New Roman"/>
                <w:color w:val="auto"/>
                <w:sz w:val="24"/>
                <w:szCs w:val="24"/>
                <w:highlight w:val="none"/>
                <w:shd w:val="clear" w:color="auto"/>
                <w:lang w:val="en-US" w:eastAsia="zh-CN"/>
              </w:rPr>
              <w:t>去除率为9</w:t>
            </w:r>
            <w:r>
              <w:rPr>
                <w:rFonts w:hint="eastAsia" w:ascii="Times New Roman" w:hAnsi="Times New Roman" w:eastAsia="宋体" w:cs="Times New Roman"/>
                <w:color w:val="auto"/>
                <w:sz w:val="24"/>
                <w:szCs w:val="24"/>
                <w:highlight w:val="none"/>
                <w:shd w:val="clear" w:color="auto"/>
                <w:lang w:val="en-US" w:eastAsia="zh-CN"/>
              </w:rPr>
              <w:t>0</w:t>
            </w:r>
            <w:r>
              <w:rPr>
                <w:rFonts w:hint="default" w:ascii="Times New Roman" w:hAnsi="Times New Roman" w:eastAsia="宋体" w:cs="Times New Roman"/>
                <w:color w:val="auto"/>
                <w:sz w:val="24"/>
                <w:szCs w:val="24"/>
                <w:highlight w:val="none"/>
                <w:shd w:val="clear" w:color="auto"/>
                <w:lang w:val="en-US" w:eastAsia="zh-CN"/>
              </w:rPr>
              <w:t>%</w:t>
            </w:r>
            <w:r>
              <w:rPr>
                <w:rFonts w:hint="default" w:ascii="Times New Roman" w:hAnsi="Times New Roman" w:eastAsia="宋体" w:cs="Times New Roman"/>
                <w:color w:val="auto"/>
                <w:kern w:val="0"/>
                <w:sz w:val="24"/>
                <w:szCs w:val="24"/>
                <w:highlight w:val="none"/>
                <w:shd w:val="clear" w:color="auto"/>
                <w:lang w:val="en-US" w:eastAsia="zh-CN"/>
              </w:rPr>
              <w:t>）</w:t>
            </w:r>
            <w:r>
              <w:rPr>
                <w:rFonts w:hint="default" w:ascii="Times New Roman" w:hAnsi="Times New Roman" w:eastAsia="宋体" w:cs="Times New Roman"/>
                <w:color w:val="auto"/>
                <w:kern w:val="0"/>
                <w:sz w:val="24"/>
                <w:szCs w:val="24"/>
                <w:highlight w:val="none"/>
                <w:shd w:val="clear" w:color="auto"/>
                <w:lang w:val="en-US" w:eastAsia="zh-CN" w:bidi="ar-SA"/>
              </w:rPr>
              <w:t>，则有组织</w:t>
            </w:r>
            <w:r>
              <w:rPr>
                <w:rFonts w:hint="eastAsia" w:ascii="Times New Roman" w:hAnsi="Times New Roman" w:eastAsia="宋体" w:cs="Times New Roman"/>
                <w:color w:val="auto"/>
                <w:kern w:val="0"/>
                <w:sz w:val="24"/>
                <w:szCs w:val="24"/>
                <w:highlight w:val="none"/>
                <w:shd w:val="clear" w:color="auto"/>
                <w:lang w:val="en-US" w:eastAsia="zh-CN" w:bidi="ar-SA"/>
              </w:rPr>
              <w:t>非甲烷总烃</w:t>
            </w:r>
            <w:r>
              <w:rPr>
                <w:rFonts w:hint="default" w:ascii="Times New Roman" w:hAnsi="Times New Roman" w:eastAsia="宋体" w:cs="Times New Roman"/>
                <w:color w:val="auto"/>
                <w:kern w:val="0"/>
                <w:sz w:val="24"/>
                <w:szCs w:val="24"/>
                <w:highlight w:val="none"/>
                <w:shd w:val="clear" w:color="auto"/>
                <w:lang w:val="en-US" w:eastAsia="zh-CN" w:bidi="ar-SA"/>
              </w:rPr>
              <w:t>产生量为0.</w:t>
            </w:r>
            <w:r>
              <w:rPr>
                <w:rFonts w:hint="eastAsia" w:ascii="Times New Roman" w:hAnsi="Times New Roman" w:eastAsia="宋体" w:cs="Times New Roman"/>
                <w:color w:val="auto"/>
                <w:kern w:val="0"/>
                <w:sz w:val="24"/>
                <w:szCs w:val="24"/>
                <w:highlight w:val="none"/>
                <w:shd w:val="clear" w:color="auto"/>
                <w:lang w:val="en-US" w:eastAsia="zh-CN" w:bidi="ar-SA"/>
              </w:rPr>
              <w:t>3150</w:t>
            </w:r>
            <w:r>
              <w:rPr>
                <w:rFonts w:hint="default" w:ascii="Times New Roman" w:hAnsi="Times New Roman" w:eastAsia="宋体" w:cs="Times New Roman"/>
                <w:color w:val="auto"/>
                <w:kern w:val="0"/>
                <w:sz w:val="24"/>
                <w:szCs w:val="24"/>
                <w:highlight w:val="none"/>
                <w:shd w:val="clear" w:color="auto"/>
                <w:lang w:val="en-US" w:eastAsia="zh-CN" w:bidi="ar-SA"/>
              </w:rPr>
              <w:t>t/a，排放量为0.0</w:t>
            </w:r>
            <w:r>
              <w:rPr>
                <w:rFonts w:hint="eastAsia" w:ascii="Times New Roman" w:hAnsi="Times New Roman" w:eastAsia="宋体" w:cs="Times New Roman"/>
                <w:color w:val="auto"/>
                <w:kern w:val="0"/>
                <w:sz w:val="24"/>
                <w:szCs w:val="24"/>
                <w:highlight w:val="none"/>
                <w:shd w:val="clear" w:color="auto"/>
                <w:lang w:val="en-US" w:eastAsia="zh-CN" w:bidi="ar-SA"/>
              </w:rPr>
              <w:t>315</w:t>
            </w:r>
            <w:r>
              <w:rPr>
                <w:rFonts w:hint="default" w:ascii="Times New Roman" w:hAnsi="Times New Roman" w:eastAsia="宋体" w:cs="Times New Roman"/>
                <w:color w:val="auto"/>
                <w:kern w:val="0"/>
                <w:sz w:val="24"/>
                <w:szCs w:val="24"/>
                <w:highlight w:val="none"/>
                <w:shd w:val="clear" w:color="auto"/>
                <w:lang w:val="en-US" w:eastAsia="zh-CN" w:bidi="ar-SA"/>
              </w:rPr>
              <w:t>t/a。</w:t>
            </w:r>
          </w:p>
          <w:p w14:paraId="383C1509">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②</w:t>
            </w:r>
            <w:r>
              <w:rPr>
                <w:rFonts w:hint="eastAsia" w:ascii="Times New Roman" w:hAnsi="Times New Roman" w:eastAsia="宋体" w:cs="Times New Roman"/>
                <w:color w:val="auto"/>
                <w:kern w:val="0"/>
                <w:sz w:val="24"/>
                <w:szCs w:val="24"/>
                <w:highlight w:val="none"/>
                <w:shd w:val="clear" w:color="auto" w:fill="auto"/>
                <w:lang w:val="en-US" w:eastAsia="zh-CN"/>
              </w:rPr>
              <w:t>调墨</w:t>
            </w:r>
            <w:r>
              <w:rPr>
                <w:rFonts w:hint="default" w:ascii="Times New Roman" w:hAnsi="Times New Roman" w:eastAsia="宋体" w:cs="Times New Roman"/>
                <w:color w:val="auto"/>
                <w:kern w:val="0"/>
                <w:sz w:val="24"/>
                <w:szCs w:val="24"/>
                <w:highlight w:val="none"/>
                <w:shd w:val="clear" w:color="auto" w:fill="auto"/>
                <w:lang w:val="en-US" w:eastAsia="zh-CN"/>
              </w:rPr>
              <w:t>废气</w:t>
            </w:r>
            <w:r>
              <w:rPr>
                <w:rFonts w:hint="eastAsia" w:ascii="Times New Roman" w:hAnsi="Times New Roman" w:eastAsia="宋体" w:cs="Times New Roman"/>
                <w:color w:val="auto"/>
                <w:kern w:val="0"/>
                <w:sz w:val="24"/>
                <w:szCs w:val="24"/>
                <w:highlight w:val="none"/>
                <w:shd w:val="clear" w:color="auto" w:fill="auto"/>
                <w:lang w:val="en-US" w:eastAsia="zh-CN"/>
              </w:rPr>
              <w:t>、印刷废气</w:t>
            </w:r>
          </w:p>
          <w:p w14:paraId="63211BCC">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非甲烷总烃：</w:t>
            </w:r>
            <w:r>
              <w:rPr>
                <w:rFonts w:hint="default" w:ascii="Times New Roman" w:hAnsi="Times New Roman" w:eastAsia="宋体" w:cs="Times New Roman"/>
                <w:color w:val="auto"/>
                <w:kern w:val="0"/>
                <w:sz w:val="24"/>
                <w:szCs w:val="24"/>
                <w:highlight w:val="none"/>
                <w:shd w:val="clear" w:color="auto" w:fill="auto"/>
                <w:lang w:val="en-US" w:eastAsia="zh-CN"/>
              </w:rPr>
              <w:t>本项目</w:t>
            </w:r>
            <w:r>
              <w:rPr>
                <w:rFonts w:hint="eastAsia" w:ascii="Times New Roman" w:hAnsi="Times New Roman" w:eastAsia="宋体" w:cs="Times New Roman"/>
                <w:color w:val="auto"/>
                <w:kern w:val="0"/>
                <w:sz w:val="24"/>
                <w:szCs w:val="24"/>
                <w:highlight w:val="none"/>
                <w:shd w:val="clear" w:color="auto" w:fill="auto"/>
                <w:lang w:val="en-US" w:eastAsia="zh-CN"/>
              </w:rPr>
              <w:t>调墨将</w:t>
            </w:r>
            <w:r>
              <w:rPr>
                <w:rFonts w:hint="default" w:ascii="Times New Roman" w:hAnsi="Times New Roman" w:eastAsia="宋体" w:cs="Times New Roman"/>
                <w:color w:val="auto"/>
                <w:kern w:val="0"/>
                <w:sz w:val="24"/>
                <w:szCs w:val="24"/>
                <w:highlight w:val="none"/>
                <w:shd w:val="clear" w:color="auto" w:fill="auto"/>
                <w:lang w:val="en-US" w:eastAsia="zh-CN"/>
              </w:rPr>
              <w:t>油性油墨和</w:t>
            </w:r>
            <w:r>
              <w:rPr>
                <w:rFonts w:hint="eastAsia" w:ascii="Times New Roman" w:hAnsi="Times New Roman" w:eastAsia="宋体" w:cs="Times New Roman"/>
                <w:color w:val="auto"/>
                <w:kern w:val="0"/>
                <w:sz w:val="24"/>
                <w:szCs w:val="24"/>
                <w:highlight w:val="none"/>
                <w:shd w:val="clear" w:color="auto" w:fill="auto"/>
                <w:lang w:val="en-US" w:eastAsia="zh-CN"/>
              </w:rPr>
              <w:t>稀释剂</w:t>
            </w:r>
            <w:r>
              <w:rPr>
                <w:rFonts w:hint="default" w:ascii="Times New Roman" w:hAnsi="Times New Roman" w:eastAsia="宋体" w:cs="Times New Roman"/>
                <w:color w:val="auto"/>
                <w:kern w:val="0"/>
                <w:sz w:val="24"/>
                <w:szCs w:val="24"/>
                <w:highlight w:val="none"/>
                <w:shd w:val="clear" w:color="auto" w:fill="auto"/>
                <w:lang w:val="en-US" w:eastAsia="zh-CN"/>
              </w:rPr>
              <w:t>乙酸乙酯</w:t>
            </w:r>
            <w:r>
              <w:rPr>
                <w:rFonts w:hint="eastAsia" w:ascii="Times New Roman" w:hAnsi="Times New Roman" w:eastAsia="宋体" w:cs="Times New Roman"/>
                <w:color w:val="auto"/>
                <w:kern w:val="0"/>
                <w:sz w:val="24"/>
                <w:szCs w:val="24"/>
                <w:highlight w:val="none"/>
                <w:shd w:val="clear" w:color="auto" w:fill="auto"/>
                <w:lang w:val="en-US" w:eastAsia="zh-CN"/>
              </w:rPr>
              <w:t>1:1混合调配，水</w:t>
            </w:r>
            <w:r>
              <w:rPr>
                <w:rFonts w:hint="default" w:ascii="Times New Roman" w:hAnsi="Times New Roman" w:eastAsia="宋体" w:cs="Times New Roman"/>
                <w:color w:val="auto"/>
                <w:kern w:val="0"/>
                <w:sz w:val="24"/>
                <w:szCs w:val="24"/>
                <w:highlight w:val="none"/>
                <w:shd w:val="clear" w:color="auto" w:fill="auto"/>
                <w:lang w:val="en-US" w:eastAsia="zh-CN"/>
              </w:rPr>
              <w:t>性油墨和</w:t>
            </w:r>
            <w:r>
              <w:rPr>
                <w:rFonts w:hint="eastAsia" w:ascii="Times New Roman" w:hAnsi="Times New Roman" w:eastAsia="宋体" w:cs="Times New Roman"/>
                <w:color w:val="auto"/>
                <w:kern w:val="0"/>
                <w:sz w:val="24"/>
                <w:szCs w:val="24"/>
                <w:highlight w:val="none"/>
                <w:shd w:val="clear" w:color="auto" w:fill="auto"/>
                <w:lang w:val="en-US" w:eastAsia="zh-CN"/>
              </w:rPr>
              <w:t>水5:1混合调配，其中含有</w:t>
            </w:r>
            <w:r>
              <w:rPr>
                <w:rFonts w:hint="default" w:ascii="Times New Roman" w:hAnsi="Times New Roman" w:eastAsia="宋体" w:cs="Times New Roman"/>
                <w:color w:val="auto"/>
                <w:kern w:val="0"/>
                <w:sz w:val="24"/>
                <w:szCs w:val="24"/>
                <w:highlight w:val="none"/>
                <w:shd w:val="clear" w:color="auto" w:fill="auto"/>
                <w:lang w:val="en-US" w:eastAsia="zh-CN"/>
              </w:rPr>
              <w:t>挥发性有机物。根据VOCs检测报告，水性油墨中的挥发性有机物检测含量为</w:t>
            </w:r>
            <w:r>
              <w:rPr>
                <w:rFonts w:hint="eastAsia" w:ascii="Times New Roman" w:hAnsi="Times New Roman" w:eastAsia="宋体" w:cs="Times New Roman"/>
                <w:color w:val="auto"/>
                <w:kern w:val="0"/>
                <w:sz w:val="24"/>
                <w:szCs w:val="24"/>
                <w:highlight w:val="none"/>
                <w:shd w:val="clear" w:color="auto" w:fill="auto"/>
                <w:lang w:val="en-US" w:eastAsia="zh-CN"/>
              </w:rPr>
              <w:t>7.8</w:t>
            </w:r>
            <w:r>
              <w:rPr>
                <w:rFonts w:hint="default" w:ascii="Times New Roman" w:hAnsi="Times New Roman" w:eastAsia="宋体" w:cs="Times New Roman"/>
                <w:color w:val="auto"/>
                <w:kern w:val="0"/>
                <w:sz w:val="24"/>
                <w:szCs w:val="24"/>
                <w:highlight w:val="none"/>
                <w:shd w:val="clear" w:color="auto" w:fill="auto"/>
                <w:lang w:val="en-US" w:eastAsia="zh-CN"/>
              </w:rPr>
              <w:t>%，油性油墨中的挥发性有机物检测含量为</w:t>
            </w:r>
            <w:r>
              <w:rPr>
                <w:rFonts w:hint="eastAsia" w:ascii="Times New Roman" w:hAnsi="Times New Roman" w:eastAsia="宋体" w:cs="Times New Roman"/>
                <w:color w:val="auto"/>
                <w:kern w:val="0"/>
                <w:sz w:val="24"/>
                <w:szCs w:val="24"/>
                <w:highlight w:val="none"/>
                <w:shd w:val="clear" w:color="auto" w:fill="auto"/>
                <w:lang w:val="en-US" w:eastAsia="zh-CN"/>
              </w:rPr>
              <w:t>40</w:t>
            </w:r>
            <w:r>
              <w:rPr>
                <w:rFonts w:hint="default" w:ascii="Times New Roman" w:hAnsi="Times New Roman" w:eastAsia="宋体" w:cs="Times New Roman"/>
                <w:color w:val="auto"/>
                <w:kern w:val="0"/>
                <w:sz w:val="24"/>
                <w:szCs w:val="24"/>
                <w:highlight w:val="none"/>
                <w:shd w:val="clear" w:color="auto" w:fill="auto"/>
                <w:lang w:val="en-US" w:eastAsia="zh-CN"/>
              </w:rPr>
              <w:t>%，乙酸乙酯中的挥发性有机物检测含量为789g/L，</w:t>
            </w:r>
            <w:r>
              <w:rPr>
                <w:rFonts w:hint="eastAsia" w:ascii="Times New Roman" w:hAnsi="Times New Roman" w:eastAsia="宋体" w:cs="Times New Roman"/>
                <w:color w:val="auto"/>
                <w:kern w:val="0"/>
                <w:sz w:val="24"/>
                <w:szCs w:val="24"/>
                <w:highlight w:val="none"/>
                <w:shd w:val="clear" w:color="auto" w:fill="auto"/>
                <w:lang w:val="en-US" w:eastAsia="zh-CN"/>
              </w:rPr>
              <w:t>产生的废气</w:t>
            </w:r>
            <w:r>
              <w:rPr>
                <w:rFonts w:hint="default" w:ascii="Times New Roman" w:hAnsi="Times New Roman" w:eastAsia="宋体" w:cs="Times New Roman"/>
                <w:color w:val="auto"/>
                <w:kern w:val="0"/>
                <w:sz w:val="24"/>
                <w:szCs w:val="24"/>
                <w:highlight w:val="none"/>
                <w:shd w:val="clear" w:color="auto" w:fill="auto"/>
                <w:lang w:val="en-US" w:eastAsia="zh-CN"/>
              </w:rPr>
              <w:t>以非甲烷总烃计。水性油墨的用量为</w:t>
            </w: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lang w:val="en-US" w:eastAsia="zh-CN"/>
              </w:rPr>
              <w:t>t/a，则非甲烷总烃的产生量为</w:t>
            </w:r>
            <w:r>
              <w:rPr>
                <w:rFonts w:hint="eastAsia" w:ascii="Times New Roman" w:hAnsi="Times New Roman" w:eastAsia="宋体" w:cs="Times New Roman"/>
                <w:color w:val="auto"/>
                <w:kern w:val="0"/>
                <w:sz w:val="24"/>
                <w:szCs w:val="24"/>
                <w:highlight w:val="none"/>
                <w:shd w:val="clear" w:color="auto" w:fill="auto"/>
                <w:lang w:val="en-US" w:eastAsia="zh-CN"/>
              </w:rPr>
              <w:t>0.39</w:t>
            </w:r>
            <w:r>
              <w:rPr>
                <w:rFonts w:hint="default" w:ascii="Times New Roman" w:hAnsi="Times New Roman" w:eastAsia="宋体" w:cs="Times New Roman"/>
                <w:color w:val="auto"/>
                <w:kern w:val="0"/>
                <w:sz w:val="24"/>
                <w:szCs w:val="24"/>
                <w:highlight w:val="none"/>
                <w:shd w:val="clear" w:color="auto" w:fill="auto"/>
                <w:lang w:val="en-US" w:eastAsia="zh-CN"/>
              </w:rPr>
              <w:t>t/a；油性油墨的用量为</w:t>
            </w:r>
            <w:r>
              <w:rPr>
                <w:rFonts w:hint="eastAsia" w:ascii="Times New Roman" w:hAnsi="Times New Roman" w:eastAsia="宋体" w:cs="Times New Roman"/>
                <w:color w:val="auto"/>
                <w:kern w:val="0"/>
                <w:sz w:val="24"/>
                <w:szCs w:val="24"/>
                <w:highlight w:val="none"/>
                <w:shd w:val="clear" w:color="auto" w:fill="auto"/>
                <w:lang w:val="en-US" w:eastAsia="zh-CN"/>
              </w:rPr>
              <w:t>0.5</w:t>
            </w:r>
            <w:r>
              <w:rPr>
                <w:rFonts w:hint="default" w:ascii="Times New Roman" w:hAnsi="Times New Roman" w:eastAsia="宋体" w:cs="Times New Roman"/>
                <w:color w:val="auto"/>
                <w:kern w:val="0"/>
                <w:sz w:val="24"/>
                <w:szCs w:val="24"/>
                <w:highlight w:val="none"/>
                <w:shd w:val="clear" w:color="auto" w:fill="auto"/>
                <w:lang w:val="en-US" w:eastAsia="zh-CN"/>
              </w:rPr>
              <w:t>t/a，则非甲烷总烃的产生量为0.</w:t>
            </w:r>
            <w:r>
              <w:rPr>
                <w:rFonts w:hint="eastAsia" w:ascii="Times New Roman" w:hAnsi="Times New Roman" w:eastAsia="宋体" w:cs="Times New Roman"/>
                <w:color w:val="auto"/>
                <w:kern w:val="0"/>
                <w:sz w:val="24"/>
                <w:szCs w:val="24"/>
                <w:highlight w:val="none"/>
                <w:shd w:val="clear" w:color="auto" w:fill="auto"/>
                <w:lang w:val="en-US" w:eastAsia="zh-CN"/>
              </w:rPr>
              <w:t>2</w:t>
            </w:r>
            <w:r>
              <w:rPr>
                <w:rFonts w:hint="default" w:ascii="Times New Roman" w:hAnsi="Times New Roman" w:eastAsia="宋体" w:cs="Times New Roman"/>
                <w:color w:val="auto"/>
                <w:kern w:val="0"/>
                <w:sz w:val="24"/>
                <w:szCs w:val="24"/>
                <w:highlight w:val="none"/>
                <w:shd w:val="clear" w:color="auto" w:fill="auto"/>
                <w:lang w:val="en-US" w:eastAsia="zh-CN"/>
              </w:rPr>
              <w:t>t/a；乙酸乙酯的用量为</w:t>
            </w:r>
            <w:r>
              <w:rPr>
                <w:rFonts w:hint="eastAsia" w:ascii="Times New Roman" w:hAnsi="Times New Roman" w:eastAsia="宋体" w:cs="Times New Roman"/>
                <w:color w:val="auto"/>
                <w:kern w:val="0"/>
                <w:sz w:val="24"/>
                <w:szCs w:val="24"/>
                <w:highlight w:val="none"/>
                <w:shd w:val="clear" w:color="auto" w:fill="auto"/>
                <w:lang w:val="en-US" w:eastAsia="zh-CN"/>
              </w:rPr>
              <w:t>0.5</w:t>
            </w:r>
            <w:r>
              <w:rPr>
                <w:rFonts w:hint="default" w:ascii="Times New Roman" w:hAnsi="Times New Roman" w:eastAsia="宋体" w:cs="Times New Roman"/>
                <w:color w:val="auto"/>
                <w:kern w:val="0"/>
                <w:sz w:val="24"/>
                <w:szCs w:val="24"/>
                <w:highlight w:val="none"/>
                <w:shd w:val="clear" w:color="auto" w:fill="auto"/>
                <w:lang w:val="en-US" w:eastAsia="zh-CN"/>
              </w:rPr>
              <w:t>t/a，密度为3.04g/cm</w:t>
            </w:r>
            <w:r>
              <w:rPr>
                <w:rFonts w:hint="default" w:ascii="Times New Roman" w:hAnsi="Times New Roman" w:eastAsia="宋体" w:cs="Times New Roman"/>
                <w:color w:val="auto"/>
                <w:kern w:val="0"/>
                <w:sz w:val="24"/>
                <w:szCs w:val="24"/>
                <w:highlight w:val="none"/>
                <w:shd w:val="clear" w:color="auto" w:fill="auto"/>
                <w:vertAlign w:val="superscript"/>
                <w:lang w:val="en-US" w:eastAsia="zh-CN"/>
              </w:rPr>
              <w:t>3</w:t>
            </w:r>
            <w:r>
              <w:rPr>
                <w:rFonts w:hint="default" w:ascii="Times New Roman" w:hAnsi="Times New Roman" w:eastAsia="宋体" w:cs="Times New Roman"/>
                <w:color w:val="auto"/>
                <w:kern w:val="0"/>
                <w:sz w:val="24"/>
                <w:szCs w:val="24"/>
                <w:highlight w:val="none"/>
                <w:shd w:val="clear" w:color="auto" w:fill="auto"/>
                <w:lang w:val="en-US" w:eastAsia="zh-CN"/>
              </w:rPr>
              <w:t>，则非甲烷总烃的产生量为0.</w:t>
            </w:r>
            <w:r>
              <w:rPr>
                <w:rFonts w:hint="eastAsia" w:ascii="Times New Roman" w:hAnsi="Times New Roman" w:eastAsia="宋体" w:cs="Times New Roman"/>
                <w:color w:val="auto"/>
                <w:kern w:val="0"/>
                <w:sz w:val="24"/>
                <w:szCs w:val="24"/>
                <w:highlight w:val="none"/>
                <w:shd w:val="clear" w:color="auto" w:fill="auto"/>
                <w:lang w:val="en-US" w:eastAsia="zh-CN"/>
              </w:rPr>
              <w:t>13</w:t>
            </w:r>
            <w:r>
              <w:rPr>
                <w:rFonts w:hint="default" w:ascii="Times New Roman" w:hAnsi="Times New Roman" w:eastAsia="宋体" w:cs="Times New Roman"/>
                <w:color w:val="auto"/>
                <w:kern w:val="0"/>
                <w:sz w:val="24"/>
                <w:szCs w:val="24"/>
                <w:highlight w:val="none"/>
                <w:shd w:val="clear" w:color="auto" w:fill="auto"/>
                <w:lang w:val="en-US" w:eastAsia="zh-CN"/>
              </w:rPr>
              <w:t>t/a。</w:t>
            </w:r>
            <w:r>
              <w:rPr>
                <w:rFonts w:hint="eastAsia" w:ascii="Times New Roman" w:hAnsi="Times New Roman" w:eastAsia="宋体" w:cs="Times New Roman"/>
                <w:color w:val="auto"/>
                <w:kern w:val="0"/>
                <w:sz w:val="24"/>
                <w:szCs w:val="24"/>
                <w:highlight w:val="none"/>
                <w:shd w:val="clear" w:color="auto" w:fill="auto"/>
                <w:lang w:val="en-US" w:eastAsia="zh-CN"/>
              </w:rPr>
              <w:t>综上非甲烷总烃的总产生量为0.72t/a。调墨、印刷</w:t>
            </w:r>
            <w:r>
              <w:rPr>
                <w:rFonts w:hint="default" w:ascii="Times New Roman" w:hAnsi="Times New Roman" w:eastAsia="宋体" w:cs="Times New Roman"/>
                <w:color w:val="auto"/>
                <w:kern w:val="0"/>
                <w:sz w:val="24"/>
                <w:szCs w:val="24"/>
                <w:highlight w:val="none"/>
                <w:shd w:val="clear" w:color="auto" w:fill="auto"/>
                <w:lang w:val="en-US" w:eastAsia="zh-CN"/>
              </w:rPr>
              <w:t>废气</w:t>
            </w:r>
            <w:r>
              <w:rPr>
                <w:rFonts w:hint="eastAsia" w:ascii="Times New Roman" w:hAnsi="Times New Roman" w:eastAsia="宋体" w:cs="Times New Roman"/>
                <w:color w:val="auto"/>
                <w:kern w:val="0"/>
                <w:sz w:val="24"/>
                <w:szCs w:val="24"/>
                <w:highlight w:val="none"/>
                <w:shd w:val="clear" w:color="auto"/>
                <w:lang w:val="en-US" w:eastAsia="zh-CN" w:bidi="ar-SA"/>
              </w:rPr>
              <w:t>在密闭车间内负压收集后</w:t>
            </w:r>
            <w:r>
              <w:rPr>
                <w:rFonts w:hint="default" w:ascii="Times New Roman" w:hAnsi="Times New Roman" w:eastAsia="宋体" w:cs="Times New Roman"/>
                <w:color w:val="auto"/>
                <w:kern w:val="0"/>
                <w:sz w:val="24"/>
                <w:szCs w:val="24"/>
                <w:highlight w:val="none"/>
                <w:shd w:val="clear" w:color="auto"/>
                <w:lang w:val="en-US" w:eastAsia="zh-CN" w:bidi="ar-SA"/>
              </w:rPr>
              <w:t>进入</w:t>
            </w:r>
            <w:r>
              <w:rPr>
                <w:rFonts w:hint="eastAsia" w:ascii="Times New Roman" w:hAnsi="Times New Roman" w:eastAsia="宋体" w:cs="Times New Roman"/>
                <w:color w:val="auto"/>
                <w:kern w:val="0"/>
                <w:sz w:val="24"/>
                <w:szCs w:val="24"/>
                <w:highlight w:val="none"/>
                <w:shd w:val="clear" w:color="auto"/>
                <w:lang w:val="en-US" w:eastAsia="zh-CN" w:bidi="ar-SA"/>
              </w:rPr>
              <w:t>1#二级活性炭</w:t>
            </w:r>
            <w:r>
              <w:rPr>
                <w:rFonts w:hint="default" w:ascii="Times New Roman" w:hAnsi="Times New Roman" w:eastAsia="宋体" w:cs="Times New Roman"/>
                <w:color w:val="auto"/>
                <w:kern w:val="0"/>
                <w:sz w:val="24"/>
                <w:szCs w:val="24"/>
                <w:highlight w:val="none"/>
                <w:shd w:val="clear" w:color="auto"/>
                <w:lang w:val="en-US" w:eastAsia="zh-CN" w:bidi="ar-SA"/>
              </w:rPr>
              <w:t>处理</w:t>
            </w:r>
            <w:r>
              <w:rPr>
                <w:rFonts w:hint="eastAsia" w:ascii="Times New Roman" w:hAnsi="Times New Roman" w:eastAsia="宋体" w:cs="Times New Roman"/>
                <w:color w:val="auto"/>
                <w:kern w:val="0"/>
                <w:sz w:val="24"/>
                <w:szCs w:val="24"/>
                <w:highlight w:val="none"/>
                <w:shd w:val="clear" w:color="auto"/>
                <w:lang w:val="en-US" w:eastAsia="zh-CN" w:bidi="ar-SA"/>
              </w:rPr>
              <w:t>，通过1#</w:t>
            </w:r>
            <w:r>
              <w:rPr>
                <w:rFonts w:hint="default" w:ascii="Times New Roman" w:hAnsi="Times New Roman" w:eastAsia="宋体" w:cs="Times New Roman"/>
                <w:color w:val="auto"/>
                <w:kern w:val="0"/>
                <w:sz w:val="24"/>
                <w:szCs w:val="24"/>
                <w:highlight w:val="none"/>
                <w:shd w:val="clear" w:color="auto"/>
                <w:lang w:val="en-US" w:eastAsia="zh-CN" w:bidi="ar-SA"/>
              </w:rPr>
              <w:t>排气筒排放</w:t>
            </w:r>
            <w:r>
              <w:rPr>
                <w:rFonts w:hint="default" w:ascii="Times New Roman" w:hAnsi="Times New Roman" w:eastAsia="宋体" w:cs="Times New Roman"/>
                <w:color w:val="auto"/>
                <w:kern w:val="0"/>
                <w:sz w:val="24"/>
                <w:szCs w:val="24"/>
                <w:highlight w:val="none"/>
                <w:shd w:val="clear" w:color="auto"/>
                <w:lang w:val="en-US" w:eastAsia="zh-CN"/>
              </w:rPr>
              <w:t>（捕集率为9</w:t>
            </w:r>
            <w:r>
              <w:rPr>
                <w:rFonts w:hint="eastAsia" w:ascii="Times New Roman" w:hAnsi="Times New Roman" w:eastAsia="宋体" w:cs="Times New Roman"/>
                <w:color w:val="auto"/>
                <w:kern w:val="0"/>
                <w:sz w:val="24"/>
                <w:szCs w:val="24"/>
                <w:highlight w:val="none"/>
                <w:shd w:val="clear" w:color="auto"/>
                <w:lang w:val="en-US" w:eastAsia="zh-CN"/>
              </w:rPr>
              <w:t>5</w:t>
            </w:r>
            <w:r>
              <w:rPr>
                <w:rFonts w:hint="default" w:ascii="Times New Roman" w:hAnsi="Times New Roman" w:eastAsia="宋体" w:cs="Times New Roman"/>
                <w:color w:val="auto"/>
                <w:kern w:val="0"/>
                <w:sz w:val="24"/>
                <w:szCs w:val="24"/>
                <w:highlight w:val="none"/>
                <w:shd w:val="clear" w:color="auto"/>
                <w:lang w:val="en-US" w:eastAsia="zh-CN"/>
              </w:rPr>
              <w:t>%，</w:t>
            </w:r>
            <w:r>
              <w:rPr>
                <w:rFonts w:hint="default" w:ascii="Times New Roman" w:hAnsi="Times New Roman" w:eastAsia="宋体" w:cs="Times New Roman"/>
                <w:color w:val="auto"/>
                <w:sz w:val="24"/>
                <w:szCs w:val="24"/>
                <w:highlight w:val="none"/>
                <w:shd w:val="clear" w:color="auto"/>
                <w:lang w:val="en-US" w:eastAsia="zh-CN"/>
              </w:rPr>
              <w:t>去除率为9</w:t>
            </w:r>
            <w:r>
              <w:rPr>
                <w:rFonts w:hint="eastAsia" w:ascii="Times New Roman" w:hAnsi="Times New Roman" w:eastAsia="宋体" w:cs="Times New Roman"/>
                <w:color w:val="auto"/>
                <w:sz w:val="24"/>
                <w:szCs w:val="24"/>
                <w:highlight w:val="none"/>
                <w:shd w:val="clear" w:color="auto"/>
                <w:lang w:val="en-US" w:eastAsia="zh-CN"/>
              </w:rPr>
              <w:t>0</w:t>
            </w:r>
            <w:r>
              <w:rPr>
                <w:rFonts w:hint="default" w:ascii="Times New Roman" w:hAnsi="Times New Roman" w:eastAsia="宋体" w:cs="Times New Roman"/>
                <w:color w:val="auto"/>
                <w:sz w:val="24"/>
                <w:szCs w:val="24"/>
                <w:highlight w:val="none"/>
                <w:shd w:val="clear" w:color="auto"/>
                <w:lang w:val="en-US" w:eastAsia="zh-CN"/>
              </w:rPr>
              <w:t>%</w:t>
            </w:r>
            <w:r>
              <w:rPr>
                <w:rFonts w:hint="default" w:ascii="Times New Roman" w:hAnsi="Times New Roman" w:eastAsia="宋体" w:cs="Times New Roman"/>
                <w:color w:val="auto"/>
                <w:kern w:val="0"/>
                <w:sz w:val="24"/>
                <w:szCs w:val="24"/>
                <w:highlight w:val="none"/>
                <w:shd w:val="clear" w:color="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，则有组织非甲烷总烃产生量为0.</w:t>
            </w:r>
            <w:r>
              <w:rPr>
                <w:rFonts w:hint="eastAsia" w:ascii="Times New Roman" w:hAnsi="Times New Roman" w:eastAsia="宋体" w:cs="Times New Roman"/>
                <w:color w:val="auto"/>
                <w:kern w:val="0"/>
                <w:sz w:val="24"/>
                <w:szCs w:val="24"/>
                <w:highlight w:val="none"/>
                <w:shd w:val="clear" w:color="auto" w:fill="auto"/>
                <w:lang w:val="en-US" w:eastAsia="zh-CN"/>
              </w:rPr>
              <w:t>6840</w:t>
            </w:r>
            <w:r>
              <w:rPr>
                <w:rFonts w:hint="default" w:ascii="Times New Roman" w:hAnsi="Times New Roman" w:eastAsia="宋体" w:cs="Times New Roman"/>
                <w:color w:val="auto"/>
                <w:kern w:val="0"/>
                <w:sz w:val="24"/>
                <w:szCs w:val="24"/>
                <w:highlight w:val="none"/>
                <w:shd w:val="clear" w:color="auto" w:fill="auto"/>
                <w:lang w:val="en-US" w:eastAsia="zh-CN"/>
              </w:rPr>
              <w:t>t/a，排放量为0.0</w:t>
            </w:r>
            <w:r>
              <w:rPr>
                <w:rFonts w:hint="eastAsia" w:ascii="Times New Roman" w:hAnsi="Times New Roman" w:eastAsia="宋体" w:cs="Times New Roman"/>
                <w:color w:val="auto"/>
                <w:kern w:val="0"/>
                <w:sz w:val="24"/>
                <w:szCs w:val="24"/>
                <w:highlight w:val="none"/>
                <w:shd w:val="clear" w:color="auto" w:fill="auto"/>
                <w:lang w:val="en-US" w:eastAsia="zh-CN"/>
              </w:rPr>
              <w:t>684</w:t>
            </w:r>
            <w:r>
              <w:rPr>
                <w:rFonts w:hint="default" w:ascii="Times New Roman" w:hAnsi="Times New Roman" w:eastAsia="宋体" w:cs="Times New Roman"/>
                <w:color w:val="auto"/>
                <w:kern w:val="0"/>
                <w:sz w:val="24"/>
                <w:szCs w:val="24"/>
                <w:highlight w:val="none"/>
                <w:shd w:val="clear" w:color="auto" w:fill="auto"/>
                <w:lang w:val="en-US" w:eastAsia="zh-CN"/>
              </w:rPr>
              <w:t>t/a。</w:t>
            </w:r>
          </w:p>
          <w:p w14:paraId="40EAC348">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TVOC：</w:t>
            </w:r>
            <w:r>
              <w:rPr>
                <w:rFonts w:hint="default" w:ascii="Times New Roman" w:hAnsi="Times New Roman" w:eastAsia="宋体" w:cs="Times New Roman"/>
                <w:color w:val="auto"/>
                <w:kern w:val="0"/>
                <w:sz w:val="24"/>
                <w:szCs w:val="24"/>
                <w:highlight w:val="none"/>
                <w:shd w:val="clear" w:color="auto" w:fill="auto"/>
              </w:rPr>
              <w:t>根据</w:t>
            </w:r>
            <w:r>
              <w:rPr>
                <w:rFonts w:hint="eastAsia" w:ascii="Times New Roman" w:hAnsi="Times New Roman" w:eastAsia="宋体" w:cs="Times New Roman"/>
                <w:color w:val="auto"/>
                <w:kern w:val="0"/>
                <w:sz w:val="24"/>
                <w:szCs w:val="24"/>
                <w:highlight w:val="none"/>
                <w:shd w:val="clear" w:color="auto" w:fill="auto"/>
                <w:lang w:val="en-US" w:eastAsia="zh-CN"/>
              </w:rPr>
              <w:t>水性油墨、乙酸乙酯</w:t>
            </w:r>
            <w:r>
              <w:rPr>
                <w:rFonts w:hint="default" w:ascii="Times New Roman" w:hAnsi="Times New Roman" w:eastAsia="宋体" w:cs="Times New Roman"/>
                <w:color w:val="auto"/>
                <w:kern w:val="0"/>
                <w:sz w:val="24"/>
                <w:szCs w:val="24"/>
                <w:highlight w:val="none"/>
                <w:shd w:val="clear" w:color="auto" w:fill="auto"/>
              </w:rPr>
              <w:t>MSDS报告，</w:t>
            </w:r>
            <w:r>
              <w:rPr>
                <w:rFonts w:hint="eastAsia" w:ascii="Times New Roman" w:hAnsi="Times New Roman" w:eastAsia="宋体" w:cs="Times New Roman"/>
                <w:color w:val="auto"/>
                <w:kern w:val="0"/>
                <w:sz w:val="24"/>
                <w:szCs w:val="24"/>
                <w:highlight w:val="none"/>
                <w:shd w:val="clear" w:color="auto" w:fill="auto"/>
                <w:lang w:val="en-US" w:eastAsia="zh-CN"/>
              </w:rPr>
              <w:t>本项目使用的</w:t>
            </w:r>
            <w:r>
              <w:rPr>
                <w:rFonts w:hint="default" w:ascii="Times New Roman" w:hAnsi="Times New Roman" w:eastAsia="宋体" w:cs="Times New Roman"/>
                <w:color w:val="auto"/>
                <w:kern w:val="0"/>
                <w:sz w:val="24"/>
                <w:szCs w:val="24"/>
                <w:highlight w:val="none"/>
                <w:shd w:val="clear" w:color="auto" w:fill="auto"/>
                <w:lang w:val="en-US" w:eastAsia="zh-CN"/>
              </w:rPr>
              <w:t>油性油墨中的</w:t>
            </w:r>
            <w:r>
              <w:rPr>
                <w:rFonts w:hint="eastAsia" w:ascii="Times New Roman" w:hAnsi="Times New Roman" w:eastAsia="宋体" w:cs="Times New Roman"/>
                <w:color w:val="auto"/>
                <w:kern w:val="0"/>
                <w:sz w:val="24"/>
                <w:szCs w:val="24"/>
                <w:highlight w:val="none"/>
                <w:shd w:val="clear" w:color="auto" w:fill="auto"/>
                <w:lang w:val="en-US" w:eastAsia="zh-CN"/>
              </w:rPr>
              <w:t>异丙醇含量计为8</w:t>
            </w:r>
            <w:r>
              <w:rPr>
                <w:rFonts w:hint="default" w:ascii="Times New Roman" w:hAnsi="Times New Roman" w:eastAsia="宋体" w:cs="Times New Roman"/>
                <w:color w:val="auto"/>
                <w:kern w:val="0"/>
                <w:sz w:val="24"/>
                <w:szCs w:val="24"/>
                <w:highlight w:val="none"/>
                <w:shd w:val="clear" w:color="auto" w:fill="auto"/>
                <w:lang w:val="en-US" w:eastAsia="zh-CN"/>
              </w:rPr>
              <w:t>%，乙酸乙酯</w:t>
            </w:r>
            <w:r>
              <w:rPr>
                <w:rFonts w:hint="eastAsia" w:ascii="Times New Roman" w:hAnsi="Times New Roman" w:eastAsia="宋体" w:cs="Times New Roman"/>
                <w:color w:val="auto"/>
                <w:kern w:val="0"/>
                <w:sz w:val="24"/>
                <w:szCs w:val="24"/>
                <w:highlight w:val="none"/>
                <w:shd w:val="clear" w:color="auto" w:fill="auto"/>
                <w:lang w:val="en-US" w:eastAsia="zh-CN"/>
              </w:rPr>
              <w:t>含量计为10</w:t>
            </w:r>
            <w:r>
              <w:rPr>
                <w:rFonts w:hint="default" w:ascii="Times New Roman" w:hAnsi="Times New Roman" w:eastAsia="宋体" w:cs="Times New Roman"/>
                <w:color w:val="auto"/>
                <w:kern w:val="0"/>
                <w:sz w:val="24"/>
                <w:szCs w:val="24"/>
                <w:highlight w:val="none"/>
                <w:shd w:val="clear" w:color="auto" w:fill="auto"/>
                <w:lang w:val="en-US"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油性油墨的用量为</w:t>
            </w:r>
            <w:r>
              <w:rPr>
                <w:rFonts w:hint="eastAsia" w:ascii="Times New Roman" w:hAnsi="Times New Roman" w:eastAsia="宋体" w:cs="Times New Roman"/>
                <w:color w:val="auto"/>
                <w:kern w:val="0"/>
                <w:sz w:val="24"/>
                <w:szCs w:val="24"/>
                <w:highlight w:val="none"/>
                <w:shd w:val="clear" w:color="auto" w:fill="auto"/>
                <w:lang w:val="en-US" w:eastAsia="zh-CN"/>
              </w:rPr>
              <w:t>0.5</w:t>
            </w:r>
            <w:r>
              <w:rPr>
                <w:rFonts w:hint="default" w:ascii="Times New Roman" w:hAnsi="Times New Roman" w:eastAsia="宋体" w:cs="Times New Roman"/>
                <w:color w:val="auto"/>
                <w:kern w:val="0"/>
                <w:sz w:val="24"/>
                <w:szCs w:val="24"/>
                <w:highlight w:val="none"/>
                <w:shd w:val="clear" w:color="auto" w:fill="auto"/>
                <w:lang w:val="en-US" w:eastAsia="zh-CN"/>
              </w:rPr>
              <w:t>t/a，则</w:t>
            </w:r>
            <w:r>
              <w:rPr>
                <w:rFonts w:hint="eastAsia" w:ascii="Times New Roman" w:hAnsi="Times New Roman" w:eastAsia="宋体" w:cs="Times New Roman"/>
                <w:color w:val="auto"/>
                <w:kern w:val="0"/>
                <w:sz w:val="24"/>
                <w:szCs w:val="24"/>
                <w:highlight w:val="none"/>
                <w:shd w:val="clear" w:color="auto" w:fill="auto"/>
                <w:lang w:val="en-US" w:eastAsia="zh-CN"/>
              </w:rPr>
              <w:t>异丙醇废气</w:t>
            </w:r>
            <w:r>
              <w:rPr>
                <w:rFonts w:hint="default" w:ascii="Times New Roman" w:hAnsi="Times New Roman" w:eastAsia="宋体" w:cs="Times New Roman"/>
                <w:color w:val="auto"/>
                <w:kern w:val="0"/>
                <w:sz w:val="24"/>
                <w:szCs w:val="24"/>
                <w:highlight w:val="none"/>
                <w:shd w:val="clear" w:color="auto" w:fill="auto"/>
                <w:lang w:val="en-US" w:eastAsia="zh-CN"/>
              </w:rPr>
              <w:t>的产生量为0.</w:t>
            </w:r>
            <w:r>
              <w:rPr>
                <w:rFonts w:hint="eastAsia" w:ascii="Times New Roman" w:hAnsi="Times New Roman" w:eastAsia="宋体" w:cs="Times New Roman"/>
                <w:color w:val="auto"/>
                <w:kern w:val="0"/>
                <w:sz w:val="24"/>
                <w:szCs w:val="24"/>
                <w:highlight w:val="none"/>
                <w:shd w:val="clear" w:color="auto" w:fill="auto"/>
                <w:lang w:val="en-US" w:eastAsia="zh-CN"/>
              </w:rPr>
              <w:t>04</w:t>
            </w:r>
            <w:r>
              <w:rPr>
                <w:rFonts w:hint="default" w:ascii="Times New Roman" w:hAnsi="Times New Roman" w:eastAsia="宋体" w:cs="Times New Roman"/>
                <w:color w:val="auto"/>
                <w:kern w:val="0"/>
                <w:sz w:val="24"/>
                <w:szCs w:val="24"/>
                <w:highlight w:val="none"/>
                <w:shd w:val="clear" w:color="auto" w:fill="auto"/>
                <w:lang w:val="en-US" w:eastAsia="zh-CN"/>
              </w:rPr>
              <w:t>t/a，</w:t>
            </w:r>
            <w:r>
              <w:rPr>
                <w:rFonts w:hint="eastAsia" w:ascii="Times New Roman" w:hAnsi="Times New Roman" w:eastAsia="宋体" w:cs="Times New Roman"/>
                <w:color w:val="auto"/>
                <w:kern w:val="0"/>
                <w:sz w:val="24"/>
                <w:szCs w:val="24"/>
                <w:highlight w:val="none"/>
                <w:shd w:val="clear" w:color="auto" w:fill="auto"/>
                <w:lang w:val="en-US" w:eastAsia="zh-CN"/>
              </w:rPr>
              <w:t>乙酸乙酯废气</w:t>
            </w:r>
            <w:r>
              <w:rPr>
                <w:rFonts w:hint="default" w:ascii="Times New Roman" w:hAnsi="Times New Roman" w:eastAsia="宋体" w:cs="Times New Roman"/>
                <w:color w:val="auto"/>
                <w:kern w:val="0"/>
                <w:sz w:val="24"/>
                <w:szCs w:val="24"/>
                <w:highlight w:val="none"/>
                <w:shd w:val="clear" w:color="auto" w:fill="auto"/>
                <w:lang w:val="en-US" w:eastAsia="zh-CN"/>
              </w:rPr>
              <w:t>的产生量为0.</w:t>
            </w:r>
            <w:r>
              <w:rPr>
                <w:rFonts w:hint="eastAsia" w:ascii="Times New Roman" w:hAnsi="Times New Roman" w:eastAsia="宋体" w:cs="Times New Roman"/>
                <w:color w:val="auto"/>
                <w:kern w:val="0"/>
                <w:sz w:val="24"/>
                <w:szCs w:val="24"/>
                <w:highlight w:val="none"/>
                <w:shd w:val="clear" w:color="auto" w:fill="auto"/>
                <w:lang w:val="en-US" w:eastAsia="zh-CN"/>
              </w:rPr>
              <w:t>05</w:t>
            </w:r>
            <w:r>
              <w:rPr>
                <w:rFonts w:hint="default" w:ascii="Times New Roman" w:hAnsi="Times New Roman" w:eastAsia="宋体" w:cs="Times New Roman"/>
                <w:color w:val="auto"/>
                <w:kern w:val="0"/>
                <w:sz w:val="24"/>
                <w:szCs w:val="24"/>
                <w:highlight w:val="none"/>
                <w:shd w:val="clear" w:color="auto" w:fill="auto"/>
                <w:lang w:val="en-US" w:eastAsia="zh-CN"/>
              </w:rPr>
              <w:t>t/a；</w:t>
            </w:r>
            <w:r>
              <w:rPr>
                <w:rFonts w:hint="eastAsia" w:ascii="Times New Roman" w:hAnsi="Times New Roman" w:eastAsia="宋体" w:cs="Times New Roman"/>
                <w:color w:val="auto"/>
                <w:kern w:val="0"/>
                <w:sz w:val="24"/>
                <w:szCs w:val="24"/>
                <w:highlight w:val="none"/>
                <w:shd w:val="clear" w:color="auto" w:fill="auto"/>
                <w:lang w:val="en-US" w:eastAsia="zh-CN"/>
              </w:rPr>
              <w:t>本项目使用的</w:t>
            </w:r>
            <w:r>
              <w:rPr>
                <w:rFonts w:hint="default" w:ascii="Times New Roman" w:hAnsi="Times New Roman" w:eastAsia="宋体" w:cs="Times New Roman"/>
                <w:color w:val="auto"/>
                <w:kern w:val="0"/>
                <w:sz w:val="24"/>
                <w:szCs w:val="24"/>
                <w:highlight w:val="none"/>
                <w:shd w:val="clear" w:color="auto" w:fill="auto"/>
                <w:lang w:val="en-US" w:eastAsia="zh-CN"/>
              </w:rPr>
              <w:t>乙酸乙酯</w:t>
            </w:r>
            <w:r>
              <w:rPr>
                <w:rFonts w:hint="eastAsia" w:ascii="Times New Roman" w:hAnsi="Times New Roman" w:eastAsia="宋体" w:cs="Times New Roman"/>
                <w:color w:val="auto"/>
                <w:kern w:val="0"/>
                <w:sz w:val="24"/>
                <w:szCs w:val="24"/>
                <w:highlight w:val="none"/>
                <w:shd w:val="clear" w:color="auto" w:fill="auto"/>
                <w:lang w:val="en-US" w:eastAsia="zh-CN"/>
              </w:rPr>
              <w:t>中的乙酸乙酯含量计为100%，</w:t>
            </w:r>
            <w:r>
              <w:rPr>
                <w:rFonts w:hint="default" w:ascii="Times New Roman" w:hAnsi="Times New Roman" w:eastAsia="宋体" w:cs="Times New Roman"/>
                <w:color w:val="auto"/>
                <w:kern w:val="0"/>
                <w:sz w:val="24"/>
                <w:szCs w:val="24"/>
                <w:highlight w:val="none"/>
                <w:shd w:val="clear" w:color="auto" w:fill="auto"/>
                <w:lang w:val="en-US" w:eastAsia="zh-CN"/>
              </w:rPr>
              <w:t>乙酸乙酯的用量为</w:t>
            </w:r>
            <w:r>
              <w:rPr>
                <w:rFonts w:hint="eastAsia" w:ascii="Times New Roman" w:hAnsi="Times New Roman" w:eastAsia="宋体" w:cs="Times New Roman"/>
                <w:color w:val="auto"/>
                <w:kern w:val="0"/>
                <w:sz w:val="24"/>
                <w:szCs w:val="24"/>
                <w:highlight w:val="none"/>
                <w:shd w:val="clear" w:color="auto" w:fill="auto"/>
                <w:lang w:val="en-US" w:eastAsia="zh-CN"/>
              </w:rPr>
              <w:t>0.5</w:t>
            </w:r>
            <w:r>
              <w:rPr>
                <w:rFonts w:hint="default" w:ascii="Times New Roman" w:hAnsi="Times New Roman" w:eastAsia="宋体" w:cs="Times New Roman"/>
                <w:color w:val="auto"/>
                <w:kern w:val="0"/>
                <w:sz w:val="24"/>
                <w:szCs w:val="24"/>
                <w:highlight w:val="none"/>
                <w:shd w:val="clear" w:color="auto" w:fill="auto"/>
                <w:lang w:val="en-US" w:eastAsia="zh-CN"/>
              </w:rPr>
              <w:t>t/a，则乙酸乙酯</w:t>
            </w:r>
            <w:r>
              <w:rPr>
                <w:rFonts w:hint="eastAsia" w:ascii="Times New Roman" w:hAnsi="Times New Roman" w:eastAsia="宋体" w:cs="Times New Roman"/>
                <w:color w:val="auto"/>
                <w:kern w:val="0"/>
                <w:sz w:val="24"/>
                <w:szCs w:val="24"/>
                <w:highlight w:val="none"/>
                <w:shd w:val="clear" w:color="auto" w:fill="auto"/>
                <w:lang w:val="en-US" w:eastAsia="zh-CN"/>
              </w:rPr>
              <w:t>废气</w:t>
            </w:r>
            <w:r>
              <w:rPr>
                <w:rFonts w:hint="default" w:ascii="Times New Roman" w:hAnsi="Times New Roman" w:eastAsia="宋体" w:cs="Times New Roman"/>
                <w:color w:val="auto"/>
                <w:kern w:val="0"/>
                <w:sz w:val="24"/>
                <w:szCs w:val="24"/>
                <w:highlight w:val="none"/>
                <w:shd w:val="clear" w:color="auto" w:fill="auto"/>
                <w:lang w:val="en-US" w:eastAsia="zh-CN"/>
              </w:rPr>
              <w:t>的产生量为0.</w:t>
            </w: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lang w:val="en-US" w:eastAsia="zh-CN"/>
              </w:rPr>
              <w:t>t/a。</w:t>
            </w:r>
            <w:r>
              <w:rPr>
                <w:rFonts w:hint="eastAsia" w:ascii="Times New Roman" w:hAnsi="Times New Roman" w:eastAsia="宋体" w:cs="Times New Roman"/>
                <w:color w:val="auto"/>
                <w:kern w:val="0"/>
                <w:sz w:val="24"/>
                <w:szCs w:val="24"/>
                <w:highlight w:val="none"/>
                <w:shd w:val="clear" w:color="auto" w:fill="auto"/>
                <w:lang w:val="en-US" w:eastAsia="zh-CN"/>
              </w:rPr>
              <w:t>综上TVOC的产生量为0.59t/a。调墨、印刷</w:t>
            </w:r>
            <w:r>
              <w:rPr>
                <w:rFonts w:hint="default" w:ascii="Times New Roman" w:hAnsi="Times New Roman" w:eastAsia="宋体" w:cs="Times New Roman"/>
                <w:color w:val="auto"/>
                <w:kern w:val="0"/>
                <w:sz w:val="24"/>
                <w:szCs w:val="24"/>
                <w:highlight w:val="none"/>
                <w:shd w:val="clear" w:color="auto" w:fill="auto"/>
                <w:lang w:val="en-US" w:eastAsia="zh-CN"/>
              </w:rPr>
              <w:t>废气</w:t>
            </w:r>
            <w:r>
              <w:rPr>
                <w:rFonts w:hint="eastAsia" w:ascii="Times New Roman" w:hAnsi="Times New Roman" w:eastAsia="宋体" w:cs="Times New Roman"/>
                <w:color w:val="auto"/>
                <w:kern w:val="0"/>
                <w:sz w:val="24"/>
                <w:szCs w:val="24"/>
                <w:highlight w:val="none"/>
                <w:shd w:val="clear" w:color="auto"/>
                <w:lang w:val="en-US" w:eastAsia="zh-CN" w:bidi="ar-SA"/>
              </w:rPr>
              <w:t>在车间内密闭收集后</w:t>
            </w:r>
            <w:r>
              <w:rPr>
                <w:rFonts w:hint="default" w:ascii="Times New Roman" w:hAnsi="Times New Roman" w:eastAsia="宋体" w:cs="Times New Roman"/>
                <w:color w:val="auto"/>
                <w:kern w:val="0"/>
                <w:sz w:val="24"/>
                <w:szCs w:val="24"/>
                <w:highlight w:val="none"/>
                <w:shd w:val="clear" w:color="auto"/>
                <w:lang w:val="en-US" w:eastAsia="zh-CN" w:bidi="ar-SA"/>
              </w:rPr>
              <w:t>进入</w:t>
            </w:r>
            <w:r>
              <w:rPr>
                <w:rFonts w:hint="eastAsia" w:ascii="Times New Roman" w:hAnsi="Times New Roman" w:eastAsia="宋体" w:cs="Times New Roman"/>
                <w:color w:val="auto"/>
                <w:kern w:val="0"/>
                <w:sz w:val="24"/>
                <w:szCs w:val="24"/>
                <w:highlight w:val="none"/>
                <w:shd w:val="clear" w:color="auto"/>
                <w:lang w:val="en-US" w:eastAsia="zh-CN" w:bidi="ar-SA"/>
              </w:rPr>
              <w:t>1#二级活性炭</w:t>
            </w:r>
            <w:r>
              <w:rPr>
                <w:rFonts w:hint="default" w:ascii="Times New Roman" w:hAnsi="Times New Roman" w:eastAsia="宋体" w:cs="Times New Roman"/>
                <w:color w:val="auto"/>
                <w:kern w:val="0"/>
                <w:sz w:val="24"/>
                <w:szCs w:val="24"/>
                <w:highlight w:val="none"/>
                <w:shd w:val="clear" w:color="auto"/>
                <w:lang w:val="en-US" w:eastAsia="zh-CN" w:bidi="ar-SA"/>
              </w:rPr>
              <w:t>处理</w:t>
            </w:r>
            <w:r>
              <w:rPr>
                <w:rFonts w:hint="eastAsia" w:ascii="Times New Roman" w:hAnsi="Times New Roman" w:eastAsia="宋体" w:cs="Times New Roman"/>
                <w:color w:val="auto"/>
                <w:kern w:val="0"/>
                <w:sz w:val="24"/>
                <w:szCs w:val="24"/>
                <w:highlight w:val="none"/>
                <w:shd w:val="clear" w:color="auto"/>
                <w:lang w:val="en-US" w:eastAsia="zh-CN" w:bidi="ar-SA"/>
              </w:rPr>
              <w:t>，通过1#</w:t>
            </w:r>
            <w:r>
              <w:rPr>
                <w:rFonts w:hint="default" w:ascii="Times New Roman" w:hAnsi="Times New Roman" w:eastAsia="宋体" w:cs="Times New Roman"/>
                <w:color w:val="auto"/>
                <w:kern w:val="0"/>
                <w:sz w:val="24"/>
                <w:szCs w:val="24"/>
                <w:highlight w:val="none"/>
                <w:shd w:val="clear" w:color="auto"/>
                <w:lang w:val="en-US" w:eastAsia="zh-CN" w:bidi="ar-SA"/>
              </w:rPr>
              <w:t>排气筒排放</w:t>
            </w:r>
            <w:r>
              <w:rPr>
                <w:rFonts w:hint="default" w:ascii="Times New Roman" w:hAnsi="Times New Roman" w:eastAsia="宋体" w:cs="Times New Roman"/>
                <w:color w:val="auto"/>
                <w:kern w:val="0"/>
                <w:sz w:val="24"/>
                <w:szCs w:val="24"/>
                <w:highlight w:val="none"/>
                <w:shd w:val="clear" w:color="auto"/>
                <w:lang w:val="en-US" w:eastAsia="zh-CN"/>
              </w:rPr>
              <w:t>（捕集率为9</w:t>
            </w:r>
            <w:r>
              <w:rPr>
                <w:rFonts w:hint="eastAsia" w:ascii="Times New Roman" w:hAnsi="Times New Roman" w:eastAsia="宋体" w:cs="Times New Roman"/>
                <w:color w:val="auto"/>
                <w:kern w:val="0"/>
                <w:sz w:val="24"/>
                <w:szCs w:val="24"/>
                <w:highlight w:val="none"/>
                <w:shd w:val="clear" w:color="auto"/>
                <w:lang w:val="en-US" w:eastAsia="zh-CN"/>
              </w:rPr>
              <w:t>5</w:t>
            </w:r>
            <w:r>
              <w:rPr>
                <w:rFonts w:hint="default" w:ascii="Times New Roman" w:hAnsi="Times New Roman" w:eastAsia="宋体" w:cs="Times New Roman"/>
                <w:color w:val="auto"/>
                <w:kern w:val="0"/>
                <w:sz w:val="24"/>
                <w:szCs w:val="24"/>
                <w:highlight w:val="none"/>
                <w:shd w:val="clear" w:color="auto"/>
                <w:lang w:val="en-US" w:eastAsia="zh-CN"/>
              </w:rPr>
              <w:t>%，</w:t>
            </w:r>
            <w:r>
              <w:rPr>
                <w:rFonts w:hint="default" w:ascii="Times New Roman" w:hAnsi="Times New Roman" w:eastAsia="宋体" w:cs="Times New Roman"/>
                <w:color w:val="auto"/>
                <w:sz w:val="24"/>
                <w:szCs w:val="24"/>
                <w:highlight w:val="none"/>
                <w:shd w:val="clear" w:color="auto"/>
                <w:lang w:val="en-US" w:eastAsia="zh-CN"/>
              </w:rPr>
              <w:t>去除率为9</w:t>
            </w:r>
            <w:r>
              <w:rPr>
                <w:rFonts w:hint="eastAsia" w:ascii="Times New Roman" w:hAnsi="Times New Roman" w:eastAsia="宋体" w:cs="Times New Roman"/>
                <w:color w:val="auto"/>
                <w:sz w:val="24"/>
                <w:szCs w:val="24"/>
                <w:highlight w:val="none"/>
                <w:shd w:val="clear" w:color="auto"/>
                <w:lang w:val="en-US" w:eastAsia="zh-CN"/>
              </w:rPr>
              <w:t>0</w:t>
            </w:r>
            <w:r>
              <w:rPr>
                <w:rFonts w:hint="default" w:ascii="Times New Roman" w:hAnsi="Times New Roman" w:eastAsia="宋体" w:cs="Times New Roman"/>
                <w:color w:val="auto"/>
                <w:sz w:val="24"/>
                <w:szCs w:val="24"/>
                <w:highlight w:val="none"/>
                <w:shd w:val="clear" w:color="auto"/>
                <w:lang w:val="en-US" w:eastAsia="zh-CN"/>
              </w:rPr>
              <w:t>%</w:t>
            </w:r>
            <w:r>
              <w:rPr>
                <w:rFonts w:hint="default" w:ascii="Times New Roman" w:hAnsi="Times New Roman" w:eastAsia="宋体" w:cs="Times New Roman"/>
                <w:color w:val="auto"/>
                <w:kern w:val="0"/>
                <w:sz w:val="24"/>
                <w:szCs w:val="24"/>
                <w:highlight w:val="none"/>
                <w:shd w:val="clear" w:color="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，则有组织</w:t>
            </w:r>
            <w:r>
              <w:rPr>
                <w:rFonts w:hint="eastAsia" w:ascii="Times New Roman" w:hAnsi="Times New Roman" w:eastAsia="宋体" w:cs="Times New Roman"/>
                <w:color w:val="auto"/>
                <w:kern w:val="0"/>
                <w:sz w:val="24"/>
                <w:szCs w:val="24"/>
                <w:highlight w:val="none"/>
                <w:shd w:val="clear" w:color="auto" w:fill="auto"/>
                <w:lang w:val="en-US" w:eastAsia="zh-CN"/>
              </w:rPr>
              <w:t>TVOC</w:t>
            </w:r>
            <w:r>
              <w:rPr>
                <w:rFonts w:hint="default" w:ascii="Times New Roman" w:hAnsi="Times New Roman" w:eastAsia="宋体" w:cs="Times New Roman"/>
                <w:color w:val="auto"/>
                <w:kern w:val="0"/>
                <w:sz w:val="24"/>
                <w:szCs w:val="24"/>
                <w:highlight w:val="none"/>
                <w:shd w:val="clear" w:color="auto" w:fill="auto"/>
                <w:lang w:val="en-US" w:eastAsia="zh-CN"/>
              </w:rPr>
              <w:t>产生量为0.</w:t>
            </w:r>
            <w:r>
              <w:rPr>
                <w:rFonts w:hint="eastAsia" w:ascii="Times New Roman" w:hAnsi="Times New Roman" w:eastAsia="宋体" w:cs="Times New Roman"/>
                <w:color w:val="auto"/>
                <w:kern w:val="0"/>
                <w:sz w:val="24"/>
                <w:szCs w:val="24"/>
                <w:highlight w:val="none"/>
                <w:shd w:val="clear" w:color="auto" w:fill="auto"/>
                <w:lang w:val="en-US" w:eastAsia="zh-CN"/>
              </w:rPr>
              <w:t>5605</w:t>
            </w:r>
            <w:r>
              <w:rPr>
                <w:rFonts w:hint="default" w:ascii="Times New Roman" w:hAnsi="Times New Roman" w:eastAsia="宋体" w:cs="Times New Roman"/>
                <w:color w:val="auto"/>
                <w:kern w:val="0"/>
                <w:sz w:val="24"/>
                <w:szCs w:val="24"/>
                <w:highlight w:val="none"/>
                <w:shd w:val="clear" w:color="auto" w:fill="auto"/>
                <w:lang w:val="en-US" w:eastAsia="zh-CN"/>
              </w:rPr>
              <w:t>t/a，排放量为0.0</w:t>
            </w:r>
            <w:r>
              <w:rPr>
                <w:rFonts w:hint="eastAsia" w:ascii="Times New Roman" w:hAnsi="Times New Roman" w:eastAsia="宋体" w:cs="Times New Roman"/>
                <w:color w:val="auto"/>
                <w:kern w:val="0"/>
                <w:sz w:val="24"/>
                <w:szCs w:val="24"/>
                <w:highlight w:val="none"/>
                <w:shd w:val="clear" w:color="auto" w:fill="auto"/>
                <w:lang w:val="en-US" w:eastAsia="zh-CN"/>
              </w:rPr>
              <w:t>561</w:t>
            </w:r>
            <w:r>
              <w:rPr>
                <w:rFonts w:hint="default" w:ascii="Times New Roman" w:hAnsi="Times New Roman" w:eastAsia="宋体" w:cs="Times New Roman"/>
                <w:color w:val="auto"/>
                <w:kern w:val="0"/>
                <w:sz w:val="24"/>
                <w:szCs w:val="24"/>
                <w:highlight w:val="none"/>
                <w:shd w:val="clear" w:color="auto" w:fill="auto"/>
                <w:lang w:val="en-US" w:eastAsia="zh-CN"/>
              </w:rPr>
              <w:t>t/a。</w:t>
            </w:r>
          </w:p>
          <w:p w14:paraId="45C177E4">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③复合废气</w:t>
            </w:r>
          </w:p>
          <w:p w14:paraId="7C828404">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zCs w:val="24"/>
                <w:highlight w:val="none"/>
                <w:shd w:val="clear" w:color="auto" w:fill="auto"/>
                <w:lang w:val="en-US"/>
              </w:rPr>
            </w:pPr>
            <w:r>
              <w:rPr>
                <w:rFonts w:hint="default" w:ascii="Times New Roman" w:hAnsi="Times New Roman" w:eastAsia="宋体" w:cs="Times New Roman"/>
                <w:color w:val="auto"/>
                <w:kern w:val="0"/>
                <w:sz w:val="24"/>
                <w:szCs w:val="24"/>
                <w:highlight w:val="none"/>
                <w:shd w:val="clear" w:color="auto" w:fill="auto"/>
                <w:lang w:val="en-US" w:eastAsia="zh-CN"/>
              </w:rPr>
              <w:t>本项目</w:t>
            </w:r>
            <w:r>
              <w:rPr>
                <w:rFonts w:hint="eastAsia" w:ascii="Times New Roman" w:hAnsi="Times New Roman" w:eastAsia="宋体" w:cs="Times New Roman"/>
                <w:color w:val="auto"/>
                <w:kern w:val="0"/>
                <w:sz w:val="24"/>
                <w:szCs w:val="24"/>
                <w:highlight w:val="none"/>
                <w:shd w:val="clear" w:color="auto" w:fill="auto"/>
                <w:lang w:val="en-US" w:eastAsia="zh-CN"/>
              </w:rPr>
              <w:t>复合</w:t>
            </w:r>
            <w:r>
              <w:rPr>
                <w:rFonts w:hint="default" w:ascii="Times New Roman" w:hAnsi="Times New Roman" w:eastAsia="宋体" w:cs="Times New Roman"/>
                <w:color w:val="auto"/>
                <w:kern w:val="0"/>
                <w:sz w:val="24"/>
                <w:szCs w:val="24"/>
                <w:highlight w:val="none"/>
                <w:shd w:val="clear" w:color="auto" w:fill="auto"/>
                <w:lang w:val="en-US" w:eastAsia="zh-CN"/>
              </w:rPr>
              <w:t>使用</w:t>
            </w:r>
            <w:r>
              <w:rPr>
                <w:rFonts w:hint="eastAsia" w:ascii="Times New Roman" w:hAnsi="Times New Roman" w:eastAsia="宋体" w:cs="Times New Roman"/>
                <w:color w:val="auto"/>
                <w:kern w:val="0"/>
                <w:sz w:val="24"/>
                <w:szCs w:val="24"/>
                <w:highlight w:val="none"/>
                <w:shd w:val="clear" w:color="auto" w:fill="auto"/>
                <w:lang w:val="en-US" w:eastAsia="zh-CN"/>
              </w:rPr>
              <w:t>双组份无溶剂聚氨酯粘合剂</w:t>
            </w:r>
            <w:r>
              <w:rPr>
                <w:rFonts w:hint="default" w:ascii="Times New Roman" w:hAnsi="Times New Roman" w:eastAsia="宋体" w:cs="Times New Roman"/>
                <w:color w:val="auto"/>
                <w:kern w:val="0"/>
                <w:sz w:val="24"/>
                <w:szCs w:val="24"/>
                <w:highlight w:val="none"/>
                <w:shd w:val="clear" w:color="auto" w:fill="auto"/>
                <w:lang w:val="en-US" w:eastAsia="zh-CN"/>
              </w:rPr>
              <w:t>时会产生挥发性有机物。根据VOCs检测报告，</w:t>
            </w:r>
            <w:r>
              <w:rPr>
                <w:rFonts w:hint="eastAsia" w:ascii="Times New Roman" w:hAnsi="Times New Roman" w:eastAsia="宋体" w:cs="Times New Roman"/>
                <w:color w:val="auto"/>
                <w:kern w:val="0"/>
                <w:sz w:val="24"/>
                <w:szCs w:val="24"/>
                <w:highlight w:val="none"/>
                <w:shd w:val="clear" w:color="auto" w:fill="auto"/>
                <w:lang w:val="en-US" w:eastAsia="zh-CN"/>
              </w:rPr>
              <w:t>双组份无溶剂聚氨酯粘合剂</w:t>
            </w:r>
            <w:r>
              <w:rPr>
                <w:rFonts w:hint="default" w:ascii="Times New Roman" w:hAnsi="Times New Roman" w:eastAsia="宋体" w:cs="Times New Roman"/>
                <w:color w:val="auto"/>
                <w:kern w:val="0"/>
                <w:sz w:val="24"/>
                <w:szCs w:val="24"/>
                <w:highlight w:val="none"/>
                <w:shd w:val="clear" w:color="auto" w:fill="auto"/>
                <w:lang w:val="en-US" w:eastAsia="zh-CN"/>
              </w:rPr>
              <w:t>中的挥发性有机物检测含量为</w:t>
            </w:r>
            <w:r>
              <w:rPr>
                <w:rFonts w:hint="eastAsia" w:ascii="Times New Roman" w:hAnsi="Times New Roman" w:eastAsia="宋体" w:cs="Times New Roman"/>
                <w:color w:val="auto"/>
                <w:kern w:val="0"/>
                <w:sz w:val="24"/>
                <w:szCs w:val="24"/>
                <w:highlight w:val="none"/>
                <w:shd w:val="clear" w:color="auto" w:fill="auto"/>
                <w:lang w:val="en-US" w:eastAsia="zh-CN"/>
              </w:rPr>
              <w:t>4g/kg</w:t>
            </w:r>
            <w:r>
              <w:rPr>
                <w:rFonts w:hint="default" w:ascii="Times New Roman" w:hAnsi="Times New Roman" w:eastAsia="宋体" w:cs="Times New Roman"/>
                <w:color w:val="auto"/>
                <w:kern w:val="0"/>
                <w:sz w:val="24"/>
                <w:szCs w:val="24"/>
                <w:highlight w:val="none"/>
                <w:shd w:val="clear" w:color="auto" w:fill="auto"/>
                <w:lang w:val="en-US"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产生的废气</w:t>
            </w:r>
            <w:r>
              <w:rPr>
                <w:rFonts w:hint="default" w:ascii="Times New Roman" w:hAnsi="Times New Roman" w:eastAsia="宋体" w:cs="Times New Roman"/>
                <w:color w:val="auto"/>
                <w:kern w:val="0"/>
                <w:sz w:val="24"/>
                <w:szCs w:val="24"/>
                <w:highlight w:val="none"/>
                <w:shd w:val="clear" w:color="auto" w:fill="auto"/>
                <w:lang w:val="en-US" w:eastAsia="zh-CN"/>
              </w:rPr>
              <w:t>以非甲烷总烃计。</w:t>
            </w:r>
            <w:r>
              <w:rPr>
                <w:rFonts w:hint="eastAsia" w:ascii="Times New Roman" w:hAnsi="Times New Roman" w:eastAsia="宋体" w:cs="Times New Roman"/>
                <w:color w:val="auto"/>
                <w:kern w:val="0"/>
                <w:sz w:val="24"/>
                <w:szCs w:val="24"/>
                <w:highlight w:val="none"/>
                <w:shd w:val="clear" w:color="auto" w:fill="auto"/>
                <w:lang w:val="en-US" w:eastAsia="zh-CN"/>
              </w:rPr>
              <w:t>双组份无溶剂聚氨酯粘合剂</w:t>
            </w:r>
            <w:r>
              <w:rPr>
                <w:rFonts w:hint="default" w:ascii="Times New Roman" w:hAnsi="Times New Roman" w:eastAsia="宋体" w:cs="Times New Roman"/>
                <w:color w:val="auto"/>
                <w:kern w:val="0"/>
                <w:sz w:val="24"/>
                <w:szCs w:val="24"/>
                <w:highlight w:val="none"/>
                <w:shd w:val="clear" w:color="auto" w:fill="auto"/>
                <w:lang w:val="en-US" w:eastAsia="zh-CN"/>
              </w:rPr>
              <w:t>的用量为</w:t>
            </w:r>
            <w:r>
              <w:rPr>
                <w:rFonts w:hint="eastAsia" w:ascii="Times New Roman" w:hAnsi="Times New Roman" w:eastAsia="宋体" w:cs="Times New Roman"/>
                <w:color w:val="auto"/>
                <w:kern w:val="0"/>
                <w:sz w:val="24"/>
                <w:szCs w:val="24"/>
                <w:highlight w:val="none"/>
                <w:shd w:val="clear" w:color="auto" w:fill="auto"/>
                <w:lang w:val="en-US" w:eastAsia="zh-CN"/>
              </w:rPr>
              <w:t>10</w:t>
            </w:r>
            <w:r>
              <w:rPr>
                <w:rFonts w:hint="default" w:ascii="Times New Roman" w:hAnsi="Times New Roman" w:eastAsia="宋体" w:cs="Times New Roman"/>
                <w:color w:val="auto"/>
                <w:kern w:val="0"/>
                <w:sz w:val="24"/>
                <w:szCs w:val="24"/>
                <w:highlight w:val="none"/>
                <w:shd w:val="clear" w:color="auto" w:fill="auto"/>
                <w:lang w:val="en-US" w:eastAsia="zh-CN"/>
              </w:rPr>
              <w:t>t/a，则非甲烷总烃的产生量为</w:t>
            </w:r>
            <w:r>
              <w:rPr>
                <w:rFonts w:hint="eastAsia" w:ascii="Times New Roman" w:hAnsi="Times New Roman" w:eastAsia="宋体" w:cs="Times New Roman"/>
                <w:color w:val="auto"/>
                <w:kern w:val="0"/>
                <w:sz w:val="24"/>
                <w:szCs w:val="24"/>
                <w:highlight w:val="none"/>
                <w:shd w:val="clear" w:color="auto" w:fill="auto"/>
                <w:lang w:val="en-US" w:eastAsia="zh-CN"/>
              </w:rPr>
              <w:t>0.04</w:t>
            </w:r>
            <w:r>
              <w:rPr>
                <w:rFonts w:hint="default" w:ascii="Times New Roman" w:hAnsi="Times New Roman" w:eastAsia="宋体" w:cs="Times New Roman"/>
                <w:color w:val="auto"/>
                <w:kern w:val="0"/>
                <w:sz w:val="24"/>
                <w:szCs w:val="24"/>
                <w:highlight w:val="none"/>
                <w:shd w:val="clear" w:color="auto" w:fill="auto"/>
                <w:lang w:val="en-US" w:eastAsia="zh-CN"/>
              </w:rPr>
              <w:t>t/a。考虑其在</w:t>
            </w:r>
            <w:r>
              <w:rPr>
                <w:rFonts w:hint="eastAsia" w:ascii="Times New Roman" w:hAnsi="Times New Roman" w:eastAsia="宋体" w:cs="Times New Roman"/>
                <w:color w:val="auto"/>
                <w:kern w:val="0"/>
                <w:sz w:val="24"/>
                <w:szCs w:val="24"/>
                <w:highlight w:val="none"/>
                <w:shd w:val="clear" w:color="auto" w:fill="auto"/>
                <w:lang w:val="en-US" w:eastAsia="zh-CN"/>
              </w:rPr>
              <w:t>复合</w:t>
            </w:r>
            <w:r>
              <w:rPr>
                <w:rFonts w:hint="default" w:ascii="Times New Roman" w:hAnsi="Times New Roman" w:eastAsia="宋体" w:cs="Times New Roman"/>
                <w:color w:val="auto"/>
                <w:kern w:val="0"/>
                <w:sz w:val="24"/>
                <w:szCs w:val="24"/>
                <w:highlight w:val="none"/>
                <w:shd w:val="clear" w:color="auto" w:fill="auto"/>
                <w:lang w:val="en-US" w:eastAsia="zh-CN"/>
              </w:rPr>
              <w:t>工序挥发</w:t>
            </w:r>
            <w:r>
              <w:rPr>
                <w:rFonts w:hint="eastAsia" w:ascii="Times New Roman" w:hAnsi="Times New Roman" w:eastAsia="宋体" w:cs="Times New Roman"/>
                <w:color w:val="auto"/>
                <w:kern w:val="0"/>
                <w:sz w:val="24"/>
                <w:szCs w:val="24"/>
                <w:highlight w:val="none"/>
                <w:shd w:val="clear" w:color="auto" w:fill="auto"/>
                <w:lang w:val="en-US" w:eastAsia="zh-CN"/>
              </w:rPr>
              <w:t>1</w:t>
            </w:r>
            <w:r>
              <w:rPr>
                <w:rFonts w:hint="default" w:ascii="Times New Roman" w:hAnsi="Times New Roman" w:eastAsia="宋体" w:cs="Times New Roman"/>
                <w:color w:val="auto"/>
                <w:kern w:val="0"/>
                <w:sz w:val="24"/>
                <w:szCs w:val="24"/>
                <w:highlight w:val="none"/>
                <w:shd w:val="clear" w:color="auto" w:fill="auto"/>
                <w:lang w:val="en-US" w:eastAsia="zh-CN"/>
              </w:rPr>
              <w:t>0%</w:t>
            </w:r>
            <w:r>
              <w:rPr>
                <w:rFonts w:hint="eastAsia" w:ascii="Times New Roman" w:hAnsi="Times New Roman" w:eastAsia="宋体" w:cs="Times New Roman"/>
                <w:color w:val="auto"/>
                <w:kern w:val="0"/>
                <w:sz w:val="24"/>
                <w:szCs w:val="24"/>
                <w:highlight w:val="none"/>
                <w:lang w:val="en-US" w:eastAsia="zh-CN"/>
              </w:rPr>
              <w:t>（剩余90%在熟化工序挥发）</w:t>
            </w:r>
            <w:r>
              <w:rPr>
                <w:rFonts w:hint="default" w:ascii="Times New Roman" w:hAnsi="Times New Roman" w:eastAsia="宋体" w:cs="Times New Roman"/>
                <w:color w:val="auto"/>
                <w:kern w:val="0"/>
                <w:sz w:val="24"/>
                <w:szCs w:val="24"/>
                <w:highlight w:val="none"/>
                <w:shd w:val="clear" w:color="auto" w:fill="auto"/>
                <w:lang w:val="en-US"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复合</w:t>
            </w:r>
            <w:r>
              <w:rPr>
                <w:rFonts w:hint="default" w:ascii="Times New Roman" w:hAnsi="Times New Roman" w:eastAsia="宋体" w:cs="Times New Roman"/>
                <w:color w:val="auto"/>
                <w:kern w:val="0"/>
                <w:sz w:val="24"/>
                <w:szCs w:val="24"/>
                <w:highlight w:val="none"/>
                <w:shd w:val="clear" w:color="auto" w:fill="auto"/>
                <w:lang w:val="en-US" w:eastAsia="zh-CN"/>
              </w:rPr>
              <w:t>废气</w:t>
            </w:r>
            <w:r>
              <w:rPr>
                <w:rFonts w:hint="eastAsia" w:ascii="Times New Roman" w:hAnsi="Times New Roman" w:eastAsia="宋体" w:cs="Times New Roman"/>
                <w:color w:val="auto"/>
                <w:kern w:val="0"/>
                <w:sz w:val="24"/>
                <w:szCs w:val="24"/>
                <w:highlight w:val="none"/>
                <w:shd w:val="clear" w:color="auto" w:fill="auto"/>
                <w:lang w:val="en-US" w:eastAsia="zh-CN"/>
              </w:rPr>
              <w:t>经集气罩</w:t>
            </w:r>
            <w:r>
              <w:rPr>
                <w:rFonts w:hint="default" w:ascii="Times New Roman" w:hAnsi="Times New Roman" w:eastAsia="宋体" w:cs="Times New Roman"/>
                <w:color w:val="auto"/>
                <w:kern w:val="0"/>
                <w:sz w:val="24"/>
                <w:szCs w:val="24"/>
                <w:highlight w:val="none"/>
                <w:shd w:val="clear" w:color="auto" w:fill="auto"/>
                <w:lang w:val="en-US" w:eastAsia="zh-CN"/>
              </w:rPr>
              <w:t>收集</w:t>
            </w:r>
            <w:r>
              <w:rPr>
                <w:rFonts w:hint="eastAsia" w:ascii="Times New Roman" w:hAnsi="Times New Roman" w:eastAsia="宋体" w:cs="Times New Roman"/>
                <w:color w:val="auto"/>
                <w:kern w:val="0"/>
                <w:sz w:val="24"/>
                <w:szCs w:val="24"/>
                <w:highlight w:val="none"/>
                <w:shd w:val="clear" w:color="auto" w:fill="auto"/>
                <w:lang w:val="en-US" w:eastAsia="zh-CN"/>
              </w:rPr>
              <w:t>后</w:t>
            </w:r>
            <w:r>
              <w:rPr>
                <w:rFonts w:hint="default" w:ascii="Times New Roman" w:hAnsi="Times New Roman" w:eastAsia="宋体" w:cs="Times New Roman"/>
                <w:color w:val="auto"/>
                <w:kern w:val="0"/>
                <w:sz w:val="24"/>
                <w:szCs w:val="24"/>
                <w:highlight w:val="none"/>
                <w:shd w:val="clear" w:color="auto" w:fill="auto"/>
                <w:lang w:val="en-US" w:eastAsia="zh-CN"/>
              </w:rPr>
              <w:t>进入</w:t>
            </w:r>
            <w:r>
              <w:rPr>
                <w:rFonts w:hint="eastAsia" w:ascii="Times New Roman" w:hAnsi="Times New Roman" w:eastAsia="宋体" w:cs="Times New Roman"/>
                <w:color w:val="auto"/>
                <w:kern w:val="0"/>
                <w:sz w:val="24"/>
                <w:szCs w:val="24"/>
                <w:highlight w:val="none"/>
                <w:shd w:val="clear" w:color="auto" w:fill="auto"/>
                <w:lang w:val="en-US" w:eastAsia="zh-CN"/>
              </w:rPr>
              <w:t>1#</w:t>
            </w:r>
            <w:r>
              <w:rPr>
                <w:rFonts w:hint="default" w:ascii="Times New Roman" w:hAnsi="Times New Roman" w:eastAsia="宋体" w:cs="Times New Roman"/>
                <w:color w:val="auto"/>
                <w:kern w:val="0"/>
                <w:sz w:val="24"/>
                <w:szCs w:val="24"/>
                <w:highlight w:val="none"/>
                <w:shd w:val="clear" w:color="auto" w:fill="auto"/>
                <w:lang w:val="en-US" w:eastAsia="zh-CN"/>
              </w:rPr>
              <w:t>二级活性炭处理，通过1#排气筒排放（捕集率为9</w:t>
            </w:r>
            <w:r>
              <w:rPr>
                <w:rFonts w:hint="eastAsia" w:ascii="Times New Roman" w:hAnsi="Times New Roman" w:eastAsia="宋体" w:cs="Times New Roman"/>
                <w:color w:val="auto"/>
                <w:kern w:val="0"/>
                <w:sz w:val="24"/>
                <w:szCs w:val="24"/>
                <w:highlight w:val="none"/>
                <w:shd w:val="clear" w:color="auto" w:fill="auto"/>
                <w:lang w:val="en-US" w:eastAsia="zh-CN"/>
              </w:rPr>
              <w:t>0</w:t>
            </w:r>
            <w:r>
              <w:rPr>
                <w:rFonts w:hint="default" w:ascii="Times New Roman" w:hAnsi="Times New Roman" w:eastAsia="宋体" w:cs="Times New Roman"/>
                <w:color w:val="auto"/>
                <w:kern w:val="0"/>
                <w:sz w:val="24"/>
                <w:szCs w:val="24"/>
                <w:highlight w:val="none"/>
                <w:shd w:val="clear" w:color="auto" w:fill="auto"/>
                <w:lang w:val="en-US" w:eastAsia="zh-CN"/>
              </w:rPr>
              <w:t>%，去除率为90%），则有组织非甲烷总烃产生量为0.</w:t>
            </w:r>
            <w:r>
              <w:rPr>
                <w:rFonts w:hint="eastAsia" w:ascii="Times New Roman" w:hAnsi="Times New Roman" w:eastAsia="宋体" w:cs="Times New Roman"/>
                <w:color w:val="auto"/>
                <w:kern w:val="0"/>
                <w:sz w:val="24"/>
                <w:szCs w:val="24"/>
                <w:highlight w:val="none"/>
                <w:shd w:val="clear" w:color="auto" w:fill="auto"/>
                <w:lang w:val="en-US" w:eastAsia="zh-CN"/>
              </w:rPr>
              <w:t>0036</w:t>
            </w:r>
            <w:r>
              <w:rPr>
                <w:rFonts w:hint="default" w:ascii="Times New Roman" w:hAnsi="Times New Roman" w:eastAsia="宋体" w:cs="Times New Roman"/>
                <w:color w:val="auto"/>
                <w:kern w:val="0"/>
                <w:sz w:val="24"/>
                <w:szCs w:val="24"/>
                <w:highlight w:val="none"/>
                <w:shd w:val="clear" w:color="auto" w:fill="auto"/>
                <w:lang w:val="en-US" w:eastAsia="zh-CN"/>
              </w:rPr>
              <w:t>t/a，排放量为0.0</w:t>
            </w:r>
            <w:r>
              <w:rPr>
                <w:rFonts w:hint="eastAsia" w:ascii="Times New Roman" w:hAnsi="Times New Roman" w:eastAsia="宋体" w:cs="Times New Roman"/>
                <w:color w:val="auto"/>
                <w:kern w:val="0"/>
                <w:sz w:val="24"/>
                <w:szCs w:val="24"/>
                <w:highlight w:val="none"/>
                <w:shd w:val="clear" w:color="auto" w:fill="auto"/>
                <w:lang w:val="en-US" w:eastAsia="zh-CN"/>
              </w:rPr>
              <w:t>004</w:t>
            </w:r>
            <w:r>
              <w:rPr>
                <w:rFonts w:hint="default" w:ascii="Times New Roman" w:hAnsi="Times New Roman" w:eastAsia="宋体" w:cs="Times New Roman"/>
                <w:color w:val="auto"/>
                <w:kern w:val="0"/>
                <w:sz w:val="24"/>
                <w:szCs w:val="24"/>
                <w:highlight w:val="none"/>
                <w:shd w:val="clear" w:color="auto" w:fill="auto"/>
                <w:lang w:val="en-US" w:eastAsia="zh-CN"/>
              </w:rPr>
              <w:t>t/a。</w:t>
            </w:r>
          </w:p>
          <w:p w14:paraId="6ABA8730">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④</w:t>
            </w:r>
            <w:r>
              <w:rPr>
                <w:rFonts w:hint="eastAsia" w:ascii="Times New Roman" w:hAnsi="Times New Roman" w:eastAsia="宋体" w:cs="Times New Roman"/>
                <w:color w:val="auto"/>
                <w:kern w:val="0"/>
                <w:sz w:val="24"/>
                <w:szCs w:val="24"/>
                <w:highlight w:val="none"/>
                <w:shd w:val="clear" w:color="auto" w:fill="auto"/>
                <w:lang w:val="en-US" w:eastAsia="zh-CN"/>
              </w:rPr>
              <w:t>熟化废气</w:t>
            </w:r>
          </w:p>
          <w:p w14:paraId="7958851A">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本项目</w:t>
            </w:r>
            <w:r>
              <w:rPr>
                <w:rFonts w:hint="eastAsia" w:ascii="Times New Roman" w:hAnsi="Times New Roman" w:eastAsia="宋体" w:cs="Times New Roman"/>
                <w:color w:val="auto"/>
                <w:kern w:val="0"/>
                <w:sz w:val="24"/>
                <w:szCs w:val="24"/>
                <w:highlight w:val="none"/>
                <w:shd w:val="clear" w:color="auto" w:fill="auto"/>
                <w:lang w:val="en-US" w:eastAsia="zh-CN"/>
              </w:rPr>
              <w:t>熟化过程中双组份无溶剂聚氨酯粘合剂</w:t>
            </w:r>
            <w:r>
              <w:rPr>
                <w:rFonts w:hint="default" w:ascii="Times New Roman" w:hAnsi="Times New Roman" w:eastAsia="宋体" w:cs="Times New Roman"/>
                <w:color w:val="auto"/>
                <w:kern w:val="0"/>
                <w:sz w:val="24"/>
                <w:szCs w:val="24"/>
                <w:highlight w:val="none"/>
                <w:lang w:val="en-US" w:eastAsia="zh-CN"/>
              </w:rPr>
              <w:t>剩余</w:t>
            </w:r>
            <w:r>
              <w:rPr>
                <w:rFonts w:hint="eastAsia"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lang w:val="en-US" w:eastAsia="zh-CN"/>
              </w:rPr>
              <w:t>0%挥发性组分全部挥发，</w:t>
            </w:r>
            <w:r>
              <w:rPr>
                <w:rFonts w:hint="eastAsia" w:ascii="Times New Roman" w:hAnsi="Times New Roman" w:eastAsia="宋体" w:cs="Times New Roman"/>
                <w:color w:val="auto"/>
                <w:kern w:val="0"/>
                <w:sz w:val="24"/>
                <w:szCs w:val="24"/>
                <w:highlight w:val="none"/>
                <w:shd w:val="clear" w:color="auto" w:fill="auto"/>
                <w:lang w:val="en-US" w:eastAsia="zh-CN"/>
              </w:rPr>
              <w:t>熟化</w:t>
            </w:r>
            <w:r>
              <w:rPr>
                <w:rFonts w:hint="default" w:ascii="Times New Roman" w:hAnsi="Times New Roman" w:eastAsia="宋体" w:cs="Times New Roman"/>
                <w:color w:val="auto"/>
                <w:kern w:val="0"/>
                <w:sz w:val="24"/>
                <w:szCs w:val="24"/>
                <w:highlight w:val="none"/>
                <w:shd w:val="clear" w:color="auto" w:fill="auto"/>
                <w:lang w:val="en-US" w:eastAsia="zh-CN"/>
              </w:rPr>
              <w:t>废气</w:t>
            </w:r>
            <w:r>
              <w:rPr>
                <w:rFonts w:hint="eastAsia" w:ascii="Times New Roman" w:hAnsi="Times New Roman" w:eastAsia="宋体" w:cs="Times New Roman"/>
                <w:color w:val="auto"/>
                <w:kern w:val="0"/>
                <w:sz w:val="24"/>
                <w:szCs w:val="24"/>
                <w:highlight w:val="none"/>
                <w:shd w:val="clear" w:color="auto" w:fill="auto"/>
                <w:lang w:val="en-US" w:eastAsia="zh-CN"/>
              </w:rPr>
              <w:t>在密闭设备内负压</w:t>
            </w:r>
            <w:r>
              <w:rPr>
                <w:rFonts w:hint="default" w:ascii="Times New Roman" w:hAnsi="Times New Roman" w:eastAsia="宋体" w:cs="Times New Roman"/>
                <w:color w:val="auto"/>
                <w:kern w:val="0"/>
                <w:sz w:val="24"/>
                <w:szCs w:val="24"/>
                <w:highlight w:val="none"/>
                <w:shd w:val="clear" w:color="auto" w:fill="auto"/>
                <w:lang w:val="en-US" w:eastAsia="zh-CN"/>
              </w:rPr>
              <w:t>收集</w:t>
            </w:r>
            <w:r>
              <w:rPr>
                <w:rFonts w:hint="eastAsia" w:ascii="Times New Roman" w:hAnsi="Times New Roman" w:eastAsia="宋体" w:cs="Times New Roman"/>
                <w:color w:val="auto"/>
                <w:kern w:val="0"/>
                <w:sz w:val="24"/>
                <w:szCs w:val="24"/>
                <w:highlight w:val="none"/>
                <w:shd w:val="clear" w:color="auto" w:fill="auto"/>
                <w:lang w:val="en-US" w:eastAsia="zh-CN"/>
              </w:rPr>
              <w:t>后</w:t>
            </w:r>
            <w:r>
              <w:rPr>
                <w:rFonts w:hint="default" w:ascii="Times New Roman" w:hAnsi="Times New Roman" w:eastAsia="宋体" w:cs="Times New Roman"/>
                <w:color w:val="auto"/>
                <w:kern w:val="0"/>
                <w:sz w:val="24"/>
                <w:szCs w:val="24"/>
                <w:highlight w:val="none"/>
                <w:shd w:val="clear" w:color="auto" w:fill="auto"/>
                <w:lang w:val="en-US" w:eastAsia="zh-CN"/>
              </w:rPr>
              <w:t>进入</w:t>
            </w:r>
            <w:r>
              <w:rPr>
                <w:rFonts w:hint="eastAsia" w:ascii="Times New Roman" w:hAnsi="Times New Roman" w:eastAsia="宋体" w:cs="Times New Roman"/>
                <w:color w:val="auto"/>
                <w:kern w:val="0"/>
                <w:sz w:val="24"/>
                <w:szCs w:val="24"/>
                <w:highlight w:val="none"/>
                <w:shd w:val="clear" w:color="auto" w:fill="auto"/>
                <w:lang w:val="en-US" w:eastAsia="zh-CN"/>
              </w:rPr>
              <w:t>1#</w:t>
            </w:r>
            <w:r>
              <w:rPr>
                <w:rFonts w:hint="default" w:ascii="Times New Roman" w:hAnsi="Times New Roman" w:eastAsia="宋体" w:cs="Times New Roman"/>
                <w:color w:val="auto"/>
                <w:kern w:val="0"/>
                <w:sz w:val="24"/>
                <w:szCs w:val="24"/>
                <w:highlight w:val="none"/>
                <w:shd w:val="clear" w:color="auto" w:fill="auto"/>
                <w:lang w:val="en-US" w:eastAsia="zh-CN"/>
              </w:rPr>
              <w:t>二级活性炭处理，通过1#排气筒排放（捕集率为9</w:t>
            </w: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lang w:val="en-US" w:eastAsia="zh-CN"/>
              </w:rPr>
              <w:t>%，去除率为90%），则有组织非甲烷总烃产生量为0.</w:t>
            </w:r>
            <w:r>
              <w:rPr>
                <w:rFonts w:hint="eastAsia" w:ascii="Times New Roman" w:hAnsi="Times New Roman" w:eastAsia="宋体" w:cs="Times New Roman"/>
                <w:color w:val="auto"/>
                <w:kern w:val="0"/>
                <w:sz w:val="24"/>
                <w:szCs w:val="24"/>
                <w:highlight w:val="none"/>
                <w:shd w:val="clear" w:color="auto" w:fill="auto"/>
                <w:lang w:val="en-US" w:eastAsia="zh-CN"/>
              </w:rPr>
              <w:t>0342</w:t>
            </w:r>
            <w:r>
              <w:rPr>
                <w:rFonts w:hint="default" w:ascii="Times New Roman" w:hAnsi="Times New Roman" w:eastAsia="宋体" w:cs="Times New Roman"/>
                <w:color w:val="auto"/>
                <w:kern w:val="0"/>
                <w:sz w:val="24"/>
                <w:szCs w:val="24"/>
                <w:highlight w:val="none"/>
                <w:shd w:val="clear" w:color="auto" w:fill="auto"/>
                <w:lang w:val="en-US" w:eastAsia="zh-CN"/>
              </w:rPr>
              <w:t>t/a，排放量为0.</w:t>
            </w:r>
            <w:r>
              <w:rPr>
                <w:rFonts w:hint="eastAsia" w:ascii="Times New Roman" w:hAnsi="Times New Roman" w:eastAsia="宋体" w:cs="Times New Roman"/>
                <w:color w:val="auto"/>
                <w:kern w:val="0"/>
                <w:sz w:val="24"/>
                <w:szCs w:val="24"/>
                <w:highlight w:val="none"/>
                <w:shd w:val="clear" w:color="auto" w:fill="auto"/>
                <w:lang w:val="en-US" w:eastAsia="zh-CN"/>
              </w:rPr>
              <w:t>0034</w:t>
            </w:r>
            <w:r>
              <w:rPr>
                <w:rFonts w:hint="default" w:ascii="Times New Roman" w:hAnsi="Times New Roman" w:eastAsia="宋体" w:cs="Times New Roman"/>
                <w:color w:val="auto"/>
                <w:kern w:val="0"/>
                <w:sz w:val="24"/>
                <w:szCs w:val="24"/>
                <w:highlight w:val="none"/>
                <w:shd w:val="clear" w:color="auto" w:fill="auto"/>
                <w:lang w:val="en-US" w:eastAsia="zh-CN"/>
              </w:rPr>
              <w:t>t/a。</w:t>
            </w:r>
          </w:p>
          <w:p w14:paraId="151863CC">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⑤制袋废气</w:t>
            </w:r>
          </w:p>
          <w:p w14:paraId="0D86C2FB">
            <w:pPr>
              <w:pStyle w:val="84"/>
              <w:keepNext w:val="0"/>
              <w:keepLines w:val="0"/>
              <w:numPr>
                <w:ilvl w:val="0"/>
                <w:numId w:val="0"/>
              </w:numPr>
              <w:suppressLineNumbers w:val="0"/>
              <w:spacing w:before="0" w:beforeAutospacing="0" w:after="0" w:afterAutospacing="0" w:line="500" w:lineRule="exact"/>
              <w:ind w:right="0" w:rightChars="0" w:firstLine="480" w:firstLineChars="200"/>
              <w:rPr>
                <w:rFonts w:hint="default" w:ascii="Times New Roman" w:hAnsi="Times New Roman" w:eastAsia="宋体" w:cs="Times New Roman"/>
                <w:color w:val="auto"/>
                <w:kern w:val="0"/>
                <w:sz w:val="24"/>
                <w:szCs w:val="24"/>
                <w:highlight w:val="none"/>
                <w:shd w:val="clear" w:color="auto" w:fill="auto"/>
                <w:lang w:val="en-US" w:eastAsia="zh-CN" w:bidi="ar-SA"/>
              </w:rPr>
            </w:pPr>
            <w:r>
              <w:rPr>
                <w:rFonts w:hint="eastAsia" w:ascii="Times New Roman" w:hAnsi="Times New Roman" w:eastAsia="宋体" w:cs="Times New Roman"/>
                <w:color w:val="auto"/>
                <w:kern w:val="0"/>
                <w:sz w:val="24"/>
                <w:szCs w:val="24"/>
                <w:highlight w:val="none"/>
                <w:shd w:val="clear" w:color="auto" w:fill="auto"/>
                <w:lang w:val="en-US" w:eastAsia="zh-CN"/>
              </w:rPr>
              <w:t>本</w:t>
            </w:r>
            <w:r>
              <w:rPr>
                <w:rFonts w:hint="default" w:ascii="Times New Roman" w:hAnsi="Times New Roman" w:eastAsia="宋体" w:cs="Times New Roman"/>
                <w:color w:val="auto"/>
                <w:kern w:val="0"/>
                <w:sz w:val="24"/>
                <w:szCs w:val="24"/>
                <w:highlight w:val="none"/>
                <w:shd w:val="clear" w:color="auto" w:fill="auto"/>
                <w:lang w:val="en-US" w:eastAsia="zh-CN"/>
              </w:rPr>
              <w:t>项目制袋分切过程会产生有机废气，主要污染物为非甲烷总烃。</w:t>
            </w:r>
            <w:r>
              <w:rPr>
                <w:rFonts w:hint="eastAsia" w:ascii="Times New Roman" w:hAnsi="Times New Roman" w:eastAsia="宋体" w:cs="Times New Roman"/>
                <w:color w:val="auto"/>
                <w:kern w:val="0"/>
                <w:sz w:val="24"/>
                <w:szCs w:val="24"/>
                <w:highlight w:val="none"/>
                <w:shd w:val="clear" w:color="auto" w:fill="auto"/>
                <w:lang w:val="en-US" w:eastAsia="zh-CN"/>
              </w:rPr>
              <w:t>制袋温度为100℃左右，</w:t>
            </w:r>
            <w:r>
              <w:rPr>
                <w:rFonts w:hint="default" w:ascii="Times New Roman" w:hAnsi="Times New Roman" w:eastAsia="宋体" w:cs="Times New Roman"/>
                <w:color w:val="auto"/>
                <w:kern w:val="0"/>
                <w:sz w:val="24"/>
                <w:szCs w:val="24"/>
                <w:highlight w:val="none"/>
                <w:shd w:val="clear" w:color="auto" w:fill="auto"/>
                <w:lang w:val="en-US" w:eastAsia="zh-CN"/>
              </w:rPr>
              <w:t>达不到PE、PET、BOPP的分解温度（PE300℃、PET</w:t>
            </w:r>
            <w:r>
              <w:rPr>
                <w:rFonts w:hint="eastAsia" w:ascii="Times New Roman" w:hAnsi="Times New Roman" w:eastAsia="宋体" w:cs="Times New Roman"/>
                <w:color w:val="auto"/>
                <w:kern w:val="0"/>
                <w:sz w:val="24"/>
                <w:szCs w:val="24"/>
                <w:highlight w:val="none"/>
                <w:shd w:val="clear" w:color="auto" w:fill="auto"/>
                <w:lang w:val="en-US" w:eastAsia="zh-CN"/>
              </w:rPr>
              <w:t>30</w:t>
            </w:r>
            <w:r>
              <w:rPr>
                <w:rFonts w:hint="default" w:ascii="Times New Roman" w:hAnsi="Times New Roman" w:eastAsia="宋体" w:cs="Times New Roman"/>
                <w:color w:val="auto"/>
                <w:kern w:val="0"/>
                <w:sz w:val="24"/>
                <w:szCs w:val="24"/>
                <w:highlight w:val="none"/>
                <w:shd w:val="clear" w:color="auto" w:fill="auto"/>
                <w:lang w:val="en-US" w:eastAsia="zh-CN"/>
              </w:rPr>
              <w:t>0℃、BOPP300℃以上），因此不会产生</w:t>
            </w:r>
            <w:r>
              <w:rPr>
                <w:rFonts w:hint="eastAsia" w:ascii="Times New Roman" w:hAnsi="Times New Roman" w:eastAsia="宋体" w:cs="Times New Roman"/>
                <w:color w:val="auto"/>
                <w:kern w:val="0"/>
                <w:sz w:val="24"/>
                <w:szCs w:val="24"/>
                <w:highlight w:val="none"/>
                <w:shd w:val="clear" w:color="auto" w:fill="auto"/>
                <w:lang w:val="en-US" w:eastAsia="zh-CN"/>
              </w:rPr>
              <w:t>分</w:t>
            </w:r>
            <w:r>
              <w:rPr>
                <w:rFonts w:hint="default" w:ascii="Times New Roman" w:hAnsi="Times New Roman" w:eastAsia="宋体" w:cs="Times New Roman"/>
                <w:color w:val="auto"/>
                <w:kern w:val="0"/>
                <w:sz w:val="24"/>
                <w:szCs w:val="24"/>
                <w:highlight w:val="none"/>
                <w:shd w:val="clear" w:color="auto" w:fill="auto"/>
                <w:lang w:val="en-US" w:eastAsia="zh-CN"/>
              </w:rPr>
              <w:t>解废气。</w:t>
            </w:r>
            <w:r>
              <w:rPr>
                <w:rFonts w:hint="eastAsia" w:ascii="Times New Roman" w:hAnsi="Times New Roman" w:eastAsia="宋体" w:cs="Times New Roman"/>
                <w:color w:val="auto"/>
                <w:kern w:val="0"/>
                <w:sz w:val="24"/>
                <w:szCs w:val="24"/>
                <w:highlight w:val="none"/>
                <w:shd w:val="clear" w:color="auto" w:fill="auto"/>
                <w:lang w:val="en-US" w:eastAsia="zh-CN"/>
              </w:rPr>
              <w:t>参考文献《PET热分解机理及热分解寿命方程研究》（高建国等，2016.45</w:t>
            </w:r>
            <w:r>
              <w:rPr>
                <w:rFonts w:hint="default" w:ascii="Times New Roman" w:hAnsi="Times New Roman" w:eastAsia="宋体" w:cs="Times New Roman"/>
                <w:color w:val="auto"/>
                <w:kern w:val="0"/>
                <w:sz w:val="24"/>
                <w:szCs w:val="24"/>
                <w:highlight w:val="none"/>
                <w:shd w:val="clear" w:color="auto" w:fill="auto"/>
                <w:lang w:val="en-US" w:eastAsia="zh-CN"/>
              </w:rPr>
              <w:t>（16）：</w:t>
            </w:r>
            <w:r>
              <w:rPr>
                <w:rFonts w:hint="eastAsia" w:ascii="Times New Roman" w:hAnsi="Times New Roman" w:eastAsia="宋体" w:cs="Times New Roman"/>
                <w:color w:val="auto"/>
                <w:kern w:val="0"/>
                <w:sz w:val="24"/>
                <w:szCs w:val="24"/>
                <w:highlight w:val="none"/>
                <w:shd w:val="clear" w:color="auto" w:fill="auto"/>
                <w:lang w:val="en-US" w:eastAsia="zh-CN"/>
              </w:rPr>
              <w:t>25-28，合成材料老化与应用），PET的起始分解温度约为300℃左右。</w:t>
            </w:r>
            <w:r>
              <w:rPr>
                <w:rFonts w:hint="default" w:ascii="Times New Roman" w:hAnsi="Times New Roman" w:eastAsia="宋体" w:cs="Times New Roman"/>
                <w:color w:val="auto"/>
                <w:kern w:val="0"/>
                <w:sz w:val="24"/>
                <w:szCs w:val="24"/>
                <w:highlight w:val="none"/>
                <w:shd w:val="clear" w:color="auto" w:fill="auto"/>
                <w:lang w:val="en-US" w:eastAsia="zh-CN"/>
              </w:rPr>
              <w:t>PET受热分解产物主要为乙醛</w:t>
            </w:r>
            <w:r>
              <w:rPr>
                <w:rFonts w:hint="eastAsia" w:ascii="Times New Roman" w:hAnsi="Times New Roman" w:eastAsia="宋体" w:cs="Times New Roman"/>
                <w:color w:val="auto"/>
                <w:kern w:val="0"/>
                <w:sz w:val="24"/>
                <w:szCs w:val="24"/>
                <w:highlight w:val="none"/>
                <w:shd w:val="clear" w:color="auto" w:fill="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还可能产生乙二醇、苯、一氧化碳、甲醛、烟雾和颗粒物等。本项目</w:t>
            </w:r>
            <w:r>
              <w:rPr>
                <w:rFonts w:hint="eastAsia" w:ascii="Times New Roman" w:hAnsi="Times New Roman" w:eastAsia="宋体" w:cs="Times New Roman"/>
                <w:color w:val="auto"/>
                <w:kern w:val="0"/>
                <w:sz w:val="24"/>
                <w:szCs w:val="24"/>
                <w:highlight w:val="none"/>
                <w:shd w:val="clear" w:color="auto" w:fill="auto"/>
                <w:lang w:val="en-US" w:eastAsia="zh-CN"/>
              </w:rPr>
              <w:t>制袋</w:t>
            </w:r>
            <w:r>
              <w:rPr>
                <w:rFonts w:hint="default" w:ascii="Times New Roman" w:hAnsi="Times New Roman" w:eastAsia="宋体" w:cs="Times New Roman"/>
                <w:color w:val="auto"/>
                <w:kern w:val="0"/>
                <w:sz w:val="24"/>
                <w:szCs w:val="24"/>
                <w:highlight w:val="none"/>
                <w:shd w:val="clear" w:color="auto" w:fill="auto"/>
                <w:lang w:val="en-US" w:eastAsia="zh-CN"/>
              </w:rPr>
              <w:t>温度约控制在</w:t>
            </w:r>
            <w:r>
              <w:rPr>
                <w:rFonts w:hint="eastAsia" w:ascii="Times New Roman" w:hAnsi="Times New Roman" w:eastAsia="宋体" w:cs="Times New Roman"/>
                <w:color w:val="auto"/>
                <w:kern w:val="0"/>
                <w:sz w:val="24"/>
                <w:szCs w:val="24"/>
                <w:highlight w:val="none"/>
                <w:shd w:val="clear" w:color="auto" w:fill="auto"/>
                <w:lang w:val="en-US" w:eastAsia="zh-CN"/>
              </w:rPr>
              <w:t>10</w:t>
            </w:r>
            <w:r>
              <w:rPr>
                <w:rFonts w:hint="default" w:ascii="Times New Roman" w:hAnsi="Times New Roman" w:eastAsia="宋体" w:cs="Times New Roman"/>
                <w:color w:val="auto"/>
                <w:kern w:val="0"/>
                <w:sz w:val="24"/>
                <w:szCs w:val="24"/>
                <w:highlight w:val="none"/>
                <w:shd w:val="clear" w:color="auto" w:fill="auto"/>
                <w:lang w:val="en-US" w:eastAsia="zh-CN"/>
              </w:rPr>
              <w:t>0℃，PET膜性能稳定，因此无乙醛和其他分解产物产生。</w:t>
            </w:r>
            <w:r>
              <w:rPr>
                <w:rFonts w:hint="eastAsia" w:ascii="Times New Roman" w:hAnsi="Times New Roman" w:eastAsia="宋体" w:cs="Times New Roman"/>
                <w:color w:val="auto"/>
                <w:kern w:val="0"/>
                <w:sz w:val="24"/>
                <w:szCs w:val="24"/>
                <w:highlight w:val="none"/>
                <w:shd w:val="clear" w:color="auto" w:fill="auto"/>
                <w:lang w:val="en-US" w:eastAsia="zh-CN"/>
              </w:rPr>
              <w:t>热压</w:t>
            </w:r>
            <w:r>
              <w:rPr>
                <w:rFonts w:hint="default" w:ascii="Times New Roman" w:hAnsi="Times New Roman" w:eastAsia="宋体" w:cs="Times New Roman"/>
                <w:color w:val="auto"/>
                <w:kern w:val="0"/>
                <w:sz w:val="24"/>
                <w:szCs w:val="24"/>
                <w:highlight w:val="none"/>
                <w:shd w:val="clear" w:color="auto" w:fill="auto"/>
                <w:lang w:val="en-US" w:eastAsia="zh-CN"/>
              </w:rPr>
              <w:t>接触面宽度占袋宽的最大占比</w:t>
            </w: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lang w:val="en-US" w:eastAsia="zh-CN"/>
              </w:rPr>
              <w:t>%计算。参考《空气污染物排放和控制手册》（美国国家环保局）中推荐的塑料加工废气排放系数</w:t>
            </w:r>
            <w:r>
              <w:rPr>
                <w:rFonts w:hint="eastAsia" w:ascii="Times New Roman" w:hAnsi="Times New Roman" w:eastAsia="宋体" w:cs="Times New Roman"/>
                <w:color w:val="auto"/>
                <w:kern w:val="0"/>
                <w:sz w:val="24"/>
                <w:szCs w:val="24"/>
                <w:highlight w:val="none"/>
                <w:shd w:val="clear" w:color="auto" w:fill="auto"/>
                <w:lang w:val="en-US" w:eastAsia="zh-CN"/>
              </w:rPr>
              <w:t>（此手册中</w:t>
            </w:r>
            <w:r>
              <w:rPr>
                <w:rFonts w:hint="default" w:ascii="Times New Roman" w:hAnsi="Times New Roman" w:eastAsia="宋体" w:cs="Times New Roman"/>
                <w:color w:val="auto"/>
                <w:kern w:val="0"/>
                <w:sz w:val="24"/>
                <w:szCs w:val="24"/>
                <w:highlight w:val="none"/>
                <w:shd w:val="clear" w:color="auto" w:fill="auto"/>
              </w:rPr>
              <w:t>排放因子标注</w:t>
            </w:r>
            <w:r>
              <w:rPr>
                <w:rFonts w:hint="eastAsia" w:ascii="Times New Roman" w:hAnsi="Times New Roman" w:eastAsia="宋体" w:cs="Times New Roman"/>
                <w:color w:val="auto"/>
                <w:kern w:val="0"/>
                <w:sz w:val="24"/>
                <w:szCs w:val="24"/>
                <w:highlight w:val="none"/>
                <w:shd w:val="clear" w:color="auto" w:fill="auto"/>
                <w:lang w:val="en-US" w:eastAsia="zh-CN"/>
              </w:rPr>
              <w:t>了文献</w:t>
            </w:r>
            <w:r>
              <w:rPr>
                <w:rFonts w:hint="default" w:ascii="Times New Roman" w:hAnsi="Times New Roman" w:eastAsia="宋体" w:cs="Times New Roman"/>
                <w:color w:val="auto"/>
                <w:kern w:val="0"/>
                <w:sz w:val="24"/>
                <w:szCs w:val="24"/>
                <w:highlight w:val="none"/>
                <w:shd w:val="clear" w:color="auto" w:fill="auto"/>
              </w:rPr>
              <w:t>来源，便于环评中追溯和论证</w:t>
            </w:r>
            <w:r>
              <w:rPr>
                <w:rFonts w:hint="eastAsia"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因此参考此手册的排放系数</w:t>
            </w:r>
            <w:r>
              <w:rPr>
                <w:rFonts w:hint="eastAsia"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，有机废气排放系数为0.35kg/t原料，本项目原料用量为</w:t>
            </w:r>
            <w:r>
              <w:rPr>
                <w:rFonts w:hint="eastAsia" w:ascii="Times New Roman" w:hAnsi="Times New Roman" w:eastAsia="宋体" w:cs="Times New Roman"/>
                <w:color w:val="auto"/>
                <w:kern w:val="0"/>
                <w:sz w:val="24"/>
                <w:szCs w:val="24"/>
                <w:highlight w:val="none"/>
                <w:shd w:val="clear" w:color="auto" w:fill="auto"/>
                <w:lang w:val="en-US" w:eastAsia="zh-CN"/>
              </w:rPr>
              <w:t>2000</w:t>
            </w:r>
            <w:r>
              <w:rPr>
                <w:rFonts w:hint="default" w:ascii="Times New Roman" w:hAnsi="Times New Roman" w:eastAsia="宋体" w:cs="Times New Roman"/>
                <w:color w:val="auto"/>
                <w:kern w:val="0"/>
                <w:sz w:val="24"/>
                <w:szCs w:val="24"/>
                <w:highlight w:val="none"/>
                <w:shd w:val="clear" w:color="auto" w:fill="auto"/>
                <w:lang w:val="en-US" w:eastAsia="zh-CN"/>
              </w:rPr>
              <w:t>t/a，</w:t>
            </w:r>
            <w:r>
              <w:rPr>
                <w:rFonts w:hint="eastAsia" w:ascii="Times New Roman" w:hAnsi="Times New Roman" w:eastAsia="宋体" w:cs="Times New Roman"/>
                <w:color w:val="auto"/>
                <w:kern w:val="0"/>
                <w:sz w:val="24"/>
                <w:szCs w:val="24"/>
                <w:highlight w:val="none"/>
                <w:shd w:val="clear" w:color="auto" w:fill="auto"/>
                <w:lang w:val="en-US" w:eastAsia="zh-CN"/>
              </w:rPr>
              <w:t>热压部分为100t/a。</w:t>
            </w:r>
            <w:r>
              <w:rPr>
                <w:rFonts w:hint="default" w:ascii="Times New Roman" w:hAnsi="Times New Roman" w:eastAsia="宋体" w:cs="Times New Roman"/>
                <w:color w:val="auto"/>
                <w:kern w:val="0"/>
                <w:sz w:val="24"/>
                <w:szCs w:val="24"/>
                <w:highlight w:val="none"/>
                <w:shd w:val="clear" w:color="auto" w:fill="auto"/>
                <w:lang w:val="en-US" w:eastAsia="zh-CN"/>
              </w:rPr>
              <w:t>则项目</w:t>
            </w:r>
            <w:r>
              <w:rPr>
                <w:rFonts w:hint="eastAsia" w:ascii="Times New Roman" w:hAnsi="Times New Roman" w:eastAsia="宋体" w:cs="Times New Roman"/>
                <w:color w:val="auto"/>
                <w:kern w:val="0"/>
                <w:sz w:val="24"/>
                <w:szCs w:val="24"/>
                <w:highlight w:val="none"/>
                <w:shd w:val="clear" w:color="auto" w:fill="auto"/>
                <w:lang w:val="en-US" w:eastAsia="zh-CN"/>
              </w:rPr>
              <w:t>制袋</w:t>
            </w:r>
            <w:r>
              <w:rPr>
                <w:rFonts w:hint="default" w:ascii="Times New Roman" w:hAnsi="Times New Roman" w:eastAsia="宋体" w:cs="Times New Roman"/>
                <w:color w:val="auto"/>
                <w:kern w:val="0"/>
                <w:sz w:val="24"/>
                <w:szCs w:val="24"/>
                <w:highlight w:val="none"/>
                <w:shd w:val="clear" w:color="auto" w:fill="auto"/>
                <w:lang w:val="en-US" w:eastAsia="zh-CN"/>
              </w:rPr>
              <w:t>非甲烷总烃产生量约为</w:t>
            </w:r>
            <w:r>
              <w:rPr>
                <w:rFonts w:hint="eastAsia" w:ascii="Times New Roman" w:hAnsi="Times New Roman" w:eastAsia="宋体" w:cs="Times New Roman"/>
                <w:color w:val="auto"/>
                <w:kern w:val="0"/>
                <w:sz w:val="24"/>
                <w:szCs w:val="24"/>
                <w:highlight w:val="none"/>
                <w:shd w:val="clear" w:color="auto" w:fill="auto"/>
                <w:lang w:val="en-US" w:eastAsia="zh-CN"/>
              </w:rPr>
              <w:t>0.0350</w:t>
            </w:r>
            <w:r>
              <w:rPr>
                <w:rFonts w:hint="default" w:ascii="Times New Roman" w:hAnsi="Times New Roman" w:eastAsia="宋体" w:cs="Times New Roman"/>
                <w:color w:val="auto"/>
                <w:kern w:val="0"/>
                <w:sz w:val="24"/>
                <w:szCs w:val="24"/>
                <w:highlight w:val="none"/>
                <w:shd w:val="clear" w:color="auto" w:fill="auto"/>
                <w:lang w:val="en-US" w:eastAsia="zh-CN"/>
              </w:rPr>
              <w:t>t/a。</w:t>
            </w:r>
            <w:r>
              <w:rPr>
                <w:rFonts w:hint="eastAsia" w:ascii="Times New Roman" w:hAnsi="Times New Roman" w:eastAsia="宋体" w:cs="Times New Roman"/>
                <w:color w:val="auto"/>
                <w:kern w:val="0"/>
                <w:sz w:val="24"/>
                <w:szCs w:val="24"/>
                <w:highlight w:val="none"/>
                <w:shd w:val="clear" w:color="auto" w:fill="auto"/>
                <w:lang w:val="en-US" w:eastAsia="zh-CN" w:bidi="ar-SA"/>
              </w:rPr>
              <w:t>制袋废气</w:t>
            </w:r>
            <w:r>
              <w:rPr>
                <w:rFonts w:hint="eastAsia" w:ascii="Times New Roman" w:hAnsi="Times New Roman" w:eastAsia="宋体" w:cs="Times New Roman"/>
                <w:color w:val="auto"/>
                <w:kern w:val="0"/>
                <w:sz w:val="24"/>
                <w:szCs w:val="24"/>
                <w:highlight w:val="none"/>
                <w:shd w:val="clear" w:color="auto" w:fill="auto"/>
                <w:lang w:val="en-US" w:eastAsia="zh-CN"/>
              </w:rPr>
              <w:t>经集气罩</w:t>
            </w:r>
            <w:r>
              <w:rPr>
                <w:rFonts w:hint="eastAsia" w:ascii="Times New Roman" w:hAnsi="Times New Roman" w:eastAsia="宋体" w:cs="Times New Roman"/>
                <w:color w:val="auto"/>
                <w:kern w:val="0"/>
                <w:sz w:val="24"/>
                <w:szCs w:val="24"/>
                <w:highlight w:val="none"/>
                <w:shd w:val="clear" w:color="auto" w:fill="auto"/>
                <w:lang w:val="en-US" w:eastAsia="zh-CN" w:bidi="ar-SA"/>
              </w:rPr>
              <w:t>收集后</w:t>
            </w:r>
            <w:r>
              <w:rPr>
                <w:rFonts w:hint="default" w:ascii="Times New Roman" w:hAnsi="Times New Roman" w:eastAsia="宋体" w:cs="Times New Roman"/>
                <w:color w:val="auto"/>
                <w:kern w:val="0"/>
                <w:sz w:val="24"/>
                <w:szCs w:val="24"/>
                <w:highlight w:val="none"/>
                <w:shd w:val="clear" w:color="auto" w:fill="auto"/>
                <w:lang w:val="en-US" w:eastAsia="zh-CN" w:bidi="ar-SA"/>
              </w:rPr>
              <w:t>进入</w:t>
            </w:r>
            <w:r>
              <w:rPr>
                <w:rFonts w:hint="eastAsia" w:ascii="Times New Roman" w:hAnsi="Times New Roman" w:eastAsia="宋体" w:cs="Times New Roman"/>
                <w:color w:val="auto"/>
                <w:kern w:val="0"/>
                <w:sz w:val="24"/>
                <w:szCs w:val="24"/>
                <w:highlight w:val="none"/>
                <w:shd w:val="clear" w:color="auto" w:fill="auto"/>
                <w:lang w:val="en-US" w:eastAsia="zh-CN" w:bidi="ar-SA"/>
              </w:rPr>
              <w:t>2#二级活性炭</w:t>
            </w:r>
            <w:r>
              <w:rPr>
                <w:rFonts w:hint="default" w:ascii="Times New Roman" w:hAnsi="Times New Roman" w:eastAsia="宋体" w:cs="Times New Roman"/>
                <w:color w:val="auto"/>
                <w:kern w:val="0"/>
                <w:sz w:val="24"/>
                <w:szCs w:val="24"/>
                <w:highlight w:val="none"/>
                <w:shd w:val="clear" w:color="auto" w:fill="auto"/>
                <w:lang w:val="en-US" w:eastAsia="zh-CN" w:bidi="ar-SA"/>
              </w:rPr>
              <w:t>处理</w:t>
            </w:r>
            <w:r>
              <w:rPr>
                <w:rFonts w:hint="eastAsia" w:ascii="Times New Roman" w:hAnsi="Times New Roman" w:eastAsia="宋体" w:cs="Times New Roman"/>
                <w:color w:val="auto"/>
                <w:kern w:val="0"/>
                <w:sz w:val="24"/>
                <w:szCs w:val="24"/>
                <w:highlight w:val="none"/>
                <w:shd w:val="clear" w:color="auto" w:fill="auto"/>
                <w:lang w:val="en-US" w:eastAsia="zh-CN" w:bidi="ar-SA"/>
              </w:rPr>
              <w:t>，通过2#</w:t>
            </w:r>
            <w:r>
              <w:rPr>
                <w:rFonts w:hint="default" w:ascii="Times New Roman" w:hAnsi="Times New Roman" w:eastAsia="宋体" w:cs="Times New Roman"/>
                <w:color w:val="auto"/>
                <w:kern w:val="0"/>
                <w:sz w:val="24"/>
                <w:szCs w:val="24"/>
                <w:highlight w:val="none"/>
                <w:shd w:val="clear" w:color="auto" w:fill="auto"/>
                <w:lang w:val="en-US" w:eastAsia="zh-CN" w:bidi="ar-SA"/>
              </w:rPr>
              <w:t>排气筒排放</w:t>
            </w:r>
            <w:r>
              <w:rPr>
                <w:rFonts w:hint="default" w:ascii="Times New Roman" w:hAnsi="Times New Roman" w:eastAsia="宋体" w:cs="Times New Roman"/>
                <w:color w:val="auto"/>
                <w:kern w:val="0"/>
                <w:sz w:val="24"/>
                <w:szCs w:val="24"/>
                <w:highlight w:val="none"/>
                <w:shd w:val="clear" w:color="auto" w:fill="auto"/>
                <w:lang w:val="en-US" w:eastAsia="zh-CN"/>
              </w:rPr>
              <w:t>（捕集率为9</w:t>
            </w:r>
            <w:r>
              <w:rPr>
                <w:rFonts w:hint="eastAsia" w:ascii="Times New Roman" w:hAnsi="Times New Roman" w:eastAsia="宋体" w:cs="Times New Roman"/>
                <w:color w:val="auto"/>
                <w:kern w:val="0"/>
                <w:sz w:val="24"/>
                <w:szCs w:val="24"/>
                <w:highlight w:val="none"/>
                <w:shd w:val="clear" w:color="auto" w:fill="auto"/>
                <w:lang w:val="en-US" w:eastAsia="zh-CN"/>
              </w:rPr>
              <w:t>0</w:t>
            </w:r>
            <w:r>
              <w:rPr>
                <w:rFonts w:hint="default" w:ascii="Times New Roman" w:hAnsi="Times New Roman" w:eastAsia="宋体" w:cs="Times New Roman"/>
                <w:color w:val="auto"/>
                <w:kern w:val="0"/>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去除率为9</w:t>
            </w:r>
            <w:r>
              <w:rPr>
                <w:rFonts w:hint="eastAsia" w:ascii="Times New Roman" w:hAnsi="Times New Roman" w:eastAsia="宋体" w:cs="Times New Roman"/>
                <w:color w:val="auto"/>
                <w:sz w:val="24"/>
                <w:szCs w:val="24"/>
                <w:highlight w:val="none"/>
                <w:shd w:val="clear" w:color="auto" w:fill="auto"/>
                <w:lang w:val="en-US" w:eastAsia="zh-CN"/>
              </w:rPr>
              <w:t>0</w:t>
            </w:r>
            <w:r>
              <w:rPr>
                <w:rFonts w:hint="default"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bidi="ar-SA"/>
              </w:rPr>
              <w:t>，则有组织</w:t>
            </w:r>
            <w:r>
              <w:rPr>
                <w:rFonts w:hint="eastAsia" w:ascii="Times New Roman" w:hAnsi="Times New Roman" w:eastAsia="宋体" w:cs="Times New Roman"/>
                <w:color w:val="auto"/>
                <w:kern w:val="0"/>
                <w:sz w:val="24"/>
                <w:szCs w:val="24"/>
                <w:highlight w:val="none"/>
                <w:shd w:val="clear" w:color="auto" w:fill="auto"/>
                <w:lang w:val="en-US" w:eastAsia="zh-CN" w:bidi="ar-SA"/>
              </w:rPr>
              <w:t>非甲烷总烃</w:t>
            </w:r>
            <w:r>
              <w:rPr>
                <w:rFonts w:hint="default" w:ascii="Times New Roman" w:hAnsi="Times New Roman" w:eastAsia="宋体" w:cs="Times New Roman"/>
                <w:color w:val="auto"/>
                <w:kern w:val="0"/>
                <w:sz w:val="24"/>
                <w:szCs w:val="24"/>
                <w:highlight w:val="none"/>
                <w:shd w:val="clear" w:color="auto" w:fill="auto"/>
                <w:lang w:val="en-US" w:eastAsia="zh-CN" w:bidi="ar-SA"/>
              </w:rPr>
              <w:t>产生量为0.</w:t>
            </w:r>
            <w:r>
              <w:rPr>
                <w:rFonts w:hint="eastAsia" w:ascii="Times New Roman" w:hAnsi="Times New Roman" w:eastAsia="宋体" w:cs="Times New Roman"/>
                <w:color w:val="auto"/>
                <w:kern w:val="0"/>
                <w:sz w:val="24"/>
                <w:szCs w:val="24"/>
                <w:highlight w:val="none"/>
                <w:shd w:val="clear" w:color="auto" w:fill="auto"/>
                <w:lang w:val="en-US" w:eastAsia="zh-CN" w:bidi="ar-SA"/>
              </w:rPr>
              <w:t>0315</w:t>
            </w:r>
            <w:r>
              <w:rPr>
                <w:rFonts w:hint="default" w:ascii="Times New Roman" w:hAnsi="Times New Roman" w:eastAsia="宋体" w:cs="Times New Roman"/>
                <w:color w:val="auto"/>
                <w:kern w:val="0"/>
                <w:sz w:val="24"/>
                <w:szCs w:val="24"/>
                <w:highlight w:val="none"/>
                <w:shd w:val="clear" w:color="auto" w:fill="auto"/>
                <w:lang w:val="en-US" w:eastAsia="zh-CN" w:bidi="ar-SA"/>
              </w:rPr>
              <w:t>t/a，排放量为0.0</w:t>
            </w:r>
            <w:r>
              <w:rPr>
                <w:rFonts w:hint="eastAsia" w:ascii="Times New Roman" w:hAnsi="Times New Roman" w:eastAsia="宋体" w:cs="Times New Roman"/>
                <w:color w:val="auto"/>
                <w:kern w:val="0"/>
                <w:sz w:val="24"/>
                <w:szCs w:val="24"/>
                <w:highlight w:val="none"/>
                <w:shd w:val="clear" w:color="auto" w:fill="auto"/>
                <w:lang w:val="en-US" w:eastAsia="zh-CN" w:bidi="ar-SA"/>
              </w:rPr>
              <w:t>032</w:t>
            </w:r>
            <w:r>
              <w:rPr>
                <w:rFonts w:hint="default" w:ascii="Times New Roman" w:hAnsi="Times New Roman" w:eastAsia="宋体" w:cs="Times New Roman"/>
                <w:color w:val="auto"/>
                <w:kern w:val="0"/>
                <w:sz w:val="24"/>
                <w:szCs w:val="24"/>
                <w:highlight w:val="none"/>
                <w:shd w:val="clear" w:color="auto" w:fill="auto"/>
                <w:lang w:val="en-US" w:eastAsia="zh-CN" w:bidi="ar-SA"/>
              </w:rPr>
              <w:t>t/a。</w:t>
            </w:r>
          </w:p>
          <w:p w14:paraId="6BFA5C94">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sz w:val="24"/>
                <w:shd w:val="clear" w:color="auto" w:fill="auto"/>
                <w:lang w:val="en-US"/>
              </w:rPr>
            </w:pPr>
            <w:r>
              <w:rPr>
                <w:rFonts w:hint="eastAsia" w:ascii="Times New Roman" w:hAnsi="Times New Roman" w:eastAsia="宋体" w:cs="Times New Roman"/>
                <w:color w:val="auto"/>
                <w:kern w:val="0"/>
                <w:sz w:val="24"/>
                <w:szCs w:val="24"/>
                <w:highlight w:val="none"/>
                <w:shd w:val="clear" w:color="auto" w:fill="auto"/>
                <w:lang w:val="en-US" w:eastAsia="zh-CN" w:bidi="ar-SA"/>
              </w:rPr>
              <w:t>⑥清洗废气</w:t>
            </w:r>
          </w:p>
          <w:p w14:paraId="1E3F9F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非甲烷总烃：</w:t>
            </w:r>
            <w:r>
              <w:rPr>
                <w:rFonts w:hint="default" w:ascii="Times New Roman" w:hAnsi="Times New Roman" w:eastAsia="宋体" w:cs="Times New Roman"/>
                <w:color w:val="auto"/>
                <w:kern w:val="0"/>
                <w:sz w:val="24"/>
                <w:szCs w:val="24"/>
                <w:highlight w:val="none"/>
                <w:shd w:val="clear" w:color="auto" w:fill="auto"/>
                <w:lang w:val="en-US" w:eastAsia="zh-CN"/>
              </w:rPr>
              <w:t>本项目</w:t>
            </w:r>
            <w:r>
              <w:rPr>
                <w:rFonts w:hint="eastAsia" w:ascii="Times New Roman" w:hAnsi="Times New Roman" w:eastAsia="宋体" w:cs="Times New Roman"/>
                <w:color w:val="auto"/>
                <w:kern w:val="0"/>
                <w:sz w:val="24"/>
                <w:szCs w:val="24"/>
                <w:highlight w:val="none"/>
                <w:shd w:val="clear" w:color="auto" w:fill="auto"/>
                <w:lang w:val="en-US" w:eastAsia="zh-CN"/>
              </w:rPr>
              <w:t>使用乙酸乙酯清洗印刷机和复合机，其中含有</w:t>
            </w:r>
            <w:r>
              <w:rPr>
                <w:rFonts w:hint="default" w:ascii="Times New Roman" w:hAnsi="Times New Roman" w:eastAsia="宋体" w:cs="Times New Roman"/>
                <w:color w:val="auto"/>
                <w:kern w:val="0"/>
                <w:sz w:val="24"/>
                <w:szCs w:val="24"/>
                <w:highlight w:val="none"/>
                <w:shd w:val="clear" w:color="auto" w:fill="auto"/>
                <w:lang w:val="en-US" w:eastAsia="zh-CN"/>
              </w:rPr>
              <w:t>挥发性有机物。根据VOCs检测报告，乙酸乙酯中的挥发性有机物检测含量为789g/L，</w:t>
            </w:r>
            <w:r>
              <w:rPr>
                <w:rFonts w:hint="eastAsia" w:ascii="Times New Roman" w:hAnsi="Times New Roman" w:eastAsia="宋体" w:cs="Times New Roman"/>
                <w:color w:val="auto"/>
                <w:kern w:val="0"/>
                <w:sz w:val="24"/>
                <w:szCs w:val="24"/>
                <w:highlight w:val="none"/>
                <w:shd w:val="clear" w:color="auto" w:fill="auto"/>
                <w:lang w:val="en-US" w:eastAsia="zh-CN"/>
              </w:rPr>
              <w:t>产生的废气</w:t>
            </w:r>
            <w:r>
              <w:rPr>
                <w:rFonts w:hint="default" w:ascii="Times New Roman" w:hAnsi="Times New Roman" w:eastAsia="宋体" w:cs="Times New Roman"/>
                <w:color w:val="auto"/>
                <w:kern w:val="0"/>
                <w:sz w:val="24"/>
                <w:szCs w:val="24"/>
                <w:highlight w:val="none"/>
                <w:shd w:val="clear" w:color="auto" w:fill="auto"/>
                <w:lang w:val="en-US" w:eastAsia="zh-CN"/>
              </w:rPr>
              <w:t>以非甲烷总烃计。乙酸乙酯的用量为</w:t>
            </w:r>
            <w:r>
              <w:rPr>
                <w:rFonts w:hint="eastAsia" w:ascii="Times New Roman" w:hAnsi="Times New Roman" w:eastAsia="宋体" w:cs="Times New Roman"/>
                <w:color w:val="auto"/>
                <w:kern w:val="0"/>
                <w:sz w:val="24"/>
                <w:szCs w:val="24"/>
                <w:highlight w:val="none"/>
                <w:shd w:val="clear" w:color="auto" w:fill="auto"/>
                <w:lang w:val="en-US" w:eastAsia="zh-CN"/>
              </w:rPr>
              <w:t>0.2</w:t>
            </w:r>
            <w:r>
              <w:rPr>
                <w:rFonts w:hint="default" w:ascii="Times New Roman" w:hAnsi="Times New Roman" w:eastAsia="宋体" w:cs="Times New Roman"/>
                <w:color w:val="auto"/>
                <w:kern w:val="0"/>
                <w:sz w:val="24"/>
                <w:szCs w:val="24"/>
                <w:highlight w:val="none"/>
                <w:shd w:val="clear" w:color="auto" w:fill="auto"/>
                <w:lang w:val="en-US" w:eastAsia="zh-CN"/>
              </w:rPr>
              <w:t>t/a，密度为3.04g/cm</w:t>
            </w:r>
            <w:r>
              <w:rPr>
                <w:rFonts w:hint="default" w:ascii="Times New Roman" w:hAnsi="Times New Roman" w:eastAsia="宋体" w:cs="Times New Roman"/>
                <w:color w:val="auto"/>
                <w:kern w:val="0"/>
                <w:sz w:val="24"/>
                <w:szCs w:val="24"/>
                <w:highlight w:val="none"/>
                <w:shd w:val="clear" w:color="auto" w:fill="auto"/>
                <w:vertAlign w:val="superscript"/>
                <w:lang w:val="en-US" w:eastAsia="zh-CN"/>
              </w:rPr>
              <w:t>3</w:t>
            </w:r>
            <w:r>
              <w:rPr>
                <w:rFonts w:hint="default" w:ascii="Times New Roman" w:hAnsi="Times New Roman" w:eastAsia="宋体" w:cs="Times New Roman"/>
                <w:color w:val="auto"/>
                <w:kern w:val="0"/>
                <w:sz w:val="24"/>
                <w:szCs w:val="24"/>
                <w:highlight w:val="none"/>
                <w:shd w:val="clear" w:color="auto" w:fill="auto"/>
                <w:lang w:val="en-US" w:eastAsia="zh-CN"/>
              </w:rPr>
              <w:t>，则非甲烷总烃的产生量为0.</w:t>
            </w:r>
            <w:r>
              <w:rPr>
                <w:rFonts w:hint="eastAsia" w:ascii="Times New Roman" w:hAnsi="Times New Roman" w:eastAsia="宋体" w:cs="Times New Roman"/>
                <w:color w:val="auto"/>
                <w:kern w:val="0"/>
                <w:sz w:val="24"/>
                <w:szCs w:val="24"/>
                <w:highlight w:val="none"/>
                <w:shd w:val="clear" w:color="auto" w:fill="auto"/>
                <w:lang w:val="en-US" w:eastAsia="zh-CN"/>
              </w:rPr>
              <w:t>0520</w:t>
            </w:r>
            <w:r>
              <w:rPr>
                <w:rFonts w:hint="default" w:ascii="Times New Roman" w:hAnsi="Times New Roman" w:eastAsia="宋体" w:cs="Times New Roman"/>
                <w:color w:val="auto"/>
                <w:kern w:val="0"/>
                <w:sz w:val="24"/>
                <w:szCs w:val="24"/>
                <w:highlight w:val="none"/>
                <w:shd w:val="clear" w:color="auto" w:fill="auto"/>
                <w:lang w:val="en-US" w:eastAsia="zh-CN"/>
              </w:rPr>
              <w:t>t/a。</w:t>
            </w:r>
            <w:r>
              <w:rPr>
                <w:rFonts w:hint="eastAsia" w:ascii="Times New Roman" w:hAnsi="Times New Roman" w:eastAsia="宋体" w:cs="Times New Roman"/>
                <w:color w:val="auto"/>
                <w:kern w:val="0"/>
                <w:sz w:val="24"/>
                <w:szCs w:val="24"/>
                <w:highlight w:val="none"/>
                <w:shd w:val="clear" w:color="auto" w:fill="auto"/>
                <w:lang w:val="en-US" w:eastAsia="zh-CN"/>
              </w:rPr>
              <w:t>清洗</w:t>
            </w:r>
            <w:r>
              <w:rPr>
                <w:rFonts w:hint="default" w:ascii="Times New Roman" w:hAnsi="Times New Roman" w:eastAsia="宋体" w:cs="Times New Roman"/>
                <w:color w:val="auto"/>
                <w:kern w:val="0"/>
                <w:sz w:val="24"/>
                <w:szCs w:val="24"/>
                <w:highlight w:val="none"/>
                <w:shd w:val="clear" w:color="auto" w:fill="auto"/>
                <w:lang w:val="en-US" w:eastAsia="zh-CN"/>
              </w:rPr>
              <w:t>废气</w:t>
            </w:r>
            <w:r>
              <w:rPr>
                <w:rFonts w:hint="eastAsia" w:ascii="Times New Roman" w:hAnsi="Times New Roman" w:eastAsia="宋体" w:cs="Times New Roman"/>
                <w:color w:val="auto"/>
                <w:kern w:val="0"/>
                <w:sz w:val="24"/>
                <w:szCs w:val="24"/>
                <w:highlight w:val="none"/>
                <w:shd w:val="clear" w:color="auto"/>
                <w:lang w:val="en-US" w:eastAsia="zh-CN" w:bidi="ar-SA"/>
              </w:rPr>
              <w:t>在密闭车间内负压收集后</w:t>
            </w:r>
            <w:r>
              <w:rPr>
                <w:rFonts w:hint="default" w:ascii="Times New Roman" w:hAnsi="Times New Roman" w:eastAsia="宋体" w:cs="Times New Roman"/>
                <w:color w:val="auto"/>
                <w:kern w:val="0"/>
                <w:sz w:val="24"/>
                <w:szCs w:val="24"/>
                <w:highlight w:val="none"/>
                <w:shd w:val="clear" w:color="auto"/>
                <w:lang w:val="en-US" w:eastAsia="zh-CN" w:bidi="ar-SA"/>
              </w:rPr>
              <w:t>进入</w:t>
            </w:r>
            <w:r>
              <w:rPr>
                <w:rFonts w:hint="eastAsia" w:ascii="Times New Roman" w:hAnsi="Times New Roman" w:eastAsia="宋体" w:cs="Times New Roman"/>
                <w:color w:val="auto"/>
                <w:kern w:val="0"/>
                <w:sz w:val="24"/>
                <w:szCs w:val="24"/>
                <w:highlight w:val="none"/>
                <w:shd w:val="clear" w:color="auto"/>
                <w:lang w:val="en-US" w:eastAsia="zh-CN" w:bidi="ar-SA"/>
              </w:rPr>
              <w:t>1#二级活性炭</w:t>
            </w:r>
            <w:r>
              <w:rPr>
                <w:rFonts w:hint="default" w:ascii="Times New Roman" w:hAnsi="Times New Roman" w:eastAsia="宋体" w:cs="Times New Roman"/>
                <w:color w:val="auto"/>
                <w:kern w:val="0"/>
                <w:sz w:val="24"/>
                <w:szCs w:val="24"/>
                <w:highlight w:val="none"/>
                <w:shd w:val="clear" w:color="auto"/>
                <w:lang w:val="en-US" w:eastAsia="zh-CN" w:bidi="ar-SA"/>
              </w:rPr>
              <w:t>处理</w:t>
            </w:r>
            <w:r>
              <w:rPr>
                <w:rFonts w:hint="eastAsia" w:ascii="Times New Roman" w:hAnsi="Times New Roman" w:eastAsia="宋体" w:cs="Times New Roman"/>
                <w:color w:val="auto"/>
                <w:kern w:val="0"/>
                <w:sz w:val="24"/>
                <w:szCs w:val="24"/>
                <w:highlight w:val="none"/>
                <w:shd w:val="clear" w:color="auto"/>
                <w:lang w:val="en-US" w:eastAsia="zh-CN" w:bidi="ar-SA"/>
              </w:rPr>
              <w:t>，通过1#</w:t>
            </w:r>
            <w:r>
              <w:rPr>
                <w:rFonts w:hint="default" w:ascii="Times New Roman" w:hAnsi="Times New Roman" w:eastAsia="宋体" w:cs="Times New Roman"/>
                <w:color w:val="auto"/>
                <w:kern w:val="0"/>
                <w:sz w:val="24"/>
                <w:szCs w:val="24"/>
                <w:highlight w:val="none"/>
                <w:shd w:val="clear" w:color="auto"/>
                <w:lang w:val="en-US" w:eastAsia="zh-CN" w:bidi="ar-SA"/>
              </w:rPr>
              <w:t>排气筒排放</w:t>
            </w:r>
            <w:r>
              <w:rPr>
                <w:rFonts w:hint="default" w:ascii="Times New Roman" w:hAnsi="Times New Roman" w:eastAsia="宋体" w:cs="Times New Roman"/>
                <w:color w:val="auto"/>
                <w:kern w:val="0"/>
                <w:sz w:val="24"/>
                <w:szCs w:val="24"/>
                <w:highlight w:val="none"/>
                <w:shd w:val="clear" w:color="auto"/>
                <w:lang w:val="en-US" w:eastAsia="zh-CN"/>
              </w:rPr>
              <w:t>（捕集率为9</w:t>
            </w:r>
            <w:r>
              <w:rPr>
                <w:rFonts w:hint="eastAsia" w:ascii="Times New Roman" w:hAnsi="Times New Roman" w:eastAsia="宋体" w:cs="Times New Roman"/>
                <w:color w:val="auto"/>
                <w:kern w:val="0"/>
                <w:sz w:val="24"/>
                <w:szCs w:val="24"/>
                <w:highlight w:val="none"/>
                <w:shd w:val="clear" w:color="auto"/>
                <w:lang w:val="en-US" w:eastAsia="zh-CN"/>
              </w:rPr>
              <w:t>5</w:t>
            </w:r>
            <w:r>
              <w:rPr>
                <w:rFonts w:hint="default" w:ascii="Times New Roman" w:hAnsi="Times New Roman" w:eastAsia="宋体" w:cs="Times New Roman"/>
                <w:color w:val="auto"/>
                <w:kern w:val="0"/>
                <w:sz w:val="24"/>
                <w:szCs w:val="24"/>
                <w:highlight w:val="none"/>
                <w:shd w:val="clear" w:color="auto"/>
                <w:lang w:val="en-US" w:eastAsia="zh-CN"/>
              </w:rPr>
              <w:t>%，</w:t>
            </w:r>
            <w:r>
              <w:rPr>
                <w:rFonts w:hint="default" w:ascii="Times New Roman" w:hAnsi="Times New Roman" w:eastAsia="宋体" w:cs="Times New Roman"/>
                <w:color w:val="auto"/>
                <w:sz w:val="24"/>
                <w:szCs w:val="24"/>
                <w:highlight w:val="none"/>
                <w:shd w:val="clear" w:color="auto"/>
                <w:lang w:val="en-US" w:eastAsia="zh-CN"/>
              </w:rPr>
              <w:t>去除率为9</w:t>
            </w:r>
            <w:r>
              <w:rPr>
                <w:rFonts w:hint="eastAsia" w:ascii="Times New Roman" w:hAnsi="Times New Roman" w:eastAsia="宋体" w:cs="Times New Roman"/>
                <w:color w:val="auto"/>
                <w:sz w:val="24"/>
                <w:szCs w:val="24"/>
                <w:highlight w:val="none"/>
                <w:shd w:val="clear" w:color="auto"/>
                <w:lang w:val="en-US" w:eastAsia="zh-CN"/>
              </w:rPr>
              <w:t>0</w:t>
            </w:r>
            <w:r>
              <w:rPr>
                <w:rFonts w:hint="default" w:ascii="Times New Roman" w:hAnsi="Times New Roman" w:eastAsia="宋体" w:cs="Times New Roman"/>
                <w:color w:val="auto"/>
                <w:sz w:val="24"/>
                <w:szCs w:val="24"/>
                <w:highlight w:val="none"/>
                <w:shd w:val="clear" w:color="auto"/>
                <w:lang w:val="en-US" w:eastAsia="zh-CN"/>
              </w:rPr>
              <w:t>%</w:t>
            </w:r>
            <w:r>
              <w:rPr>
                <w:rFonts w:hint="default" w:ascii="Times New Roman" w:hAnsi="Times New Roman" w:eastAsia="宋体" w:cs="Times New Roman"/>
                <w:color w:val="auto"/>
                <w:kern w:val="0"/>
                <w:sz w:val="24"/>
                <w:szCs w:val="24"/>
                <w:highlight w:val="none"/>
                <w:shd w:val="clear" w:color="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，则有组织非甲烷总烃产生量为0.</w:t>
            </w:r>
            <w:r>
              <w:rPr>
                <w:rFonts w:hint="eastAsia" w:ascii="Times New Roman" w:hAnsi="Times New Roman" w:eastAsia="宋体" w:cs="Times New Roman"/>
                <w:color w:val="auto"/>
                <w:kern w:val="0"/>
                <w:sz w:val="24"/>
                <w:szCs w:val="24"/>
                <w:highlight w:val="none"/>
                <w:shd w:val="clear" w:color="auto" w:fill="auto"/>
                <w:lang w:val="en-US" w:eastAsia="zh-CN"/>
              </w:rPr>
              <w:t>0494</w:t>
            </w:r>
            <w:r>
              <w:rPr>
                <w:rFonts w:hint="default" w:ascii="Times New Roman" w:hAnsi="Times New Roman" w:eastAsia="宋体" w:cs="Times New Roman"/>
                <w:color w:val="auto"/>
                <w:kern w:val="0"/>
                <w:sz w:val="24"/>
                <w:szCs w:val="24"/>
                <w:highlight w:val="none"/>
                <w:shd w:val="clear" w:color="auto" w:fill="auto"/>
                <w:lang w:val="en-US" w:eastAsia="zh-CN"/>
              </w:rPr>
              <w:t>t/a，排放量为0.0</w:t>
            </w:r>
            <w:r>
              <w:rPr>
                <w:rFonts w:hint="eastAsia" w:ascii="Times New Roman" w:hAnsi="Times New Roman" w:eastAsia="宋体" w:cs="Times New Roman"/>
                <w:color w:val="auto"/>
                <w:kern w:val="0"/>
                <w:sz w:val="24"/>
                <w:szCs w:val="24"/>
                <w:highlight w:val="none"/>
                <w:shd w:val="clear" w:color="auto" w:fill="auto"/>
                <w:lang w:val="en-US" w:eastAsia="zh-CN"/>
              </w:rPr>
              <w:t>049</w:t>
            </w:r>
            <w:r>
              <w:rPr>
                <w:rFonts w:hint="default" w:ascii="Times New Roman" w:hAnsi="Times New Roman" w:eastAsia="宋体" w:cs="Times New Roman"/>
                <w:color w:val="auto"/>
                <w:kern w:val="0"/>
                <w:sz w:val="24"/>
                <w:szCs w:val="24"/>
                <w:highlight w:val="none"/>
                <w:shd w:val="clear" w:color="auto" w:fill="auto"/>
                <w:lang w:val="en-US" w:eastAsia="zh-CN"/>
              </w:rPr>
              <w:t>t/a。</w:t>
            </w:r>
          </w:p>
          <w:p w14:paraId="24DCE7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TVOC：</w:t>
            </w:r>
            <w:r>
              <w:rPr>
                <w:rFonts w:hint="default" w:ascii="Times New Roman" w:hAnsi="Times New Roman" w:eastAsia="宋体" w:cs="Times New Roman"/>
                <w:color w:val="auto"/>
                <w:kern w:val="0"/>
                <w:sz w:val="24"/>
                <w:szCs w:val="24"/>
                <w:highlight w:val="none"/>
                <w:shd w:val="clear" w:color="auto" w:fill="auto"/>
                <w:lang w:val="en-US" w:eastAsia="zh-CN"/>
              </w:rPr>
              <w:t>根据乙酸乙酯MSDS报告，</w:t>
            </w:r>
            <w:r>
              <w:rPr>
                <w:rFonts w:hint="eastAsia" w:ascii="Times New Roman" w:hAnsi="Times New Roman" w:eastAsia="宋体" w:cs="Times New Roman"/>
                <w:color w:val="auto"/>
                <w:kern w:val="0"/>
                <w:sz w:val="24"/>
                <w:szCs w:val="24"/>
                <w:highlight w:val="none"/>
                <w:shd w:val="clear" w:color="auto" w:fill="auto"/>
                <w:lang w:val="en-US" w:eastAsia="zh-CN"/>
              </w:rPr>
              <w:t>本项目使用的</w:t>
            </w:r>
            <w:r>
              <w:rPr>
                <w:rFonts w:hint="default" w:ascii="Times New Roman" w:hAnsi="Times New Roman" w:eastAsia="宋体" w:cs="Times New Roman"/>
                <w:color w:val="auto"/>
                <w:kern w:val="0"/>
                <w:sz w:val="24"/>
                <w:szCs w:val="24"/>
                <w:highlight w:val="none"/>
                <w:shd w:val="clear" w:color="auto" w:fill="auto"/>
                <w:lang w:val="en-US" w:eastAsia="zh-CN"/>
              </w:rPr>
              <w:t>乙酸乙酯</w:t>
            </w:r>
            <w:r>
              <w:rPr>
                <w:rFonts w:hint="eastAsia" w:ascii="Times New Roman" w:hAnsi="Times New Roman" w:eastAsia="宋体" w:cs="Times New Roman"/>
                <w:color w:val="auto"/>
                <w:kern w:val="0"/>
                <w:sz w:val="24"/>
                <w:szCs w:val="24"/>
                <w:highlight w:val="none"/>
                <w:shd w:val="clear" w:color="auto" w:fill="auto"/>
                <w:lang w:val="en-US" w:eastAsia="zh-CN"/>
              </w:rPr>
              <w:t>中的乙酸乙酯含量计为100%，</w:t>
            </w:r>
            <w:r>
              <w:rPr>
                <w:rFonts w:hint="default" w:ascii="Times New Roman" w:hAnsi="Times New Roman" w:eastAsia="宋体" w:cs="Times New Roman"/>
                <w:color w:val="auto"/>
                <w:kern w:val="0"/>
                <w:sz w:val="24"/>
                <w:szCs w:val="24"/>
                <w:highlight w:val="none"/>
                <w:shd w:val="clear" w:color="auto" w:fill="auto"/>
                <w:lang w:val="en-US" w:eastAsia="zh-CN"/>
              </w:rPr>
              <w:t>乙酸乙酯的用量为0.</w:t>
            </w:r>
            <w:r>
              <w:rPr>
                <w:rFonts w:hint="eastAsia" w:ascii="Times New Roman" w:hAnsi="Times New Roman" w:eastAsia="宋体" w:cs="Times New Roman"/>
                <w:color w:val="auto"/>
                <w:kern w:val="0"/>
                <w:sz w:val="24"/>
                <w:szCs w:val="24"/>
                <w:highlight w:val="none"/>
                <w:shd w:val="clear" w:color="auto" w:fill="auto"/>
                <w:lang w:val="en-US" w:eastAsia="zh-CN"/>
              </w:rPr>
              <w:t>2</w:t>
            </w:r>
            <w:r>
              <w:rPr>
                <w:rFonts w:hint="default" w:ascii="Times New Roman" w:hAnsi="Times New Roman" w:eastAsia="宋体" w:cs="Times New Roman"/>
                <w:color w:val="auto"/>
                <w:kern w:val="0"/>
                <w:sz w:val="24"/>
                <w:szCs w:val="24"/>
                <w:highlight w:val="none"/>
                <w:shd w:val="clear" w:color="auto" w:fill="auto"/>
                <w:lang w:val="en-US" w:eastAsia="zh-CN"/>
              </w:rPr>
              <w:t>t</w:t>
            </w:r>
            <w:r>
              <w:rPr>
                <w:rFonts w:hint="eastAsia" w:ascii="Times New Roman" w:hAnsi="Times New Roman" w:eastAsia="宋体" w:cs="Times New Roman"/>
                <w:color w:val="auto"/>
                <w:kern w:val="0"/>
                <w:sz w:val="24"/>
                <w:szCs w:val="24"/>
                <w:highlight w:val="none"/>
                <w:shd w:val="clear" w:color="auto" w:fill="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a，则乙酸乙酯</w:t>
            </w:r>
            <w:r>
              <w:rPr>
                <w:rFonts w:hint="eastAsia" w:ascii="Times New Roman" w:hAnsi="Times New Roman" w:eastAsia="宋体" w:cs="Times New Roman"/>
                <w:color w:val="auto"/>
                <w:kern w:val="0"/>
                <w:sz w:val="24"/>
                <w:szCs w:val="24"/>
                <w:highlight w:val="none"/>
                <w:shd w:val="clear" w:color="auto" w:fill="auto"/>
                <w:lang w:val="en-US" w:eastAsia="zh-CN"/>
              </w:rPr>
              <w:t>废气</w:t>
            </w:r>
            <w:r>
              <w:rPr>
                <w:rFonts w:hint="default" w:ascii="Times New Roman" w:hAnsi="Times New Roman" w:eastAsia="宋体" w:cs="Times New Roman"/>
                <w:color w:val="auto"/>
                <w:kern w:val="0"/>
                <w:sz w:val="24"/>
                <w:szCs w:val="24"/>
                <w:highlight w:val="none"/>
                <w:shd w:val="clear" w:color="auto" w:fill="auto"/>
                <w:lang w:val="en-US" w:eastAsia="zh-CN"/>
              </w:rPr>
              <w:t>的产生量为0.</w:t>
            </w:r>
            <w:r>
              <w:rPr>
                <w:rFonts w:hint="eastAsia" w:ascii="Times New Roman" w:hAnsi="Times New Roman" w:eastAsia="宋体" w:cs="Times New Roman"/>
                <w:color w:val="auto"/>
                <w:kern w:val="0"/>
                <w:sz w:val="24"/>
                <w:szCs w:val="24"/>
                <w:highlight w:val="none"/>
                <w:shd w:val="clear" w:color="auto" w:fill="auto"/>
                <w:lang w:val="en-US" w:eastAsia="zh-CN"/>
              </w:rPr>
              <w:t>2</w:t>
            </w:r>
            <w:r>
              <w:rPr>
                <w:rFonts w:hint="default" w:ascii="Times New Roman" w:hAnsi="Times New Roman" w:eastAsia="宋体" w:cs="Times New Roman"/>
                <w:color w:val="auto"/>
                <w:kern w:val="0"/>
                <w:sz w:val="24"/>
                <w:szCs w:val="24"/>
                <w:highlight w:val="none"/>
                <w:shd w:val="clear" w:color="auto" w:fill="auto"/>
                <w:lang w:val="en-US" w:eastAsia="zh-CN"/>
              </w:rPr>
              <w:t>t</w:t>
            </w:r>
            <w:r>
              <w:rPr>
                <w:rFonts w:hint="eastAsia" w:ascii="Times New Roman" w:hAnsi="Times New Roman" w:eastAsia="宋体" w:cs="Times New Roman"/>
                <w:color w:val="auto"/>
                <w:kern w:val="0"/>
                <w:sz w:val="24"/>
                <w:szCs w:val="24"/>
                <w:highlight w:val="none"/>
                <w:shd w:val="clear" w:color="auto" w:fill="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a</w:t>
            </w:r>
            <w:r>
              <w:rPr>
                <w:rFonts w:hint="eastAsia" w:ascii="Times New Roman" w:hAnsi="Times New Roman" w:eastAsia="宋体" w:cs="Times New Roman"/>
                <w:color w:val="auto"/>
                <w:kern w:val="0"/>
                <w:sz w:val="24"/>
                <w:szCs w:val="24"/>
                <w:highlight w:val="none"/>
                <w:shd w:val="clear" w:color="auto" w:fill="auto"/>
                <w:lang w:val="en-US" w:eastAsia="zh-CN"/>
              </w:rPr>
              <w:t>则</w:t>
            </w:r>
            <w:r>
              <w:rPr>
                <w:rFonts w:hint="default" w:ascii="Times New Roman" w:hAnsi="Times New Roman" w:eastAsia="宋体" w:cs="Times New Roman"/>
                <w:color w:val="auto"/>
                <w:kern w:val="0"/>
                <w:sz w:val="24"/>
                <w:szCs w:val="24"/>
                <w:highlight w:val="none"/>
                <w:shd w:val="clear" w:color="auto" w:fill="auto"/>
                <w:lang w:val="en-US" w:eastAsia="zh-CN"/>
              </w:rPr>
              <w:t>TVOC的产生量为0.</w:t>
            </w:r>
            <w:r>
              <w:rPr>
                <w:rFonts w:hint="eastAsia" w:ascii="Times New Roman" w:hAnsi="Times New Roman" w:eastAsia="宋体" w:cs="Times New Roman"/>
                <w:color w:val="auto"/>
                <w:kern w:val="0"/>
                <w:sz w:val="24"/>
                <w:szCs w:val="24"/>
                <w:highlight w:val="none"/>
                <w:shd w:val="clear" w:color="auto" w:fill="auto"/>
                <w:lang w:val="en-US" w:eastAsia="zh-CN"/>
              </w:rPr>
              <w:t>2</w:t>
            </w:r>
            <w:r>
              <w:rPr>
                <w:rFonts w:hint="default" w:ascii="Times New Roman" w:hAnsi="Times New Roman" w:eastAsia="宋体" w:cs="Times New Roman"/>
                <w:color w:val="auto"/>
                <w:kern w:val="0"/>
                <w:sz w:val="24"/>
                <w:szCs w:val="24"/>
                <w:highlight w:val="none"/>
                <w:shd w:val="clear" w:color="auto" w:fill="auto"/>
                <w:lang w:val="en-US" w:eastAsia="zh-CN"/>
              </w:rPr>
              <w:t>t</w:t>
            </w:r>
            <w:r>
              <w:rPr>
                <w:rFonts w:hint="eastAsia" w:ascii="Times New Roman" w:hAnsi="Times New Roman" w:eastAsia="宋体" w:cs="Times New Roman"/>
                <w:color w:val="auto"/>
                <w:kern w:val="0"/>
                <w:sz w:val="24"/>
                <w:szCs w:val="24"/>
                <w:highlight w:val="none"/>
                <w:shd w:val="clear" w:color="auto" w:fill="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a。</w:t>
            </w:r>
            <w:r>
              <w:rPr>
                <w:rFonts w:hint="eastAsia" w:ascii="Times New Roman" w:hAnsi="Times New Roman" w:eastAsia="宋体" w:cs="Times New Roman"/>
                <w:color w:val="auto"/>
                <w:kern w:val="0"/>
                <w:sz w:val="24"/>
                <w:szCs w:val="24"/>
                <w:highlight w:val="none"/>
                <w:shd w:val="clear" w:color="auto" w:fill="auto"/>
                <w:lang w:val="en-US" w:eastAsia="zh-CN"/>
              </w:rPr>
              <w:t>清洗</w:t>
            </w:r>
            <w:r>
              <w:rPr>
                <w:rFonts w:hint="default" w:ascii="Times New Roman" w:hAnsi="Times New Roman" w:eastAsia="宋体" w:cs="Times New Roman"/>
                <w:color w:val="auto"/>
                <w:kern w:val="0"/>
                <w:sz w:val="24"/>
                <w:szCs w:val="24"/>
                <w:highlight w:val="none"/>
                <w:shd w:val="clear" w:color="auto" w:fill="auto"/>
                <w:lang w:val="en-US" w:eastAsia="zh-CN"/>
              </w:rPr>
              <w:t>废气</w:t>
            </w:r>
            <w:r>
              <w:rPr>
                <w:rFonts w:hint="eastAsia" w:ascii="Times New Roman" w:hAnsi="Times New Roman" w:eastAsia="宋体" w:cs="Times New Roman"/>
                <w:color w:val="auto"/>
                <w:kern w:val="0"/>
                <w:sz w:val="24"/>
                <w:szCs w:val="24"/>
                <w:highlight w:val="none"/>
                <w:shd w:val="clear" w:color="auto"/>
                <w:lang w:val="en-US" w:eastAsia="zh-CN" w:bidi="ar-SA"/>
              </w:rPr>
              <w:t>在车间内密闭收集后</w:t>
            </w:r>
            <w:r>
              <w:rPr>
                <w:rFonts w:hint="default" w:ascii="Times New Roman" w:hAnsi="Times New Roman" w:eastAsia="宋体" w:cs="Times New Roman"/>
                <w:color w:val="auto"/>
                <w:kern w:val="0"/>
                <w:sz w:val="24"/>
                <w:szCs w:val="24"/>
                <w:highlight w:val="none"/>
                <w:shd w:val="clear" w:color="auto"/>
                <w:lang w:val="en-US" w:eastAsia="zh-CN" w:bidi="ar-SA"/>
              </w:rPr>
              <w:t>进入</w:t>
            </w:r>
            <w:r>
              <w:rPr>
                <w:rFonts w:hint="eastAsia" w:ascii="Times New Roman" w:hAnsi="Times New Roman" w:eastAsia="宋体" w:cs="Times New Roman"/>
                <w:color w:val="auto"/>
                <w:kern w:val="0"/>
                <w:sz w:val="24"/>
                <w:szCs w:val="24"/>
                <w:highlight w:val="none"/>
                <w:shd w:val="clear" w:color="auto"/>
                <w:lang w:val="en-US" w:eastAsia="zh-CN" w:bidi="ar-SA"/>
              </w:rPr>
              <w:t>1#二级活性炭</w:t>
            </w:r>
            <w:r>
              <w:rPr>
                <w:rFonts w:hint="default" w:ascii="Times New Roman" w:hAnsi="Times New Roman" w:eastAsia="宋体" w:cs="Times New Roman"/>
                <w:color w:val="auto"/>
                <w:kern w:val="0"/>
                <w:sz w:val="24"/>
                <w:szCs w:val="24"/>
                <w:highlight w:val="none"/>
                <w:shd w:val="clear" w:color="auto"/>
                <w:lang w:val="en-US" w:eastAsia="zh-CN" w:bidi="ar-SA"/>
              </w:rPr>
              <w:t>处理</w:t>
            </w:r>
            <w:r>
              <w:rPr>
                <w:rFonts w:hint="eastAsia" w:ascii="Times New Roman" w:hAnsi="Times New Roman" w:eastAsia="宋体" w:cs="Times New Roman"/>
                <w:color w:val="auto"/>
                <w:kern w:val="0"/>
                <w:sz w:val="24"/>
                <w:szCs w:val="24"/>
                <w:highlight w:val="none"/>
                <w:shd w:val="clear" w:color="auto"/>
                <w:lang w:val="en-US" w:eastAsia="zh-CN" w:bidi="ar-SA"/>
              </w:rPr>
              <w:t>，通过1#</w:t>
            </w:r>
            <w:r>
              <w:rPr>
                <w:rFonts w:hint="default" w:ascii="Times New Roman" w:hAnsi="Times New Roman" w:eastAsia="宋体" w:cs="Times New Roman"/>
                <w:color w:val="auto"/>
                <w:kern w:val="0"/>
                <w:sz w:val="24"/>
                <w:szCs w:val="24"/>
                <w:highlight w:val="none"/>
                <w:shd w:val="clear" w:color="auto"/>
                <w:lang w:val="en-US" w:eastAsia="zh-CN" w:bidi="ar-SA"/>
              </w:rPr>
              <w:t>排气筒排放</w:t>
            </w:r>
            <w:r>
              <w:rPr>
                <w:rFonts w:hint="default" w:ascii="Times New Roman" w:hAnsi="Times New Roman" w:eastAsia="宋体" w:cs="Times New Roman"/>
                <w:color w:val="auto"/>
                <w:kern w:val="0"/>
                <w:sz w:val="24"/>
                <w:szCs w:val="24"/>
                <w:highlight w:val="none"/>
                <w:shd w:val="clear" w:color="auto"/>
                <w:lang w:val="en-US" w:eastAsia="zh-CN"/>
              </w:rPr>
              <w:t>（捕集率为9</w:t>
            </w:r>
            <w:r>
              <w:rPr>
                <w:rFonts w:hint="eastAsia" w:ascii="Times New Roman" w:hAnsi="Times New Roman" w:eastAsia="宋体" w:cs="Times New Roman"/>
                <w:color w:val="auto"/>
                <w:kern w:val="0"/>
                <w:sz w:val="24"/>
                <w:szCs w:val="24"/>
                <w:highlight w:val="none"/>
                <w:shd w:val="clear" w:color="auto"/>
                <w:lang w:val="en-US" w:eastAsia="zh-CN"/>
              </w:rPr>
              <w:t>5</w:t>
            </w:r>
            <w:r>
              <w:rPr>
                <w:rFonts w:hint="default" w:ascii="Times New Roman" w:hAnsi="Times New Roman" w:eastAsia="宋体" w:cs="Times New Roman"/>
                <w:color w:val="auto"/>
                <w:kern w:val="0"/>
                <w:sz w:val="24"/>
                <w:szCs w:val="24"/>
                <w:highlight w:val="none"/>
                <w:shd w:val="clear" w:color="auto"/>
                <w:lang w:val="en-US" w:eastAsia="zh-CN"/>
              </w:rPr>
              <w:t>%，</w:t>
            </w:r>
            <w:r>
              <w:rPr>
                <w:rFonts w:hint="default" w:ascii="Times New Roman" w:hAnsi="Times New Roman" w:eastAsia="宋体" w:cs="Times New Roman"/>
                <w:color w:val="auto"/>
                <w:sz w:val="24"/>
                <w:szCs w:val="24"/>
                <w:highlight w:val="none"/>
                <w:shd w:val="clear" w:color="auto"/>
                <w:lang w:val="en-US" w:eastAsia="zh-CN"/>
              </w:rPr>
              <w:t>去除率为9</w:t>
            </w:r>
            <w:r>
              <w:rPr>
                <w:rFonts w:hint="eastAsia" w:ascii="Times New Roman" w:hAnsi="Times New Roman" w:eastAsia="宋体" w:cs="Times New Roman"/>
                <w:color w:val="auto"/>
                <w:sz w:val="24"/>
                <w:szCs w:val="24"/>
                <w:highlight w:val="none"/>
                <w:shd w:val="clear" w:color="auto"/>
                <w:lang w:val="en-US" w:eastAsia="zh-CN"/>
              </w:rPr>
              <w:t>0</w:t>
            </w:r>
            <w:r>
              <w:rPr>
                <w:rFonts w:hint="default" w:ascii="Times New Roman" w:hAnsi="Times New Roman" w:eastAsia="宋体" w:cs="Times New Roman"/>
                <w:color w:val="auto"/>
                <w:sz w:val="24"/>
                <w:szCs w:val="24"/>
                <w:highlight w:val="none"/>
                <w:shd w:val="clear" w:color="auto"/>
                <w:lang w:val="en-US" w:eastAsia="zh-CN"/>
              </w:rPr>
              <w:t>%</w:t>
            </w:r>
            <w:r>
              <w:rPr>
                <w:rFonts w:hint="default" w:ascii="Times New Roman" w:hAnsi="Times New Roman" w:eastAsia="宋体" w:cs="Times New Roman"/>
                <w:color w:val="auto"/>
                <w:kern w:val="0"/>
                <w:sz w:val="24"/>
                <w:szCs w:val="24"/>
                <w:highlight w:val="none"/>
                <w:shd w:val="clear" w:color="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，则有组织</w:t>
            </w:r>
            <w:r>
              <w:rPr>
                <w:rFonts w:hint="eastAsia" w:ascii="Times New Roman" w:hAnsi="Times New Roman" w:eastAsia="宋体" w:cs="Times New Roman"/>
                <w:color w:val="auto"/>
                <w:kern w:val="0"/>
                <w:sz w:val="24"/>
                <w:szCs w:val="24"/>
                <w:highlight w:val="none"/>
                <w:shd w:val="clear" w:color="auto" w:fill="auto"/>
                <w:lang w:val="en-US" w:eastAsia="zh-CN"/>
              </w:rPr>
              <w:t>TVOC</w:t>
            </w:r>
            <w:r>
              <w:rPr>
                <w:rFonts w:hint="default" w:ascii="Times New Roman" w:hAnsi="Times New Roman" w:eastAsia="宋体" w:cs="Times New Roman"/>
                <w:color w:val="auto"/>
                <w:kern w:val="0"/>
                <w:sz w:val="24"/>
                <w:szCs w:val="24"/>
                <w:highlight w:val="none"/>
                <w:shd w:val="clear" w:color="auto" w:fill="auto"/>
                <w:lang w:val="en-US" w:eastAsia="zh-CN"/>
              </w:rPr>
              <w:t>产生量为0.</w:t>
            </w:r>
            <w:r>
              <w:rPr>
                <w:rFonts w:hint="eastAsia" w:ascii="Times New Roman" w:hAnsi="Times New Roman" w:eastAsia="宋体" w:cs="Times New Roman"/>
                <w:color w:val="auto"/>
                <w:kern w:val="0"/>
                <w:sz w:val="24"/>
                <w:szCs w:val="24"/>
                <w:highlight w:val="none"/>
                <w:shd w:val="clear" w:color="auto" w:fill="auto"/>
                <w:lang w:val="en-US" w:eastAsia="zh-CN"/>
              </w:rPr>
              <w:t>1900</w:t>
            </w:r>
            <w:r>
              <w:rPr>
                <w:rFonts w:hint="default" w:ascii="Times New Roman" w:hAnsi="Times New Roman" w:eastAsia="宋体" w:cs="Times New Roman"/>
                <w:color w:val="auto"/>
                <w:kern w:val="0"/>
                <w:sz w:val="24"/>
                <w:szCs w:val="24"/>
                <w:highlight w:val="none"/>
                <w:shd w:val="clear" w:color="auto" w:fill="auto"/>
                <w:lang w:val="en-US" w:eastAsia="zh-CN"/>
              </w:rPr>
              <w:t>t/a，排放量为0.</w:t>
            </w:r>
            <w:r>
              <w:rPr>
                <w:rFonts w:hint="eastAsia" w:ascii="Times New Roman" w:hAnsi="Times New Roman" w:eastAsia="宋体" w:cs="Times New Roman"/>
                <w:color w:val="auto"/>
                <w:kern w:val="0"/>
                <w:sz w:val="24"/>
                <w:szCs w:val="24"/>
                <w:highlight w:val="none"/>
                <w:shd w:val="clear" w:color="auto" w:fill="auto"/>
                <w:lang w:val="en-US" w:eastAsia="zh-CN"/>
              </w:rPr>
              <w:t>0190</w:t>
            </w:r>
            <w:r>
              <w:rPr>
                <w:rFonts w:hint="default" w:ascii="Times New Roman" w:hAnsi="Times New Roman" w:eastAsia="宋体" w:cs="Times New Roman"/>
                <w:color w:val="auto"/>
                <w:kern w:val="0"/>
                <w:sz w:val="24"/>
                <w:szCs w:val="24"/>
                <w:highlight w:val="none"/>
                <w:shd w:val="clear" w:color="auto" w:fill="auto"/>
                <w:lang w:val="en-US" w:eastAsia="zh-CN"/>
              </w:rPr>
              <w:t>t/a。</w:t>
            </w:r>
          </w:p>
          <w:p w14:paraId="2F4E77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b/>
                <w:bCs/>
                <w:color w:val="auto"/>
                <w:sz w:val="24"/>
                <w:highlight w:val="none"/>
                <w:shd w:val="clear" w:color="auto" w:fill="auto"/>
                <w:lang w:val="en-US" w:eastAsia="zh-CN"/>
              </w:rPr>
              <w:t>（2）</w:t>
            </w:r>
            <w:r>
              <w:rPr>
                <w:rFonts w:hint="default" w:ascii="Times New Roman" w:hAnsi="Times New Roman" w:eastAsia="宋体" w:cs="Times New Roman"/>
                <w:b/>
                <w:bCs/>
                <w:color w:val="auto"/>
                <w:sz w:val="24"/>
                <w:highlight w:val="none"/>
                <w:shd w:val="clear" w:color="auto" w:fill="auto"/>
              </w:rPr>
              <w:t>无组织废气</w:t>
            </w:r>
          </w:p>
          <w:p w14:paraId="1A171079">
            <w:pPr>
              <w:keepNext w:val="0"/>
              <w:keepLines w:val="0"/>
              <w:numPr>
                <w:ilvl w:val="0"/>
                <w:numId w:val="0"/>
              </w:numPr>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eastAsia="宋体" w:cs="Times New Roman"/>
                <w:color w:val="auto"/>
                <w:kern w:val="0"/>
                <w:sz w:val="24"/>
                <w:szCs w:val="24"/>
                <w:highlight w:val="none"/>
                <w:shd w:val="clear" w:color="auto" w:fill="auto"/>
                <w:lang w:val="en-US"/>
              </w:rPr>
            </w:pPr>
            <w:r>
              <w:rPr>
                <w:rFonts w:hint="default" w:ascii="Times New Roman" w:hAnsi="Times New Roman" w:eastAsia="宋体" w:cs="Times New Roman"/>
                <w:color w:val="auto"/>
                <w:kern w:val="0"/>
                <w:sz w:val="24"/>
                <w:szCs w:val="24"/>
                <w:highlight w:val="none"/>
                <w:shd w:val="clear" w:color="auto" w:fill="auto"/>
                <w:lang w:val="en-US" w:eastAsia="zh-CN"/>
              </w:rPr>
              <w:t>①</w:t>
            </w:r>
            <w:r>
              <w:rPr>
                <w:rFonts w:hint="eastAsia" w:ascii="Times New Roman" w:hAnsi="Times New Roman" w:eastAsia="宋体" w:cs="Times New Roman"/>
                <w:color w:val="auto"/>
                <w:kern w:val="0"/>
                <w:sz w:val="24"/>
                <w:szCs w:val="24"/>
                <w:highlight w:val="none"/>
                <w:shd w:val="clear" w:color="auto" w:fill="auto"/>
                <w:lang w:val="en-US" w:eastAsia="zh-CN"/>
              </w:rPr>
              <w:t>破碎粉尘</w:t>
            </w:r>
          </w:p>
          <w:p w14:paraId="226C528F">
            <w:pPr>
              <w:pStyle w:val="84"/>
              <w:keepNext w:val="0"/>
              <w:keepLines w:val="0"/>
              <w:suppressLineNumbers w:val="0"/>
              <w:spacing w:before="0" w:beforeAutospacing="0" w:after="0" w:afterAutospacing="0" w:line="500" w:lineRule="exact"/>
              <w:ind w:left="0" w:right="0" w:firstLine="480"/>
              <w:rPr>
                <w:rFonts w:hint="eastAsia"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rPr>
              <w:t>本项目</w:t>
            </w:r>
            <w:r>
              <w:rPr>
                <w:rFonts w:hint="eastAsia" w:ascii="Times New Roman" w:hAnsi="Times New Roman" w:eastAsia="宋体" w:cs="Times New Roman"/>
                <w:color w:val="auto"/>
                <w:kern w:val="0"/>
                <w:sz w:val="24"/>
                <w:szCs w:val="24"/>
                <w:highlight w:val="none"/>
                <w:shd w:val="clear" w:color="auto" w:fill="auto"/>
                <w:lang w:val="en-US" w:eastAsia="zh-CN"/>
              </w:rPr>
              <w:t>吹膜过程中</w:t>
            </w:r>
            <w:r>
              <w:rPr>
                <w:rFonts w:hint="default" w:ascii="Times New Roman" w:hAnsi="Times New Roman" w:eastAsia="宋体" w:cs="Times New Roman"/>
                <w:color w:val="auto"/>
                <w:kern w:val="0"/>
                <w:sz w:val="24"/>
                <w:szCs w:val="24"/>
                <w:highlight w:val="none"/>
                <w:shd w:val="clear" w:color="auto" w:fill="auto"/>
              </w:rPr>
              <w:t>产生的不合格品，经小型粉碎机简单破碎后形成塑料颗粒回用于吹膜工序。由于粉碎机为密闭粉碎机，且粉碎后粒径较大，因此粉碎过程中不会有粉尘产生，但粉碎工序开启设备密封盖时会有少量扬起。根据企业提供的资料，本项目</w:t>
            </w:r>
            <w:r>
              <w:rPr>
                <w:rFonts w:hint="eastAsia" w:ascii="Times New Roman" w:hAnsi="Times New Roman" w:eastAsia="宋体" w:cs="Times New Roman"/>
                <w:color w:val="auto"/>
                <w:kern w:val="0"/>
                <w:sz w:val="24"/>
                <w:szCs w:val="24"/>
                <w:highlight w:val="none"/>
                <w:shd w:val="clear" w:color="auto" w:fill="auto"/>
                <w:lang w:val="en-US" w:eastAsia="zh-CN"/>
              </w:rPr>
              <w:t>吹膜</w:t>
            </w:r>
            <w:r>
              <w:rPr>
                <w:rFonts w:hint="default" w:ascii="Times New Roman" w:hAnsi="Times New Roman" w:eastAsia="宋体" w:cs="Times New Roman"/>
                <w:color w:val="auto"/>
                <w:kern w:val="0"/>
                <w:sz w:val="24"/>
                <w:szCs w:val="24"/>
                <w:highlight w:val="none"/>
                <w:shd w:val="clear" w:color="auto" w:fill="auto"/>
              </w:rPr>
              <w:t>成品率约99</w:t>
            </w:r>
            <w:r>
              <w:rPr>
                <w:rFonts w:hint="eastAsia" w:ascii="Times New Roman" w:hAnsi="Times New Roman" w:eastAsia="宋体" w:cs="Times New Roman"/>
                <w:color w:val="auto"/>
                <w:kern w:val="0"/>
                <w:sz w:val="24"/>
                <w:szCs w:val="24"/>
                <w:highlight w:val="none"/>
                <w:shd w:val="clear" w:color="auto" w:fill="auto"/>
                <w:lang w:val="en-US" w:eastAsia="zh-CN"/>
              </w:rPr>
              <w:t>.9</w:t>
            </w:r>
            <w:r>
              <w:rPr>
                <w:rFonts w:hint="default" w:ascii="Times New Roman" w:hAnsi="Times New Roman" w:eastAsia="宋体" w:cs="Times New Roman"/>
                <w:color w:val="auto"/>
                <w:kern w:val="0"/>
                <w:sz w:val="24"/>
                <w:szCs w:val="24"/>
                <w:highlight w:val="none"/>
                <w:shd w:val="clear" w:color="auto" w:fill="auto"/>
              </w:rPr>
              <w:t>%。由于本项目成品率较高，</w:t>
            </w:r>
            <w:r>
              <w:rPr>
                <w:rFonts w:hint="eastAsia" w:ascii="Times New Roman" w:hAnsi="Times New Roman" w:eastAsia="宋体" w:cs="Times New Roman"/>
                <w:color w:val="auto"/>
                <w:kern w:val="0"/>
                <w:sz w:val="24"/>
                <w:szCs w:val="24"/>
                <w:highlight w:val="none"/>
                <w:shd w:val="clear" w:color="auto" w:fill="auto"/>
                <w:lang w:val="en-US" w:eastAsia="zh-CN"/>
              </w:rPr>
              <w:t>不合格品</w:t>
            </w:r>
            <w:r>
              <w:rPr>
                <w:rFonts w:hint="default" w:ascii="Times New Roman" w:hAnsi="Times New Roman" w:eastAsia="宋体" w:cs="Times New Roman"/>
                <w:color w:val="auto"/>
                <w:kern w:val="0"/>
                <w:sz w:val="24"/>
                <w:szCs w:val="24"/>
                <w:highlight w:val="none"/>
                <w:shd w:val="clear" w:color="auto" w:fill="auto"/>
              </w:rPr>
              <w:t>产生的极少，本次评价不定量分析</w:t>
            </w:r>
            <w:r>
              <w:rPr>
                <w:rFonts w:hint="eastAsia" w:ascii="Times New Roman" w:hAnsi="Times New Roman" w:eastAsia="宋体" w:cs="Times New Roman"/>
                <w:color w:val="auto"/>
                <w:kern w:val="0"/>
                <w:sz w:val="24"/>
                <w:szCs w:val="24"/>
                <w:highlight w:val="none"/>
                <w:shd w:val="clear" w:color="auto" w:fill="auto"/>
                <w:lang w:eastAsia="zh-CN"/>
              </w:rPr>
              <w:t>。</w:t>
            </w:r>
          </w:p>
          <w:p w14:paraId="4B9C48E1">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②</w:t>
            </w:r>
            <w:r>
              <w:rPr>
                <w:rFonts w:hint="default" w:ascii="Times New Roman" w:hAnsi="Times New Roman" w:eastAsia="宋体" w:cs="Times New Roman"/>
                <w:color w:val="auto"/>
                <w:kern w:val="0"/>
                <w:sz w:val="24"/>
                <w:szCs w:val="24"/>
                <w:highlight w:val="none"/>
                <w:shd w:val="clear" w:color="auto" w:fill="auto"/>
              </w:rPr>
              <w:t>未补集的</w:t>
            </w:r>
            <w:r>
              <w:rPr>
                <w:rFonts w:hint="eastAsia" w:ascii="Times New Roman" w:hAnsi="Times New Roman" w:eastAsia="宋体" w:cs="Times New Roman"/>
                <w:color w:val="auto"/>
                <w:kern w:val="0"/>
                <w:sz w:val="24"/>
                <w:szCs w:val="24"/>
                <w:highlight w:val="none"/>
                <w:shd w:val="clear" w:color="auto" w:fill="auto"/>
                <w:lang w:val="en-US" w:eastAsia="zh-CN"/>
              </w:rPr>
              <w:t>吹膜</w:t>
            </w:r>
            <w:r>
              <w:rPr>
                <w:rFonts w:hint="default" w:ascii="Times New Roman" w:hAnsi="Times New Roman" w:eastAsia="宋体" w:cs="Times New Roman"/>
                <w:color w:val="auto"/>
                <w:kern w:val="0"/>
                <w:sz w:val="24"/>
                <w:szCs w:val="24"/>
                <w:highlight w:val="none"/>
                <w:shd w:val="clear" w:color="auto" w:fill="auto"/>
                <w:lang w:val="en-US" w:eastAsia="zh-CN"/>
              </w:rPr>
              <w:t>废气</w:t>
            </w:r>
          </w:p>
          <w:p w14:paraId="04B894BE">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rPr>
              <w:t>因收集效率为9</w:t>
            </w:r>
            <w:r>
              <w:rPr>
                <w:rFonts w:hint="eastAsia" w:ascii="Times New Roman" w:hAnsi="Times New Roman" w:eastAsia="宋体" w:cs="Times New Roman"/>
                <w:color w:val="auto"/>
                <w:kern w:val="0"/>
                <w:sz w:val="24"/>
                <w:szCs w:val="24"/>
                <w:highlight w:val="none"/>
                <w:shd w:val="clear" w:color="auto" w:fill="auto"/>
                <w:lang w:val="en-US" w:eastAsia="zh-CN"/>
              </w:rPr>
              <w:t>0</w:t>
            </w:r>
            <w:r>
              <w:rPr>
                <w:rFonts w:hint="default" w:ascii="Times New Roman" w:hAnsi="Times New Roman" w:eastAsia="宋体" w:cs="Times New Roman"/>
                <w:color w:val="auto"/>
                <w:kern w:val="0"/>
                <w:sz w:val="24"/>
                <w:szCs w:val="24"/>
                <w:highlight w:val="none"/>
                <w:shd w:val="clear" w:color="auto" w:fill="auto"/>
              </w:rPr>
              <w:t>%，则</w:t>
            </w:r>
            <w:r>
              <w:rPr>
                <w:rFonts w:hint="default" w:ascii="Times New Roman" w:hAnsi="Times New Roman" w:eastAsia="宋体" w:cs="Times New Roman"/>
                <w:color w:val="auto"/>
                <w:kern w:val="0"/>
                <w:sz w:val="24"/>
                <w:szCs w:val="24"/>
                <w:highlight w:val="none"/>
                <w:shd w:val="clear" w:color="auto" w:fill="auto"/>
                <w:lang w:val="en-US" w:eastAsia="zh-CN"/>
              </w:rPr>
              <w:t>非甲烷总烃</w:t>
            </w:r>
            <w:r>
              <w:rPr>
                <w:rFonts w:hint="default" w:ascii="Times New Roman" w:hAnsi="Times New Roman" w:eastAsia="宋体" w:cs="Times New Roman"/>
                <w:color w:val="auto"/>
                <w:kern w:val="0"/>
                <w:sz w:val="24"/>
                <w:szCs w:val="24"/>
                <w:highlight w:val="none"/>
                <w:shd w:val="clear" w:color="auto" w:fill="auto"/>
              </w:rPr>
              <w:t>无组织排放量为</w:t>
            </w:r>
            <w:r>
              <w:rPr>
                <w:rFonts w:hint="default" w:ascii="Times New Roman" w:hAnsi="Times New Roman" w:eastAsia="宋体" w:cs="Times New Roman"/>
                <w:color w:val="auto"/>
                <w:kern w:val="0"/>
                <w:sz w:val="24"/>
                <w:szCs w:val="24"/>
                <w:highlight w:val="none"/>
                <w:shd w:val="clear" w:color="auto" w:fill="auto"/>
                <w:lang w:val="en-US" w:eastAsia="zh-CN"/>
              </w:rPr>
              <w:t>0.0</w:t>
            </w:r>
            <w:r>
              <w:rPr>
                <w:rFonts w:hint="eastAsia" w:ascii="Times New Roman" w:hAnsi="Times New Roman" w:eastAsia="宋体" w:cs="Times New Roman"/>
                <w:color w:val="auto"/>
                <w:kern w:val="0"/>
                <w:sz w:val="24"/>
                <w:szCs w:val="24"/>
                <w:highlight w:val="none"/>
                <w:shd w:val="clear" w:color="auto" w:fill="auto"/>
                <w:lang w:val="en-US" w:eastAsia="zh-CN"/>
              </w:rPr>
              <w:t>350</w:t>
            </w:r>
            <w:r>
              <w:rPr>
                <w:rFonts w:hint="default" w:ascii="Times New Roman" w:hAnsi="Times New Roman" w:eastAsia="宋体" w:cs="Times New Roman"/>
                <w:color w:val="auto"/>
                <w:kern w:val="0"/>
                <w:sz w:val="24"/>
                <w:szCs w:val="24"/>
                <w:highlight w:val="none"/>
                <w:shd w:val="clear" w:color="auto" w:fill="auto"/>
              </w:rPr>
              <w:t>t/a。</w:t>
            </w:r>
          </w:p>
          <w:p w14:paraId="7087D70C">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③</w:t>
            </w:r>
            <w:r>
              <w:rPr>
                <w:rFonts w:hint="default" w:ascii="Times New Roman" w:hAnsi="Times New Roman" w:eastAsia="宋体" w:cs="Times New Roman"/>
                <w:color w:val="auto"/>
                <w:kern w:val="0"/>
                <w:sz w:val="24"/>
                <w:szCs w:val="24"/>
                <w:highlight w:val="none"/>
                <w:shd w:val="clear" w:color="auto" w:fill="auto"/>
              </w:rPr>
              <w:t>未补集的</w:t>
            </w:r>
            <w:r>
              <w:rPr>
                <w:rFonts w:hint="eastAsia" w:ascii="Times New Roman" w:hAnsi="Times New Roman" w:eastAsia="宋体" w:cs="Times New Roman"/>
                <w:color w:val="auto"/>
                <w:kern w:val="0"/>
                <w:sz w:val="24"/>
                <w:szCs w:val="24"/>
                <w:highlight w:val="none"/>
                <w:shd w:val="clear" w:color="auto" w:fill="auto"/>
                <w:lang w:val="en-US" w:eastAsia="zh-CN"/>
              </w:rPr>
              <w:t>调墨、印刷</w:t>
            </w:r>
            <w:r>
              <w:rPr>
                <w:rFonts w:hint="default" w:ascii="Times New Roman" w:hAnsi="Times New Roman" w:eastAsia="宋体" w:cs="Times New Roman"/>
                <w:color w:val="auto"/>
                <w:kern w:val="0"/>
                <w:sz w:val="24"/>
                <w:szCs w:val="24"/>
                <w:highlight w:val="none"/>
                <w:shd w:val="clear" w:color="auto" w:fill="auto"/>
                <w:lang w:val="en-US" w:eastAsia="zh-CN"/>
              </w:rPr>
              <w:t>废气</w:t>
            </w:r>
          </w:p>
          <w:p w14:paraId="1671CE11">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因收集效率为9</w:t>
            </w: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rPr>
              <w:t>%，则</w:t>
            </w:r>
            <w:r>
              <w:rPr>
                <w:rFonts w:hint="default" w:ascii="Times New Roman" w:hAnsi="Times New Roman" w:eastAsia="宋体" w:cs="Times New Roman"/>
                <w:color w:val="auto"/>
                <w:kern w:val="0"/>
                <w:sz w:val="24"/>
                <w:szCs w:val="24"/>
                <w:highlight w:val="none"/>
                <w:shd w:val="clear" w:color="auto" w:fill="auto"/>
                <w:lang w:val="en-US" w:eastAsia="zh-CN"/>
              </w:rPr>
              <w:t>非甲烷总烃</w:t>
            </w:r>
            <w:r>
              <w:rPr>
                <w:rFonts w:hint="default" w:ascii="Times New Roman" w:hAnsi="Times New Roman" w:eastAsia="宋体" w:cs="Times New Roman"/>
                <w:color w:val="auto"/>
                <w:kern w:val="0"/>
                <w:sz w:val="24"/>
                <w:szCs w:val="24"/>
                <w:highlight w:val="none"/>
                <w:shd w:val="clear" w:color="auto" w:fill="auto"/>
              </w:rPr>
              <w:t>无组织排放量为</w:t>
            </w:r>
            <w:r>
              <w:rPr>
                <w:rFonts w:hint="default" w:ascii="Times New Roman" w:hAnsi="Times New Roman" w:eastAsia="宋体" w:cs="Times New Roman"/>
                <w:color w:val="auto"/>
                <w:kern w:val="0"/>
                <w:sz w:val="24"/>
                <w:szCs w:val="24"/>
                <w:highlight w:val="none"/>
                <w:shd w:val="clear" w:color="auto" w:fill="auto"/>
                <w:lang w:val="en-US" w:eastAsia="zh-CN"/>
              </w:rPr>
              <w:t>0.0</w:t>
            </w:r>
            <w:r>
              <w:rPr>
                <w:rFonts w:hint="eastAsia" w:ascii="Times New Roman" w:hAnsi="Times New Roman" w:eastAsia="宋体" w:cs="Times New Roman"/>
                <w:color w:val="auto"/>
                <w:kern w:val="0"/>
                <w:sz w:val="24"/>
                <w:szCs w:val="24"/>
                <w:highlight w:val="none"/>
                <w:shd w:val="clear" w:color="auto" w:fill="auto"/>
                <w:lang w:val="en-US" w:eastAsia="zh-CN"/>
              </w:rPr>
              <w:t>360</w:t>
            </w:r>
            <w:r>
              <w:rPr>
                <w:rFonts w:hint="default" w:ascii="Times New Roman" w:hAnsi="Times New Roman" w:eastAsia="宋体" w:cs="Times New Roman"/>
                <w:color w:val="auto"/>
                <w:kern w:val="0"/>
                <w:sz w:val="24"/>
                <w:szCs w:val="24"/>
                <w:highlight w:val="none"/>
                <w:shd w:val="clear" w:color="auto" w:fill="auto"/>
              </w:rPr>
              <w:t>t/a</w:t>
            </w:r>
            <w:r>
              <w:rPr>
                <w:rFonts w:hint="eastAsia"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TVOC</w:t>
            </w:r>
            <w:r>
              <w:rPr>
                <w:rFonts w:hint="default" w:ascii="Times New Roman" w:hAnsi="Times New Roman" w:eastAsia="宋体" w:cs="Times New Roman"/>
                <w:color w:val="auto"/>
                <w:kern w:val="0"/>
                <w:sz w:val="24"/>
                <w:szCs w:val="24"/>
                <w:highlight w:val="none"/>
                <w:shd w:val="clear" w:color="auto" w:fill="auto"/>
              </w:rPr>
              <w:t>无组织排放量为</w:t>
            </w:r>
            <w:r>
              <w:rPr>
                <w:rFonts w:hint="default" w:ascii="Times New Roman" w:hAnsi="Times New Roman" w:eastAsia="宋体" w:cs="Times New Roman"/>
                <w:color w:val="auto"/>
                <w:kern w:val="0"/>
                <w:sz w:val="24"/>
                <w:szCs w:val="24"/>
                <w:highlight w:val="none"/>
                <w:shd w:val="clear" w:color="auto" w:fill="auto"/>
                <w:lang w:val="en-US" w:eastAsia="zh-CN"/>
              </w:rPr>
              <w:t>0.0</w:t>
            </w:r>
            <w:r>
              <w:rPr>
                <w:rFonts w:hint="eastAsia" w:ascii="Times New Roman" w:hAnsi="Times New Roman" w:eastAsia="宋体" w:cs="Times New Roman"/>
                <w:color w:val="auto"/>
                <w:kern w:val="0"/>
                <w:sz w:val="24"/>
                <w:szCs w:val="24"/>
                <w:highlight w:val="none"/>
                <w:shd w:val="clear" w:color="auto" w:fill="auto"/>
                <w:lang w:val="en-US" w:eastAsia="zh-CN"/>
              </w:rPr>
              <w:t>295</w:t>
            </w:r>
            <w:r>
              <w:rPr>
                <w:rFonts w:hint="default" w:ascii="Times New Roman" w:hAnsi="Times New Roman" w:eastAsia="宋体" w:cs="Times New Roman"/>
                <w:color w:val="auto"/>
                <w:kern w:val="0"/>
                <w:sz w:val="24"/>
                <w:szCs w:val="24"/>
                <w:highlight w:val="none"/>
                <w:shd w:val="clear" w:color="auto" w:fill="auto"/>
              </w:rPr>
              <w:t>t/a。</w:t>
            </w:r>
          </w:p>
          <w:p w14:paraId="532F83D8">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④</w:t>
            </w:r>
            <w:r>
              <w:rPr>
                <w:rFonts w:hint="default" w:ascii="Times New Roman" w:hAnsi="Times New Roman" w:eastAsia="宋体" w:cs="Times New Roman"/>
                <w:color w:val="auto"/>
                <w:kern w:val="0"/>
                <w:sz w:val="24"/>
                <w:szCs w:val="24"/>
                <w:highlight w:val="none"/>
                <w:shd w:val="clear" w:color="auto" w:fill="auto"/>
              </w:rPr>
              <w:t>未补集的</w:t>
            </w:r>
            <w:r>
              <w:rPr>
                <w:rFonts w:hint="eastAsia" w:ascii="Times New Roman" w:hAnsi="Times New Roman" w:eastAsia="宋体" w:cs="Times New Roman"/>
                <w:color w:val="auto"/>
                <w:kern w:val="0"/>
                <w:sz w:val="24"/>
                <w:szCs w:val="24"/>
                <w:highlight w:val="none"/>
                <w:shd w:val="clear" w:color="auto" w:fill="auto"/>
                <w:lang w:val="en-US" w:eastAsia="zh-CN"/>
              </w:rPr>
              <w:t>复合废气</w:t>
            </w:r>
          </w:p>
          <w:p w14:paraId="6E28C76B">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因收集效率为9</w:t>
            </w:r>
            <w:r>
              <w:rPr>
                <w:rFonts w:hint="eastAsia" w:ascii="Times New Roman" w:hAnsi="Times New Roman" w:eastAsia="宋体" w:cs="Times New Roman"/>
                <w:color w:val="auto"/>
                <w:kern w:val="0"/>
                <w:sz w:val="24"/>
                <w:szCs w:val="24"/>
                <w:highlight w:val="none"/>
                <w:shd w:val="clear" w:color="auto" w:fill="auto"/>
                <w:lang w:val="en-US" w:eastAsia="zh-CN"/>
              </w:rPr>
              <w:t>0</w:t>
            </w:r>
            <w:r>
              <w:rPr>
                <w:rFonts w:hint="default" w:ascii="Times New Roman" w:hAnsi="Times New Roman" w:eastAsia="宋体" w:cs="Times New Roman"/>
                <w:color w:val="auto"/>
                <w:kern w:val="0"/>
                <w:sz w:val="24"/>
                <w:szCs w:val="24"/>
                <w:highlight w:val="none"/>
                <w:shd w:val="clear" w:color="auto" w:fill="auto"/>
              </w:rPr>
              <w:t>%，则</w:t>
            </w:r>
            <w:r>
              <w:rPr>
                <w:rFonts w:hint="default" w:ascii="Times New Roman" w:hAnsi="Times New Roman" w:eastAsia="宋体" w:cs="Times New Roman"/>
                <w:color w:val="auto"/>
                <w:kern w:val="0"/>
                <w:sz w:val="24"/>
                <w:szCs w:val="24"/>
                <w:highlight w:val="none"/>
                <w:shd w:val="clear" w:color="auto" w:fill="auto"/>
                <w:lang w:val="en-US" w:eastAsia="zh-CN"/>
              </w:rPr>
              <w:t>非甲烷总烃</w:t>
            </w:r>
            <w:r>
              <w:rPr>
                <w:rFonts w:hint="default" w:ascii="Times New Roman" w:hAnsi="Times New Roman" w:eastAsia="宋体" w:cs="Times New Roman"/>
                <w:color w:val="auto"/>
                <w:kern w:val="0"/>
                <w:sz w:val="24"/>
                <w:szCs w:val="24"/>
                <w:highlight w:val="none"/>
                <w:shd w:val="clear" w:color="auto" w:fill="auto"/>
              </w:rPr>
              <w:t>无组织排放量为</w:t>
            </w:r>
            <w:r>
              <w:rPr>
                <w:rFonts w:hint="default" w:ascii="Times New Roman" w:hAnsi="Times New Roman" w:eastAsia="宋体" w:cs="Times New Roman"/>
                <w:color w:val="auto"/>
                <w:kern w:val="0"/>
                <w:sz w:val="24"/>
                <w:szCs w:val="24"/>
                <w:highlight w:val="none"/>
                <w:shd w:val="clear" w:color="auto" w:fill="auto"/>
                <w:lang w:val="en-US" w:eastAsia="zh-CN"/>
              </w:rPr>
              <w:t>0.0</w:t>
            </w:r>
            <w:r>
              <w:rPr>
                <w:rFonts w:hint="eastAsia" w:ascii="Times New Roman" w:hAnsi="Times New Roman" w:eastAsia="宋体" w:cs="Times New Roman"/>
                <w:color w:val="auto"/>
                <w:kern w:val="0"/>
                <w:sz w:val="24"/>
                <w:szCs w:val="24"/>
                <w:highlight w:val="none"/>
                <w:shd w:val="clear" w:color="auto" w:fill="auto"/>
                <w:lang w:val="en-US" w:eastAsia="zh-CN"/>
              </w:rPr>
              <w:t>004</w:t>
            </w:r>
            <w:r>
              <w:rPr>
                <w:rFonts w:hint="default" w:ascii="Times New Roman" w:hAnsi="Times New Roman" w:eastAsia="宋体" w:cs="Times New Roman"/>
                <w:color w:val="auto"/>
                <w:kern w:val="0"/>
                <w:sz w:val="24"/>
                <w:szCs w:val="24"/>
                <w:highlight w:val="none"/>
                <w:shd w:val="clear" w:color="auto" w:fill="auto"/>
              </w:rPr>
              <w:t>t/a。</w:t>
            </w:r>
          </w:p>
          <w:p w14:paraId="1C029D2D">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⑤</w:t>
            </w:r>
            <w:r>
              <w:rPr>
                <w:rFonts w:hint="default" w:ascii="Times New Roman" w:hAnsi="Times New Roman" w:eastAsia="宋体" w:cs="Times New Roman"/>
                <w:color w:val="auto"/>
                <w:kern w:val="0"/>
                <w:sz w:val="24"/>
                <w:szCs w:val="24"/>
                <w:highlight w:val="none"/>
                <w:shd w:val="clear" w:color="auto" w:fill="auto"/>
              </w:rPr>
              <w:t>未补集的</w:t>
            </w:r>
            <w:r>
              <w:rPr>
                <w:rFonts w:hint="eastAsia" w:ascii="Times New Roman" w:hAnsi="Times New Roman" w:eastAsia="宋体" w:cs="Times New Roman"/>
                <w:color w:val="auto"/>
                <w:kern w:val="0"/>
                <w:sz w:val="24"/>
                <w:szCs w:val="24"/>
                <w:highlight w:val="none"/>
                <w:shd w:val="clear" w:color="auto" w:fill="auto"/>
                <w:lang w:val="en-US" w:eastAsia="zh-CN"/>
              </w:rPr>
              <w:t>熟化废气</w:t>
            </w:r>
          </w:p>
          <w:p w14:paraId="21A59B56">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因收集效率为9</w:t>
            </w: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rPr>
              <w:t>%，则</w:t>
            </w:r>
            <w:r>
              <w:rPr>
                <w:rFonts w:hint="default" w:ascii="Times New Roman" w:hAnsi="Times New Roman" w:eastAsia="宋体" w:cs="Times New Roman"/>
                <w:color w:val="auto"/>
                <w:kern w:val="0"/>
                <w:sz w:val="24"/>
                <w:szCs w:val="24"/>
                <w:highlight w:val="none"/>
                <w:shd w:val="clear" w:color="auto" w:fill="auto"/>
                <w:lang w:val="en-US" w:eastAsia="zh-CN"/>
              </w:rPr>
              <w:t>非甲烷总烃</w:t>
            </w:r>
            <w:r>
              <w:rPr>
                <w:rFonts w:hint="default" w:ascii="Times New Roman" w:hAnsi="Times New Roman" w:eastAsia="宋体" w:cs="Times New Roman"/>
                <w:color w:val="auto"/>
                <w:kern w:val="0"/>
                <w:sz w:val="24"/>
                <w:szCs w:val="24"/>
                <w:highlight w:val="none"/>
                <w:shd w:val="clear" w:color="auto" w:fill="auto"/>
              </w:rPr>
              <w:t>无组织排放量为</w:t>
            </w:r>
            <w:r>
              <w:rPr>
                <w:rFonts w:hint="default" w:ascii="Times New Roman" w:hAnsi="Times New Roman" w:eastAsia="宋体" w:cs="Times New Roman"/>
                <w:color w:val="auto"/>
                <w:kern w:val="0"/>
                <w:sz w:val="24"/>
                <w:szCs w:val="24"/>
                <w:highlight w:val="none"/>
                <w:shd w:val="clear" w:color="auto" w:fill="auto"/>
                <w:lang w:val="en-US" w:eastAsia="zh-CN"/>
              </w:rPr>
              <w:t>0.0</w:t>
            </w:r>
            <w:r>
              <w:rPr>
                <w:rFonts w:hint="eastAsia" w:ascii="Times New Roman" w:hAnsi="Times New Roman" w:eastAsia="宋体" w:cs="Times New Roman"/>
                <w:color w:val="auto"/>
                <w:kern w:val="0"/>
                <w:sz w:val="24"/>
                <w:szCs w:val="24"/>
                <w:highlight w:val="none"/>
                <w:shd w:val="clear" w:color="auto" w:fill="auto"/>
                <w:lang w:val="en-US" w:eastAsia="zh-CN"/>
              </w:rPr>
              <w:t>018</w:t>
            </w:r>
            <w:r>
              <w:rPr>
                <w:rFonts w:hint="default" w:ascii="Times New Roman" w:hAnsi="Times New Roman" w:eastAsia="宋体" w:cs="Times New Roman"/>
                <w:color w:val="auto"/>
                <w:kern w:val="0"/>
                <w:sz w:val="24"/>
                <w:szCs w:val="24"/>
                <w:highlight w:val="none"/>
                <w:shd w:val="clear" w:color="auto" w:fill="auto"/>
              </w:rPr>
              <w:t>t/a。</w:t>
            </w:r>
          </w:p>
          <w:p w14:paraId="098DEA91">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⑥</w:t>
            </w:r>
            <w:r>
              <w:rPr>
                <w:rFonts w:hint="default" w:ascii="Times New Roman" w:hAnsi="Times New Roman" w:eastAsia="宋体" w:cs="Times New Roman"/>
                <w:color w:val="auto"/>
                <w:kern w:val="0"/>
                <w:sz w:val="24"/>
                <w:szCs w:val="24"/>
                <w:highlight w:val="none"/>
                <w:shd w:val="clear" w:color="auto" w:fill="auto"/>
              </w:rPr>
              <w:t>未补集的</w:t>
            </w:r>
            <w:r>
              <w:rPr>
                <w:rFonts w:hint="eastAsia" w:ascii="Times New Roman" w:hAnsi="Times New Roman" w:eastAsia="宋体" w:cs="Times New Roman"/>
                <w:color w:val="auto"/>
                <w:kern w:val="0"/>
                <w:sz w:val="24"/>
                <w:szCs w:val="24"/>
                <w:highlight w:val="none"/>
                <w:shd w:val="clear" w:color="auto" w:fill="auto"/>
                <w:lang w:val="en-US" w:eastAsia="zh-CN"/>
              </w:rPr>
              <w:t>制袋废气</w:t>
            </w:r>
          </w:p>
          <w:p w14:paraId="45E4DB72">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因收集效率为9</w:t>
            </w:r>
            <w:r>
              <w:rPr>
                <w:rFonts w:hint="eastAsia" w:ascii="Times New Roman" w:hAnsi="Times New Roman" w:eastAsia="宋体" w:cs="Times New Roman"/>
                <w:color w:val="auto"/>
                <w:kern w:val="0"/>
                <w:sz w:val="24"/>
                <w:szCs w:val="24"/>
                <w:highlight w:val="none"/>
                <w:shd w:val="clear" w:color="auto" w:fill="auto"/>
                <w:lang w:val="en-US" w:eastAsia="zh-CN"/>
              </w:rPr>
              <w:t>0</w:t>
            </w:r>
            <w:r>
              <w:rPr>
                <w:rFonts w:hint="default" w:ascii="Times New Roman" w:hAnsi="Times New Roman" w:eastAsia="宋体" w:cs="Times New Roman"/>
                <w:color w:val="auto"/>
                <w:kern w:val="0"/>
                <w:sz w:val="24"/>
                <w:szCs w:val="24"/>
                <w:highlight w:val="none"/>
                <w:shd w:val="clear" w:color="auto" w:fill="auto"/>
              </w:rPr>
              <w:t>%，则</w:t>
            </w:r>
            <w:r>
              <w:rPr>
                <w:rFonts w:hint="default" w:ascii="Times New Roman" w:hAnsi="Times New Roman" w:eastAsia="宋体" w:cs="Times New Roman"/>
                <w:color w:val="auto"/>
                <w:kern w:val="0"/>
                <w:sz w:val="24"/>
                <w:szCs w:val="24"/>
                <w:highlight w:val="none"/>
                <w:shd w:val="clear" w:color="auto" w:fill="auto"/>
                <w:lang w:val="en-US" w:eastAsia="zh-CN"/>
              </w:rPr>
              <w:t>非甲烷总烃</w:t>
            </w:r>
            <w:r>
              <w:rPr>
                <w:rFonts w:hint="default" w:ascii="Times New Roman" w:hAnsi="Times New Roman" w:eastAsia="宋体" w:cs="Times New Roman"/>
                <w:color w:val="auto"/>
                <w:kern w:val="0"/>
                <w:sz w:val="24"/>
                <w:szCs w:val="24"/>
                <w:highlight w:val="none"/>
                <w:shd w:val="clear" w:color="auto" w:fill="auto"/>
              </w:rPr>
              <w:t>无组织</w:t>
            </w:r>
            <w:r>
              <w:rPr>
                <w:rFonts w:hint="default" w:ascii="Times New Roman" w:hAnsi="Times New Roman" w:eastAsia="宋体" w:cs="Times New Roman"/>
                <w:color w:val="auto"/>
                <w:kern w:val="0"/>
                <w:sz w:val="24"/>
                <w:szCs w:val="24"/>
                <w:highlight w:val="none"/>
                <w:shd w:val="clear" w:color="auto" w:fill="auto"/>
                <w:lang w:val="en-US" w:eastAsia="zh-CN"/>
              </w:rPr>
              <w:t>产生</w:t>
            </w:r>
            <w:r>
              <w:rPr>
                <w:rFonts w:hint="default" w:ascii="Times New Roman" w:hAnsi="Times New Roman" w:eastAsia="宋体" w:cs="Times New Roman"/>
                <w:color w:val="auto"/>
                <w:kern w:val="0"/>
                <w:sz w:val="24"/>
                <w:szCs w:val="24"/>
                <w:highlight w:val="none"/>
                <w:shd w:val="clear" w:color="auto" w:fill="auto"/>
              </w:rPr>
              <w:t>量为</w:t>
            </w:r>
            <w:r>
              <w:rPr>
                <w:rFonts w:hint="default" w:ascii="Times New Roman" w:hAnsi="Times New Roman" w:eastAsia="宋体" w:cs="Times New Roman"/>
                <w:color w:val="auto"/>
                <w:kern w:val="0"/>
                <w:sz w:val="24"/>
                <w:szCs w:val="24"/>
                <w:highlight w:val="none"/>
                <w:shd w:val="clear" w:color="auto" w:fill="auto"/>
                <w:lang w:val="en-US" w:eastAsia="zh-CN"/>
              </w:rPr>
              <w:t>0.</w:t>
            </w:r>
            <w:r>
              <w:rPr>
                <w:rFonts w:hint="eastAsia" w:ascii="Times New Roman" w:hAnsi="Times New Roman" w:eastAsia="宋体" w:cs="Times New Roman"/>
                <w:color w:val="auto"/>
                <w:kern w:val="0"/>
                <w:sz w:val="24"/>
                <w:szCs w:val="24"/>
                <w:highlight w:val="none"/>
                <w:shd w:val="clear" w:color="auto" w:fill="auto"/>
                <w:lang w:val="en-US" w:eastAsia="zh-CN"/>
              </w:rPr>
              <w:t>0035</w:t>
            </w:r>
            <w:r>
              <w:rPr>
                <w:rFonts w:hint="default" w:ascii="Times New Roman" w:hAnsi="Times New Roman" w:eastAsia="宋体" w:cs="Times New Roman"/>
                <w:color w:val="auto"/>
                <w:kern w:val="0"/>
                <w:sz w:val="24"/>
                <w:szCs w:val="24"/>
                <w:highlight w:val="none"/>
                <w:shd w:val="clear" w:color="auto" w:fill="auto"/>
              </w:rPr>
              <w:t>t/a。</w:t>
            </w:r>
          </w:p>
          <w:p w14:paraId="605C5D61">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⑦</w:t>
            </w:r>
            <w:r>
              <w:rPr>
                <w:rFonts w:hint="default" w:ascii="Times New Roman" w:hAnsi="Times New Roman" w:eastAsia="宋体" w:cs="Times New Roman"/>
                <w:color w:val="auto"/>
                <w:kern w:val="0"/>
                <w:sz w:val="24"/>
                <w:szCs w:val="24"/>
                <w:highlight w:val="none"/>
                <w:shd w:val="clear" w:color="auto" w:fill="auto"/>
              </w:rPr>
              <w:t>未补集的</w:t>
            </w:r>
            <w:r>
              <w:rPr>
                <w:rFonts w:hint="eastAsia" w:ascii="Times New Roman" w:hAnsi="Times New Roman" w:eastAsia="宋体" w:cs="Times New Roman"/>
                <w:color w:val="auto"/>
                <w:kern w:val="0"/>
                <w:sz w:val="24"/>
                <w:szCs w:val="24"/>
                <w:highlight w:val="none"/>
                <w:shd w:val="clear" w:color="auto" w:fill="auto"/>
                <w:lang w:val="en-US" w:eastAsia="zh-CN"/>
              </w:rPr>
              <w:t>清洗废气</w:t>
            </w:r>
          </w:p>
          <w:p w14:paraId="3381C63B">
            <w:pPr>
              <w:pStyle w:val="84"/>
              <w:keepNext w:val="0"/>
              <w:keepLines w:val="0"/>
              <w:suppressLineNumbers w:val="0"/>
              <w:spacing w:before="0" w:beforeAutospacing="0" w:after="0" w:afterAutospacing="0" w:line="500" w:lineRule="exact"/>
              <w:ind w:left="0" w:right="0" w:firstLine="48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因收集效率为9</w:t>
            </w: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rPr>
              <w:t>%，则</w:t>
            </w:r>
            <w:r>
              <w:rPr>
                <w:rFonts w:hint="default" w:ascii="Times New Roman" w:hAnsi="Times New Roman" w:eastAsia="宋体" w:cs="Times New Roman"/>
                <w:color w:val="auto"/>
                <w:kern w:val="0"/>
                <w:sz w:val="24"/>
                <w:szCs w:val="24"/>
                <w:highlight w:val="none"/>
                <w:shd w:val="clear" w:color="auto" w:fill="auto"/>
                <w:lang w:val="en-US" w:eastAsia="zh-CN"/>
              </w:rPr>
              <w:t>非甲烷总烃</w:t>
            </w:r>
            <w:r>
              <w:rPr>
                <w:rFonts w:hint="default" w:ascii="Times New Roman" w:hAnsi="Times New Roman" w:eastAsia="宋体" w:cs="Times New Roman"/>
                <w:color w:val="auto"/>
                <w:kern w:val="0"/>
                <w:sz w:val="24"/>
                <w:szCs w:val="24"/>
                <w:highlight w:val="none"/>
                <w:shd w:val="clear" w:color="auto" w:fill="auto"/>
              </w:rPr>
              <w:t>无组织排放量为</w:t>
            </w:r>
            <w:r>
              <w:rPr>
                <w:rFonts w:hint="default" w:ascii="Times New Roman" w:hAnsi="Times New Roman" w:eastAsia="宋体" w:cs="Times New Roman"/>
                <w:color w:val="auto"/>
                <w:kern w:val="0"/>
                <w:sz w:val="24"/>
                <w:szCs w:val="24"/>
                <w:highlight w:val="none"/>
                <w:shd w:val="clear" w:color="auto" w:fill="auto"/>
                <w:lang w:val="en-US" w:eastAsia="zh-CN"/>
              </w:rPr>
              <w:t>0.0</w:t>
            </w:r>
            <w:r>
              <w:rPr>
                <w:rFonts w:hint="eastAsia" w:ascii="Times New Roman" w:hAnsi="Times New Roman" w:eastAsia="宋体" w:cs="Times New Roman"/>
                <w:color w:val="auto"/>
                <w:kern w:val="0"/>
                <w:sz w:val="24"/>
                <w:szCs w:val="24"/>
                <w:highlight w:val="none"/>
                <w:shd w:val="clear" w:color="auto" w:fill="auto"/>
                <w:lang w:val="en-US" w:eastAsia="zh-CN"/>
              </w:rPr>
              <w:t>026</w:t>
            </w:r>
            <w:r>
              <w:rPr>
                <w:rFonts w:hint="default" w:ascii="Times New Roman" w:hAnsi="Times New Roman" w:eastAsia="宋体" w:cs="Times New Roman"/>
                <w:color w:val="auto"/>
                <w:kern w:val="0"/>
                <w:sz w:val="24"/>
                <w:szCs w:val="24"/>
                <w:highlight w:val="none"/>
                <w:shd w:val="clear" w:color="auto" w:fill="auto"/>
              </w:rPr>
              <w:t>t/a</w:t>
            </w:r>
            <w:r>
              <w:rPr>
                <w:rFonts w:hint="eastAsia" w:ascii="Times New Roman" w:hAnsi="Times New Roman" w:eastAsia="宋体" w:cs="Times New Roman"/>
                <w:color w:val="auto"/>
                <w:kern w:val="0"/>
                <w:sz w:val="24"/>
                <w:szCs w:val="24"/>
                <w:highlight w:val="none"/>
                <w:shd w:val="clear" w:color="auto" w:fill="auto"/>
                <w:lang w:eastAsia="zh-CN"/>
              </w:rPr>
              <w:t>，</w:t>
            </w:r>
            <w:r>
              <w:rPr>
                <w:rFonts w:hint="eastAsia" w:ascii="Times New Roman" w:hAnsi="Times New Roman" w:eastAsia="宋体" w:cs="Times New Roman"/>
                <w:color w:val="auto"/>
                <w:kern w:val="0"/>
                <w:sz w:val="24"/>
                <w:szCs w:val="24"/>
                <w:highlight w:val="none"/>
                <w:shd w:val="clear" w:color="auto" w:fill="auto"/>
                <w:lang w:val="en-US" w:eastAsia="zh-CN"/>
              </w:rPr>
              <w:t>TVOC</w:t>
            </w:r>
            <w:r>
              <w:rPr>
                <w:rFonts w:hint="default" w:ascii="Times New Roman" w:hAnsi="Times New Roman" w:eastAsia="宋体" w:cs="Times New Roman"/>
                <w:color w:val="auto"/>
                <w:kern w:val="0"/>
                <w:sz w:val="24"/>
                <w:szCs w:val="24"/>
                <w:highlight w:val="none"/>
                <w:shd w:val="clear" w:color="auto" w:fill="auto"/>
              </w:rPr>
              <w:t>无组织排放量为</w:t>
            </w:r>
            <w:r>
              <w:rPr>
                <w:rFonts w:hint="default" w:ascii="Times New Roman" w:hAnsi="Times New Roman" w:eastAsia="宋体" w:cs="Times New Roman"/>
                <w:color w:val="auto"/>
                <w:kern w:val="0"/>
                <w:sz w:val="24"/>
                <w:szCs w:val="24"/>
                <w:highlight w:val="none"/>
                <w:shd w:val="clear" w:color="auto" w:fill="auto"/>
                <w:lang w:val="en-US" w:eastAsia="zh-CN"/>
              </w:rPr>
              <w:t>0.0</w:t>
            </w:r>
            <w:r>
              <w:rPr>
                <w:rFonts w:hint="eastAsia" w:ascii="Times New Roman" w:hAnsi="Times New Roman" w:eastAsia="宋体" w:cs="Times New Roman"/>
                <w:color w:val="auto"/>
                <w:kern w:val="0"/>
                <w:sz w:val="24"/>
                <w:szCs w:val="24"/>
                <w:highlight w:val="none"/>
                <w:shd w:val="clear" w:color="auto" w:fill="auto"/>
                <w:lang w:val="en-US" w:eastAsia="zh-CN"/>
              </w:rPr>
              <w:t>100</w:t>
            </w:r>
            <w:r>
              <w:rPr>
                <w:rFonts w:hint="default" w:ascii="Times New Roman" w:hAnsi="Times New Roman" w:eastAsia="宋体" w:cs="Times New Roman"/>
                <w:color w:val="auto"/>
                <w:kern w:val="0"/>
                <w:sz w:val="24"/>
                <w:szCs w:val="24"/>
                <w:highlight w:val="none"/>
                <w:shd w:val="clear" w:color="auto" w:fill="auto"/>
              </w:rPr>
              <w:t>t/a。</w:t>
            </w:r>
          </w:p>
          <w:p w14:paraId="106F8442">
            <w:pPr>
              <w:adjustRightInd w:val="0"/>
              <w:snapToGrid w:val="0"/>
              <w:spacing w:beforeLines="0" w:afterLines="0" w:line="500" w:lineRule="exact"/>
              <w:ind w:firstLine="480"/>
              <w:rPr>
                <w:rFonts w:hint="default" w:ascii="Times New Roman" w:hAnsi="Times New Roman" w:eastAsia="宋体" w:cs="Times New Roman"/>
                <w:b/>
                <w:color w:val="auto"/>
                <w:kern w:val="0"/>
                <w:sz w:val="24"/>
                <w:szCs w:val="24"/>
                <w:highlight w:val="none"/>
                <w:shd w:val="clear" w:color="auto" w:fill="auto"/>
              </w:rPr>
            </w:pPr>
            <w:r>
              <w:rPr>
                <w:rFonts w:hint="eastAsia" w:ascii="Times New Roman" w:hAnsi="Times New Roman" w:eastAsia="宋体" w:cs="Times New Roman"/>
                <w:b w:val="0"/>
                <w:bCs/>
                <w:color w:val="auto"/>
                <w:kern w:val="0"/>
                <w:sz w:val="24"/>
                <w:szCs w:val="24"/>
                <w:highlight w:val="none"/>
                <w:shd w:val="clear" w:color="auto" w:fill="auto"/>
                <w:lang w:val="en-US" w:eastAsia="zh-CN"/>
              </w:rPr>
              <w:t>⑧</w:t>
            </w:r>
            <w:r>
              <w:rPr>
                <w:rFonts w:hint="default" w:ascii="Times New Roman" w:hAnsi="Times New Roman" w:eastAsia="宋体" w:cs="Times New Roman"/>
                <w:b w:val="0"/>
                <w:bCs/>
                <w:color w:val="auto"/>
                <w:kern w:val="0"/>
                <w:sz w:val="24"/>
                <w:szCs w:val="24"/>
                <w:highlight w:val="none"/>
                <w:shd w:val="clear" w:color="auto" w:fill="auto"/>
              </w:rPr>
              <w:t>危废</w:t>
            </w:r>
            <w:r>
              <w:rPr>
                <w:rFonts w:hint="eastAsia" w:ascii="Times New Roman" w:hAnsi="Times New Roman" w:eastAsia="宋体" w:cs="Times New Roman"/>
                <w:b w:val="0"/>
                <w:bCs/>
                <w:color w:val="auto"/>
                <w:kern w:val="0"/>
                <w:sz w:val="24"/>
                <w:szCs w:val="24"/>
                <w:highlight w:val="none"/>
                <w:shd w:val="clear" w:color="auto" w:fill="auto"/>
                <w:lang w:val="en-US" w:eastAsia="zh-CN"/>
              </w:rPr>
              <w:t>仓</w:t>
            </w:r>
            <w:r>
              <w:rPr>
                <w:rFonts w:hint="default" w:ascii="Times New Roman" w:hAnsi="Times New Roman" w:eastAsia="宋体" w:cs="Times New Roman"/>
                <w:b w:val="0"/>
                <w:bCs/>
                <w:color w:val="auto"/>
                <w:kern w:val="0"/>
                <w:sz w:val="24"/>
                <w:szCs w:val="24"/>
                <w:highlight w:val="none"/>
                <w:shd w:val="clear" w:color="auto" w:fill="auto"/>
                <w:lang w:val="en-US" w:eastAsia="zh-CN"/>
              </w:rPr>
              <w:t>库</w:t>
            </w:r>
            <w:r>
              <w:rPr>
                <w:rFonts w:hint="default" w:ascii="Times New Roman" w:hAnsi="Times New Roman" w:eastAsia="宋体" w:cs="Times New Roman"/>
                <w:b w:val="0"/>
                <w:bCs/>
                <w:color w:val="auto"/>
                <w:kern w:val="0"/>
                <w:sz w:val="24"/>
                <w:szCs w:val="24"/>
                <w:highlight w:val="none"/>
                <w:shd w:val="clear" w:color="auto" w:fill="auto"/>
              </w:rPr>
              <w:t>废气</w:t>
            </w:r>
          </w:p>
          <w:p w14:paraId="30335B3C">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kern w:val="2"/>
                <w:sz w:val="24"/>
                <w:szCs w:val="24"/>
                <w:highlight w:val="none"/>
                <w:shd w:val="clear" w:color="auto" w:fill="auto"/>
                <w:lang w:val="en-US" w:eastAsia="zh-CN" w:bidi="ar-SA"/>
              </w:rPr>
              <w:t>根据《危险废物贮存污染控制标准》（GB 18597-2023）中6.2.3要求： 贮存易产生粉尘、VOCs、酸雾、有毒有害大气污染物和刺激性气味气体的危险废物贮存库，应设置气体收集装置和气体净化设施；气体净化设施的排气筒高度应符合 GB 16297 要求。全厂危险废物为</w:t>
            </w:r>
            <w:r>
              <w:rPr>
                <w:rFonts w:hint="default" w:ascii="Times New Roman" w:hAnsi="Times New Roman" w:eastAsia="宋体" w:cs="Times New Roman"/>
                <w:b w:val="0"/>
                <w:bCs/>
                <w:color w:val="auto"/>
                <w:sz w:val="24"/>
                <w:highlight w:val="none"/>
                <w:shd w:val="clear" w:color="auto" w:fill="auto"/>
                <w:lang w:eastAsia="zh-CN"/>
              </w:rPr>
              <w:t>废包装桶</w:t>
            </w:r>
            <w:r>
              <w:rPr>
                <w:rFonts w:hint="eastAsia" w:ascii="Times New Roman" w:hAnsi="Times New Roman" w:eastAsia="宋体" w:cs="Times New Roman"/>
                <w:b w:val="0"/>
                <w:bCs/>
                <w:color w:val="auto"/>
                <w:sz w:val="24"/>
                <w:highlight w:val="none"/>
                <w:shd w:val="clear" w:color="auto" w:fill="auto"/>
                <w:lang w:eastAsia="zh-CN"/>
              </w:rPr>
              <w:t>、废抹布、</w:t>
            </w:r>
            <w:r>
              <w:rPr>
                <w:rFonts w:hint="default" w:ascii="Times New Roman" w:hAnsi="Times New Roman" w:eastAsia="宋体" w:cs="Times New Roman"/>
                <w:b w:val="0"/>
                <w:bCs/>
                <w:color w:val="auto"/>
                <w:sz w:val="24"/>
                <w:highlight w:val="none"/>
                <w:shd w:val="clear" w:color="auto" w:fill="auto"/>
                <w:lang w:eastAsia="zh-CN"/>
              </w:rPr>
              <w:t>废活性炭</w:t>
            </w:r>
            <w:r>
              <w:rPr>
                <w:rFonts w:hint="eastAsia" w:ascii="Times New Roman" w:hAnsi="Times New Roman" w:eastAsia="宋体" w:cs="Times New Roman"/>
                <w:b w:val="0"/>
                <w:bCs/>
                <w:color w:val="auto"/>
                <w:sz w:val="24"/>
                <w:highlight w:val="none"/>
                <w:shd w:val="clear" w:color="auto" w:fill="auto"/>
                <w:lang w:eastAsia="zh-CN"/>
              </w:rPr>
              <w:t>、</w:t>
            </w:r>
            <w:r>
              <w:rPr>
                <w:rFonts w:hint="eastAsia" w:ascii="Times New Roman" w:hAnsi="Times New Roman" w:eastAsia="宋体" w:cs="Times New Roman"/>
                <w:b w:val="0"/>
                <w:bCs/>
                <w:color w:val="auto"/>
                <w:sz w:val="24"/>
                <w:highlight w:val="none"/>
                <w:shd w:val="clear" w:color="auto" w:fill="auto"/>
                <w:lang w:val="en-US" w:eastAsia="zh-CN"/>
              </w:rPr>
              <w:t>含油抹布手套</w:t>
            </w:r>
            <w:r>
              <w:rPr>
                <w:rFonts w:hint="default" w:ascii="Times New Roman" w:hAnsi="Times New Roman" w:eastAsia="宋体" w:cs="Times New Roman"/>
                <w:b w:val="0"/>
                <w:bCs/>
                <w:color w:val="auto"/>
                <w:sz w:val="24"/>
                <w:highlight w:val="none"/>
                <w:shd w:val="clear" w:color="auto" w:fill="auto"/>
                <w:lang w:val="en-US" w:eastAsia="zh-CN"/>
              </w:rPr>
              <w:t>等</w:t>
            </w:r>
            <w:r>
              <w:rPr>
                <w:rFonts w:hint="default" w:ascii="Times New Roman" w:hAnsi="Times New Roman" w:eastAsia="宋体" w:cs="Times New Roman"/>
                <w:color w:val="auto"/>
                <w:kern w:val="2"/>
                <w:sz w:val="24"/>
                <w:szCs w:val="24"/>
                <w:highlight w:val="none"/>
                <w:shd w:val="clear" w:color="auto" w:fill="auto"/>
                <w:lang w:val="en-US" w:eastAsia="zh-CN" w:bidi="ar-SA"/>
              </w:rPr>
              <w:t>，贮存过程中会产生少量的有机废气，本项目固态危险废物产生后由现场立即用塑料缠绕膜进行缠绕打包称量，并采用桶/袋密封后贮存至危废仓库内，液态危废装入桶内密封后贮存至危废仓库内，因此贮存过程中有机废气产生量极少，不定量分析。</w:t>
            </w:r>
          </w:p>
          <w:p w14:paraId="5050D535">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lang w:val="en-US" w:eastAsia="zh-CN"/>
              </w:rPr>
              <w:t>2.</w:t>
            </w:r>
            <w:r>
              <w:rPr>
                <w:rFonts w:hint="default" w:ascii="Times New Roman" w:hAnsi="Times New Roman" w:eastAsia="宋体" w:cs="Times New Roman"/>
                <w:b/>
                <w:bCs/>
                <w:color w:val="auto"/>
                <w:sz w:val="24"/>
                <w:highlight w:val="none"/>
                <w:shd w:val="clear" w:color="auto" w:fill="auto"/>
              </w:rPr>
              <w:t>废气治理措施</w:t>
            </w:r>
          </w:p>
          <w:p w14:paraId="1A121DE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shd w:val="clear" w:color="auto" w:fill="auto"/>
                <w:lang w:bidi="ar"/>
              </w:rPr>
            </w:pPr>
            <w:r>
              <w:rPr>
                <w:rFonts w:hint="default" w:ascii="Times New Roman" w:hAnsi="Times New Roman" w:eastAsia="宋体" w:cs="Times New Roman"/>
                <w:b/>
                <w:bCs/>
                <w:color w:val="auto"/>
                <w:sz w:val="24"/>
                <w:szCs w:val="24"/>
                <w:highlight w:val="none"/>
                <w:shd w:val="clear" w:color="auto" w:fill="auto"/>
                <w:lang w:bidi="ar"/>
              </w:rPr>
              <w:t>（1）有组织废气</w:t>
            </w:r>
          </w:p>
          <w:p w14:paraId="39A4EFC1">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eastAsia" w:ascii="Times New Roman" w:hAnsi="Times New Roman" w:eastAsia="宋体" w:cs="Times New Roman"/>
                <w:color w:val="auto"/>
                <w:kern w:val="0"/>
                <w:sz w:val="24"/>
                <w:highlight w:val="none"/>
                <w:shd w:val="clear" w:color="auto" w:fill="auto"/>
                <w:lang w:val="en-US" w:eastAsia="zh-CN"/>
              </w:rPr>
              <w:t>①</w:t>
            </w:r>
            <w:r>
              <w:rPr>
                <w:rFonts w:hint="default" w:ascii="Times New Roman" w:hAnsi="Times New Roman" w:eastAsia="宋体" w:cs="Times New Roman"/>
                <w:color w:val="auto"/>
                <w:kern w:val="0"/>
                <w:sz w:val="24"/>
                <w:highlight w:val="none"/>
                <w:shd w:val="clear" w:color="auto" w:fill="auto"/>
              </w:rPr>
              <w:t>本项目</w:t>
            </w:r>
            <w:r>
              <w:rPr>
                <w:rFonts w:hint="default" w:ascii="Times New Roman" w:hAnsi="Times New Roman" w:eastAsia="宋体" w:cs="Times New Roman"/>
                <w:color w:val="auto"/>
                <w:sz w:val="24"/>
                <w:highlight w:val="none"/>
                <w:shd w:val="clear" w:color="auto" w:fill="auto"/>
              </w:rPr>
              <w:t>废气处理措施示意图见图4-</w:t>
            </w:r>
            <w:r>
              <w:rPr>
                <w:rFonts w:hint="default" w:ascii="Times New Roman" w:hAnsi="Times New Roman" w:eastAsia="宋体" w:cs="Times New Roman"/>
                <w:color w:val="auto"/>
                <w:sz w:val="24"/>
                <w:highlight w:val="none"/>
                <w:shd w:val="clear" w:color="auto" w:fill="auto"/>
                <w:lang w:val="en-US" w:eastAsia="zh-CN"/>
              </w:rPr>
              <w:t>1</w:t>
            </w:r>
            <w:r>
              <w:rPr>
                <w:rFonts w:hint="default" w:ascii="Times New Roman" w:hAnsi="Times New Roman" w:eastAsia="宋体" w:cs="Times New Roman"/>
                <w:color w:val="auto"/>
                <w:sz w:val="24"/>
                <w:highlight w:val="none"/>
                <w:shd w:val="clear" w:color="auto" w:fill="auto"/>
              </w:rPr>
              <w:t>。</w:t>
            </w:r>
          </w:p>
          <w:p w14:paraId="6605A604">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0"/>
                <w:sz w:val="24"/>
                <w:highlight w:val="none"/>
                <w:shd w:val="clear" w:color="auto" w:fill="auto"/>
                <w:lang w:eastAsia="zh-CN"/>
              </w:rPr>
            </w:pPr>
            <w:r>
              <w:rPr>
                <w:rFonts w:hint="default" w:ascii="Times New Roman" w:hAnsi="Times New Roman" w:eastAsia="宋体" w:cs="Times New Roman"/>
                <w:b/>
                <w:bCs/>
                <w:color w:val="auto"/>
                <w:kern w:val="0"/>
                <w:sz w:val="24"/>
                <w:highlight w:val="none"/>
                <w:shd w:val="clear" w:color="auto" w:fill="auto"/>
                <w:lang w:eastAsia="zh-CN"/>
              </w:rPr>
              <w:drawing>
                <wp:inline distT="0" distB="0" distL="114300" distR="114300">
                  <wp:extent cx="4304030" cy="4379595"/>
                  <wp:effectExtent l="0" t="0" r="0" b="0"/>
                  <wp:docPr id="8" name="ECB019B1-382A-4266-B25C-5B523AA43C14-4" descr="C:/Users/29147/AppData/Local/Temp/wps.pINsk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4" descr="C:/Users/29147/AppData/Local/Temp/wps.pINskFwps"/>
                          <pic:cNvPicPr>
                            <a:picLocks noChangeAspect="1"/>
                          </pic:cNvPicPr>
                        </pic:nvPicPr>
                        <pic:blipFill>
                          <a:blip r:embed="rId17"/>
                          <a:stretch>
                            <a:fillRect/>
                          </a:stretch>
                        </pic:blipFill>
                        <pic:spPr>
                          <a:xfrm>
                            <a:off x="0" y="0"/>
                            <a:ext cx="4304030" cy="4379595"/>
                          </a:xfrm>
                          <a:prstGeom prst="rect">
                            <a:avLst/>
                          </a:prstGeom>
                        </pic:spPr>
                      </pic:pic>
                    </a:graphicData>
                  </a:graphic>
                </wp:inline>
              </w:drawing>
            </w:r>
          </w:p>
          <w:p w14:paraId="77BA4CED">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0"/>
                <w:sz w:val="24"/>
                <w:highlight w:val="none"/>
                <w:shd w:val="clear" w:color="auto" w:fill="auto"/>
              </w:rPr>
            </w:pPr>
            <w:r>
              <w:rPr>
                <w:rFonts w:hint="default" w:ascii="Times New Roman" w:hAnsi="Times New Roman" w:eastAsia="宋体" w:cs="Times New Roman"/>
                <w:b/>
                <w:bCs/>
                <w:color w:val="auto"/>
                <w:kern w:val="0"/>
                <w:sz w:val="24"/>
                <w:highlight w:val="none"/>
                <w:shd w:val="clear" w:color="auto" w:fill="auto"/>
              </w:rPr>
              <w:t>图4-</w:t>
            </w:r>
            <w:r>
              <w:rPr>
                <w:rFonts w:hint="default" w:ascii="Times New Roman" w:hAnsi="Times New Roman" w:eastAsia="宋体" w:cs="Times New Roman"/>
                <w:b/>
                <w:bCs/>
                <w:color w:val="auto"/>
                <w:kern w:val="0"/>
                <w:sz w:val="24"/>
                <w:highlight w:val="none"/>
                <w:shd w:val="clear" w:color="auto" w:fill="auto"/>
                <w:lang w:val="en-US" w:eastAsia="zh-CN"/>
              </w:rPr>
              <w:t>1</w:t>
            </w:r>
            <w:r>
              <w:rPr>
                <w:rFonts w:hint="default" w:ascii="Times New Roman" w:hAnsi="Times New Roman" w:eastAsia="宋体" w:cs="Times New Roman"/>
                <w:b/>
                <w:bCs/>
                <w:color w:val="auto"/>
                <w:kern w:val="0"/>
                <w:sz w:val="24"/>
                <w:highlight w:val="none"/>
                <w:shd w:val="clear" w:color="auto" w:fill="auto"/>
              </w:rPr>
              <w:t xml:space="preserve"> </w:t>
            </w:r>
            <w:r>
              <w:rPr>
                <w:rFonts w:hint="default" w:ascii="Times New Roman" w:hAnsi="Times New Roman" w:eastAsia="宋体" w:cs="Times New Roman"/>
                <w:b/>
                <w:bCs/>
                <w:color w:val="auto"/>
                <w:kern w:val="0"/>
                <w:sz w:val="24"/>
                <w:highlight w:val="none"/>
                <w:shd w:val="clear" w:color="auto" w:fill="auto"/>
                <w:lang w:val="en-US" w:eastAsia="zh-CN"/>
              </w:rPr>
              <w:t xml:space="preserve"> </w:t>
            </w:r>
            <w:r>
              <w:rPr>
                <w:rFonts w:hint="default" w:ascii="Times New Roman" w:hAnsi="Times New Roman" w:eastAsia="宋体" w:cs="Times New Roman"/>
                <w:b/>
                <w:bCs/>
                <w:color w:val="auto"/>
                <w:kern w:val="0"/>
                <w:sz w:val="24"/>
                <w:highlight w:val="none"/>
                <w:shd w:val="clear" w:color="auto" w:fill="auto"/>
              </w:rPr>
              <w:t>废气处理工艺流程</w:t>
            </w:r>
          </w:p>
          <w:p w14:paraId="203C1981">
            <w:pPr>
              <w:keepNext w:val="0"/>
              <w:keepLines w:val="0"/>
              <w:pageBreakBefore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highlight w:val="none"/>
                <w:shd w:val="clear" w:color="auto" w:fill="auto"/>
                <w:lang w:val="en-US" w:eastAsia="zh-CN"/>
              </w:rPr>
            </w:pPr>
            <w:r>
              <w:rPr>
                <w:rFonts w:hint="default" w:ascii="Times New Roman" w:hAnsi="Times New Roman" w:eastAsia="宋体" w:cs="Times New Roman"/>
                <w:b/>
                <w:bCs/>
                <w:color w:val="auto"/>
                <w:sz w:val="24"/>
                <w:highlight w:val="none"/>
                <w:shd w:val="clear" w:color="auto" w:fill="auto"/>
                <w:lang w:val="en-US" w:eastAsia="zh-CN"/>
              </w:rPr>
              <w:t>②</w:t>
            </w:r>
            <w:r>
              <w:rPr>
                <w:rFonts w:hint="default" w:ascii="Times New Roman" w:hAnsi="Times New Roman" w:eastAsia="宋体" w:cs="Times New Roman"/>
                <w:b/>
                <w:bCs/>
                <w:color w:val="auto"/>
                <w:sz w:val="24"/>
                <w:highlight w:val="none"/>
                <w:shd w:val="clear" w:color="auto" w:fill="auto"/>
                <w:lang w:eastAsia="zh-CN"/>
              </w:rPr>
              <w:t>废气</w:t>
            </w:r>
            <w:r>
              <w:rPr>
                <w:rFonts w:hint="default" w:ascii="Times New Roman" w:hAnsi="Times New Roman" w:eastAsia="宋体" w:cs="Times New Roman"/>
                <w:b/>
                <w:bCs/>
                <w:color w:val="auto"/>
                <w:sz w:val="24"/>
                <w:highlight w:val="none"/>
                <w:shd w:val="clear" w:color="auto" w:fill="auto"/>
                <w:lang w:val="en-US" w:eastAsia="zh-CN"/>
              </w:rPr>
              <w:t>收集系统风量核算</w:t>
            </w:r>
          </w:p>
          <w:p w14:paraId="20029AEF">
            <w:pPr>
              <w:spacing w:line="500" w:lineRule="exact"/>
              <w:jc w:val="center"/>
              <w:rPr>
                <w:rFonts w:hint="default" w:ascii="Times New Roman" w:hAnsi="Times New Roman" w:eastAsia="宋体" w:cs="Times New Roman"/>
                <w:b/>
                <w:color w:val="auto"/>
                <w:sz w:val="24"/>
                <w:szCs w:val="24"/>
                <w:lang w:bidi="en-US"/>
              </w:rPr>
            </w:pPr>
            <w:r>
              <w:rPr>
                <w:rFonts w:hint="default" w:ascii="Times New Roman" w:hAnsi="Times New Roman" w:eastAsia="宋体" w:cs="Times New Roman"/>
                <w:b/>
                <w:color w:val="auto"/>
                <w:sz w:val="24"/>
                <w:szCs w:val="24"/>
                <w:lang w:val="en-US" w:eastAsia="zh-CN" w:bidi="en-US"/>
              </w:rPr>
              <w:t>表4-</w:t>
            </w:r>
            <w:r>
              <w:rPr>
                <w:rFonts w:hint="eastAsia" w:ascii="Times New Roman" w:hAnsi="Times New Roman" w:eastAsia="宋体" w:cs="Times New Roman"/>
                <w:b/>
                <w:color w:val="auto"/>
                <w:sz w:val="24"/>
                <w:szCs w:val="24"/>
                <w:lang w:val="en-US" w:eastAsia="zh-CN" w:bidi="en-US"/>
              </w:rPr>
              <w:t>3</w:t>
            </w:r>
            <w:r>
              <w:rPr>
                <w:rFonts w:hint="default" w:ascii="Times New Roman" w:hAnsi="Times New Roman" w:eastAsia="宋体" w:cs="Times New Roman"/>
                <w:b/>
                <w:color w:val="auto"/>
                <w:sz w:val="24"/>
                <w:szCs w:val="24"/>
                <w:lang w:val="en-US" w:eastAsia="zh-CN" w:bidi="en-US"/>
              </w:rPr>
              <w:t xml:space="preserve">  </w:t>
            </w:r>
            <w:r>
              <w:rPr>
                <w:rFonts w:hint="default" w:ascii="Times New Roman" w:hAnsi="Times New Roman" w:eastAsia="宋体" w:cs="Times New Roman"/>
                <w:b/>
                <w:color w:val="auto"/>
                <w:sz w:val="24"/>
                <w:szCs w:val="24"/>
                <w:lang w:bidi="en-US"/>
              </w:rPr>
              <w:t>本项目废气风量合理性核算表    单位：m</w:t>
            </w:r>
            <w:r>
              <w:rPr>
                <w:rFonts w:hint="default" w:ascii="Times New Roman" w:hAnsi="Times New Roman" w:eastAsia="宋体" w:cs="Times New Roman"/>
                <w:b/>
                <w:color w:val="auto"/>
                <w:sz w:val="24"/>
                <w:szCs w:val="24"/>
                <w:vertAlign w:val="superscript"/>
                <w:lang w:bidi="en-US"/>
              </w:rPr>
              <w:t>3</w:t>
            </w:r>
            <w:r>
              <w:rPr>
                <w:rFonts w:hint="default" w:ascii="Times New Roman" w:hAnsi="Times New Roman" w:eastAsia="宋体" w:cs="Times New Roman"/>
                <w:b/>
                <w:color w:val="auto"/>
                <w:sz w:val="24"/>
                <w:szCs w:val="24"/>
                <w:lang w:bidi="en-US"/>
              </w:rPr>
              <w:t>/h</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79"/>
              <w:gridCol w:w="780"/>
              <w:gridCol w:w="782"/>
              <w:gridCol w:w="1068"/>
              <w:gridCol w:w="1689"/>
              <w:gridCol w:w="1321"/>
              <w:gridCol w:w="1033"/>
              <w:gridCol w:w="909"/>
            </w:tblGrid>
            <w:tr w14:paraId="5CF88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465" w:type="pct"/>
                  <w:tcBorders>
                    <w:tl2br w:val="nil"/>
                    <w:tr2bl w:val="nil"/>
                  </w:tcBorders>
                  <w:shd w:val="clear" w:color="auto" w:fill="auto"/>
                  <w:vAlign w:val="center"/>
                </w:tcPr>
                <w:p w14:paraId="5755324F">
                  <w:pPr>
                    <w:widowControl/>
                    <w:jc w:val="center"/>
                    <w:textAlignment w:val="center"/>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排气筒编号</w:t>
                  </w:r>
                </w:p>
              </w:tc>
              <w:tc>
                <w:tcPr>
                  <w:tcW w:w="466" w:type="pct"/>
                  <w:tcBorders>
                    <w:tl2br w:val="nil"/>
                    <w:tr2bl w:val="nil"/>
                  </w:tcBorders>
                  <w:shd w:val="clear" w:color="auto" w:fill="auto"/>
                  <w:vAlign w:val="center"/>
                </w:tcPr>
                <w:p w14:paraId="0CC90596">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废气来源</w:t>
                  </w:r>
                </w:p>
              </w:tc>
              <w:tc>
                <w:tcPr>
                  <w:tcW w:w="467" w:type="pct"/>
                  <w:tcBorders>
                    <w:tl2br w:val="nil"/>
                    <w:tr2bl w:val="nil"/>
                  </w:tcBorders>
                  <w:shd w:val="clear" w:color="auto" w:fill="auto"/>
                  <w:vAlign w:val="center"/>
                </w:tcPr>
                <w:p w14:paraId="4AD5DEDF">
                  <w:pPr>
                    <w:widowControl/>
                    <w:jc w:val="center"/>
                    <w:textAlignment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sz w:val="21"/>
                      <w:szCs w:val="21"/>
                      <w:highlight w:val="none"/>
                      <w:lang w:eastAsia="zh-CN"/>
                    </w:rPr>
                    <w:t>产污设备数量（台/套）</w:t>
                  </w:r>
                </w:p>
              </w:tc>
              <w:tc>
                <w:tcPr>
                  <w:tcW w:w="638" w:type="pct"/>
                  <w:tcBorders>
                    <w:tl2br w:val="nil"/>
                    <w:tr2bl w:val="nil"/>
                  </w:tcBorders>
                  <w:shd w:val="clear" w:color="auto" w:fill="auto"/>
                  <w:vAlign w:val="center"/>
                </w:tcPr>
                <w:p w14:paraId="790FF52B">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收集方式</w:t>
                  </w:r>
                </w:p>
              </w:tc>
              <w:tc>
                <w:tcPr>
                  <w:tcW w:w="1010" w:type="pct"/>
                  <w:tcBorders>
                    <w:tl2br w:val="nil"/>
                    <w:tr2bl w:val="nil"/>
                  </w:tcBorders>
                  <w:shd w:val="clear" w:color="auto" w:fill="auto"/>
                  <w:vAlign w:val="center"/>
                </w:tcPr>
                <w:p w14:paraId="7814A122">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收集参数</w:t>
                  </w:r>
                </w:p>
              </w:tc>
              <w:tc>
                <w:tcPr>
                  <w:tcW w:w="789" w:type="pct"/>
                  <w:tcBorders>
                    <w:tl2br w:val="nil"/>
                    <w:tr2bl w:val="nil"/>
                  </w:tcBorders>
                  <w:shd w:val="clear" w:color="auto" w:fill="auto"/>
                  <w:vAlign w:val="center"/>
                </w:tcPr>
                <w:p w14:paraId="4E9E0390">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核算风量（各工段）</w:t>
                  </w:r>
                </w:p>
              </w:tc>
              <w:tc>
                <w:tcPr>
                  <w:tcW w:w="617" w:type="pct"/>
                  <w:tcBorders>
                    <w:tl2br w:val="nil"/>
                    <w:tr2bl w:val="nil"/>
                  </w:tcBorders>
                  <w:shd w:val="clear" w:color="auto" w:fill="auto"/>
                  <w:vAlign w:val="center"/>
                </w:tcPr>
                <w:p w14:paraId="45D21234">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核算风量（总）</w:t>
                  </w:r>
                </w:p>
              </w:tc>
              <w:tc>
                <w:tcPr>
                  <w:tcW w:w="543" w:type="pct"/>
                  <w:tcBorders>
                    <w:tl2br w:val="nil"/>
                    <w:tr2bl w:val="nil"/>
                  </w:tcBorders>
                  <w:shd w:val="clear" w:color="auto" w:fill="auto"/>
                  <w:vAlign w:val="center"/>
                </w:tcPr>
                <w:p w14:paraId="114E29E3">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设计风量</w:t>
                  </w:r>
                </w:p>
              </w:tc>
            </w:tr>
            <w:tr w14:paraId="04635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465" w:type="pct"/>
                  <w:vMerge w:val="restart"/>
                  <w:tcBorders>
                    <w:tl2br w:val="nil"/>
                    <w:tr2bl w:val="nil"/>
                  </w:tcBorders>
                  <w:shd w:val="clear" w:color="auto" w:fill="auto"/>
                  <w:vAlign w:val="center"/>
                </w:tcPr>
                <w:p w14:paraId="0426D53C">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466" w:type="pct"/>
                  <w:tcBorders>
                    <w:tl2br w:val="nil"/>
                    <w:tr2bl w:val="nil"/>
                  </w:tcBorders>
                  <w:shd w:val="clear" w:color="auto" w:fill="auto"/>
                  <w:vAlign w:val="center"/>
                </w:tcPr>
                <w:p w14:paraId="57C31FDA">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调墨、</w:t>
                  </w:r>
                </w:p>
                <w:p w14:paraId="2A457157">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印刷、清洗</w:t>
                  </w:r>
                </w:p>
              </w:tc>
              <w:tc>
                <w:tcPr>
                  <w:tcW w:w="467" w:type="pct"/>
                  <w:tcBorders>
                    <w:tl2br w:val="nil"/>
                    <w:tr2bl w:val="nil"/>
                  </w:tcBorders>
                  <w:shd w:val="clear" w:color="auto" w:fill="auto"/>
                  <w:vAlign w:val="center"/>
                </w:tcPr>
                <w:p w14:paraId="275E0BF7">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w:t>
                  </w:r>
                </w:p>
              </w:tc>
              <w:tc>
                <w:tcPr>
                  <w:tcW w:w="638" w:type="pct"/>
                  <w:tcBorders>
                    <w:tl2br w:val="nil"/>
                    <w:tr2bl w:val="nil"/>
                  </w:tcBorders>
                  <w:shd w:val="clear" w:color="auto" w:fill="auto"/>
                  <w:vAlign w:val="center"/>
                </w:tcPr>
                <w:p w14:paraId="11C2A95C">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车间密闭</w:t>
                  </w:r>
                  <w:r>
                    <w:rPr>
                      <w:rFonts w:hint="default" w:ascii="Times New Roman" w:hAnsi="Times New Roman" w:eastAsia="宋体" w:cs="Times New Roman"/>
                      <w:color w:val="auto"/>
                      <w:kern w:val="0"/>
                      <w:sz w:val="21"/>
                      <w:szCs w:val="21"/>
                      <w:lang w:val="en-US" w:eastAsia="zh-CN" w:bidi="ar"/>
                    </w:rPr>
                    <w:t>，负压管道收集</w:t>
                  </w:r>
                </w:p>
              </w:tc>
              <w:tc>
                <w:tcPr>
                  <w:tcW w:w="1010" w:type="pct"/>
                  <w:tcBorders>
                    <w:tl2br w:val="nil"/>
                    <w:tr2bl w:val="nil"/>
                  </w:tcBorders>
                  <w:shd w:val="clear" w:color="auto" w:fill="auto"/>
                  <w:vAlign w:val="center"/>
                </w:tcPr>
                <w:p w14:paraId="408CF84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换气次数</w:t>
                  </w:r>
                  <w:r>
                    <w:rPr>
                      <w:rFonts w:hint="eastAsia" w:ascii="Times New Roman" w:hAnsi="Times New Roman" w:eastAsia="宋体" w:cs="Times New Roman"/>
                      <w:color w:val="auto"/>
                      <w:kern w:val="0"/>
                      <w:sz w:val="21"/>
                      <w:szCs w:val="21"/>
                      <w:lang w:val="en-US" w:eastAsia="zh-CN" w:bidi="ar"/>
                    </w:rPr>
                    <w:t>15</w:t>
                  </w:r>
                  <w:r>
                    <w:rPr>
                      <w:rFonts w:hint="default" w:ascii="Times New Roman" w:hAnsi="Times New Roman" w:eastAsia="宋体" w:cs="Times New Roman"/>
                      <w:color w:val="auto"/>
                      <w:kern w:val="0"/>
                      <w:sz w:val="21"/>
                      <w:szCs w:val="21"/>
                      <w:lang w:val="en-US" w:eastAsia="zh-CN" w:bidi="ar"/>
                    </w:rPr>
                    <w:t>次/h，面积</w:t>
                  </w:r>
                  <w:r>
                    <w:rPr>
                      <w:rFonts w:hint="eastAsia" w:ascii="Times New Roman" w:hAnsi="Times New Roman" w:eastAsia="宋体" w:cs="Times New Roman"/>
                      <w:color w:val="auto"/>
                      <w:kern w:val="0"/>
                      <w:sz w:val="21"/>
                      <w:szCs w:val="21"/>
                      <w:lang w:val="en-US" w:eastAsia="zh-CN" w:bidi="ar"/>
                    </w:rPr>
                    <w:t>360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vertAlign w:val="baseline"/>
                      <w:lang w:val="en-US" w:eastAsia="zh-CN" w:bidi="ar"/>
                    </w:rPr>
                    <w:t>，高度</w:t>
                  </w:r>
                  <w:r>
                    <w:rPr>
                      <w:rFonts w:hint="eastAsia" w:ascii="Times New Roman" w:hAnsi="Times New Roman" w:eastAsia="宋体" w:cs="Times New Roman"/>
                      <w:color w:val="auto"/>
                      <w:kern w:val="0"/>
                      <w:sz w:val="21"/>
                      <w:szCs w:val="21"/>
                      <w:vertAlign w:val="baseline"/>
                      <w:lang w:val="en-US" w:eastAsia="zh-CN" w:bidi="ar"/>
                    </w:rPr>
                    <w:t>4</w:t>
                  </w:r>
                  <w:r>
                    <w:rPr>
                      <w:rFonts w:hint="default" w:ascii="Times New Roman" w:hAnsi="Times New Roman" w:eastAsia="宋体" w:cs="Times New Roman"/>
                      <w:color w:val="auto"/>
                      <w:kern w:val="0"/>
                      <w:sz w:val="21"/>
                      <w:szCs w:val="21"/>
                      <w:vertAlign w:val="baseline"/>
                      <w:lang w:val="en-US" w:eastAsia="zh-CN" w:bidi="ar"/>
                    </w:rPr>
                    <w:t>m</w:t>
                  </w:r>
                </w:p>
              </w:tc>
              <w:tc>
                <w:tcPr>
                  <w:tcW w:w="789" w:type="pct"/>
                  <w:tcBorders>
                    <w:tl2br w:val="nil"/>
                    <w:tr2bl w:val="nil"/>
                  </w:tcBorders>
                  <w:shd w:val="clear" w:color="auto" w:fill="auto"/>
                  <w:vAlign w:val="center"/>
                </w:tcPr>
                <w:p w14:paraId="1A1CD3B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18000</w:t>
                  </w:r>
                </w:p>
              </w:tc>
              <w:tc>
                <w:tcPr>
                  <w:tcW w:w="617" w:type="pct"/>
                  <w:vMerge w:val="restart"/>
                  <w:tcBorders>
                    <w:tl2br w:val="nil"/>
                    <w:tr2bl w:val="nil"/>
                  </w:tcBorders>
                  <w:shd w:val="clear" w:color="auto" w:fill="auto"/>
                  <w:vAlign w:val="center"/>
                </w:tcPr>
                <w:p w14:paraId="1A79FBAB">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19925</w:t>
                  </w:r>
                </w:p>
              </w:tc>
              <w:tc>
                <w:tcPr>
                  <w:tcW w:w="543" w:type="pct"/>
                  <w:vMerge w:val="restart"/>
                  <w:tcBorders>
                    <w:tl2br w:val="nil"/>
                    <w:tr2bl w:val="nil"/>
                  </w:tcBorders>
                  <w:shd w:val="clear" w:color="auto" w:fill="auto"/>
                  <w:vAlign w:val="center"/>
                </w:tcPr>
                <w:p w14:paraId="20137AF3">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23000</w:t>
                  </w:r>
                </w:p>
              </w:tc>
            </w:tr>
            <w:tr w14:paraId="7C440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65" w:type="pct"/>
                  <w:vMerge w:val="continue"/>
                  <w:tcBorders>
                    <w:tl2br w:val="nil"/>
                    <w:tr2bl w:val="nil"/>
                  </w:tcBorders>
                  <w:shd w:val="clear" w:color="auto" w:fill="auto"/>
                  <w:vAlign w:val="center"/>
                </w:tcPr>
                <w:p w14:paraId="73A1BC8F">
                  <w:pPr>
                    <w:widowControl/>
                    <w:jc w:val="center"/>
                    <w:textAlignment w:val="center"/>
                    <w:rPr>
                      <w:rFonts w:hint="eastAsia" w:ascii="Times New Roman" w:hAnsi="Times New Roman" w:eastAsia="宋体" w:cs="Times New Roman"/>
                      <w:color w:val="auto"/>
                      <w:kern w:val="0"/>
                      <w:sz w:val="21"/>
                      <w:szCs w:val="21"/>
                      <w:lang w:val="en-US" w:eastAsia="zh-CN" w:bidi="ar"/>
                    </w:rPr>
                  </w:pPr>
                </w:p>
              </w:tc>
              <w:tc>
                <w:tcPr>
                  <w:tcW w:w="466" w:type="pct"/>
                  <w:tcBorders>
                    <w:tl2br w:val="nil"/>
                    <w:tr2bl w:val="nil"/>
                  </w:tcBorders>
                  <w:shd w:val="clear" w:color="auto" w:fill="auto"/>
                  <w:vAlign w:val="center"/>
                </w:tcPr>
                <w:p w14:paraId="4CBDBF7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复合、清洗</w:t>
                  </w:r>
                </w:p>
              </w:tc>
              <w:tc>
                <w:tcPr>
                  <w:tcW w:w="467" w:type="pct"/>
                  <w:tcBorders>
                    <w:tl2br w:val="nil"/>
                    <w:tr2bl w:val="nil"/>
                  </w:tcBorders>
                  <w:shd w:val="clear" w:color="auto" w:fill="auto"/>
                  <w:vAlign w:val="center"/>
                </w:tcPr>
                <w:p w14:paraId="274A1463">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638" w:type="pct"/>
                  <w:tcBorders>
                    <w:tl2br w:val="nil"/>
                    <w:tr2bl w:val="nil"/>
                  </w:tcBorders>
                  <w:shd w:val="clear" w:color="auto" w:fill="auto"/>
                  <w:vAlign w:val="center"/>
                </w:tcPr>
                <w:p w14:paraId="39ABE49B">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集气罩收集</w:t>
                  </w:r>
                </w:p>
              </w:tc>
              <w:tc>
                <w:tcPr>
                  <w:tcW w:w="1010" w:type="pct"/>
                  <w:tcBorders>
                    <w:tl2br w:val="nil"/>
                    <w:tr2bl w:val="nil"/>
                  </w:tcBorders>
                  <w:shd w:val="clear" w:color="auto" w:fill="auto"/>
                  <w:vAlign w:val="center"/>
                </w:tcPr>
                <w:p w14:paraId="57209598">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*0.3*</w:t>
                  </w:r>
                  <w:r>
                    <w:rPr>
                      <w:rFonts w:hint="eastAsia" w:ascii="Times New Roman" w:hAnsi="Times New Roman" w:eastAsia="宋体" w:cs="Times New Roman"/>
                      <w:color w:val="auto"/>
                      <w:kern w:val="0"/>
                      <w:sz w:val="21"/>
                      <w:szCs w:val="21"/>
                      <w:lang w:val="en-US" w:eastAsia="zh-CN" w:bidi="ar"/>
                    </w:rPr>
                    <w:t>3</w:t>
                  </w:r>
                </w:p>
              </w:tc>
              <w:tc>
                <w:tcPr>
                  <w:tcW w:w="789" w:type="pct"/>
                  <w:tcBorders>
                    <w:tl2br w:val="nil"/>
                    <w:tr2bl w:val="nil"/>
                  </w:tcBorders>
                  <w:shd w:val="clear" w:color="auto" w:fill="auto"/>
                  <w:vAlign w:val="center"/>
                </w:tcPr>
                <w:p w14:paraId="63DEF30E">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1685</w:t>
                  </w:r>
                </w:p>
              </w:tc>
              <w:tc>
                <w:tcPr>
                  <w:tcW w:w="617" w:type="pct"/>
                  <w:vMerge w:val="continue"/>
                  <w:tcBorders>
                    <w:tl2br w:val="nil"/>
                    <w:tr2bl w:val="nil"/>
                  </w:tcBorders>
                  <w:shd w:val="clear" w:color="auto" w:fill="auto"/>
                  <w:vAlign w:val="center"/>
                </w:tcPr>
                <w:p w14:paraId="08971061">
                  <w:pPr>
                    <w:widowControl/>
                    <w:jc w:val="center"/>
                    <w:textAlignment w:val="center"/>
                    <w:rPr>
                      <w:rFonts w:hint="default" w:ascii="Times New Roman" w:hAnsi="Times New Roman" w:eastAsia="宋体" w:cs="Times New Roman"/>
                      <w:color w:val="auto"/>
                      <w:kern w:val="0"/>
                      <w:sz w:val="21"/>
                      <w:szCs w:val="21"/>
                      <w:lang w:val="en-US" w:eastAsia="zh-CN" w:bidi="ar"/>
                    </w:rPr>
                  </w:pPr>
                </w:p>
              </w:tc>
              <w:tc>
                <w:tcPr>
                  <w:tcW w:w="543" w:type="pct"/>
                  <w:vMerge w:val="continue"/>
                  <w:tcBorders>
                    <w:tl2br w:val="nil"/>
                    <w:tr2bl w:val="nil"/>
                  </w:tcBorders>
                  <w:shd w:val="clear" w:color="auto" w:fill="auto"/>
                  <w:vAlign w:val="center"/>
                </w:tcPr>
                <w:p w14:paraId="216812A7">
                  <w:pPr>
                    <w:widowControl/>
                    <w:jc w:val="center"/>
                    <w:textAlignment w:val="center"/>
                    <w:rPr>
                      <w:rFonts w:hint="default" w:ascii="Times New Roman" w:hAnsi="Times New Roman" w:eastAsia="宋体" w:cs="Times New Roman"/>
                      <w:color w:val="auto"/>
                      <w:kern w:val="0"/>
                      <w:sz w:val="21"/>
                      <w:szCs w:val="21"/>
                      <w:lang w:val="en-US" w:eastAsia="zh-CN" w:bidi="ar"/>
                    </w:rPr>
                  </w:pPr>
                </w:p>
              </w:tc>
            </w:tr>
            <w:tr w14:paraId="3A557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65" w:type="pct"/>
                  <w:vMerge w:val="continue"/>
                  <w:tcBorders>
                    <w:tl2br w:val="nil"/>
                    <w:tr2bl w:val="nil"/>
                  </w:tcBorders>
                  <w:shd w:val="clear" w:color="auto" w:fill="auto"/>
                  <w:vAlign w:val="center"/>
                </w:tcPr>
                <w:p w14:paraId="5C7EFEFE">
                  <w:pPr>
                    <w:widowControl/>
                    <w:jc w:val="center"/>
                    <w:textAlignment w:val="center"/>
                    <w:rPr>
                      <w:rFonts w:hint="eastAsia" w:ascii="Times New Roman" w:hAnsi="Times New Roman" w:eastAsia="宋体" w:cs="Times New Roman"/>
                      <w:color w:val="auto"/>
                      <w:kern w:val="0"/>
                      <w:sz w:val="21"/>
                      <w:szCs w:val="21"/>
                      <w:lang w:val="en-US" w:eastAsia="zh-CN" w:bidi="ar"/>
                    </w:rPr>
                  </w:pPr>
                </w:p>
              </w:tc>
              <w:tc>
                <w:tcPr>
                  <w:tcW w:w="466" w:type="pct"/>
                  <w:tcBorders>
                    <w:tl2br w:val="nil"/>
                    <w:tr2bl w:val="nil"/>
                  </w:tcBorders>
                  <w:shd w:val="clear" w:color="auto" w:fill="auto"/>
                  <w:vAlign w:val="center"/>
                </w:tcPr>
                <w:p w14:paraId="3336662F">
                  <w:pPr>
                    <w:widowControl/>
                    <w:jc w:val="center"/>
                    <w:textAlignment w:val="center"/>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熟化</w:t>
                  </w:r>
                </w:p>
              </w:tc>
              <w:tc>
                <w:tcPr>
                  <w:tcW w:w="467" w:type="pct"/>
                  <w:tcBorders>
                    <w:tl2br w:val="nil"/>
                    <w:tr2bl w:val="nil"/>
                  </w:tcBorders>
                  <w:shd w:val="clear" w:color="auto" w:fill="auto"/>
                  <w:vAlign w:val="center"/>
                </w:tcPr>
                <w:p w14:paraId="6DD44C84">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638" w:type="pct"/>
                  <w:tcBorders>
                    <w:tl2br w:val="nil"/>
                    <w:tr2bl w:val="nil"/>
                  </w:tcBorders>
                  <w:shd w:val="clear" w:color="auto" w:fill="auto"/>
                  <w:vAlign w:val="center"/>
                </w:tcPr>
                <w:p w14:paraId="406C1D38">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设备密闭</w:t>
                  </w:r>
                  <w:r>
                    <w:rPr>
                      <w:rFonts w:hint="default" w:ascii="Times New Roman" w:hAnsi="Times New Roman" w:eastAsia="宋体" w:cs="Times New Roman"/>
                      <w:color w:val="auto"/>
                      <w:kern w:val="0"/>
                      <w:sz w:val="21"/>
                      <w:szCs w:val="21"/>
                      <w:lang w:val="en-US" w:eastAsia="zh-CN" w:bidi="ar"/>
                    </w:rPr>
                    <w:t>，负压管道收集</w:t>
                  </w:r>
                </w:p>
              </w:tc>
              <w:tc>
                <w:tcPr>
                  <w:tcW w:w="1010" w:type="pct"/>
                  <w:tcBorders>
                    <w:tl2br w:val="nil"/>
                    <w:tr2bl w:val="nil"/>
                  </w:tcBorders>
                  <w:shd w:val="clear" w:color="auto" w:fill="auto"/>
                  <w:vAlign w:val="center"/>
                </w:tcPr>
                <w:p w14:paraId="6D96680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换气次数</w:t>
                  </w: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0次/h，</w:t>
                  </w:r>
                  <w:r>
                    <w:rPr>
                      <w:rFonts w:hint="eastAsia" w:ascii="Times New Roman" w:hAnsi="Times New Roman" w:eastAsia="宋体" w:cs="Times New Roman"/>
                      <w:color w:val="auto"/>
                      <w:kern w:val="0"/>
                      <w:sz w:val="21"/>
                      <w:szCs w:val="21"/>
                      <w:lang w:val="en-US" w:eastAsia="zh-CN" w:bidi="ar"/>
                    </w:rPr>
                    <w:t>设备内容积6</w:t>
                  </w:r>
                  <w:r>
                    <w:rPr>
                      <w:rFonts w:hint="default" w:ascii="Times New Roman" w:hAnsi="Times New Roman" w:eastAsia="宋体" w:cs="Times New Roman"/>
                      <w:color w:val="auto"/>
                      <w:kern w:val="0"/>
                      <w:sz w:val="21"/>
                      <w:szCs w:val="21"/>
                      <w:lang w:val="en-US" w:eastAsia="zh-CN" w:bidi="ar"/>
                    </w:rPr>
                    <w:t>m</w:t>
                  </w:r>
                  <w:r>
                    <w:rPr>
                      <w:rFonts w:hint="eastAsia" w:ascii="Times New Roman" w:hAnsi="Times New Roman" w:eastAsia="宋体" w:cs="Times New Roman"/>
                      <w:color w:val="auto"/>
                      <w:kern w:val="0"/>
                      <w:sz w:val="21"/>
                      <w:szCs w:val="21"/>
                      <w:vertAlign w:val="superscript"/>
                      <w:lang w:val="en-US" w:eastAsia="zh-CN" w:bidi="ar"/>
                    </w:rPr>
                    <w:t>3</w:t>
                  </w:r>
                </w:p>
              </w:tc>
              <w:tc>
                <w:tcPr>
                  <w:tcW w:w="789" w:type="pct"/>
                  <w:tcBorders>
                    <w:tl2br w:val="nil"/>
                    <w:tr2bl w:val="nil"/>
                  </w:tcBorders>
                  <w:shd w:val="clear" w:color="auto" w:fill="auto"/>
                  <w:vAlign w:val="center"/>
                </w:tcPr>
                <w:p w14:paraId="5B435A1C">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240</w:t>
                  </w:r>
                </w:p>
              </w:tc>
              <w:tc>
                <w:tcPr>
                  <w:tcW w:w="617" w:type="pct"/>
                  <w:vMerge w:val="continue"/>
                  <w:tcBorders>
                    <w:tl2br w:val="nil"/>
                    <w:tr2bl w:val="nil"/>
                  </w:tcBorders>
                  <w:shd w:val="clear" w:color="auto" w:fill="auto"/>
                  <w:vAlign w:val="center"/>
                </w:tcPr>
                <w:p w14:paraId="1322A879">
                  <w:pPr>
                    <w:widowControl/>
                    <w:jc w:val="center"/>
                    <w:textAlignment w:val="center"/>
                    <w:rPr>
                      <w:rFonts w:hint="default" w:ascii="Times New Roman" w:hAnsi="Times New Roman" w:eastAsia="宋体" w:cs="Times New Roman"/>
                      <w:color w:val="auto"/>
                      <w:kern w:val="0"/>
                      <w:sz w:val="21"/>
                      <w:szCs w:val="21"/>
                      <w:lang w:val="en-US" w:eastAsia="zh-CN" w:bidi="ar"/>
                    </w:rPr>
                  </w:pPr>
                </w:p>
              </w:tc>
              <w:tc>
                <w:tcPr>
                  <w:tcW w:w="543" w:type="pct"/>
                  <w:vMerge w:val="continue"/>
                  <w:tcBorders>
                    <w:tl2br w:val="nil"/>
                    <w:tr2bl w:val="nil"/>
                  </w:tcBorders>
                  <w:shd w:val="clear" w:color="auto" w:fill="auto"/>
                  <w:vAlign w:val="center"/>
                </w:tcPr>
                <w:p w14:paraId="7BA8BA18">
                  <w:pPr>
                    <w:widowControl/>
                    <w:jc w:val="center"/>
                    <w:textAlignment w:val="center"/>
                    <w:rPr>
                      <w:rFonts w:hint="default" w:ascii="Times New Roman" w:hAnsi="Times New Roman" w:eastAsia="宋体" w:cs="Times New Roman"/>
                      <w:color w:val="auto"/>
                      <w:kern w:val="0"/>
                      <w:sz w:val="21"/>
                      <w:szCs w:val="21"/>
                      <w:lang w:val="en-US" w:eastAsia="zh-CN" w:bidi="ar"/>
                    </w:rPr>
                  </w:pPr>
                </w:p>
              </w:tc>
            </w:tr>
            <w:tr w14:paraId="2C09F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65" w:type="pct"/>
                  <w:vMerge w:val="restart"/>
                  <w:tcBorders>
                    <w:tl2br w:val="nil"/>
                    <w:tr2bl w:val="nil"/>
                  </w:tcBorders>
                  <w:shd w:val="clear" w:color="auto" w:fill="auto"/>
                  <w:vAlign w:val="center"/>
                </w:tcPr>
                <w:p w14:paraId="3BB8DB86">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w:t>
                  </w:r>
                </w:p>
              </w:tc>
              <w:tc>
                <w:tcPr>
                  <w:tcW w:w="466" w:type="pct"/>
                  <w:tcBorders>
                    <w:tl2br w:val="nil"/>
                    <w:tr2bl w:val="nil"/>
                  </w:tcBorders>
                  <w:shd w:val="clear" w:color="auto" w:fill="auto"/>
                  <w:vAlign w:val="center"/>
                </w:tcPr>
                <w:p w14:paraId="4BC3E2CE">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制袋</w:t>
                  </w:r>
                </w:p>
              </w:tc>
              <w:tc>
                <w:tcPr>
                  <w:tcW w:w="467" w:type="pct"/>
                  <w:tcBorders>
                    <w:tl2br w:val="nil"/>
                    <w:tr2bl w:val="nil"/>
                  </w:tcBorders>
                  <w:shd w:val="clear" w:color="auto" w:fill="auto"/>
                  <w:vAlign w:val="center"/>
                </w:tcPr>
                <w:p w14:paraId="0E3BC6DB">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c>
                <w:tcPr>
                  <w:tcW w:w="638" w:type="pct"/>
                  <w:tcBorders>
                    <w:tl2br w:val="nil"/>
                    <w:tr2bl w:val="nil"/>
                  </w:tcBorders>
                  <w:shd w:val="clear" w:color="auto" w:fill="auto"/>
                  <w:vAlign w:val="center"/>
                </w:tcPr>
                <w:p w14:paraId="7CBF2672">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集气罩收集</w:t>
                  </w:r>
                </w:p>
              </w:tc>
              <w:tc>
                <w:tcPr>
                  <w:tcW w:w="1010" w:type="pct"/>
                  <w:tcBorders>
                    <w:tl2br w:val="nil"/>
                    <w:tr2bl w:val="nil"/>
                  </w:tcBorders>
                  <w:shd w:val="clear" w:color="auto" w:fill="auto"/>
                  <w:vAlign w:val="center"/>
                </w:tcPr>
                <w:p w14:paraId="790FBFD9">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*0.3*</w:t>
                  </w:r>
                  <w:r>
                    <w:rPr>
                      <w:rFonts w:hint="eastAsia" w:ascii="Times New Roman" w:hAnsi="Times New Roman" w:eastAsia="宋体" w:cs="Times New Roman"/>
                      <w:color w:val="auto"/>
                      <w:kern w:val="0"/>
                      <w:sz w:val="21"/>
                      <w:szCs w:val="21"/>
                      <w:lang w:val="en-US" w:eastAsia="zh-CN" w:bidi="ar"/>
                    </w:rPr>
                    <w:t>10</w:t>
                  </w:r>
                </w:p>
              </w:tc>
              <w:tc>
                <w:tcPr>
                  <w:tcW w:w="789" w:type="pct"/>
                  <w:tcBorders>
                    <w:tl2br w:val="nil"/>
                    <w:tr2bl w:val="nil"/>
                  </w:tcBorders>
                  <w:shd w:val="clear" w:color="auto" w:fill="auto"/>
                  <w:vAlign w:val="center"/>
                </w:tcPr>
                <w:p w14:paraId="2C840356">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2808</w:t>
                  </w:r>
                </w:p>
              </w:tc>
              <w:tc>
                <w:tcPr>
                  <w:tcW w:w="617" w:type="pct"/>
                  <w:vMerge w:val="restart"/>
                  <w:tcBorders>
                    <w:tl2br w:val="nil"/>
                    <w:tr2bl w:val="nil"/>
                  </w:tcBorders>
                  <w:shd w:val="clear" w:color="auto" w:fill="auto"/>
                  <w:vAlign w:val="center"/>
                </w:tcPr>
                <w:p w14:paraId="4AADCF93">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6178</w:t>
                  </w:r>
                </w:p>
              </w:tc>
              <w:tc>
                <w:tcPr>
                  <w:tcW w:w="543" w:type="pct"/>
                  <w:vMerge w:val="restart"/>
                  <w:tcBorders>
                    <w:tl2br w:val="nil"/>
                    <w:tr2bl w:val="nil"/>
                  </w:tcBorders>
                  <w:shd w:val="clear" w:color="auto" w:fill="auto"/>
                  <w:vAlign w:val="center"/>
                </w:tcPr>
                <w:p w14:paraId="59B81E26">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8000</w:t>
                  </w:r>
                </w:p>
              </w:tc>
            </w:tr>
            <w:tr w14:paraId="301C8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65" w:type="pct"/>
                  <w:vMerge w:val="continue"/>
                  <w:tcBorders>
                    <w:tl2br w:val="nil"/>
                    <w:tr2bl w:val="nil"/>
                  </w:tcBorders>
                  <w:shd w:val="clear" w:color="auto" w:fill="auto"/>
                  <w:vAlign w:val="center"/>
                </w:tcPr>
                <w:p w14:paraId="592C62D8">
                  <w:pPr>
                    <w:widowControl/>
                    <w:jc w:val="center"/>
                    <w:textAlignment w:val="center"/>
                    <w:rPr>
                      <w:rFonts w:hint="eastAsia" w:ascii="Times New Roman" w:hAnsi="Times New Roman" w:eastAsia="宋体" w:cs="Times New Roman"/>
                      <w:color w:val="auto"/>
                      <w:kern w:val="0"/>
                      <w:sz w:val="21"/>
                      <w:szCs w:val="21"/>
                      <w:lang w:val="en-US" w:eastAsia="zh-CN" w:bidi="ar"/>
                    </w:rPr>
                  </w:pPr>
                </w:p>
              </w:tc>
              <w:tc>
                <w:tcPr>
                  <w:tcW w:w="466" w:type="pct"/>
                  <w:tcBorders>
                    <w:tl2br w:val="nil"/>
                    <w:tr2bl w:val="nil"/>
                  </w:tcBorders>
                  <w:shd w:val="clear" w:color="auto" w:fill="auto"/>
                  <w:vAlign w:val="center"/>
                </w:tcPr>
                <w:p w14:paraId="39351235">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吹膜</w:t>
                  </w:r>
                </w:p>
              </w:tc>
              <w:tc>
                <w:tcPr>
                  <w:tcW w:w="467" w:type="pct"/>
                  <w:tcBorders>
                    <w:tl2br w:val="nil"/>
                    <w:tr2bl w:val="nil"/>
                  </w:tcBorders>
                  <w:shd w:val="clear" w:color="auto" w:fill="auto"/>
                  <w:vAlign w:val="center"/>
                </w:tcPr>
                <w:p w14:paraId="1E0265FE">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12</w:t>
                  </w:r>
                </w:p>
              </w:tc>
              <w:tc>
                <w:tcPr>
                  <w:tcW w:w="638" w:type="pct"/>
                  <w:tcBorders>
                    <w:tl2br w:val="nil"/>
                    <w:tr2bl w:val="nil"/>
                  </w:tcBorders>
                  <w:shd w:val="clear" w:color="auto" w:fill="auto"/>
                  <w:vAlign w:val="center"/>
                </w:tcPr>
                <w:p w14:paraId="7CAE4529">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集气罩收集</w:t>
                  </w:r>
                </w:p>
              </w:tc>
              <w:tc>
                <w:tcPr>
                  <w:tcW w:w="1010" w:type="pct"/>
                  <w:tcBorders>
                    <w:tl2br w:val="nil"/>
                    <w:tr2bl w:val="nil"/>
                  </w:tcBorders>
                  <w:shd w:val="clear" w:color="auto" w:fill="auto"/>
                  <w:vAlign w:val="center"/>
                </w:tcPr>
                <w:p w14:paraId="374EFBA6">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*0.3*</w:t>
                  </w:r>
                  <w:r>
                    <w:rPr>
                      <w:rFonts w:hint="eastAsia" w:ascii="Times New Roman" w:hAnsi="Times New Roman" w:eastAsia="宋体" w:cs="Times New Roman"/>
                      <w:color w:val="auto"/>
                      <w:kern w:val="0"/>
                      <w:sz w:val="21"/>
                      <w:szCs w:val="21"/>
                      <w:lang w:val="en-US" w:eastAsia="zh-CN" w:bidi="ar"/>
                    </w:rPr>
                    <w:t>12</w:t>
                  </w:r>
                </w:p>
              </w:tc>
              <w:tc>
                <w:tcPr>
                  <w:tcW w:w="789" w:type="pct"/>
                  <w:tcBorders>
                    <w:tl2br w:val="nil"/>
                    <w:tr2bl w:val="nil"/>
                  </w:tcBorders>
                  <w:shd w:val="clear" w:color="auto" w:fill="auto"/>
                  <w:vAlign w:val="center"/>
                </w:tcPr>
                <w:p w14:paraId="282AFBF8">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3370</w:t>
                  </w:r>
                </w:p>
              </w:tc>
              <w:tc>
                <w:tcPr>
                  <w:tcW w:w="617" w:type="pct"/>
                  <w:vMerge w:val="continue"/>
                  <w:tcBorders>
                    <w:tl2br w:val="nil"/>
                    <w:tr2bl w:val="nil"/>
                  </w:tcBorders>
                  <w:shd w:val="clear" w:color="auto" w:fill="auto"/>
                  <w:vAlign w:val="center"/>
                </w:tcPr>
                <w:p w14:paraId="2B0BC436">
                  <w:pPr>
                    <w:widowControl/>
                    <w:jc w:val="center"/>
                    <w:textAlignment w:val="center"/>
                    <w:rPr>
                      <w:rFonts w:hint="default" w:ascii="Times New Roman" w:hAnsi="Times New Roman" w:eastAsia="宋体" w:cs="Times New Roman"/>
                      <w:color w:val="auto"/>
                      <w:kern w:val="0"/>
                      <w:sz w:val="21"/>
                      <w:szCs w:val="21"/>
                      <w:lang w:val="en-US" w:eastAsia="zh-CN" w:bidi="ar"/>
                    </w:rPr>
                  </w:pPr>
                </w:p>
              </w:tc>
              <w:tc>
                <w:tcPr>
                  <w:tcW w:w="543" w:type="pct"/>
                  <w:vMerge w:val="continue"/>
                  <w:tcBorders>
                    <w:tl2br w:val="nil"/>
                    <w:tr2bl w:val="nil"/>
                  </w:tcBorders>
                  <w:shd w:val="clear" w:color="auto" w:fill="auto"/>
                  <w:vAlign w:val="center"/>
                </w:tcPr>
                <w:p w14:paraId="2C62F4AD">
                  <w:pPr>
                    <w:widowControl/>
                    <w:jc w:val="center"/>
                    <w:textAlignment w:val="center"/>
                    <w:rPr>
                      <w:rFonts w:hint="default" w:ascii="Times New Roman" w:hAnsi="Times New Roman" w:eastAsia="宋体" w:cs="Times New Roman"/>
                      <w:color w:val="auto"/>
                      <w:kern w:val="0"/>
                      <w:sz w:val="21"/>
                      <w:szCs w:val="21"/>
                      <w:lang w:val="en-US" w:eastAsia="zh-CN" w:bidi="ar"/>
                    </w:rPr>
                  </w:pPr>
                </w:p>
              </w:tc>
            </w:tr>
          </w:tbl>
          <w:p w14:paraId="6B8A6D2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注：</w:t>
            </w:r>
            <w:r>
              <w:rPr>
                <w:rFonts w:hint="eastAsia" w:ascii="Times New Roman" w:hAnsi="Times New Roman" w:eastAsia="宋体" w:cs="Times New Roman"/>
                <w:bCs/>
                <w:color w:val="auto"/>
                <w:sz w:val="21"/>
                <w:szCs w:val="21"/>
                <w:lang w:val="en-US" w:eastAsia="zh-CN"/>
              </w:rPr>
              <w:t>①</w:t>
            </w:r>
            <w:r>
              <w:rPr>
                <w:rFonts w:hint="default" w:ascii="Times New Roman" w:hAnsi="Times New Roman" w:eastAsia="宋体" w:cs="Times New Roman"/>
                <w:color w:val="auto"/>
                <w:sz w:val="21"/>
                <w:szCs w:val="21"/>
                <w:lang w:val="en-US" w:eastAsia="zh-CN"/>
              </w:rPr>
              <w:t>空间密闭换风收集排风量 L（m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/h）计算公式为：</w:t>
            </w:r>
          </w:p>
          <w:p w14:paraId="7F1D7407">
            <w:pPr>
              <w:keepNext w:val="0"/>
              <w:keepLines w:val="0"/>
              <w:pageBreakBefore w:val="0"/>
              <w:widowControl w:val="0"/>
              <w:kinsoku/>
              <w:wordWrap/>
              <w:overflowPunct/>
              <w:topLinePunct w:val="0"/>
              <w:autoSpaceDE/>
              <w:autoSpaceDN/>
              <w:bidi w:val="0"/>
              <w:adjustRightInd/>
              <w:snapToGrid/>
              <w:spacing w:line="240" w:lineRule="auto"/>
              <w:ind w:firstLine="3780" w:firstLineChars="18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 nVf</w:t>
            </w:r>
          </w:p>
          <w:p w14:paraId="47FF3392">
            <w:pPr>
              <w:keepNext w:val="0"/>
              <w:keepLines w:val="0"/>
              <w:pageBreakBefore w:val="0"/>
              <w:widowControl w:val="0"/>
              <w:kinsoku/>
              <w:wordWrap/>
              <w:overflowPunct/>
              <w:topLinePunct w:val="0"/>
              <w:autoSpaceDE/>
              <w:autoSpaceDN/>
              <w:bidi w:val="0"/>
              <w:adjustRightInd/>
              <w:snapToGrid/>
              <w:spacing w:line="240" w:lineRule="auto"/>
              <w:ind w:firstLine="1050" w:firstLineChars="5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式中</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L——全面换风量，m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 xml:space="preserve">/h； </w:t>
            </w:r>
          </w:p>
          <w:p w14:paraId="508C9621">
            <w:pPr>
              <w:keepNext w:val="0"/>
              <w:keepLines w:val="0"/>
              <w:pageBreakBefore w:val="0"/>
              <w:widowControl w:val="0"/>
              <w:kinsoku/>
              <w:wordWrap/>
              <w:overflowPunct/>
              <w:topLinePunct w:val="0"/>
              <w:autoSpaceDE/>
              <w:autoSpaceDN/>
              <w:bidi w:val="0"/>
              <w:adjustRightInd/>
              <w:snapToGrid/>
              <w:spacing w:line="240" w:lineRule="auto"/>
              <w:ind w:firstLine="1680" w:firstLineChars="8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n——换气次数，1/h； </w:t>
            </w:r>
          </w:p>
          <w:p w14:paraId="62D49A6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Vf——通风空间体积，m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14:paraId="782A0A3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②</w:t>
            </w:r>
            <w:r>
              <w:rPr>
                <w:rFonts w:hint="default" w:ascii="Times New Roman" w:hAnsi="Times New Roman" w:eastAsia="宋体" w:cs="Times New Roman"/>
                <w:color w:val="auto"/>
                <w:sz w:val="21"/>
                <w:szCs w:val="21"/>
              </w:rPr>
              <w:t>上吸风罩排风量L（m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/s）的计算公式为：</w:t>
            </w:r>
          </w:p>
          <w:p w14:paraId="3716148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rPr>
            </w:pPr>
            <m:oMathPara>
              <m:oMath>
                <m:r>
                  <m:rPr>
                    <m:sty m:val="p"/>
                  </m:rPr>
                  <w:rPr>
                    <w:rFonts w:hint="default" w:ascii="Cambria Math" w:hAnsi="Cambria Math" w:eastAsia="宋体" w:cs="Times New Roman"/>
                    <w:color w:val="auto"/>
                    <w:kern w:val="2"/>
                    <w:sz w:val="21"/>
                    <w:szCs w:val="21"/>
                    <w:lang w:val="en-US" w:eastAsia="zh-CN" w:bidi="ar-SA"/>
                  </w:rPr>
                  <m:t>L=K∗P∗H∗</m:t>
                </m:r>
                <m:sSub>
                  <m:sSubPr>
                    <m:ctrlPr>
                      <w:rPr>
                        <w:rFonts w:hint="default" w:ascii="Cambria Math" w:hAnsi="Cambria Math" w:eastAsia="宋体" w:cs="Times New Roman"/>
                        <w:color w:val="auto"/>
                        <w:kern w:val="2"/>
                        <w:sz w:val="21"/>
                        <w:szCs w:val="21"/>
                        <w:lang w:val="en-US" w:eastAsia="zh-CN" w:bidi="ar-SA"/>
                      </w:rPr>
                    </m:ctrlPr>
                  </m:sSubPr>
                  <m:e>
                    <m:r>
                      <m:rPr>
                        <m:sty m:val="p"/>
                      </m:rPr>
                      <w:rPr>
                        <w:rFonts w:hint="default" w:ascii="Cambria Math" w:hAnsi="Cambria Math" w:eastAsia="宋体" w:cs="Times New Roman"/>
                        <w:color w:val="auto"/>
                        <w:kern w:val="2"/>
                        <w:sz w:val="21"/>
                        <w:szCs w:val="21"/>
                        <w:lang w:val="en-US" w:eastAsia="zh-CN" w:bidi="ar-SA"/>
                      </w:rPr>
                      <m:t>V</m:t>
                    </m:r>
                    <m:ctrlPr>
                      <w:rPr>
                        <w:rFonts w:hint="default" w:ascii="Cambria Math" w:hAnsi="Cambria Math" w:eastAsia="宋体" w:cs="Times New Roman"/>
                        <w:color w:val="auto"/>
                        <w:kern w:val="2"/>
                        <w:sz w:val="21"/>
                        <w:szCs w:val="21"/>
                        <w:lang w:val="en-US" w:eastAsia="zh-CN" w:bidi="ar-SA"/>
                      </w:rPr>
                    </m:ctrlPr>
                  </m:e>
                  <m:sub>
                    <m:r>
                      <m:rPr>
                        <m:sty m:val="p"/>
                      </m:rPr>
                      <w:rPr>
                        <w:rFonts w:hint="default" w:ascii="Cambria Math" w:hAnsi="Cambria Math" w:eastAsia="宋体" w:cs="Times New Roman"/>
                        <w:color w:val="auto"/>
                        <w:kern w:val="2"/>
                        <w:sz w:val="21"/>
                        <w:szCs w:val="21"/>
                        <w:lang w:val="en-US" w:eastAsia="zh-CN" w:bidi="ar-SA"/>
                      </w:rPr>
                      <m:t>x</m:t>
                    </m:r>
                    <m:ctrlPr>
                      <w:rPr>
                        <w:rFonts w:hint="default" w:ascii="Cambria Math" w:hAnsi="Cambria Math" w:eastAsia="宋体" w:cs="Times New Roman"/>
                        <w:color w:val="auto"/>
                        <w:kern w:val="2"/>
                        <w:sz w:val="21"/>
                        <w:szCs w:val="21"/>
                        <w:lang w:val="en-US" w:eastAsia="zh-CN" w:bidi="ar-SA"/>
                      </w:rPr>
                    </m:ctrlPr>
                  </m:sub>
                </m:sSub>
              </m:oMath>
            </m:oMathPara>
          </w:p>
          <w:p w14:paraId="26717B73">
            <w:pPr>
              <w:keepNext w:val="0"/>
              <w:keepLines w:val="0"/>
              <w:pageBreakBefore w:val="0"/>
              <w:widowControl w:val="0"/>
              <w:kinsoku/>
              <w:wordWrap/>
              <w:overflowPunct/>
              <w:topLinePunct w:val="0"/>
              <w:autoSpaceDE/>
              <w:autoSpaceDN/>
              <w:bidi w:val="0"/>
              <w:adjustRightInd/>
              <w:snapToGrid/>
              <w:spacing w:line="240" w:lineRule="auto"/>
              <w:ind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——考虑沿高度分布不均匀的安全系数，通常取K=1.</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bCs/>
                <w:color w:val="auto"/>
                <w:sz w:val="21"/>
                <w:szCs w:val="21"/>
              </w:rPr>
              <w:t>；</w:t>
            </w:r>
          </w:p>
          <w:p w14:paraId="15501FC8">
            <w:pPr>
              <w:keepNext w:val="0"/>
              <w:keepLines w:val="0"/>
              <w:pageBreakBefore w:val="0"/>
              <w:widowControl w:val="0"/>
              <w:kinsoku/>
              <w:wordWrap/>
              <w:overflowPunct/>
              <w:topLinePunct w:val="0"/>
              <w:autoSpaceDE/>
              <w:autoSpaceDN/>
              <w:bidi w:val="0"/>
              <w:adjustRightInd/>
              <w:snapToGrid/>
              <w:spacing w:line="240" w:lineRule="auto"/>
              <w:ind w:firstLine="1680" w:firstLineChars="8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w:t>
            </w:r>
            <w:r>
              <w:rPr>
                <w:rFonts w:hint="default" w:ascii="Times New Roman" w:hAnsi="Times New Roman" w:eastAsia="宋体" w:cs="Times New Roman"/>
                <w:color w:val="auto"/>
                <w:sz w:val="21"/>
                <w:szCs w:val="21"/>
              </w:rPr>
              <w:t>——排风罩敞开面的周长，m</w:t>
            </w:r>
            <w:r>
              <w:rPr>
                <w:rFonts w:hint="default" w:ascii="Times New Roman" w:hAnsi="Times New Roman" w:eastAsia="宋体" w:cs="Times New Roman"/>
                <w:color w:val="auto"/>
                <w:sz w:val="21"/>
                <w:szCs w:val="21"/>
                <w:lang w:eastAsia="zh-CN"/>
              </w:rPr>
              <w:t>；</w:t>
            </w:r>
          </w:p>
          <w:p w14:paraId="7063B6F3">
            <w:pPr>
              <w:keepNext w:val="0"/>
              <w:keepLines w:val="0"/>
              <w:pageBreakBefore w:val="0"/>
              <w:widowControl w:val="0"/>
              <w:kinsoku/>
              <w:wordWrap/>
              <w:overflowPunct/>
              <w:topLinePunct w:val="0"/>
              <w:autoSpaceDE/>
              <w:autoSpaceDN/>
              <w:bidi w:val="0"/>
              <w:adjustRightInd/>
              <w:snapToGrid/>
              <w:spacing w:line="240" w:lineRule="auto"/>
              <w:ind w:firstLine="1680" w:firstLineChars="8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——罩口至有害物源的距离，m</w:t>
            </w:r>
            <w:r>
              <w:rPr>
                <w:rFonts w:hint="default" w:ascii="Times New Roman" w:hAnsi="Times New Roman" w:eastAsia="宋体" w:cs="Times New Roman"/>
                <w:color w:val="auto"/>
                <w:sz w:val="21"/>
                <w:szCs w:val="21"/>
                <w:lang w:eastAsia="zh-CN"/>
              </w:rPr>
              <w:t>；</w:t>
            </w:r>
          </w:p>
          <w:p w14:paraId="4DD4C39B">
            <w:pPr>
              <w:keepNext w:val="0"/>
              <w:keepLines w:val="0"/>
              <w:pageBreakBefore w:val="0"/>
              <w:widowControl w:val="0"/>
              <w:kinsoku/>
              <w:wordWrap/>
              <w:overflowPunct/>
              <w:topLinePunct w:val="0"/>
              <w:autoSpaceDE/>
              <w:autoSpaceDN/>
              <w:bidi w:val="0"/>
              <w:adjustRightInd/>
              <w:snapToGrid/>
              <w:spacing w:line="240" w:lineRule="auto"/>
              <w:ind w:firstLine="1680" w:firstLineChars="8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Vx——边缘控制点的控制风速，m/s；本项目按0.3m/s。</w:t>
            </w:r>
          </w:p>
          <w:p w14:paraId="7736D15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shd w:val="clear" w:color="auto" w:fill="auto"/>
                <w:lang w:val="en-US" w:eastAsia="zh-CN" w:bidi="ar"/>
              </w:rPr>
            </w:pPr>
            <w:r>
              <w:rPr>
                <w:rFonts w:hint="default" w:ascii="Times New Roman" w:hAnsi="Times New Roman" w:eastAsia="宋体" w:cs="Times New Roman"/>
                <w:b/>
                <w:bCs/>
                <w:color w:val="auto"/>
                <w:sz w:val="24"/>
                <w:szCs w:val="24"/>
                <w:highlight w:val="none"/>
                <w:shd w:val="clear" w:color="auto" w:fill="auto"/>
                <w:lang w:val="en-US" w:eastAsia="zh-CN" w:bidi="ar"/>
              </w:rPr>
              <w:t>③废气收集效率</w:t>
            </w:r>
            <w:r>
              <w:rPr>
                <w:rFonts w:hint="eastAsia" w:ascii="Times New Roman" w:hAnsi="Times New Roman" w:eastAsia="宋体" w:cs="Times New Roman"/>
                <w:b/>
                <w:bCs/>
                <w:color w:val="auto"/>
                <w:sz w:val="24"/>
                <w:szCs w:val="24"/>
                <w:highlight w:val="none"/>
                <w:shd w:val="clear" w:color="auto" w:fill="auto"/>
                <w:lang w:val="en-US" w:eastAsia="zh-CN" w:bidi="ar"/>
              </w:rPr>
              <w:t>可达性分析</w:t>
            </w:r>
            <w:r>
              <w:rPr>
                <w:rFonts w:hint="default" w:ascii="Times New Roman" w:hAnsi="Times New Roman" w:eastAsia="宋体" w:cs="Times New Roman"/>
                <w:b/>
                <w:bCs/>
                <w:color w:val="auto"/>
                <w:sz w:val="24"/>
                <w:szCs w:val="24"/>
                <w:highlight w:val="none"/>
                <w:shd w:val="clear" w:color="auto" w:fill="auto"/>
                <w:lang w:val="en-US" w:eastAsia="zh-CN" w:bidi="ar"/>
              </w:rPr>
              <w:t xml:space="preserve"> </w:t>
            </w:r>
          </w:p>
          <w:p w14:paraId="1BA853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highlight w:val="none"/>
                <w:shd w:val="clear" w:color="auto" w:fill="auto"/>
                <w:lang w:val="en-US" w:eastAsia="zh-CN" w:bidi="ar"/>
              </w:rPr>
            </w:pPr>
            <w:r>
              <w:rPr>
                <w:rFonts w:hint="default" w:ascii="Times New Roman" w:hAnsi="Times New Roman" w:eastAsia="宋体" w:cs="Times New Roman"/>
                <w:b w:val="0"/>
                <w:bCs w:val="0"/>
                <w:color w:val="auto"/>
                <w:sz w:val="24"/>
                <w:szCs w:val="24"/>
                <w:highlight w:val="none"/>
                <w:shd w:val="clear" w:color="auto" w:fill="auto"/>
                <w:lang w:val="en-US" w:eastAsia="zh-CN" w:bidi="ar"/>
              </w:rPr>
              <w:t>参考《纳入排污许可管理的火电等17个行业污染物实际排放量计算方法（含排污系数、物料衡算方法）（试行）》中关于废气捕集效率的要求及实际运行经验</w:t>
            </w:r>
            <w:r>
              <w:rPr>
                <w:rFonts w:hint="eastAsia" w:ascii="Times New Roman" w:hAnsi="Times New Roman" w:eastAsia="宋体" w:cs="Times New Roman"/>
                <w:b w:val="0"/>
                <w:bCs w:val="0"/>
                <w:color w:val="auto"/>
                <w:sz w:val="24"/>
                <w:szCs w:val="24"/>
                <w:highlight w:val="none"/>
                <w:shd w:val="clear" w:color="auto" w:fill="auto"/>
                <w:lang w:val="en-US" w:eastAsia="zh-CN" w:bidi="ar"/>
              </w:rPr>
              <w:t>，车间或密闭间进行密闭收集，捕集效率在80~95%</w:t>
            </w:r>
            <w:r>
              <w:rPr>
                <w:rFonts w:hint="default" w:ascii="Times New Roman" w:hAnsi="Times New Roman" w:eastAsia="宋体" w:cs="Times New Roman"/>
                <w:b w:val="0"/>
                <w:bCs w:val="0"/>
                <w:color w:val="auto"/>
                <w:sz w:val="24"/>
                <w:szCs w:val="24"/>
                <w:highlight w:val="none"/>
                <w:shd w:val="clear" w:color="auto" w:fill="auto"/>
                <w:lang w:val="en-US" w:eastAsia="zh-CN" w:bidi="ar"/>
              </w:rPr>
              <w:t>。本项目</w:t>
            </w:r>
            <w:r>
              <w:rPr>
                <w:rFonts w:hint="eastAsia" w:ascii="Times New Roman" w:hAnsi="Times New Roman" w:eastAsia="宋体" w:cs="Times New Roman"/>
                <w:b w:val="0"/>
                <w:bCs w:val="0"/>
                <w:color w:val="auto"/>
                <w:sz w:val="24"/>
                <w:szCs w:val="24"/>
                <w:highlight w:val="none"/>
                <w:shd w:val="clear" w:color="auto" w:fill="auto"/>
                <w:lang w:val="en-US" w:eastAsia="zh-CN" w:bidi="ar"/>
              </w:rPr>
              <w:t>印刷、调墨、清洗</w:t>
            </w:r>
            <w:r>
              <w:rPr>
                <w:rFonts w:hint="default" w:ascii="Times New Roman" w:hAnsi="Times New Roman" w:eastAsia="宋体" w:cs="Times New Roman"/>
                <w:b w:val="0"/>
                <w:bCs w:val="0"/>
                <w:color w:val="auto"/>
                <w:sz w:val="24"/>
                <w:szCs w:val="24"/>
                <w:highlight w:val="none"/>
                <w:shd w:val="clear" w:color="auto" w:fill="auto"/>
                <w:lang w:val="en-US" w:eastAsia="zh-CN" w:bidi="ar"/>
              </w:rPr>
              <w:t>废气</w:t>
            </w:r>
            <w:r>
              <w:rPr>
                <w:rFonts w:hint="eastAsia" w:ascii="Times New Roman" w:hAnsi="Times New Roman" w:eastAsia="宋体" w:cs="Times New Roman"/>
                <w:b w:val="0"/>
                <w:bCs w:val="0"/>
                <w:color w:val="auto"/>
                <w:sz w:val="24"/>
                <w:szCs w:val="24"/>
                <w:highlight w:val="none"/>
                <w:shd w:val="clear" w:color="auto" w:fill="auto"/>
                <w:lang w:val="en-US" w:eastAsia="zh-CN" w:bidi="ar"/>
              </w:rPr>
              <w:t>在房间内</w:t>
            </w:r>
            <w:r>
              <w:rPr>
                <w:rFonts w:hint="default" w:ascii="Times New Roman" w:hAnsi="Times New Roman" w:eastAsia="宋体" w:cs="Times New Roman"/>
                <w:b w:val="0"/>
                <w:bCs w:val="0"/>
                <w:color w:val="auto"/>
                <w:sz w:val="24"/>
                <w:szCs w:val="24"/>
                <w:highlight w:val="none"/>
                <w:shd w:val="clear" w:color="auto" w:fill="auto"/>
                <w:lang w:val="en-US" w:eastAsia="zh-CN" w:bidi="ar"/>
              </w:rPr>
              <w:t>密闭</w:t>
            </w:r>
            <w:r>
              <w:rPr>
                <w:rFonts w:hint="eastAsia" w:ascii="Times New Roman" w:hAnsi="Times New Roman" w:eastAsia="宋体" w:cs="Times New Roman"/>
                <w:b w:val="0"/>
                <w:bCs w:val="0"/>
                <w:color w:val="auto"/>
                <w:sz w:val="24"/>
                <w:szCs w:val="24"/>
                <w:highlight w:val="none"/>
                <w:shd w:val="clear" w:color="auto" w:fill="auto"/>
                <w:lang w:val="en-US" w:eastAsia="zh-CN" w:bidi="ar"/>
              </w:rPr>
              <w:t>负压</w:t>
            </w:r>
            <w:r>
              <w:rPr>
                <w:rFonts w:hint="default" w:ascii="Times New Roman" w:hAnsi="Times New Roman" w:eastAsia="宋体" w:cs="Times New Roman"/>
                <w:b w:val="0"/>
                <w:bCs w:val="0"/>
                <w:color w:val="auto"/>
                <w:sz w:val="24"/>
                <w:szCs w:val="24"/>
                <w:highlight w:val="none"/>
                <w:shd w:val="clear" w:color="auto" w:fill="auto"/>
                <w:lang w:val="en-US" w:eastAsia="zh-CN" w:bidi="ar"/>
              </w:rPr>
              <w:t>收集，</w:t>
            </w:r>
            <w:r>
              <w:rPr>
                <w:rFonts w:hint="eastAsia" w:ascii="Times New Roman" w:hAnsi="Times New Roman" w:eastAsia="宋体" w:cs="Times New Roman"/>
                <w:b w:val="0"/>
                <w:bCs w:val="0"/>
                <w:color w:val="auto"/>
                <w:sz w:val="24"/>
                <w:szCs w:val="24"/>
                <w:highlight w:val="none"/>
                <w:shd w:val="clear" w:color="auto" w:fill="auto"/>
                <w:lang w:val="en-US" w:eastAsia="zh-CN" w:bidi="ar"/>
              </w:rPr>
              <w:t>熟化废气在房间内</w:t>
            </w:r>
            <w:r>
              <w:rPr>
                <w:rFonts w:hint="default" w:ascii="Times New Roman" w:hAnsi="Times New Roman" w:eastAsia="宋体" w:cs="Times New Roman"/>
                <w:b w:val="0"/>
                <w:bCs w:val="0"/>
                <w:color w:val="auto"/>
                <w:sz w:val="24"/>
                <w:szCs w:val="24"/>
                <w:highlight w:val="none"/>
                <w:shd w:val="clear" w:color="auto" w:fill="auto"/>
                <w:lang w:val="en-US" w:eastAsia="zh-CN" w:bidi="ar"/>
              </w:rPr>
              <w:t>密闭</w:t>
            </w:r>
            <w:r>
              <w:rPr>
                <w:rFonts w:hint="eastAsia" w:ascii="Times New Roman" w:hAnsi="Times New Roman" w:eastAsia="宋体" w:cs="Times New Roman"/>
                <w:b w:val="0"/>
                <w:bCs w:val="0"/>
                <w:color w:val="auto"/>
                <w:sz w:val="24"/>
                <w:szCs w:val="24"/>
                <w:highlight w:val="none"/>
                <w:shd w:val="clear" w:color="auto" w:fill="auto"/>
                <w:lang w:val="en-US" w:eastAsia="zh-CN" w:bidi="ar"/>
              </w:rPr>
              <w:t>负压</w:t>
            </w:r>
            <w:r>
              <w:rPr>
                <w:rFonts w:hint="default" w:ascii="Times New Roman" w:hAnsi="Times New Roman" w:eastAsia="宋体" w:cs="Times New Roman"/>
                <w:b w:val="0"/>
                <w:bCs w:val="0"/>
                <w:color w:val="auto"/>
                <w:sz w:val="24"/>
                <w:szCs w:val="24"/>
                <w:highlight w:val="none"/>
                <w:shd w:val="clear" w:color="auto" w:fill="auto"/>
                <w:lang w:val="en-US" w:eastAsia="zh-CN" w:bidi="ar"/>
              </w:rPr>
              <w:t>收集，收集效率按照9</w:t>
            </w:r>
            <w:r>
              <w:rPr>
                <w:rFonts w:hint="eastAsia" w:ascii="Times New Roman" w:hAnsi="Times New Roman" w:eastAsia="宋体" w:cs="Times New Roman"/>
                <w:b w:val="0"/>
                <w:bCs w:val="0"/>
                <w:color w:val="auto"/>
                <w:sz w:val="24"/>
                <w:szCs w:val="24"/>
                <w:highlight w:val="none"/>
                <w:shd w:val="clear" w:color="auto" w:fill="auto"/>
                <w:lang w:val="en-US" w:eastAsia="zh-CN" w:bidi="ar"/>
              </w:rPr>
              <w:t>5</w:t>
            </w:r>
            <w:r>
              <w:rPr>
                <w:rFonts w:hint="default" w:ascii="Times New Roman" w:hAnsi="Times New Roman" w:eastAsia="宋体" w:cs="Times New Roman"/>
                <w:b w:val="0"/>
                <w:bCs w:val="0"/>
                <w:color w:val="auto"/>
                <w:sz w:val="24"/>
                <w:szCs w:val="24"/>
                <w:highlight w:val="none"/>
                <w:shd w:val="clear" w:color="auto" w:fill="auto"/>
                <w:lang w:val="en-US" w:eastAsia="zh-CN" w:bidi="ar"/>
              </w:rPr>
              <w:t>%考虑。</w:t>
            </w:r>
            <w:r>
              <w:rPr>
                <w:rFonts w:hint="default" w:ascii="Times New Roman" w:hAnsi="Times New Roman" w:eastAsia="宋体" w:cs="Times New Roman"/>
                <w:b/>
                <w:bCs/>
                <w:color w:val="auto"/>
                <w:sz w:val="24"/>
                <w:szCs w:val="24"/>
                <w:highlight w:val="none"/>
                <w:shd w:val="clear" w:color="auto" w:fill="auto"/>
                <w:lang w:val="en-US" w:eastAsia="zh-CN" w:bidi="ar"/>
              </w:rPr>
              <w:t xml:space="preserve"> </w:t>
            </w:r>
          </w:p>
          <w:p w14:paraId="2DCD81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shd w:val="clear" w:color="auto" w:fill="auto"/>
                <w:lang w:val="en-US" w:eastAsia="zh-CN" w:bidi="ar"/>
              </w:rPr>
            </w:pPr>
            <w:r>
              <w:rPr>
                <w:rFonts w:hint="default" w:ascii="Times New Roman" w:hAnsi="Times New Roman" w:eastAsia="宋体" w:cs="Times New Roman"/>
                <w:b w:val="0"/>
                <w:bCs w:val="0"/>
                <w:color w:val="auto"/>
                <w:sz w:val="24"/>
                <w:szCs w:val="24"/>
                <w:highlight w:val="none"/>
                <w:shd w:val="clear" w:color="auto" w:fill="auto"/>
                <w:lang w:val="en-US" w:eastAsia="zh-CN" w:bidi="ar"/>
              </w:rPr>
              <w:t>参照《局部排气罩的捕集效率实验》（彭泰瑶、邵强）中表3平面发生源时罩子的捕集效率，距离为300mm时，捕集效率在78.3~98.4%（平均收集效率约89.1%）</w:t>
            </w:r>
            <w:r>
              <w:rPr>
                <w:rFonts w:hint="eastAsia" w:ascii="Times New Roman" w:hAnsi="Times New Roman" w:eastAsia="宋体" w:cs="Times New Roman"/>
                <w:b w:val="0"/>
                <w:bCs w:val="0"/>
                <w:color w:val="auto"/>
                <w:sz w:val="24"/>
                <w:szCs w:val="24"/>
                <w:highlight w:val="none"/>
                <w:shd w:val="clear" w:color="auto" w:fill="auto"/>
                <w:lang w:val="en-US" w:eastAsia="zh-CN" w:bidi="ar"/>
              </w:rPr>
              <w:t>。</w:t>
            </w:r>
            <w:r>
              <w:rPr>
                <w:rFonts w:hint="default" w:ascii="Times New Roman" w:hAnsi="Times New Roman" w:eastAsia="宋体" w:cs="Times New Roman"/>
                <w:b w:val="0"/>
                <w:bCs w:val="0"/>
                <w:color w:val="auto"/>
                <w:sz w:val="24"/>
                <w:szCs w:val="24"/>
                <w:highlight w:val="none"/>
                <w:shd w:val="clear" w:color="auto" w:fill="auto"/>
                <w:lang w:val="en-US" w:eastAsia="zh-CN" w:bidi="ar"/>
              </w:rPr>
              <w:t>本项目</w:t>
            </w:r>
            <w:r>
              <w:rPr>
                <w:rFonts w:hint="eastAsia" w:ascii="Times New Roman" w:hAnsi="Times New Roman" w:eastAsia="宋体" w:cs="Times New Roman"/>
                <w:b w:val="0"/>
                <w:bCs w:val="0"/>
                <w:color w:val="auto"/>
                <w:sz w:val="24"/>
                <w:szCs w:val="24"/>
                <w:highlight w:val="none"/>
                <w:shd w:val="clear" w:color="auto" w:fill="auto"/>
                <w:lang w:val="en-US" w:eastAsia="zh-CN" w:bidi="ar"/>
              </w:rPr>
              <w:t>吹膜、复合、制袋</w:t>
            </w:r>
            <w:r>
              <w:rPr>
                <w:rFonts w:hint="default" w:ascii="Times New Roman" w:hAnsi="Times New Roman" w:eastAsia="宋体" w:cs="Times New Roman"/>
                <w:b w:val="0"/>
                <w:bCs w:val="0"/>
                <w:color w:val="auto"/>
                <w:sz w:val="24"/>
                <w:szCs w:val="24"/>
                <w:highlight w:val="none"/>
                <w:shd w:val="clear" w:color="auto" w:fill="auto"/>
                <w:lang w:val="en-US" w:eastAsia="zh-CN" w:bidi="ar"/>
              </w:rPr>
              <w:t>废气</w:t>
            </w:r>
            <w:r>
              <w:rPr>
                <w:rFonts w:hint="eastAsia" w:ascii="Times New Roman" w:hAnsi="Times New Roman" w:eastAsia="宋体" w:cs="Times New Roman"/>
                <w:b w:val="0"/>
                <w:bCs w:val="0"/>
                <w:color w:val="auto"/>
                <w:sz w:val="24"/>
                <w:szCs w:val="24"/>
                <w:highlight w:val="none"/>
                <w:shd w:val="clear" w:color="auto" w:fill="auto"/>
                <w:lang w:val="en-US" w:eastAsia="zh-CN" w:bidi="ar"/>
              </w:rPr>
              <w:t>经上吸风罩</w:t>
            </w:r>
            <w:r>
              <w:rPr>
                <w:rFonts w:hint="default" w:ascii="Times New Roman" w:hAnsi="Times New Roman" w:eastAsia="宋体" w:cs="Times New Roman"/>
                <w:b w:val="0"/>
                <w:bCs w:val="0"/>
                <w:color w:val="auto"/>
                <w:sz w:val="24"/>
                <w:szCs w:val="24"/>
                <w:highlight w:val="none"/>
                <w:shd w:val="clear" w:color="auto" w:fill="auto"/>
                <w:lang w:val="en-US" w:eastAsia="zh-CN" w:bidi="ar"/>
              </w:rPr>
              <w:t>收集，收集效率按照9</w:t>
            </w:r>
            <w:r>
              <w:rPr>
                <w:rFonts w:hint="eastAsia" w:ascii="Times New Roman" w:hAnsi="Times New Roman" w:eastAsia="宋体" w:cs="Times New Roman"/>
                <w:b w:val="0"/>
                <w:bCs w:val="0"/>
                <w:color w:val="auto"/>
                <w:sz w:val="24"/>
                <w:szCs w:val="24"/>
                <w:highlight w:val="none"/>
                <w:shd w:val="clear" w:color="auto" w:fill="auto"/>
                <w:lang w:val="en-US" w:eastAsia="zh-CN" w:bidi="ar"/>
              </w:rPr>
              <w:t>0</w:t>
            </w:r>
            <w:r>
              <w:rPr>
                <w:rFonts w:hint="default" w:ascii="Times New Roman" w:hAnsi="Times New Roman" w:eastAsia="宋体" w:cs="Times New Roman"/>
                <w:b w:val="0"/>
                <w:bCs w:val="0"/>
                <w:color w:val="auto"/>
                <w:sz w:val="24"/>
                <w:szCs w:val="24"/>
                <w:highlight w:val="none"/>
                <w:shd w:val="clear" w:color="auto" w:fill="auto"/>
                <w:lang w:val="en-US" w:eastAsia="zh-CN" w:bidi="ar"/>
              </w:rPr>
              <w:t>%考虑。</w:t>
            </w:r>
          </w:p>
          <w:p w14:paraId="4A1665C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shd w:val="clear" w:color="auto" w:fill="auto"/>
                <w:lang w:val="en-US" w:eastAsia="zh-CN" w:bidi="ar"/>
              </w:rPr>
            </w:pPr>
            <w:r>
              <w:rPr>
                <w:rFonts w:hint="eastAsia" w:ascii="Times New Roman" w:hAnsi="Times New Roman" w:eastAsia="宋体" w:cs="Times New Roman"/>
                <w:b/>
                <w:bCs/>
                <w:color w:val="auto"/>
                <w:sz w:val="24"/>
                <w:szCs w:val="24"/>
                <w:highlight w:val="none"/>
                <w:shd w:val="clear" w:color="auto" w:fill="auto"/>
                <w:lang w:val="en-US" w:eastAsia="zh-CN" w:bidi="ar"/>
              </w:rPr>
              <w:t>④</w:t>
            </w:r>
            <w:r>
              <w:rPr>
                <w:rFonts w:hint="default" w:ascii="Times New Roman" w:hAnsi="Times New Roman" w:eastAsia="宋体" w:cs="Times New Roman"/>
                <w:b/>
                <w:bCs/>
                <w:color w:val="auto"/>
                <w:sz w:val="24"/>
                <w:szCs w:val="24"/>
                <w:highlight w:val="none"/>
                <w:shd w:val="clear" w:color="auto" w:fill="auto"/>
                <w:lang w:val="en-US" w:eastAsia="zh-CN" w:bidi="ar"/>
              </w:rPr>
              <w:t>废气处理装置运行原理</w:t>
            </w:r>
          </w:p>
          <w:p w14:paraId="214C91A0">
            <w:pPr>
              <w:pStyle w:val="62"/>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502" w:firstLineChars="200"/>
              <w:textAlignment w:val="auto"/>
              <w:rPr>
                <w:rFonts w:hint="default" w:ascii="Times New Roman" w:hAnsi="Times New Roman" w:eastAsia="宋体" w:cs="Times New Roman"/>
                <w:b/>
                <w:bCs/>
                <w:color w:val="auto"/>
                <w:spacing w:val="0"/>
                <w:sz w:val="24"/>
                <w:highlight w:val="none"/>
                <w:shd w:val="clear" w:color="auto" w:fill="auto"/>
                <w:lang w:val="en-US" w:eastAsia="zh-CN"/>
              </w:rPr>
            </w:pPr>
            <w:r>
              <w:rPr>
                <w:rFonts w:hint="default" w:ascii="Times New Roman" w:hAnsi="Times New Roman" w:eastAsia="宋体" w:cs="Times New Roman"/>
                <w:b/>
                <w:bCs/>
                <w:color w:val="auto"/>
                <w:sz w:val="24"/>
                <w:highlight w:val="none"/>
                <w:shd w:val="clear" w:color="auto" w:fill="auto"/>
                <w:lang w:val="en-US" w:eastAsia="zh-CN"/>
              </w:rPr>
              <w:t>A.二级活性炭装置</w:t>
            </w:r>
          </w:p>
          <w:p w14:paraId="76838BB4">
            <w:pPr>
              <w:pStyle w:val="62"/>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b w:val="0"/>
                <w:bCs w:val="0"/>
                <w:color w:val="auto"/>
                <w:spacing w:val="0"/>
                <w:sz w:val="24"/>
                <w:highlight w:val="none"/>
                <w:shd w:val="clear" w:color="auto" w:fill="auto"/>
                <w:lang w:val="en-US" w:eastAsia="zh-CN"/>
              </w:rPr>
            </w:pPr>
            <w:r>
              <w:rPr>
                <w:rFonts w:hint="default" w:ascii="Times New Roman" w:hAnsi="Times New Roman" w:eastAsia="宋体" w:cs="Times New Roman"/>
                <w:b w:val="0"/>
                <w:bCs w:val="0"/>
                <w:color w:val="auto"/>
                <w:spacing w:val="0"/>
                <w:sz w:val="24"/>
                <w:highlight w:val="none"/>
                <w:shd w:val="clear" w:color="auto" w:fill="auto"/>
                <w:lang w:val="en-US" w:eastAsia="zh-CN"/>
              </w:rPr>
              <w:t>活性炭是一种多孔性的含炭物质，它具有高度发达的孔隙构造，</w:t>
            </w:r>
            <w:r>
              <w:rPr>
                <w:rFonts w:hint="default" w:ascii="Times New Roman" w:hAnsi="Times New Roman" w:eastAsia="宋体" w:cs="Times New Roman"/>
                <w:b w:val="0"/>
                <w:bCs w:val="0"/>
                <w:color w:val="auto"/>
                <w:spacing w:val="0"/>
                <w:sz w:val="24"/>
                <w:highlight w:val="none"/>
                <w:shd w:val="clear" w:color="auto" w:fill="auto"/>
                <w:lang w:val="en-US" w:eastAsia="zh-CN"/>
              </w:rPr>
              <w:fldChar w:fldCharType="begin"/>
            </w:r>
            <w:r>
              <w:rPr>
                <w:rFonts w:hint="default" w:ascii="Times New Roman" w:hAnsi="Times New Roman" w:eastAsia="宋体" w:cs="Times New Roman"/>
                <w:b w:val="0"/>
                <w:bCs w:val="0"/>
                <w:color w:val="auto"/>
                <w:spacing w:val="0"/>
                <w:sz w:val="24"/>
                <w:highlight w:val="none"/>
                <w:shd w:val="clear" w:color="auto" w:fill="auto"/>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highlight w:val="none"/>
                <w:shd w:val="clear" w:color="auto" w:fill="auto"/>
                <w:lang w:val="en-US" w:eastAsia="zh-CN"/>
              </w:rPr>
              <w:fldChar w:fldCharType="separate"/>
            </w:r>
            <w:r>
              <w:rPr>
                <w:rFonts w:hint="default" w:ascii="Times New Roman" w:hAnsi="Times New Roman" w:eastAsia="宋体" w:cs="Times New Roman"/>
                <w:b w:val="0"/>
                <w:bCs w:val="0"/>
                <w:color w:val="auto"/>
                <w:spacing w:val="0"/>
                <w:sz w:val="24"/>
                <w:highlight w:val="none"/>
                <w:shd w:val="clear" w:color="auto" w:fill="auto"/>
                <w:lang w:val="en-US" w:eastAsia="zh-CN"/>
              </w:rPr>
              <w:t>活性炭</w:t>
            </w:r>
            <w:r>
              <w:rPr>
                <w:rFonts w:hint="default" w:ascii="Times New Roman" w:hAnsi="Times New Roman" w:eastAsia="宋体" w:cs="Times New Roman"/>
                <w:b w:val="0"/>
                <w:bCs w:val="0"/>
                <w:color w:val="auto"/>
                <w:spacing w:val="0"/>
                <w:sz w:val="24"/>
                <w:highlight w:val="none"/>
                <w:shd w:val="clear" w:color="auto" w:fill="auto"/>
                <w:lang w:val="en-US" w:eastAsia="zh-CN"/>
              </w:rPr>
              <w:fldChar w:fldCharType="end"/>
            </w:r>
            <w:r>
              <w:rPr>
                <w:rFonts w:hint="default" w:ascii="Times New Roman" w:hAnsi="Times New Roman" w:eastAsia="宋体" w:cs="Times New Roman"/>
                <w:b w:val="0"/>
                <w:bCs w:val="0"/>
                <w:color w:val="auto"/>
                <w:spacing w:val="0"/>
                <w:sz w:val="24"/>
                <w:highlight w:val="none"/>
                <w:shd w:val="clear" w:color="auto" w:fill="auto"/>
                <w:lang w:val="en-US" w:eastAsia="zh-CN"/>
              </w:rPr>
              <w:t>的多孔结构为其提供了大量的表面积，能与气体（杂质）充分接触，从而赋予了</w:t>
            </w:r>
            <w:r>
              <w:rPr>
                <w:rFonts w:hint="default" w:ascii="Times New Roman" w:hAnsi="Times New Roman" w:eastAsia="宋体" w:cs="Times New Roman"/>
                <w:b w:val="0"/>
                <w:bCs w:val="0"/>
                <w:color w:val="auto"/>
                <w:spacing w:val="0"/>
                <w:sz w:val="24"/>
                <w:highlight w:val="none"/>
                <w:shd w:val="clear" w:color="auto" w:fill="auto"/>
                <w:lang w:val="en-US" w:eastAsia="zh-CN"/>
              </w:rPr>
              <w:fldChar w:fldCharType="begin"/>
            </w:r>
            <w:r>
              <w:rPr>
                <w:rFonts w:hint="default" w:ascii="Times New Roman" w:hAnsi="Times New Roman" w:eastAsia="宋体" w:cs="Times New Roman"/>
                <w:b w:val="0"/>
                <w:bCs w:val="0"/>
                <w:color w:val="auto"/>
                <w:spacing w:val="0"/>
                <w:sz w:val="24"/>
                <w:highlight w:val="none"/>
                <w:shd w:val="clear" w:color="auto" w:fill="auto"/>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highlight w:val="none"/>
                <w:shd w:val="clear" w:color="auto" w:fill="auto"/>
                <w:lang w:val="en-US" w:eastAsia="zh-CN"/>
              </w:rPr>
              <w:fldChar w:fldCharType="separate"/>
            </w:r>
            <w:r>
              <w:rPr>
                <w:rFonts w:hint="default" w:ascii="Times New Roman" w:hAnsi="Times New Roman" w:eastAsia="宋体" w:cs="Times New Roman"/>
                <w:b w:val="0"/>
                <w:bCs w:val="0"/>
                <w:color w:val="auto"/>
                <w:spacing w:val="0"/>
                <w:sz w:val="24"/>
                <w:highlight w:val="none"/>
                <w:shd w:val="clear" w:color="auto" w:fill="auto"/>
                <w:lang w:val="en-US" w:eastAsia="zh-CN"/>
              </w:rPr>
              <w:t>活性炭</w:t>
            </w:r>
            <w:r>
              <w:rPr>
                <w:rFonts w:hint="default" w:ascii="Times New Roman" w:hAnsi="Times New Roman" w:eastAsia="宋体" w:cs="Times New Roman"/>
                <w:b w:val="0"/>
                <w:bCs w:val="0"/>
                <w:color w:val="auto"/>
                <w:spacing w:val="0"/>
                <w:sz w:val="24"/>
                <w:highlight w:val="none"/>
                <w:shd w:val="clear" w:color="auto" w:fill="auto"/>
                <w:lang w:val="en-US" w:eastAsia="zh-CN"/>
              </w:rPr>
              <w:fldChar w:fldCharType="end"/>
            </w:r>
            <w:r>
              <w:rPr>
                <w:rFonts w:hint="default" w:ascii="Times New Roman" w:hAnsi="Times New Roman" w:eastAsia="宋体" w:cs="Times New Roman"/>
                <w:b w:val="0"/>
                <w:bCs w:val="0"/>
                <w:color w:val="auto"/>
                <w:spacing w:val="0"/>
                <w:sz w:val="24"/>
                <w:highlight w:val="none"/>
                <w:shd w:val="clear" w:color="auto" w:fill="auto"/>
                <w:lang w:val="en-US" w:eastAsia="zh-CN"/>
              </w:rPr>
              <w:t>所特有的吸附性能，使其非常容易达到吸收收集杂质的目的。就像</w:t>
            </w:r>
            <w:r>
              <w:rPr>
                <w:rFonts w:hint="default" w:ascii="Times New Roman" w:hAnsi="Times New Roman" w:eastAsia="宋体" w:cs="Times New Roman"/>
                <w:b w:val="0"/>
                <w:bCs w:val="0"/>
                <w:color w:val="auto"/>
                <w:spacing w:val="0"/>
                <w:sz w:val="24"/>
                <w:highlight w:val="none"/>
                <w:shd w:val="clear" w:color="auto" w:fill="auto"/>
                <w:lang w:val="en-US" w:eastAsia="zh-CN"/>
              </w:rPr>
              <w:fldChar w:fldCharType="begin"/>
            </w:r>
            <w:r>
              <w:rPr>
                <w:rFonts w:hint="default" w:ascii="Times New Roman" w:hAnsi="Times New Roman" w:eastAsia="宋体" w:cs="Times New Roman"/>
                <w:b w:val="0"/>
                <w:bCs w:val="0"/>
                <w:color w:val="auto"/>
                <w:spacing w:val="0"/>
                <w:sz w:val="24"/>
                <w:highlight w:val="none"/>
                <w:shd w:val="clear" w:color="auto" w:fill="auto"/>
                <w:lang w:val="en-US" w:eastAsia="zh-CN"/>
              </w:rPr>
              <w:instrText xml:space="preserve"> HYPERLINK "http://zhidao.baidu.com/search?word=磁力&amp;fr=qb_search_exp&amp;ie=utf8" </w:instrText>
            </w:r>
            <w:r>
              <w:rPr>
                <w:rFonts w:hint="default" w:ascii="Times New Roman" w:hAnsi="Times New Roman" w:eastAsia="宋体" w:cs="Times New Roman"/>
                <w:b w:val="0"/>
                <w:bCs w:val="0"/>
                <w:color w:val="auto"/>
                <w:spacing w:val="0"/>
                <w:sz w:val="24"/>
                <w:highlight w:val="none"/>
                <w:shd w:val="clear" w:color="auto" w:fill="auto"/>
                <w:lang w:val="en-US" w:eastAsia="zh-CN"/>
              </w:rPr>
              <w:fldChar w:fldCharType="separate"/>
            </w:r>
            <w:r>
              <w:rPr>
                <w:rFonts w:hint="default" w:ascii="Times New Roman" w:hAnsi="Times New Roman" w:eastAsia="宋体" w:cs="Times New Roman"/>
                <w:b w:val="0"/>
                <w:bCs w:val="0"/>
                <w:color w:val="auto"/>
                <w:spacing w:val="0"/>
                <w:sz w:val="24"/>
                <w:highlight w:val="none"/>
                <w:shd w:val="clear" w:color="auto" w:fill="auto"/>
                <w:lang w:val="en-US" w:eastAsia="zh-CN"/>
              </w:rPr>
              <w:t>磁力</w:t>
            </w:r>
            <w:r>
              <w:rPr>
                <w:rFonts w:hint="default" w:ascii="Times New Roman" w:hAnsi="Times New Roman" w:eastAsia="宋体" w:cs="Times New Roman"/>
                <w:b w:val="0"/>
                <w:bCs w:val="0"/>
                <w:color w:val="auto"/>
                <w:spacing w:val="0"/>
                <w:sz w:val="24"/>
                <w:highlight w:val="none"/>
                <w:shd w:val="clear" w:color="auto" w:fill="auto"/>
                <w:lang w:val="en-US" w:eastAsia="zh-CN"/>
              </w:rPr>
              <w:fldChar w:fldCharType="end"/>
            </w:r>
            <w:r>
              <w:rPr>
                <w:rFonts w:hint="default" w:ascii="Times New Roman" w:hAnsi="Times New Roman" w:eastAsia="宋体" w:cs="Times New Roman"/>
                <w:b w:val="0"/>
                <w:bCs w:val="0"/>
                <w:color w:val="auto"/>
                <w:spacing w:val="0"/>
                <w:sz w:val="24"/>
                <w:highlight w:val="none"/>
                <w:shd w:val="clear" w:color="auto" w:fill="auto"/>
                <w:lang w:val="en-US" w:eastAsia="zh-CN"/>
              </w:rPr>
              <w:t>一样，所有的分子之间都具有相互引力。正因为如此，活性炭孔壁上的大量的分子可以产生强大的引力，从而达到将有害的杂质吸引到孔径中的目的。</w:t>
            </w:r>
          </w:p>
          <w:p w14:paraId="48DABE31">
            <w:pPr>
              <w:pStyle w:val="62"/>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2" w:firstLineChars="200"/>
              <w:textAlignment w:val="auto"/>
              <w:rPr>
                <w:rFonts w:hint="default" w:ascii="Times New Roman" w:hAnsi="Times New Roman" w:eastAsia="宋体" w:cs="Times New Roman"/>
                <w:b w:val="0"/>
                <w:bCs w:val="0"/>
                <w:color w:val="auto"/>
                <w:spacing w:val="0"/>
                <w:sz w:val="24"/>
                <w:highlight w:val="none"/>
                <w:shd w:val="clear" w:color="auto" w:fill="auto"/>
                <w:lang w:val="en-US" w:eastAsia="zh-CN"/>
              </w:rPr>
            </w:pPr>
            <w:r>
              <w:rPr>
                <w:rFonts w:hint="default" w:ascii="Times New Roman" w:hAnsi="Times New Roman" w:eastAsia="宋体" w:cs="Times New Roman"/>
                <w:b/>
                <w:bCs/>
                <w:color w:val="auto"/>
                <w:spacing w:val="0"/>
                <w:sz w:val="24"/>
                <w:highlight w:val="none"/>
                <w:shd w:val="clear" w:color="auto" w:fill="auto"/>
                <w:lang w:val="en-US" w:eastAsia="zh-CN"/>
              </w:rPr>
              <w:t>处理可行性及达标分析：</w:t>
            </w:r>
            <w:r>
              <w:rPr>
                <w:rFonts w:hint="default" w:ascii="Times New Roman" w:hAnsi="Times New Roman" w:eastAsia="宋体" w:cs="Times New Roman"/>
                <w:b w:val="0"/>
                <w:bCs w:val="0"/>
                <w:color w:val="auto"/>
                <w:spacing w:val="0"/>
                <w:sz w:val="24"/>
                <w:highlight w:val="none"/>
                <w:shd w:val="clear" w:color="auto" w:fill="auto"/>
                <w:lang w:val="en-US" w:eastAsia="zh-CN"/>
              </w:rPr>
              <w:t>根据《活性炭吸附操作》（柳柱材编，石油工业出版社，1960年第1版），一级活性炭对烃类气体的吸附能力为70%~80%，在合理控制废气流量、及时更换吸附饱和的活性炭的前提下，有机废气中的污染物均可以得到有效去除；同时，根据2014年国家科技部和环保部发布的《大气污染防治先进技术汇编》，活性炭吸附处理低浓度有机废气，净化效率可达到90%以上。本项目采用“二级活性炭吸附装置”吸附有机废气，故有机废气处理效率保守取90%，具有可行性。</w:t>
            </w:r>
          </w:p>
          <w:p w14:paraId="150F4D75">
            <w:pPr>
              <w:keepNext w:val="0"/>
              <w:keepLines w:val="0"/>
              <w:pageBreakBefore w:val="0"/>
              <w:kinsoku/>
              <w:wordWrap/>
              <w:overflowPunct/>
              <w:topLinePunct w:val="0"/>
              <w:autoSpaceDE/>
              <w:autoSpaceDN/>
              <w:bidi w:val="0"/>
              <w:adjustRightInd w:val="0"/>
              <w:snapToGrid w:val="0"/>
              <w:spacing w:before="72" w:beforeLines="30"/>
              <w:jc w:val="center"/>
              <w:rPr>
                <w:rFonts w:hint="default" w:ascii="Times New Roman" w:hAnsi="Times New Roman" w:eastAsia="宋体" w:cs="Times New Roman"/>
                <w:b/>
                <w:color w:val="auto"/>
                <w:sz w:val="24"/>
                <w:highlight w:val="none"/>
                <w:shd w:val="clear" w:color="auto" w:fill="auto"/>
                <w:lang w:eastAsia="zh-CN"/>
              </w:rPr>
            </w:pPr>
            <w:r>
              <w:rPr>
                <w:rFonts w:hint="default" w:ascii="Times New Roman" w:hAnsi="Times New Roman" w:eastAsia="宋体" w:cs="Times New Roman"/>
                <w:b/>
                <w:color w:val="auto"/>
                <w:sz w:val="24"/>
                <w:highlight w:val="none"/>
                <w:shd w:val="clear" w:color="auto" w:fill="auto"/>
                <w:lang w:eastAsia="zh-CN"/>
              </w:rPr>
              <w:t>表</w:t>
            </w:r>
            <w:r>
              <w:rPr>
                <w:rFonts w:hint="default" w:ascii="Times New Roman" w:hAnsi="Times New Roman" w:eastAsia="宋体" w:cs="Times New Roman"/>
                <w:b/>
                <w:color w:val="auto"/>
                <w:sz w:val="24"/>
                <w:highlight w:val="none"/>
                <w:shd w:val="clear" w:color="auto" w:fill="auto"/>
                <w:lang w:val="en-US" w:eastAsia="zh-CN"/>
              </w:rPr>
              <w:t>4-</w:t>
            </w:r>
            <w:r>
              <w:rPr>
                <w:rFonts w:hint="eastAsia" w:ascii="Times New Roman" w:hAnsi="Times New Roman" w:eastAsia="宋体" w:cs="Times New Roman"/>
                <w:b/>
                <w:color w:val="auto"/>
                <w:sz w:val="24"/>
                <w:highlight w:val="none"/>
                <w:shd w:val="clear" w:color="auto" w:fill="auto"/>
                <w:lang w:val="en-US" w:eastAsia="zh-CN"/>
              </w:rPr>
              <w:t>4</w:t>
            </w:r>
            <w:r>
              <w:rPr>
                <w:rFonts w:hint="default" w:ascii="Times New Roman" w:hAnsi="Times New Roman" w:eastAsia="宋体" w:cs="Times New Roman"/>
                <w:b/>
                <w:color w:val="auto"/>
                <w:sz w:val="24"/>
                <w:highlight w:val="none"/>
                <w:shd w:val="clear" w:color="auto" w:fill="auto"/>
                <w:lang w:val="en-US" w:eastAsia="zh-CN"/>
              </w:rPr>
              <w:t xml:space="preserve"> </w:t>
            </w:r>
            <w:r>
              <w:rPr>
                <w:rFonts w:hint="default" w:ascii="Times New Roman" w:hAnsi="Times New Roman" w:eastAsia="宋体" w:cs="Times New Roman"/>
                <w:b/>
                <w:color w:val="auto"/>
                <w:sz w:val="24"/>
                <w:highlight w:val="none"/>
                <w:shd w:val="clear" w:color="auto" w:fill="auto"/>
                <w:lang w:eastAsia="zh-CN"/>
              </w:rPr>
              <w:t xml:space="preserve"> 活性炭装置技术参数</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2"/>
              <w:gridCol w:w="2669"/>
              <w:gridCol w:w="1732"/>
              <w:gridCol w:w="1606"/>
              <w:gridCol w:w="1842"/>
            </w:tblGrid>
            <w:tr w14:paraId="4AF4F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0" w:hRule="atLeast"/>
                <w:tblHeader/>
                <w:jc w:val="center"/>
              </w:trPr>
              <w:tc>
                <w:tcPr>
                  <w:tcW w:w="306" w:type="pct"/>
                  <w:vMerge w:val="restart"/>
                  <w:tcBorders>
                    <w:tl2br w:val="nil"/>
                    <w:tr2bl w:val="nil"/>
                  </w:tcBorders>
                  <w:shd w:val="clear" w:color="auto" w:fill="FFFFFF"/>
                  <w:noWrap/>
                  <w:vAlign w:val="center"/>
                </w:tcPr>
                <w:p w14:paraId="30486F1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序号</w:t>
                  </w:r>
                </w:p>
              </w:tc>
              <w:tc>
                <w:tcPr>
                  <w:tcW w:w="1596" w:type="pct"/>
                  <w:vMerge w:val="restart"/>
                  <w:tcBorders>
                    <w:tl2br w:val="nil"/>
                    <w:tr2bl w:val="nil"/>
                  </w:tcBorders>
                  <w:shd w:val="clear" w:color="auto" w:fill="FFFFFF"/>
                  <w:noWrap/>
                  <w:vAlign w:val="center"/>
                </w:tcPr>
                <w:p w14:paraId="6AB61AA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名    称</w:t>
                  </w:r>
                </w:p>
              </w:tc>
              <w:tc>
                <w:tcPr>
                  <w:tcW w:w="1996" w:type="pct"/>
                  <w:gridSpan w:val="2"/>
                  <w:tcBorders>
                    <w:tl2br w:val="nil"/>
                    <w:tr2bl w:val="nil"/>
                  </w:tcBorders>
                  <w:shd w:val="clear" w:color="auto" w:fill="FFFFFF"/>
                  <w:noWrap/>
                  <w:vAlign w:val="center"/>
                </w:tcPr>
                <w:p w14:paraId="24DC6B2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技术参数</w:t>
                  </w:r>
                </w:p>
              </w:tc>
              <w:tc>
                <w:tcPr>
                  <w:tcW w:w="1101" w:type="pct"/>
                  <w:vMerge w:val="restart"/>
                  <w:tcBorders>
                    <w:tl2br w:val="nil"/>
                    <w:tr2bl w:val="nil"/>
                  </w:tcBorders>
                  <w:shd w:val="clear" w:color="auto" w:fill="FFFFFF"/>
                  <w:noWrap/>
                  <w:vAlign w:val="center"/>
                </w:tcPr>
                <w:p w14:paraId="177C584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HJ2026-2013</w:t>
                  </w:r>
                  <w:r>
                    <w:rPr>
                      <w:rFonts w:hint="eastAsia" w:ascii="Times New Roman" w:hAnsi="Times New Roman" w:eastAsia="宋体" w:cs="Times New Roman"/>
                      <w:b/>
                      <w:bCs/>
                      <w:color w:val="auto"/>
                      <w:kern w:val="0"/>
                      <w:sz w:val="21"/>
                      <w:szCs w:val="21"/>
                      <w:highlight w:val="none"/>
                      <w:shd w:val="clear" w:color="auto" w:fill="auto"/>
                      <w:lang w:val="en-US" w:eastAsia="zh-CN"/>
                    </w:rPr>
                    <w:t>及DB32/T5030-2025</w:t>
                  </w:r>
                  <w:r>
                    <w:rPr>
                      <w:rFonts w:hint="default" w:ascii="Times New Roman" w:hAnsi="Times New Roman" w:eastAsia="宋体" w:cs="Times New Roman"/>
                      <w:b/>
                      <w:bCs/>
                      <w:color w:val="auto"/>
                      <w:kern w:val="0"/>
                      <w:sz w:val="21"/>
                      <w:szCs w:val="21"/>
                      <w:highlight w:val="none"/>
                      <w:shd w:val="clear" w:color="auto" w:fill="auto"/>
                    </w:rPr>
                    <w:t>要求</w:t>
                  </w:r>
                </w:p>
              </w:tc>
            </w:tr>
            <w:tr w14:paraId="7C864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0" w:hRule="atLeast"/>
                <w:tblHeader/>
                <w:jc w:val="center"/>
              </w:trPr>
              <w:tc>
                <w:tcPr>
                  <w:tcW w:w="306" w:type="pct"/>
                  <w:vMerge w:val="continue"/>
                  <w:tcBorders>
                    <w:tl2br w:val="nil"/>
                    <w:tr2bl w:val="nil"/>
                  </w:tcBorders>
                  <w:shd w:val="clear" w:color="auto" w:fill="FFFFFF"/>
                  <w:noWrap/>
                  <w:vAlign w:val="center"/>
                </w:tcPr>
                <w:p w14:paraId="1C57016D">
                  <w:pPr>
                    <w:keepNext w:val="0"/>
                    <w:keepLines w:val="0"/>
                    <w:pageBreakBefore w:val="0"/>
                    <w:widowControl/>
                    <w:kinsoku/>
                    <w:wordWrap/>
                    <w:overflowPunct/>
                    <w:topLinePunct w:val="0"/>
                    <w:autoSpaceDE/>
                    <w:autoSpaceDN/>
                    <w:bidi w:val="0"/>
                    <w:adjustRightInd w:val="0"/>
                    <w:snapToGrid w:val="0"/>
                    <w:jc w:val="center"/>
                    <w:rPr>
                      <w:color w:val="auto"/>
                    </w:rPr>
                  </w:pPr>
                </w:p>
              </w:tc>
              <w:tc>
                <w:tcPr>
                  <w:tcW w:w="1596" w:type="pct"/>
                  <w:vMerge w:val="continue"/>
                  <w:tcBorders>
                    <w:tl2br w:val="nil"/>
                    <w:tr2bl w:val="nil"/>
                  </w:tcBorders>
                  <w:shd w:val="clear" w:color="auto" w:fill="FFFFFF"/>
                  <w:noWrap/>
                  <w:vAlign w:val="center"/>
                </w:tcPr>
                <w:p w14:paraId="6ED3D44A">
                  <w:pPr>
                    <w:keepNext w:val="0"/>
                    <w:keepLines w:val="0"/>
                    <w:pageBreakBefore w:val="0"/>
                    <w:widowControl/>
                    <w:kinsoku/>
                    <w:wordWrap/>
                    <w:overflowPunct/>
                    <w:topLinePunct w:val="0"/>
                    <w:autoSpaceDE/>
                    <w:autoSpaceDN/>
                    <w:bidi w:val="0"/>
                    <w:adjustRightInd w:val="0"/>
                    <w:snapToGrid w:val="0"/>
                    <w:jc w:val="center"/>
                    <w:rPr>
                      <w:color w:val="auto"/>
                    </w:rPr>
                  </w:pPr>
                </w:p>
              </w:tc>
              <w:tc>
                <w:tcPr>
                  <w:tcW w:w="1035" w:type="pct"/>
                  <w:tcBorders>
                    <w:tl2br w:val="nil"/>
                    <w:tr2bl w:val="nil"/>
                  </w:tcBorders>
                  <w:shd w:val="clear" w:color="auto" w:fill="FFFFFF"/>
                  <w:noWrap/>
                  <w:vAlign w:val="center"/>
                </w:tcPr>
                <w:p w14:paraId="187A3C7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snapToGrid w:val="0"/>
                      <w:color w:val="auto"/>
                      <w:kern w:val="0"/>
                      <w:sz w:val="21"/>
                      <w:szCs w:val="21"/>
                      <w:highlight w:val="none"/>
                      <w:lang w:val="en-US" w:eastAsia="zh-CN"/>
                    </w:rPr>
                    <w:t>1#二级活性炭</w:t>
                  </w:r>
                </w:p>
              </w:tc>
              <w:tc>
                <w:tcPr>
                  <w:tcW w:w="960" w:type="pct"/>
                  <w:tcBorders>
                    <w:tl2br w:val="nil"/>
                    <w:tr2bl w:val="nil"/>
                  </w:tcBorders>
                  <w:shd w:val="clear" w:color="auto" w:fill="FFFFFF"/>
                  <w:noWrap/>
                  <w:vAlign w:val="center"/>
                </w:tcPr>
                <w:p w14:paraId="051CF85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snapToGrid w:val="0"/>
                      <w:color w:val="auto"/>
                      <w:kern w:val="0"/>
                      <w:sz w:val="21"/>
                      <w:szCs w:val="21"/>
                      <w:highlight w:val="none"/>
                      <w:lang w:val="en-US" w:eastAsia="zh-CN"/>
                    </w:rPr>
                    <w:t>2#二级活性炭</w:t>
                  </w:r>
                </w:p>
              </w:tc>
              <w:tc>
                <w:tcPr>
                  <w:tcW w:w="1101" w:type="pct"/>
                  <w:vMerge w:val="continue"/>
                  <w:tcBorders>
                    <w:tl2br w:val="nil"/>
                    <w:tr2bl w:val="nil"/>
                  </w:tcBorders>
                  <w:shd w:val="clear" w:color="auto" w:fill="FFFFFF"/>
                  <w:noWrap/>
                  <w:vAlign w:val="center"/>
                </w:tcPr>
                <w:p w14:paraId="7B1A2FA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highlight w:val="none"/>
                      <w:shd w:val="clear" w:color="auto" w:fill="auto"/>
                    </w:rPr>
                  </w:pPr>
                </w:p>
              </w:tc>
            </w:tr>
            <w:tr w14:paraId="52829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4C08CEF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w:t>
                  </w:r>
                </w:p>
              </w:tc>
              <w:tc>
                <w:tcPr>
                  <w:tcW w:w="1596" w:type="pct"/>
                  <w:tcBorders>
                    <w:tl2br w:val="nil"/>
                    <w:tr2bl w:val="nil"/>
                  </w:tcBorders>
                  <w:shd w:val="clear" w:color="auto" w:fill="auto"/>
                  <w:noWrap/>
                  <w:vAlign w:val="center"/>
                </w:tcPr>
                <w:p w14:paraId="7863349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废气净化方式</w:t>
                  </w:r>
                </w:p>
              </w:tc>
              <w:tc>
                <w:tcPr>
                  <w:tcW w:w="1035" w:type="pct"/>
                  <w:tcBorders>
                    <w:tl2br w:val="nil"/>
                    <w:tr2bl w:val="nil"/>
                  </w:tcBorders>
                  <w:shd w:val="clear" w:color="auto" w:fill="auto"/>
                  <w:noWrap/>
                  <w:vAlign w:val="center"/>
                </w:tcPr>
                <w:p w14:paraId="1380911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活性炭吸附处理</w:t>
                  </w:r>
                </w:p>
              </w:tc>
              <w:tc>
                <w:tcPr>
                  <w:tcW w:w="960" w:type="pct"/>
                  <w:tcBorders>
                    <w:tl2br w:val="nil"/>
                    <w:tr2bl w:val="nil"/>
                  </w:tcBorders>
                  <w:shd w:val="clear" w:color="auto" w:fill="auto"/>
                  <w:noWrap/>
                  <w:vAlign w:val="center"/>
                </w:tcPr>
                <w:p w14:paraId="5042BB1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活性炭吸附处理</w:t>
                  </w:r>
                </w:p>
              </w:tc>
              <w:tc>
                <w:tcPr>
                  <w:tcW w:w="1101" w:type="pct"/>
                  <w:tcBorders>
                    <w:tl2br w:val="nil"/>
                    <w:tr2bl w:val="nil"/>
                  </w:tcBorders>
                  <w:shd w:val="clear" w:color="auto" w:fill="auto"/>
                  <w:noWrap/>
                  <w:vAlign w:val="center"/>
                </w:tcPr>
                <w:p w14:paraId="1A3D088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79F3B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5A2B335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2</w:t>
                  </w:r>
                </w:p>
              </w:tc>
              <w:tc>
                <w:tcPr>
                  <w:tcW w:w="1596" w:type="pct"/>
                  <w:tcBorders>
                    <w:tl2br w:val="nil"/>
                    <w:tr2bl w:val="nil"/>
                  </w:tcBorders>
                  <w:shd w:val="clear" w:color="auto" w:fill="auto"/>
                  <w:noWrap/>
                  <w:vAlign w:val="center"/>
                </w:tcPr>
                <w:p w14:paraId="1079029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风量</w:t>
                  </w:r>
                </w:p>
              </w:tc>
              <w:tc>
                <w:tcPr>
                  <w:tcW w:w="1035" w:type="pct"/>
                  <w:tcBorders>
                    <w:tl2br w:val="nil"/>
                    <w:tr2bl w:val="nil"/>
                  </w:tcBorders>
                  <w:shd w:val="clear" w:color="auto" w:fill="auto"/>
                  <w:noWrap/>
                  <w:vAlign w:val="center"/>
                </w:tcPr>
                <w:p w14:paraId="416B675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0"/>
                      <w:sz w:val="21"/>
                      <w:szCs w:val="21"/>
                      <w:highlight w:val="none"/>
                      <w:shd w:val="clear" w:color="auto" w:fill="auto"/>
                      <w:lang w:val="en-US" w:eastAsia="zh-CN"/>
                    </w:rPr>
                    <w:t>23</w:t>
                  </w:r>
                  <w:r>
                    <w:rPr>
                      <w:rFonts w:hint="default" w:ascii="Times New Roman" w:hAnsi="Times New Roman" w:eastAsia="宋体" w:cs="Times New Roman"/>
                      <w:snapToGrid w:val="0"/>
                      <w:color w:val="auto"/>
                      <w:kern w:val="0"/>
                      <w:sz w:val="21"/>
                      <w:szCs w:val="21"/>
                      <w:highlight w:val="none"/>
                      <w:shd w:val="clear" w:color="auto" w:fill="auto"/>
                      <w:lang w:val="en-US" w:eastAsia="zh-CN"/>
                    </w:rPr>
                    <w:t>0</w:t>
                  </w:r>
                  <w:r>
                    <w:rPr>
                      <w:rFonts w:hint="default" w:ascii="Times New Roman" w:hAnsi="Times New Roman" w:eastAsia="宋体" w:cs="Times New Roman"/>
                      <w:snapToGrid w:val="0"/>
                      <w:color w:val="auto"/>
                      <w:kern w:val="0"/>
                      <w:sz w:val="21"/>
                      <w:szCs w:val="21"/>
                      <w:highlight w:val="none"/>
                      <w:shd w:val="clear" w:color="auto" w:fill="auto"/>
                    </w:rPr>
                    <w:t>00m</w:t>
                  </w:r>
                  <w:r>
                    <w:rPr>
                      <w:rFonts w:hint="default" w:ascii="Times New Roman" w:hAnsi="Times New Roman" w:eastAsia="宋体" w:cs="Times New Roman"/>
                      <w:snapToGrid w:val="0"/>
                      <w:color w:val="auto"/>
                      <w:kern w:val="0"/>
                      <w:sz w:val="21"/>
                      <w:szCs w:val="21"/>
                      <w:highlight w:val="none"/>
                      <w:shd w:val="clear" w:color="auto" w:fill="auto"/>
                      <w:vertAlign w:val="superscript"/>
                    </w:rPr>
                    <w:t>3</w:t>
                  </w:r>
                  <w:r>
                    <w:rPr>
                      <w:rFonts w:hint="default" w:ascii="Times New Roman" w:hAnsi="Times New Roman" w:eastAsia="宋体" w:cs="Times New Roman"/>
                      <w:snapToGrid w:val="0"/>
                      <w:color w:val="auto"/>
                      <w:kern w:val="0"/>
                      <w:sz w:val="21"/>
                      <w:szCs w:val="21"/>
                      <w:highlight w:val="none"/>
                      <w:shd w:val="clear" w:color="auto" w:fill="auto"/>
                    </w:rPr>
                    <w:t>/h</w:t>
                  </w:r>
                </w:p>
              </w:tc>
              <w:tc>
                <w:tcPr>
                  <w:tcW w:w="960" w:type="pct"/>
                  <w:tcBorders>
                    <w:tl2br w:val="nil"/>
                    <w:tr2bl w:val="nil"/>
                  </w:tcBorders>
                  <w:shd w:val="clear" w:color="auto" w:fill="auto"/>
                  <w:noWrap/>
                  <w:vAlign w:val="center"/>
                </w:tcPr>
                <w:p w14:paraId="2BE3F1D1">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0"/>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0"/>
                      <w:sz w:val="21"/>
                      <w:szCs w:val="21"/>
                      <w:highlight w:val="none"/>
                      <w:shd w:val="clear" w:color="auto" w:fill="auto"/>
                      <w:lang w:val="en-US" w:eastAsia="zh-CN"/>
                    </w:rPr>
                    <w:t>8</w:t>
                  </w:r>
                  <w:r>
                    <w:rPr>
                      <w:rFonts w:hint="default" w:ascii="Times New Roman" w:hAnsi="Times New Roman" w:eastAsia="宋体" w:cs="Times New Roman"/>
                      <w:snapToGrid w:val="0"/>
                      <w:color w:val="auto"/>
                      <w:kern w:val="0"/>
                      <w:sz w:val="21"/>
                      <w:szCs w:val="21"/>
                      <w:highlight w:val="none"/>
                      <w:shd w:val="clear" w:color="auto" w:fill="auto"/>
                      <w:lang w:val="en-US" w:eastAsia="zh-CN"/>
                    </w:rPr>
                    <w:t>0</w:t>
                  </w:r>
                  <w:r>
                    <w:rPr>
                      <w:rFonts w:hint="default" w:ascii="Times New Roman" w:hAnsi="Times New Roman" w:eastAsia="宋体" w:cs="Times New Roman"/>
                      <w:snapToGrid w:val="0"/>
                      <w:color w:val="auto"/>
                      <w:kern w:val="0"/>
                      <w:sz w:val="21"/>
                      <w:szCs w:val="21"/>
                      <w:highlight w:val="none"/>
                      <w:shd w:val="clear" w:color="auto" w:fill="auto"/>
                    </w:rPr>
                    <w:t>00m</w:t>
                  </w:r>
                  <w:r>
                    <w:rPr>
                      <w:rFonts w:hint="default" w:ascii="Times New Roman" w:hAnsi="Times New Roman" w:eastAsia="宋体" w:cs="Times New Roman"/>
                      <w:snapToGrid w:val="0"/>
                      <w:color w:val="auto"/>
                      <w:kern w:val="0"/>
                      <w:sz w:val="21"/>
                      <w:szCs w:val="21"/>
                      <w:highlight w:val="none"/>
                      <w:shd w:val="clear" w:color="auto" w:fill="auto"/>
                      <w:vertAlign w:val="superscript"/>
                    </w:rPr>
                    <w:t>3</w:t>
                  </w:r>
                  <w:r>
                    <w:rPr>
                      <w:rFonts w:hint="default" w:ascii="Times New Roman" w:hAnsi="Times New Roman" w:eastAsia="宋体" w:cs="Times New Roman"/>
                      <w:snapToGrid w:val="0"/>
                      <w:color w:val="auto"/>
                      <w:kern w:val="0"/>
                      <w:sz w:val="21"/>
                      <w:szCs w:val="21"/>
                      <w:highlight w:val="none"/>
                      <w:shd w:val="clear" w:color="auto" w:fill="auto"/>
                    </w:rPr>
                    <w:t>/h</w:t>
                  </w:r>
                </w:p>
              </w:tc>
              <w:tc>
                <w:tcPr>
                  <w:tcW w:w="1101" w:type="pct"/>
                  <w:tcBorders>
                    <w:tl2br w:val="nil"/>
                    <w:tr2bl w:val="nil"/>
                  </w:tcBorders>
                  <w:shd w:val="clear" w:color="auto" w:fill="auto"/>
                  <w:noWrap/>
                  <w:vAlign w:val="center"/>
                </w:tcPr>
                <w:p w14:paraId="358BA56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1E18A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4411B0E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3</w:t>
                  </w:r>
                </w:p>
              </w:tc>
              <w:tc>
                <w:tcPr>
                  <w:tcW w:w="1596" w:type="pct"/>
                  <w:tcBorders>
                    <w:tl2br w:val="nil"/>
                    <w:tr2bl w:val="nil"/>
                  </w:tcBorders>
                  <w:shd w:val="clear" w:color="auto" w:fill="auto"/>
                  <w:noWrap/>
                  <w:vAlign w:val="center"/>
                </w:tcPr>
                <w:p w14:paraId="67CE5C1C">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废气温度</w:t>
                  </w:r>
                </w:p>
              </w:tc>
              <w:tc>
                <w:tcPr>
                  <w:tcW w:w="1035" w:type="pct"/>
                  <w:tcBorders>
                    <w:tl2br w:val="nil"/>
                    <w:tr2bl w:val="nil"/>
                  </w:tcBorders>
                  <w:shd w:val="clear" w:color="auto" w:fill="auto"/>
                  <w:noWrap/>
                  <w:vAlign w:val="center"/>
                </w:tcPr>
                <w:p w14:paraId="27648C8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≤40℃</w:t>
                  </w:r>
                </w:p>
              </w:tc>
              <w:tc>
                <w:tcPr>
                  <w:tcW w:w="960" w:type="pct"/>
                  <w:tcBorders>
                    <w:tl2br w:val="nil"/>
                    <w:tr2bl w:val="nil"/>
                  </w:tcBorders>
                  <w:shd w:val="clear" w:color="auto" w:fill="auto"/>
                  <w:noWrap/>
                  <w:vAlign w:val="center"/>
                </w:tcPr>
                <w:p w14:paraId="0EF1FAD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≤40℃</w:t>
                  </w:r>
                </w:p>
              </w:tc>
              <w:tc>
                <w:tcPr>
                  <w:tcW w:w="1101" w:type="pct"/>
                  <w:tcBorders>
                    <w:tl2br w:val="nil"/>
                    <w:tr2bl w:val="nil"/>
                  </w:tcBorders>
                  <w:shd w:val="clear" w:color="auto" w:fill="auto"/>
                  <w:noWrap/>
                  <w:vAlign w:val="center"/>
                </w:tcPr>
                <w:p w14:paraId="0B612C5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7B9CB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1A71F01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4</w:t>
                  </w:r>
                </w:p>
              </w:tc>
              <w:tc>
                <w:tcPr>
                  <w:tcW w:w="1596" w:type="pct"/>
                  <w:tcBorders>
                    <w:tl2br w:val="nil"/>
                    <w:tr2bl w:val="nil"/>
                  </w:tcBorders>
                  <w:shd w:val="clear" w:color="auto" w:fill="auto"/>
                  <w:noWrap/>
                  <w:vAlign w:val="center"/>
                </w:tcPr>
                <w:p w14:paraId="2E47DAFC">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活性炭安装方式</w:t>
                  </w:r>
                </w:p>
              </w:tc>
              <w:tc>
                <w:tcPr>
                  <w:tcW w:w="1035" w:type="pct"/>
                  <w:tcBorders>
                    <w:tl2br w:val="nil"/>
                    <w:tr2bl w:val="nil"/>
                  </w:tcBorders>
                  <w:shd w:val="clear" w:color="auto" w:fill="auto"/>
                  <w:noWrap/>
                  <w:vAlign w:val="center"/>
                </w:tcPr>
                <w:p w14:paraId="6D876244">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上装式，由活性炭、活性炭托盘、箱体组成</w:t>
                  </w:r>
                </w:p>
              </w:tc>
              <w:tc>
                <w:tcPr>
                  <w:tcW w:w="960" w:type="pct"/>
                  <w:tcBorders>
                    <w:tl2br w:val="nil"/>
                    <w:tr2bl w:val="nil"/>
                  </w:tcBorders>
                  <w:shd w:val="clear" w:color="auto" w:fill="auto"/>
                  <w:noWrap/>
                  <w:vAlign w:val="center"/>
                </w:tcPr>
                <w:p w14:paraId="2A2FB135">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上装式，由活性炭、活性炭托盘、箱体组成</w:t>
                  </w:r>
                </w:p>
              </w:tc>
              <w:tc>
                <w:tcPr>
                  <w:tcW w:w="1101" w:type="pct"/>
                  <w:tcBorders>
                    <w:tl2br w:val="nil"/>
                    <w:tr2bl w:val="nil"/>
                  </w:tcBorders>
                  <w:shd w:val="clear" w:color="auto" w:fill="auto"/>
                  <w:noWrap/>
                  <w:vAlign w:val="center"/>
                </w:tcPr>
                <w:p w14:paraId="05A4E614">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5DA65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2AF2FFC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5</w:t>
                  </w:r>
                </w:p>
              </w:tc>
              <w:tc>
                <w:tcPr>
                  <w:tcW w:w="1596" w:type="pct"/>
                  <w:tcBorders>
                    <w:tl2br w:val="nil"/>
                    <w:tr2bl w:val="nil"/>
                  </w:tcBorders>
                  <w:shd w:val="clear" w:color="auto" w:fill="auto"/>
                  <w:noWrap/>
                  <w:vAlign w:val="center"/>
                </w:tcPr>
                <w:p w14:paraId="1A939BA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箱体规格（长度×宽度×高度）</w:t>
                  </w:r>
                </w:p>
              </w:tc>
              <w:tc>
                <w:tcPr>
                  <w:tcW w:w="1035" w:type="pct"/>
                  <w:tcBorders>
                    <w:tl2br w:val="nil"/>
                    <w:tr2bl w:val="nil"/>
                  </w:tcBorders>
                  <w:shd w:val="clear" w:color="auto" w:fill="auto"/>
                  <w:noWrap/>
                  <w:vAlign w:val="center"/>
                </w:tcPr>
                <w:p w14:paraId="598BA3D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lang w:val="en-US" w:eastAsia="zh-CN"/>
                    </w:rPr>
                    <w:t>1.5</w:t>
                  </w:r>
                  <w:r>
                    <w:rPr>
                      <w:rFonts w:hint="default" w:ascii="Times New Roman" w:hAnsi="Times New Roman" w:eastAsia="宋体" w:cs="Times New Roman"/>
                      <w:snapToGrid w:val="0"/>
                      <w:color w:val="auto"/>
                      <w:kern w:val="0"/>
                      <w:sz w:val="21"/>
                      <w:szCs w:val="21"/>
                      <w:highlight w:val="none"/>
                      <w:shd w:val="clear" w:color="auto" w:fill="auto"/>
                    </w:rPr>
                    <w:t>m×</w:t>
                  </w:r>
                  <w:r>
                    <w:rPr>
                      <w:rFonts w:hint="default" w:ascii="Times New Roman" w:hAnsi="Times New Roman" w:eastAsia="宋体" w:cs="Times New Roman"/>
                      <w:snapToGrid w:val="0"/>
                      <w:color w:val="auto"/>
                      <w:kern w:val="0"/>
                      <w:sz w:val="21"/>
                      <w:szCs w:val="21"/>
                      <w:highlight w:val="none"/>
                      <w:shd w:val="clear" w:color="auto" w:fill="auto"/>
                      <w:lang w:val="en-US" w:eastAsia="zh-CN"/>
                    </w:rPr>
                    <w:t>1.0</w:t>
                  </w:r>
                  <w:r>
                    <w:rPr>
                      <w:rFonts w:hint="default" w:ascii="Times New Roman" w:hAnsi="Times New Roman" w:eastAsia="宋体" w:cs="Times New Roman"/>
                      <w:snapToGrid w:val="0"/>
                      <w:color w:val="auto"/>
                      <w:kern w:val="0"/>
                      <w:sz w:val="21"/>
                      <w:szCs w:val="21"/>
                      <w:highlight w:val="none"/>
                      <w:shd w:val="clear" w:color="auto" w:fill="auto"/>
                    </w:rPr>
                    <w:t>m×</w:t>
                  </w:r>
                  <w:r>
                    <w:rPr>
                      <w:rFonts w:hint="default" w:ascii="Times New Roman" w:hAnsi="Times New Roman" w:eastAsia="宋体" w:cs="Times New Roman"/>
                      <w:snapToGrid w:val="0"/>
                      <w:color w:val="auto"/>
                      <w:kern w:val="0"/>
                      <w:sz w:val="21"/>
                      <w:szCs w:val="21"/>
                      <w:highlight w:val="none"/>
                      <w:shd w:val="clear" w:color="auto" w:fill="auto"/>
                      <w:lang w:val="en-US" w:eastAsia="zh-CN"/>
                    </w:rPr>
                    <w:t>0.7</w:t>
                  </w:r>
                  <w:r>
                    <w:rPr>
                      <w:rFonts w:hint="default" w:ascii="Times New Roman" w:hAnsi="Times New Roman" w:eastAsia="宋体" w:cs="Times New Roman"/>
                      <w:snapToGrid w:val="0"/>
                      <w:color w:val="auto"/>
                      <w:kern w:val="0"/>
                      <w:sz w:val="21"/>
                      <w:szCs w:val="21"/>
                      <w:highlight w:val="none"/>
                      <w:shd w:val="clear" w:color="auto" w:fill="auto"/>
                    </w:rPr>
                    <w:t>m</w:t>
                  </w:r>
                </w:p>
              </w:tc>
              <w:tc>
                <w:tcPr>
                  <w:tcW w:w="960" w:type="pct"/>
                  <w:tcBorders>
                    <w:tl2br w:val="nil"/>
                    <w:tr2bl w:val="nil"/>
                  </w:tcBorders>
                  <w:shd w:val="clear" w:color="auto" w:fill="auto"/>
                  <w:noWrap/>
                  <w:vAlign w:val="center"/>
                </w:tcPr>
                <w:p w14:paraId="416B4BCC">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lang w:val="en-US" w:eastAsia="zh-CN"/>
                    </w:rPr>
                    <w:t>1.</w:t>
                  </w:r>
                  <w:r>
                    <w:rPr>
                      <w:rFonts w:hint="eastAsia" w:ascii="Times New Roman" w:hAnsi="Times New Roman" w:eastAsia="宋体" w:cs="Times New Roman"/>
                      <w:snapToGrid w:val="0"/>
                      <w:color w:val="auto"/>
                      <w:kern w:val="0"/>
                      <w:sz w:val="21"/>
                      <w:szCs w:val="21"/>
                      <w:highlight w:val="none"/>
                      <w:shd w:val="clear" w:color="auto" w:fill="auto"/>
                      <w:lang w:val="en-US" w:eastAsia="zh-CN"/>
                    </w:rPr>
                    <w:t>0</w:t>
                  </w:r>
                  <w:r>
                    <w:rPr>
                      <w:rFonts w:hint="default" w:ascii="Times New Roman" w:hAnsi="Times New Roman" w:eastAsia="宋体" w:cs="Times New Roman"/>
                      <w:snapToGrid w:val="0"/>
                      <w:color w:val="auto"/>
                      <w:kern w:val="0"/>
                      <w:sz w:val="21"/>
                      <w:szCs w:val="21"/>
                      <w:highlight w:val="none"/>
                      <w:shd w:val="clear" w:color="auto" w:fill="auto"/>
                    </w:rPr>
                    <w:t>m×</w:t>
                  </w:r>
                  <w:r>
                    <w:rPr>
                      <w:rFonts w:hint="default" w:ascii="Times New Roman" w:hAnsi="Times New Roman" w:eastAsia="宋体" w:cs="Times New Roman"/>
                      <w:snapToGrid w:val="0"/>
                      <w:color w:val="auto"/>
                      <w:kern w:val="0"/>
                      <w:sz w:val="21"/>
                      <w:szCs w:val="21"/>
                      <w:highlight w:val="none"/>
                      <w:shd w:val="clear" w:color="auto" w:fill="auto"/>
                      <w:lang w:val="en-US" w:eastAsia="zh-CN"/>
                    </w:rPr>
                    <w:t>1.0</w:t>
                  </w:r>
                  <w:r>
                    <w:rPr>
                      <w:rFonts w:hint="default" w:ascii="Times New Roman" w:hAnsi="Times New Roman" w:eastAsia="宋体" w:cs="Times New Roman"/>
                      <w:snapToGrid w:val="0"/>
                      <w:color w:val="auto"/>
                      <w:kern w:val="0"/>
                      <w:sz w:val="21"/>
                      <w:szCs w:val="21"/>
                      <w:highlight w:val="none"/>
                      <w:shd w:val="clear" w:color="auto" w:fill="auto"/>
                    </w:rPr>
                    <w:t>m×</w:t>
                  </w:r>
                  <w:r>
                    <w:rPr>
                      <w:rFonts w:hint="default" w:ascii="Times New Roman" w:hAnsi="Times New Roman" w:eastAsia="宋体" w:cs="Times New Roman"/>
                      <w:snapToGrid w:val="0"/>
                      <w:color w:val="auto"/>
                      <w:kern w:val="0"/>
                      <w:sz w:val="21"/>
                      <w:szCs w:val="21"/>
                      <w:highlight w:val="none"/>
                      <w:shd w:val="clear" w:color="auto" w:fill="auto"/>
                      <w:lang w:val="en-US" w:eastAsia="zh-CN"/>
                    </w:rPr>
                    <w:t>0.</w:t>
                  </w:r>
                  <w:r>
                    <w:rPr>
                      <w:rFonts w:hint="eastAsia" w:ascii="Times New Roman" w:hAnsi="Times New Roman" w:eastAsia="宋体" w:cs="Times New Roman"/>
                      <w:snapToGrid w:val="0"/>
                      <w:color w:val="auto"/>
                      <w:kern w:val="0"/>
                      <w:sz w:val="21"/>
                      <w:szCs w:val="21"/>
                      <w:highlight w:val="none"/>
                      <w:shd w:val="clear" w:color="auto" w:fill="auto"/>
                      <w:lang w:val="en-US" w:eastAsia="zh-CN"/>
                    </w:rPr>
                    <w:t>7</w:t>
                  </w:r>
                  <w:r>
                    <w:rPr>
                      <w:rFonts w:hint="default" w:ascii="Times New Roman" w:hAnsi="Times New Roman" w:eastAsia="宋体" w:cs="Times New Roman"/>
                      <w:snapToGrid w:val="0"/>
                      <w:color w:val="auto"/>
                      <w:kern w:val="0"/>
                      <w:sz w:val="21"/>
                      <w:szCs w:val="21"/>
                      <w:highlight w:val="none"/>
                      <w:shd w:val="clear" w:color="auto" w:fill="auto"/>
                    </w:rPr>
                    <w:t>m</w:t>
                  </w:r>
                </w:p>
              </w:tc>
              <w:tc>
                <w:tcPr>
                  <w:tcW w:w="1101" w:type="pct"/>
                  <w:tcBorders>
                    <w:tl2br w:val="nil"/>
                    <w:tr2bl w:val="nil"/>
                  </w:tcBorders>
                  <w:shd w:val="clear" w:color="auto" w:fill="auto"/>
                  <w:noWrap/>
                  <w:vAlign w:val="center"/>
                </w:tcPr>
                <w:p w14:paraId="376EADEA">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49A99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09701D7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6</w:t>
                  </w:r>
                </w:p>
              </w:tc>
              <w:tc>
                <w:tcPr>
                  <w:tcW w:w="1596" w:type="pct"/>
                  <w:tcBorders>
                    <w:tl2br w:val="nil"/>
                    <w:tr2bl w:val="nil"/>
                  </w:tcBorders>
                  <w:shd w:val="clear" w:color="auto" w:fill="auto"/>
                  <w:noWrap/>
                  <w:vAlign w:val="center"/>
                </w:tcPr>
                <w:p w14:paraId="50ACB64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活性炭类型</w:t>
                  </w:r>
                </w:p>
              </w:tc>
              <w:tc>
                <w:tcPr>
                  <w:tcW w:w="1035" w:type="pct"/>
                  <w:tcBorders>
                    <w:tl2br w:val="nil"/>
                    <w:tr2bl w:val="nil"/>
                  </w:tcBorders>
                  <w:shd w:val="clear" w:color="auto" w:fill="auto"/>
                  <w:noWrap/>
                  <w:vAlign w:val="center"/>
                </w:tcPr>
                <w:p w14:paraId="3DD34D6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lang w:val="en-US" w:eastAsia="zh-CN"/>
                    </w:rPr>
                    <w:t>颗粒</w:t>
                  </w:r>
                  <w:r>
                    <w:rPr>
                      <w:rFonts w:hint="default" w:ascii="Times New Roman" w:hAnsi="Times New Roman" w:eastAsia="宋体" w:cs="Times New Roman"/>
                      <w:snapToGrid w:val="0"/>
                      <w:color w:val="auto"/>
                      <w:kern w:val="0"/>
                      <w:sz w:val="21"/>
                      <w:szCs w:val="21"/>
                      <w:highlight w:val="none"/>
                      <w:shd w:val="clear" w:color="auto" w:fill="auto"/>
                    </w:rPr>
                    <w:t>状活性炭</w:t>
                  </w:r>
                </w:p>
              </w:tc>
              <w:tc>
                <w:tcPr>
                  <w:tcW w:w="960" w:type="pct"/>
                  <w:tcBorders>
                    <w:tl2br w:val="nil"/>
                    <w:tr2bl w:val="nil"/>
                  </w:tcBorders>
                  <w:shd w:val="clear" w:color="auto" w:fill="auto"/>
                  <w:noWrap/>
                  <w:vAlign w:val="center"/>
                </w:tcPr>
                <w:p w14:paraId="4ECFCA8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lang w:val="en-US" w:eastAsia="zh-CN"/>
                    </w:rPr>
                    <w:t>颗粒</w:t>
                  </w:r>
                  <w:r>
                    <w:rPr>
                      <w:rFonts w:hint="default" w:ascii="Times New Roman" w:hAnsi="Times New Roman" w:eastAsia="宋体" w:cs="Times New Roman"/>
                      <w:snapToGrid w:val="0"/>
                      <w:color w:val="auto"/>
                      <w:kern w:val="0"/>
                      <w:sz w:val="21"/>
                      <w:szCs w:val="21"/>
                      <w:highlight w:val="none"/>
                      <w:shd w:val="clear" w:color="auto" w:fill="auto"/>
                    </w:rPr>
                    <w:t>状活性炭</w:t>
                  </w:r>
                </w:p>
              </w:tc>
              <w:tc>
                <w:tcPr>
                  <w:tcW w:w="1101" w:type="pct"/>
                  <w:tcBorders>
                    <w:tl2br w:val="nil"/>
                    <w:tr2bl w:val="nil"/>
                  </w:tcBorders>
                  <w:shd w:val="clear" w:color="auto" w:fill="auto"/>
                  <w:noWrap/>
                  <w:vAlign w:val="center"/>
                </w:tcPr>
                <w:p w14:paraId="4ADB569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49197D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1060305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7</w:t>
                  </w:r>
                </w:p>
              </w:tc>
              <w:tc>
                <w:tcPr>
                  <w:tcW w:w="1596" w:type="pct"/>
                  <w:tcBorders>
                    <w:tl2br w:val="nil"/>
                    <w:tr2bl w:val="nil"/>
                  </w:tcBorders>
                  <w:shd w:val="clear" w:color="auto" w:fill="auto"/>
                  <w:noWrap/>
                  <w:vAlign w:val="center"/>
                </w:tcPr>
                <w:p w14:paraId="4468F90C">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比表面积（m</w:t>
                  </w:r>
                  <w:r>
                    <w:rPr>
                      <w:rFonts w:hint="default" w:ascii="Times New Roman" w:hAnsi="Times New Roman" w:eastAsia="宋体" w:cs="Times New Roman"/>
                      <w:snapToGrid w:val="0"/>
                      <w:color w:val="auto"/>
                      <w:kern w:val="0"/>
                      <w:sz w:val="21"/>
                      <w:szCs w:val="21"/>
                      <w:highlight w:val="none"/>
                      <w:shd w:val="clear" w:color="auto" w:fill="auto"/>
                      <w:vertAlign w:val="superscript"/>
                    </w:rPr>
                    <w:t>2</w:t>
                  </w:r>
                  <w:r>
                    <w:rPr>
                      <w:rFonts w:hint="default" w:ascii="Times New Roman" w:hAnsi="Times New Roman" w:eastAsia="宋体" w:cs="Times New Roman"/>
                      <w:snapToGrid w:val="0"/>
                      <w:color w:val="auto"/>
                      <w:kern w:val="0"/>
                      <w:sz w:val="21"/>
                      <w:szCs w:val="21"/>
                      <w:highlight w:val="none"/>
                      <w:shd w:val="clear" w:color="auto" w:fill="auto"/>
                    </w:rPr>
                    <w:t>/g）</w:t>
                  </w:r>
                </w:p>
              </w:tc>
              <w:tc>
                <w:tcPr>
                  <w:tcW w:w="1035" w:type="pct"/>
                  <w:tcBorders>
                    <w:tl2br w:val="nil"/>
                    <w:tr2bl w:val="nil"/>
                  </w:tcBorders>
                  <w:shd w:val="clear" w:color="auto" w:fill="auto"/>
                  <w:noWrap/>
                  <w:vAlign w:val="center"/>
                </w:tcPr>
                <w:p w14:paraId="5452823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900~1600</w:t>
                  </w:r>
                </w:p>
              </w:tc>
              <w:tc>
                <w:tcPr>
                  <w:tcW w:w="960" w:type="pct"/>
                  <w:tcBorders>
                    <w:tl2br w:val="nil"/>
                    <w:tr2bl w:val="nil"/>
                  </w:tcBorders>
                  <w:shd w:val="clear" w:color="auto" w:fill="auto"/>
                  <w:noWrap/>
                  <w:vAlign w:val="center"/>
                </w:tcPr>
                <w:p w14:paraId="5E65A9A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900~1600</w:t>
                  </w:r>
                </w:p>
              </w:tc>
              <w:tc>
                <w:tcPr>
                  <w:tcW w:w="1101" w:type="pct"/>
                  <w:tcBorders>
                    <w:tl2br w:val="nil"/>
                    <w:tr2bl w:val="nil"/>
                  </w:tcBorders>
                  <w:shd w:val="clear" w:color="auto" w:fill="auto"/>
                  <w:noWrap/>
                  <w:vAlign w:val="center"/>
                </w:tcPr>
                <w:p w14:paraId="64B5841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r>
                    <w:rPr>
                      <w:rFonts w:hint="default" w:ascii="Times New Roman" w:hAnsi="Times New Roman" w:eastAsia="宋体" w:cs="Times New Roman"/>
                      <w:snapToGrid w:val="0"/>
                      <w:color w:val="auto"/>
                      <w:kern w:val="0"/>
                      <w:sz w:val="21"/>
                      <w:szCs w:val="21"/>
                      <w:highlight w:val="none"/>
                      <w:shd w:val="clear" w:color="auto" w:fill="auto"/>
                      <w:lang w:val="en-US" w:eastAsia="zh-CN"/>
                    </w:rPr>
                    <w:t>8</w:t>
                  </w:r>
                  <w:r>
                    <w:rPr>
                      <w:rFonts w:hint="default" w:ascii="Times New Roman" w:hAnsi="Times New Roman" w:eastAsia="宋体" w:cs="Times New Roman"/>
                      <w:snapToGrid w:val="0"/>
                      <w:color w:val="auto"/>
                      <w:kern w:val="0"/>
                      <w:sz w:val="21"/>
                      <w:szCs w:val="21"/>
                      <w:highlight w:val="none"/>
                      <w:shd w:val="clear" w:color="auto" w:fill="auto"/>
                    </w:rPr>
                    <w:t>50</w:t>
                  </w:r>
                </w:p>
              </w:tc>
            </w:tr>
            <w:tr w14:paraId="2A2FF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0347D72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8</w:t>
                  </w:r>
                </w:p>
              </w:tc>
              <w:tc>
                <w:tcPr>
                  <w:tcW w:w="1596" w:type="pct"/>
                  <w:tcBorders>
                    <w:tl2br w:val="nil"/>
                    <w:tr2bl w:val="nil"/>
                  </w:tcBorders>
                  <w:shd w:val="clear" w:color="auto" w:fill="auto"/>
                  <w:noWrap/>
                  <w:vAlign w:val="center"/>
                </w:tcPr>
                <w:p w14:paraId="0E9780BA">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孔体积（cm</w:t>
                  </w:r>
                  <w:r>
                    <w:rPr>
                      <w:rFonts w:hint="default" w:ascii="Times New Roman" w:hAnsi="Times New Roman" w:eastAsia="宋体" w:cs="Times New Roman"/>
                      <w:snapToGrid w:val="0"/>
                      <w:color w:val="auto"/>
                      <w:kern w:val="0"/>
                      <w:sz w:val="21"/>
                      <w:szCs w:val="21"/>
                      <w:highlight w:val="none"/>
                      <w:shd w:val="clear" w:color="auto" w:fill="auto"/>
                      <w:vertAlign w:val="superscript"/>
                    </w:rPr>
                    <w:t>3</w:t>
                  </w:r>
                  <w:r>
                    <w:rPr>
                      <w:rFonts w:hint="default" w:ascii="Times New Roman" w:hAnsi="Times New Roman" w:eastAsia="宋体" w:cs="Times New Roman"/>
                      <w:snapToGrid w:val="0"/>
                      <w:color w:val="auto"/>
                      <w:kern w:val="0"/>
                      <w:sz w:val="21"/>
                      <w:szCs w:val="21"/>
                      <w:highlight w:val="none"/>
                      <w:shd w:val="clear" w:color="auto" w:fill="auto"/>
                    </w:rPr>
                    <w:t>/g）</w:t>
                  </w:r>
                </w:p>
              </w:tc>
              <w:tc>
                <w:tcPr>
                  <w:tcW w:w="1035" w:type="pct"/>
                  <w:tcBorders>
                    <w:tl2br w:val="nil"/>
                    <w:tr2bl w:val="nil"/>
                  </w:tcBorders>
                  <w:shd w:val="clear" w:color="auto" w:fill="auto"/>
                  <w:noWrap/>
                  <w:vAlign w:val="center"/>
                </w:tcPr>
                <w:p w14:paraId="7EDACB1F">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0.63</w:t>
                  </w:r>
                </w:p>
              </w:tc>
              <w:tc>
                <w:tcPr>
                  <w:tcW w:w="960" w:type="pct"/>
                  <w:tcBorders>
                    <w:tl2br w:val="nil"/>
                    <w:tr2bl w:val="nil"/>
                  </w:tcBorders>
                  <w:shd w:val="clear" w:color="auto" w:fill="auto"/>
                  <w:noWrap/>
                  <w:vAlign w:val="center"/>
                </w:tcPr>
                <w:p w14:paraId="3B4D8FF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0.63</w:t>
                  </w:r>
                </w:p>
              </w:tc>
              <w:tc>
                <w:tcPr>
                  <w:tcW w:w="1101" w:type="pct"/>
                  <w:tcBorders>
                    <w:tl2br w:val="nil"/>
                    <w:tr2bl w:val="nil"/>
                  </w:tcBorders>
                  <w:shd w:val="clear" w:color="auto" w:fill="auto"/>
                  <w:noWrap/>
                  <w:vAlign w:val="center"/>
                </w:tcPr>
                <w:p w14:paraId="1ACE527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275E7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04BD059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9</w:t>
                  </w:r>
                </w:p>
              </w:tc>
              <w:tc>
                <w:tcPr>
                  <w:tcW w:w="1596" w:type="pct"/>
                  <w:tcBorders>
                    <w:tl2br w:val="nil"/>
                    <w:tr2bl w:val="nil"/>
                  </w:tcBorders>
                  <w:shd w:val="clear" w:color="auto" w:fill="auto"/>
                  <w:noWrap/>
                  <w:vAlign w:val="center"/>
                </w:tcPr>
                <w:p w14:paraId="484F808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活性炭密度（g/cm</w:t>
                  </w:r>
                  <w:r>
                    <w:rPr>
                      <w:rFonts w:hint="default" w:ascii="Times New Roman" w:hAnsi="Times New Roman" w:eastAsia="宋体" w:cs="Times New Roman"/>
                      <w:snapToGrid w:val="0"/>
                      <w:color w:val="auto"/>
                      <w:kern w:val="0"/>
                      <w:sz w:val="21"/>
                      <w:szCs w:val="21"/>
                      <w:highlight w:val="none"/>
                      <w:shd w:val="clear" w:color="auto" w:fill="auto"/>
                      <w:vertAlign w:val="superscript"/>
                    </w:rPr>
                    <w:t>3</w:t>
                  </w:r>
                  <w:r>
                    <w:rPr>
                      <w:rFonts w:hint="default" w:ascii="Times New Roman" w:hAnsi="Times New Roman" w:eastAsia="宋体" w:cs="Times New Roman"/>
                      <w:snapToGrid w:val="0"/>
                      <w:color w:val="auto"/>
                      <w:kern w:val="0"/>
                      <w:sz w:val="21"/>
                      <w:szCs w:val="21"/>
                      <w:highlight w:val="none"/>
                      <w:shd w:val="clear" w:color="auto" w:fill="auto"/>
                    </w:rPr>
                    <w:t>）</w:t>
                  </w:r>
                </w:p>
              </w:tc>
              <w:tc>
                <w:tcPr>
                  <w:tcW w:w="1035" w:type="pct"/>
                  <w:tcBorders>
                    <w:tl2br w:val="nil"/>
                    <w:tr2bl w:val="nil"/>
                  </w:tcBorders>
                  <w:shd w:val="clear" w:color="auto" w:fill="auto"/>
                  <w:noWrap/>
                  <w:vAlign w:val="center"/>
                </w:tcPr>
                <w:p w14:paraId="75291AF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0.45</w:t>
                  </w:r>
                </w:p>
              </w:tc>
              <w:tc>
                <w:tcPr>
                  <w:tcW w:w="960" w:type="pct"/>
                  <w:tcBorders>
                    <w:tl2br w:val="nil"/>
                    <w:tr2bl w:val="nil"/>
                  </w:tcBorders>
                  <w:shd w:val="clear" w:color="auto" w:fill="auto"/>
                  <w:noWrap/>
                  <w:vAlign w:val="center"/>
                </w:tcPr>
                <w:p w14:paraId="226C36E6">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0.45</w:t>
                  </w:r>
                </w:p>
              </w:tc>
              <w:tc>
                <w:tcPr>
                  <w:tcW w:w="1101" w:type="pct"/>
                  <w:tcBorders>
                    <w:tl2br w:val="nil"/>
                    <w:tr2bl w:val="nil"/>
                  </w:tcBorders>
                  <w:shd w:val="clear" w:color="auto" w:fill="auto"/>
                  <w:noWrap/>
                  <w:vAlign w:val="center"/>
                </w:tcPr>
                <w:p w14:paraId="3EE1D6C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0D664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4FA1E1B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10</w:t>
                  </w:r>
                </w:p>
              </w:tc>
              <w:tc>
                <w:tcPr>
                  <w:tcW w:w="1596" w:type="pct"/>
                  <w:tcBorders>
                    <w:tl2br w:val="nil"/>
                    <w:tr2bl w:val="nil"/>
                  </w:tcBorders>
                  <w:shd w:val="clear" w:color="auto" w:fill="auto"/>
                  <w:noWrap/>
                  <w:vAlign w:val="center"/>
                </w:tcPr>
                <w:p w14:paraId="660E730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碘吸附值（mg/g）</w:t>
                  </w:r>
                </w:p>
              </w:tc>
              <w:tc>
                <w:tcPr>
                  <w:tcW w:w="1035" w:type="pct"/>
                  <w:tcBorders>
                    <w:tl2br w:val="nil"/>
                    <w:tr2bl w:val="nil"/>
                  </w:tcBorders>
                  <w:shd w:val="clear" w:color="auto" w:fill="auto"/>
                  <w:noWrap/>
                  <w:vAlign w:val="center"/>
                </w:tcPr>
                <w:p w14:paraId="308B116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8</w:t>
                  </w:r>
                  <w:r>
                    <w:rPr>
                      <w:rFonts w:hint="eastAsia" w:ascii="Times New Roman" w:hAnsi="Times New Roman" w:eastAsia="宋体" w:cs="Times New Roman"/>
                      <w:snapToGrid w:val="0"/>
                      <w:color w:val="auto"/>
                      <w:kern w:val="0"/>
                      <w:sz w:val="21"/>
                      <w:szCs w:val="21"/>
                      <w:highlight w:val="none"/>
                      <w:shd w:val="clear" w:color="auto" w:fill="auto"/>
                      <w:lang w:val="en-US" w:eastAsia="zh-CN"/>
                    </w:rPr>
                    <w:t>23</w:t>
                  </w:r>
                </w:p>
              </w:tc>
              <w:tc>
                <w:tcPr>
                  <w:tcW w:w="960" w:type="pct"/>
                  <w:tcBorders>
                    <w:tl2br w:val="nil"/>
                    <w:tr2bl w:val="nil"/>
                  </w:tcBorders>
                  <w:shd w:val="clear" w:color="auto" w:fill="auto"/>
                  <w:noWrap/>
                  <w:vAlign w:val="center"/>
                </w:tcPr>
                <w:p w14:paraId="2029F40A">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8</w:t>
                  </w:r>
                  <w:r>
                    <w:rPr>
                      <w:rFonts w:hint="eastAsia" w:ascii="Times New Roman" w:hAnsi="Times New Roman" w:eastAsia="宋体" w:cs="Times New Roman"/>
                      <w:snapToGrid w:val="0"/>
                      <w:color w:val="auto"/>
                      <w:kern w:val="0"/>
                      <w:sz w:val="21"/>
                      <w:szCs w:val="21"/>
                      <w:highlight w:val="none"/>
                      <w:shd w:val="clear" w:color="auto" w:fill="auto"/>
                      <w:lang w:val="en-US" w:eastAsia="zh-CN"/>
                    </w:rPr>
                    <w:t>23</w:t>
                  </w:r>
                </w:p>
              </w:tc>
              <w:tc>
                <w:tcPr>
                  <w:tcW w:w="1101" w:type="pct"/>
                  <w:tcBorders>
                    <w:tl2br w:val="nil"/>
                    <w:tr2bl w:val="nil"/>
                  </w:tcBorders>
                  <w:shd w:val="clear" w:color="auto" w:fill="auto"/>
                  <w:noWrap/>
                  <w:vAlign w:val="center"/>
                </w:tcPr>
                <w:p w14:paraId="749E843A">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r>
                    <w:rPr>
                      <w:rFonts w:hint="default" w:ascii="Times New Roman" w:hAnsi="Times New Roman" w:eastAsia="宋体" w:cs="Times New Roman"/>
                      <w:snapToGrid w:val="0"/>
                      <w:color w:val="auto"/>
                      <w:kern w:val="0"/>
                      <w:sz w:val="21"/>
                      <w:szCs w:val="21"/>
                      <w:highlight w:val="none"/>
                      <w:shd w:val="clear" w:color="auto" w:fill="auto"/>
                      <w:lang w:val="en-US" w:eastAsia="zh-CN"/>
                    </w:rPr>
                    <w:t>80</w:t>
                  </w:r>
                  <w:r>
                    <w:rPr>
                      <w:rFonts w:hint="default" w:ascii="Times New Roman" w:hAnsi="Times New Roman" w:eastAsia="宋体" w:cs="Times New Roman"/>
                      <w:snapToGrid w:val="0"/>
                      <w:color w:val="auto"/>
                      <w:kern w:val="0"/>
                      <w:sz w:val="21"/>
                      <w:szCs w:val="21"/>
                      <w:highlight w:val="none"/>
                      <w:shd w:val="clear" w:color="auto" w:fill="auto"/>
                    </w:rPr>
                    <w:t>0</w:t>
                  </w:r>
                </w:p>
              </w:tc>
            </w:tr>
            <w:tr w14:paraId="7A018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174043E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11</w:t>
                  </w:r>
                </w:p>
              </w:tc>
              <w:tc>
                <w:tcPr>
                  <w:tcW w:w="1596" w:type="pct"/>
                  <w:tcBorders>
                    <w:tl2br w:val="nil"/>
                    <w:tr2bl w:val="nil"/>
                  </w:tcBorders>
                  <w:shd w:val="clear" w:color="auto" w:fill="auto"/>
                  <w:noWrap/>
                  <w:vAlign w:val="center"/>
                </w:tcPr>
                <w:p w14:paraId="4393899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停留时间（s）</w:t>
                  </w:r>
                </w:p>
              </w:tc>
              <w:tc>
                <w:tcPr>
                  <w:tcW w:w="1035" w:type="pct"/>
                  <w:tcBorders>
                    <w:tl2br w:val="nil"/>
                    <w:tr2bl w:val="nil"/>
                  </w:tcBorders>
                  <w:shd w:val="clear" w:color="auto" w:fill="auto"/>
                  <w:noWrap/>
                  <w:vAlign w:val="center"/>
                </w:tcPr>
                <w:p w14:paraId="3F94421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4.3</w:t>
                  </w:r>
                </w:p>
              </w:tc>
              <w:tc>
                <w:tcPr>
                  <w:tcW w:w="960" w:type="pct"/>
                  <w:tcBorders>
                    <w:tl2br w:val="nil"/>
                    <w:tr2bl w:val="nil"/>
                  </w:tcBorders>
                  <w:shd w:val="clear" w:color="auto" w:fill="auto"/>
                  <w:noWrap/>
                  <w:vAlign w:val="center"/>
                </w:tcPr>
                <w:p w14:paraId="6A168E9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4.3</w:t>
                  </w:r>
                </w:p>
              </w:tc>
              <w:tc>
                <w:tcPr>
                  <w:tcW w:w="1101" w:type="pct"/>
                  <w:tcBorders>
                    <w:tl2br w:val="nil"/>
                    <w:tr2bl w:val="nil"/>
                  </w:tcBorders>
                  <w:shd w:val="clear" w:color="auto" w:fill="auto"/>
                  <w:noWrap/>
                  <w:vAlign w:val="center"/>
                </w:tcPr>
                <w:p w14:paraId="2C7B797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lang w:val="en-US" w:eastAsia="zh-CN"/>
                    </w:rPr>
                    <w:t>/</w:t>
                  </w:r>
                </w:p>
              </w:tc>
            </w:tr>
            <w:tr w14:paraId="33C57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64456DA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12</w:t>
                  </w:r>
                </w:p>
              </w:tc>
              <w:tc>
                <w:tcPr>
                  <w:tcW w:w="1596" w:type="pct"/>
                  <w:tcBorders>
                    <w:tl2br w:val="nil"/>
                    <w:tr2bl w:val="nil"/>
                  </w:tcBorders>
                  <w:shd w:val="clear" w:color="auto" w:fill="auto"/>
                  <w:noWrap/>
                  <w:vAlign w:val="center"/>
                </w:tcPr>
                <w:p w14:paraId="6B772B2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气流速度（m/s）</w:t>
                  </w:r>
                </w:p>
              </w:tc>
              <w:tc>
                <w:tcPr>
                  <w:tcW w:w="1035" w:type="pct"/>
                  <w:tcBorders>
                    <w:tl2br w:val="nil"/>
                    <w:tr2bl w:val="nil"/>
                  </w:tcBorders>
                  <w:shd w:val="clear" w:color="auto" w:fill="auto"/>
                  <w:noWrap/>
                  <w:vAlign w:val="center"/>
                </w:tcPr>
                <w:p w14:paraId="0E47A08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0.58</w:t>
                  </w:r>
                </w:p>
              </w:tc>
              <w:tc>
                <w:tcPr>
                  <w:tcW w:w="960" w:type="pct"/>
                  <w:tcBorders>
                    <w:tl2br w:val="nil"/>
                    <w:tr2bl w:val="nil"/>
                  </w:tcBorders>
                  <w:shd w:val="clear" w:color="auto" w:fill="auto"/>
                  <w:noWrap/>
                  <w:vAlign w:val="center"/>
                </w:tcPr>
                <w:p w14:paraId="525F0A4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0.58</w:t>
                  </w:r>
                </w:p>
              </w:tc>
              <w:tc>
                <w:tcPr>
                  <w:tcW w:w="1101" w:type="pct"/>
                  <w:tcBorders>
                    <w:tl2br w:val="nil"/>
                    <w:tr2bl w:val="nil"/>
                  </w:tcBorders>
                  <w:shd w:val="clear" w:color="auto" w:fill="auto"/>
                  <w:noWrap/>
                  <w:vAlign w:val="center"/>
                </w:tcPr>
                <w:p w14:paraId="20F174C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r>
                    <w:rPr>
                      <w:rFonts w:hint="default" w:ascii="Times New Roman" w:hAnsi="Times New Roman" w:eastAsia="宋体" w:cs="Times New Roman"/>
                      <w:snapToGrid w:val="0"/>
                      <w:color w:val="auto"/>
                      <w:kern w:val="0"/>
                      <w:sz w:val="21"/>
                      <w:szCs w:val="21"/>
                      <w:highlight w:val="none"/>
                      <w:shd w:val="clear" w:color="auto" w:fill="auto"/>
                      <w:lang w:val="en-US" w:eastAsia="zh-CN"/>
                    </w:rPr>
                    <w:t>0.60</w:t>
                  </w:r>
                </w:p>
              </w:tc>
            </w:tr>
            <w:tr w14:paraId="395D7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3B275A0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13</w:t>
                  </w:r>
                </w:p>
              </w:tc>
              <w:tc>
                <w:tcPr>
                  <w:tcW w:w="1596" w:type="pct"/>
                  <w:tcBorders>
                    <w:tl2br w:val="nil"/>
                    <w:tr2bl w:val="nil"/>
                  </w:tcBorders>
                  <w:shd w:val="clear" w:color="auto" w:fill="auto"/>
                  <w:noWrap/>
                  <w:vAlign w:val="center"/>
                </w:tcPr>
                <w:p w14:paraId="69F0BC8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填充量</w:t>
                  </w:r>
                </w:p>
              </w:tc>
              <w:tc>
                <w:tcPr>
                  <w:tcW w:w="1035" w:type="pct"/>
                  <w:tcBorders>
                    <w:tl2br w:val="nil"/>
                    <w:tr2bl w:val="nil"/>
                  </w:tcBorders>
                  <w:shd w:val="clear" w:color="auto" w:fill="auto"/>
                  <w:noWrap/>
                  <w:vAlign w:val="center"/>
                </w:tcPr>
                <w:p w14:paraId="4454901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lang w:val="en-US" w:eastAsia="zh-CN"/>
                    </w:rPr>
                    <w:t>0.</w:t>
                  </w:r>
                  <w:r>
                    <w:rPr>
                      <w:rFonts w:hint="eastAsia" w:ascii="Times New Roman" w:hAnsi="Times New Roman" w:eastAsia="宋体" w:cs="Times New Roman"/>
                      <w:snapToGrid w:val="0"/>
                      <w:color w:val="auto"/>
                      <w:kern w:val="0"/>
                      <w:sz w:val="21"/>
                      <w:szCs w:val="21"/>
                      <w:highlight w:val="none"/>
                      <w:shd w:val="clear" w:color="auto" w:fill="auto"/>
                      <w:lang w:val="en-US" w:eastAsia="zh-CN"/>
                    </w:rPr>
                    <w:t>3</w:t>
                  </w:r>
                  <w:r>
                    <w:rPr>
                      <w:rFonts w:hint="default" w:ascii="Times New Roman" w:hAnsi="Times New Roman" w:eastAsia="宋体" w:cs="Times New Roman"/>
                      <w:snapToGrid w:val="0"/>
                      <w:color w:val="auto"/>
                      <w:kern w:val="0"/>
                      <w:sz w:val="21"/>
                      <w:szCs w:val="21"/>
                      <w:highlight w:val="none"/>
                      <w:shd w:val="clear" w:color="auto" w:fill="auto"/>
                    </w:rPr>
                    <w:t>t*2</w:t>
                  </w:r>
                </w:p>
              </w:tc>
              <w:tc>
                <w:tcPr>
                  <w:tcW w:w="960" w:type="pct"/>
                  <w:tcBorders>
                    <w:tl2br w:val="nil"/>
                    <w:tr2bl w:val="nil"/>
                  </w:tcBorders>
                  <w:shd w:val="clear" w:color="auto" w:fill="auto"/>
                  <w:noWrap/>
                  <w:vAlign w:val="center"/>
                </w:tcPr>
                <w:p w14:paraId="3584BC5F">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lang w:val="en-US" w:eastAsia="zh-CN"/>
                    </w:rPr>
                    <w:t>0.</w:t>
                  </w:r>
                  <w:r>
                    <w:rPr>
                      <w:rFonts w:hint="eastAsia" w:ascii="Times New Roman" w:hAnsi="Times New Roman" w:eastAsia="宋体" w:cs="Times New Roman"/>
                      <w:snapToGrid w:val="0"/>
                      <w:color w:val="auto"/>
                      <w:kern w:val="0"/>
                      <w:sz w:val="21"/>
                      <w:szCs w:val="21"/>
                      <w:highlight w:val="none"/>
                      <w:shd w:val="clear" w:color="auto" w:fill="auto"/>
                      <w:lang w:val="en-US" w:eastAsia="zh-CN"/>
                    </w:rPr>
                    <w:t>2</w:t>
                  </w:r>
                  <w:r>
                    <w:rPr>
                      <w:rFonts w:hint="default" w:ascii="Times New Roman" w:hAnsi="Times New Roman" w:eastAsia="宋体" w:cs="Times New Roman"/>
                      <w:snapToGrid w:val="0"/>
                      <w:color w:val="auto"/>
                      <w:kern w:val="0"/>
                      <w:sz w:val="21"/>
                      <w:szCs w:val="21"/>
                      <w:highlight w:val="none"/>
                      <w:shd w:val="clear" w:color="auto" w:fill="auto"/>
                    </w:rPr>
                    <w:t>t*2</w:t>
                  </w:r>
                </w:p>
              </w:tc>
              <w:tc>
                <w:tcPr>
                  <w:tcW w:w="1101" w:type="pct"/>
                  <w:tcBorders>
                    <w:tl2br w:val="nil"/>
                    <w:tr2bl w:val="nil"/>
                  </w:tcBorders>
                  <w:shd w:val="clear" w:color="auto" w:fill="auto"/>
                  <w:noWrap/>
                  <w:vAlign w:val="center"/>
                </w:tcPr>
                <w:p w14:paraId="4A86D1DD">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6FED5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621005F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14</w:t>
                  </w:r>
                </w:p>
              </w:tc>
              <w:tc>
                <w:tcPr>
                  <w:tcW w:w="1596" w:type="pct"/>
                  <w:tcBorders>
                    <w:tl2br w:val="nil"/>
                    <w:tr2bl w:val="nil"/>
                  </w:tcBorders>
                  <w:shd w:val="clear" w:color="auto" w:fill="auto"/>
                  <w:noWrap/>
                  <w:vAlign w:val="center"/>
                </w:tcPr>
                <w:p w14:paraId="6714C22F">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更换</w:t>
                  </w:r>
                  <w:r>
                    <w:rPr>
                      <w:rFonts w:hint="default" w:ascii="Times New Roman" w:hAnsi="Times New Roman" w:eastAsia="宋体" w:cs="Times New Roman"/>
                      <w:snapToGrid w:val="0"/>
                      <w:color w:val="auto"/>
                      <w:kern w:val="0"/>
                      <w:sz w:val="21"/>
                      <w:szCs w:val="21"/>
                      <w:highlight w:val="none"/>
                      <w:shd w:val="clear" w:color="auto" w:fill="auto"/>
                      <w:lang w:val="en-US" w:eastAsia="zh-CN"/>
                    </w:rPr>
                    <w:t>周期</w:t>
                  </w:r>
                </w:p>
              </w:tc>
              <w:tc>
                <w:tcPr>
                  <w:tcW w:w="1035" w:type="pct"/>
                  <w:tcBorders>
                    <w:tl2br w:val="nil"/>
                    <w:tr2bl w:val="nil"/>
                  </w:tcBorders>
                  <w:shd w:val="clear" w:color="auto" w:fill="auto"/>
                  <w:noWrap/>
                  <w:vAlign w:val="center"/>
                </w:tcPr>
                <w:p w14:paraId="72D311FF">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0"/>
                      <w:sz w:val="21"/>
                      <w:szCs w:val="21"/>
                      <w:highlight w:val="none"/>
                      <w:shd w:val="clear" w:color="auto" w:fill="auto"/>
                      <w:lang w:val="en-US" w:eastAsia="zh-CN"/>
                    </w:rPr>
                    <w:t>51</w:t>
                  </w:r>
                  <w:r>
                    <w:rPr>
                      <w:rFonts w:hint="default" w:ascii="Times New Roman" w:hAnsi="Times New Roman" w:eastAsia="宋体" w:cs="Times New Roman"/>
                      <w:snapToGrid w:val="0"/>
                      <w:color w:val="auto"/>
                      <w:kern w:val="0"/>
                      <w:sz w:val="21"/>
                      <w:szCs w:val="21"/>
                      <w:highlight w:val="none"/>
                      <w:shd w:val="clear" w:color="auto" w:fill="auto"/>
                    </w:rPr>
                    <w:t>d</w:t>
                  </w:r>
                </w:p>
              </w:tc>
              <w:tc>
                <w:tcPr>
                  <w:tcW w:w="960" w:type="pct"/>
                  <w:tcBorders>
                    <w:tl2br w:val="nil"/>
                    <w:tr2bl w:val="nil"/>
                  </w:tcBorders>
                  <w:shd w:val="clear" w:color="auto" w:fill="auto"/>
                  <w:noWrap/>
                  <w:vAlign w:val="center"/>
                </w:tcPr>
                <w:p w14:paraId="075771F6">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0"/>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0"/>
                      <w:sz w:val="21"/>
                      <w:szCs w:val="21"/>
                      <w:highlight w:val="none"/>
                      <w:shd w:val="clear" w:color="auto" w:fill="auto"/>
                      <w:lang w:val="en-US" w:eastAsia="zh-CN"/>
                    </w:rPr>
                    <w:t>76</w:t>
                  </w:r>
                  <w:r>
                    <w:rPr>
                      <w:rFonts w:hint="default" w:ascii="Times New Roman" w:hAnsi="Times New Roman" w:eastAsia="宋体" w:cs="Times New Roman"/>
                      <w:snapToGrid w:val="0"/>
                      <w:color w:val="auto"/>
                      <w:kern w:val="0"/>
                      <w:sz w:val="21"/>
                      <w:szCs w:val="21"/>
                      <w:highlight w:val="none"/>
                      <w:shd w:val="clear" w:color="auto" w:fill="auto"/>
                    </w:rPr>
                    <w:t>d</w:t>
                  </w:r>
                </w:p>
              </w:tc>
              <w:tc>
                <w:tcPr>
                  <w:tcW w:w="1101" w:type="pct"/>
                  <w:tcBorders>
                    <w:tl2br w:val="nil"/>
                    <w:tr2bl w:val="nil"/>
                  </w:tcBorders>
                  <w:shd w:val="clear" w:color="auto" w:fill="auto"/>
                  <w:noWrap/>
                  <w:vAlign w:val="center"/>
                </w:tcPr>
                <w:p w14:paraId="7B0DF3C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4CD83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4E54F6D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15</w:t>
                  </w:r>
                </w:p>
              </w:tc>
              <w:tc>
                <w:tcPr>
                  <w:tcW w:w="1596" w:type="pct"/>
                  <w:tcBorders>
                    <w:tl2br w:val="nil"/>
                    <w:tr2bl w:val="nil"/>
                  </w:tcBorders>
                  <w:shd w:val="clear" w:color="auto" w:fill="auto"/>
                  <w:noWrap/>
                  <w:vAlign w:val="center"/>
                </w:tcPr>
                <w:p w14:paraId="4321BD9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lang w:val="en-US" w:eastAsia="zh-CN"/>
                    </w:rPr>
                    <w:t>更换频次</w:t>
                  </w:r>
                </w:p>
              </w:tc>
              <w:tc>
                <w:tcPr>
                  <w:tcW w:w="1035" w:type="pct"/>
                  <w:tcBorders>
                    <w:tl2br w:val="nil"/>
                    <w:tr2bl w:val="nil"/>
                  </w:tcBorders>
                  <w:shd w:val="clear" w:color="auto" w:fill="auto"/>
                  <w:noWrap/>
                  <w:vAlign w:val="center"/>
                </w:tcPr>
                <w:p w14:paraId="493EF693">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0"/>
                      <w:sz w:val="21"/>
                      <w:szCs w:val="21"/>
                      <w:highlight w:val="none"/>
                      <w:shd w:val="clear" w:color="auto" w:fill="auto"/>
                      <w:lang w:val="en-US" w:eastAsia="zh-CN"/>
                    </w:rPr>
                    <w:t>6</w:t>
                  </w:r>
                  <w:r>
                    <w:rPr>
                      <w:rFonts w:hint="default" w:ascii="Times New Roman" w:hAnsi="Times New Roman" w:eastAsia="宋体" w:cs="Times New Roman"/>
                      <w:snapToGrid w:val="0"/>
                      <w:color w:val="auto"/>
                      <w:kern w:val="0"/>
                      <w:sz w:val="21"/>
                      <w:szCs w:val="21"/>
                      <w:highlight w:val="none"/>
                      <w:shd w:val="clear" w:color="auto" w:fill="auto"/>
                      <w:lang w:val="en-US" w:eastAsia="zh-CN"/>
                    </w:rPr>
                    <w:t>次/年</w:t>
                  </w:r>
                </w:p>
              </w:tc>
              <w:tc>
                <w:tcPr>
                  <w:tcW w:w="960" w:type="pct"/>
                  <w:tcBorders>
                    <w:tl2br w:val="nil"/>
                    <w:tr2bl w:val="nil"/>
                  </w:tcBorders>
                  <w:shd w:val="clear" w:color="auto" w:fill="auto"/>
                  <w:noWrap/>
                  <w:vAlign w:val="center"/>
                </w:tcPr>
                <w:p w14:paraId="5FECE5A8">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napToGrid w:val="0"/>
                      <w:color w:val="auto"/>
                      <w:kern w:val="0"/>
                      <w:sz w:val="21"/>
                      <w:szCs w:val="21"/>
                      <w:highlight w:val="none"/>
                      <w:shd w:val="clear" w:color="auto" w:fill="auto"/>
                      <w:lang w:val="en-US" w:eastAsia="zh-CN" w:bidi="ar-SA"/>
                    </w:rPr>
                  </w:pPr>
                  <w:r>
                    <w:rPr>
                      <w:rFonts w:hint="eastAsia" w:ascii="Times New Roman" w:hAnsi="Times New Roman" w:eastAsia="宋体" w:cs="Times New Roman"/>
                      <w:snapToGrid w:val="0"/>
                      <w:color w:val="auto"/>
                      <w:kern w:val="0"/>
                      <w:sz w:val="21"/>
                      <w:szCs w:val="21"/>
                      <w:highlight w:val="none"/>
                      <w:shd w:val="clear" w:color="auto" w:fill="auto"/>
                      <w:lang w:val="en-US" w:eastAsia="zh-CN"/>
                    </w:rPr>
                    <w:t>4</w:t>
                  </w:r>
                  <w:r>
                    <w:rPr>
                      <w:rFonts w:hint="default" w:ascii="Times New Roman" w:hAnsi="Times New Roman" w:eastAsia="宋体" w:cs="Times New Roman"/>
                      <w:snapToGrid w:val="0"/>
                      <w:color w:val="auto"/>
                      <w:kern w:val="0"/>
                      <w:sz w:val="21"/>
                      <w:szCs w:val="21"/>
                      <w:highlight w:val="none"/>
                      <w:shd w:val="clear" w:color="auto" w:fill="auto"/>
                      <w:lang w:val="en-US" w:eastAsia="zh-CN"/>
                    </w:rPr>
                    <w:t>次/年</w:t>
                  </w:r>
                </w:p>
              </w:tc>
              <w:tc>
                <w:tcPr>
                  <w:tcW w:w="1101" w:type="pct"/>
                  <w:tcBorders>
                    <w:tl2br w:val="nil"/>
                    <w:tr2bl w:val="nil"/>
                  </w:tcBorders>
                  <w:shd w:val="clear" w:color="auto" w:fill="auto"/>
                  <w:noWrap/>
                  <w:vAlign w:val="center"/>
                </w:tcPr>
                <w:p w14:paraId="329DD8FA">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lang w:val="en-US" w:eastAsia="zh-CN"/>
                    </w:rPr>
                    <w:t>/</w:t>
                  </w:r>
                </w:p>
              </w:tc>
            </w:tr>
            <w:tr w14:paraId="6B726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0758060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16</w:t>
                  </w:r>
                </w:p>
              </w:tc>
              <w:tc>
                <w:tcPr>
                  <w:tcW w:w="1596" w:type="pct"/>
                  <w:tcBorders>
                    <w:tl2br w:val="nil"/>
                    <w:tr2bl w:val="nil"/>
                  </w:tcBorders>
                  <w:shd w:val="clear" w:color="auto" w:fill="auto"/>
                  <w:noWrap/>
                  <w:vAlign w:val="center"/>
                </w:tcPr>
                <w:p w14:paraId="4444FAE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活性炭风阻力</w:t>
                  </w:r>
                </w:p>
              </w:tc>
              <w:tc>
                <w:tcPr>
                  <w:tcW w:w="1035" w:type="pct"/>
                  <w:tcBorders>
                    <w:tl2br w:val="nil"/>
                    <w:tr2bl w:val="nil"/>
                  </w:tcBorders>
                  <w:shd w:val="clear" w:color="auto" w:fill="auto"/>
                  <w:noWrap/>
                  <w:vAlign w:val="center"/>
                </w:tcPr>
                <w:p w14:paraId="0123A165">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500pa</w:t>
                  </w:r>
                </w:p>
              </w:tc>
              <w:tc>
                <w:tcPr>
                  <w:tcW w:w="960" w:type="pct"/>
                  <w:tcBorders>
                    <w:tl2br w:val="nil"/>
                    <w:tr2bl w:val="nil"/>
                  </w:tcBorders>
                  <w:shd w:val="clear" w:color="auto" w:fill="auto"/>
                  <w:noWrap/>
                  <w:vAlign w:val="center"/>
                </w:tcPr>
                <w:p w14:paraId="7E30EEEF">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500pa</w:t>
                  </w:r>
                </w:p>
              </w:tc>
              <w:tc>
                <w:tcPr>
                  <w:tcW w:w="1101" w:type="pct"/>
                  <w:tcBorders>
                    <w:tl2br w:val="nil"/>
                    <w:tr2bl w:val="nil"/>
                  </w:tcBorders>
                  <w:shd w:val="clear" w:color="auto" w:fill="auto"/>
                  <w:noWrap/>
                  <w:vAlign w:val="center"/>
                </w:tcPr>
                <w:p w14:paraId="22988737">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759BC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1C0A0E0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17</w:t>
                  </w:r>
                </w:p>
              </w:tc>
              <w:tc>
                <w:tcPr>
                  <w:tcW w:w="1596" w:type="pct"/>
                  <w:tcBorders>
                    <w:tl2br w:val="nil"/>
                    <w:tr2bl w:val="nil"/>
                  </w:tcBorders>
                  <w:shd w:val="clear" w:color="auto" w:fill="auto"/>
                  <w:noWrap/>
                  <w:vAlign w:val="center"/>
                </w:tcPr>
                <w:p w14:paraId="252C146F">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设计处理效率</w:t>
                  </w:r>
                </w:p>
              </w:tc>
              <w:tc>
                <w:tcPr>
                  <w:tcW w:w="1035" w:type="pct"/>
                  <w:tcBorders>
                    <w:tl2br w:val="nil"/>
                    <w:tr2bl w:val="nil"/>
                  </w:tcBorders>
                  <w:shd w:val="clear" w:color="auto" w:fill="auto"/>
                  <w:noWrap/>
                  <w:vAlign w:val="center"/>
                </w:tcPr>
                <w:p w14:paraId="3965AA30">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r>
                    <w:rPr>
                      <w:rFonts w:hint="default" w:ascii="Times New Roman" w:hAnsi="Times New Roman" w:eastAsia="宋体" w:cs="Times New Roman"/>
                      <w:snapToGrid w:val="0"/>
                      <w:color w:val="auto"/>
                      <w:kern w:val="0"/>
                      <w:sz w:val="21"/>
                      <w:szCs w:val="21"/>
                      <w:highlight w:val="none"/>
                      <w:shd w:val="clear" w:color="auto" w:fill="auto"/>
                      <w:lang w:val="en-US" w:eastAsia="zh-CN"/>
                    </w:rPr>
                    <w:t>90%</w:t>
                  </w:r>
                </w:p>
              </w:tc>
              <w:tc>
                <w:tcPr>
                  <w:tcW w:w="960" w:type="pct"/>
                  <w:tcBorders>
                    <w:tl2br w:val="nil"/>
                    <w:tr2bl w:val="nil"/>
                  </w:tcBorders>
                  <w:shd w:val="clear" w:color="auto" w:fill="auto"/>
                  <w:noWrap/>
                  <w:vAlign w:val="center"/>
                </w:tcPr>
                <w:p w14:paraId="5CE7E375">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r>
                    <w:rPr>
                      <w:rFonts w:hint="default" w:ascii="Times New Roman" w:hAnsi="Times New Roman" w:eastAsia="宋体" w:cs="Times New Roman"/>
                      <w:snapToGrid w:val="0"/>
                      <w:color w:val="auto"/>
                      <w:kern w:val="0"/>
                      <w:sz w:val="21"/>
                      <w:szCs w:val="21"/>
                      <w:highlight w:val="none"/>
                      <w:shd w:val="clear" w:color="auto" w:fill="auto"/>
                      <w:lang w:val="en-US" w:eastAsia="zh-CN"/>
                    </w:rPr>
                    <w:t>90%</w:t>
                  </w:r>
                </w:p>
              </w:tc>
              <w:tc>
                <w:tcPr>
                  <w:tcW w:w="1101" w:type="pct"/>
                  <w:tcBorders>
                    <w:tl2br w:val="nil"/>
                    <w:tr2bl w:val="nil"/>
                  </w:tcBorders>
                  <w:shd w:val="clear" w:color="auto" w:fill="auto"/>
                  <w:noWrap/>
                  <w:vAlign w:val="center"/>
                </w:tcPr>
                <w:p w14:paraId="7CB2785B">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snapToGrid w:val="0"/>
                      <w:color w:val="auto"/>
                      <w:kern w:val="0"/>
                      <w:sz w:val="21"/>
                      <w:szCs w:val="21"/>
                      <w:highlight w:val="none"/>
                      <w:shd w:val="clear" w:color="auto" w:fill="auto"/>
                    </w:rPr>
                    <w:t>/</w:t>
                  </w:r>
                </w:p>
              </w:tc>
            </w:tr>
            <w:tr w14:paraId="4D627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1032CC6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18</w:t>
                  </w:r>
                </w:p>
              </w:tc>
              <w:tc>
                <w:tcPr>
                  <w:tcW w:w="1596" w:type="pct"/>
                  <w:tcBorders>
                    <w:tl2br w:val="nil"/>
                    <w:tr2bl w:val="nil"/>
                  </w:tcBorders>
                  <w:shd w:val="clear" w:color="auto" w:fill="auto"/>
                  <w:noWrap/>
                  <w:vAlign w:val="center"/>
                </w:tcPr>
                <w:p w14:paraId="095C6D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t>水分含量（%）</w:t>
                  </w:r>
                </w:p>
              </w:tc>
              <w:tc>
                <w:tcPr>
                  <w:tcW w:w="1035" w:type="pct"/>
                  <w:tcBorders>
                    <w:tl2br w:val="nil"/>
                    <w:tr2bl w:val="nil"/>
                  </w:tcBorders>
                  <w:shd w:val="clear" w:color="auto" w:fill="auto"/>
                  <w:noWrap/>
                  <w:vAlign w:val="center"/>
                </w:tcPr>
                <w:p w14:paraId="14072C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t>8</w:t>
                  </w:r>
                </w:p>
              </w:tc>
              <w:tc>
                <w:tcPr>
                  <w:tcW w:w="960" w:type="pct"/>
                  <w:tcBorders>
                    <w:tl2br w:val="nil"/>
                    <w:tr2bl w:val="nil"/>
                  </w:tcBorders>
                  <w:shd w:val="clear" w:color="auto" w:fill="auto"/>
                  <w:noWrap/>
                  <w:vAlign w:val="center"/>
                </w:tcPr>
                <w:p w14:paraId="06224E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t>8</w:t>
                  </w:r>
                </w:p>
              </w:tc>
              <w:tc>
                <w:tcPr>
                  <w:tcW w:w="1101" w:type="pct"/>
                  <w:tcBorders>
                    <w:tl2br w:val="nil"/>
                    <w:tr2bl w:val="nil"/>
                  </w:tcBorders>
                  <w:shd w:val="clear" w:color="auto" w:fill="auto"/>
                  <w:noWrap/>
                  <w:vAlign w:val="center"/>
                </w:tcPr>
                <w:p w14:paraId="3C8D93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bidi="ar-SA"/>
                    </w:rPr>
                  </w:pPr>
                  <w:r>
                    <w:rPr>
                      <w:rFonts w:hint="default" w:ascii="Times New Roman" w:hAnsi="Times New Roman" w:eastAsia="宋体" w:cs="Times New Roman"/>
                      <w:smallCaps w:val="0"/>
                      <w:snapToGrid w:val="0"/>
                      <w:color w:val="auto"/>
                      <w:spacing w:val="0"/>
                      <w:kern w:val="0"/>
                      <w:sz w:val="21"/>
                      <w:szCs w:val="21"/>
                      <w:highlight w:val="none"/>
                      <w:shd w:val="clear" w:color="auto" w:fill="auto"/>
                    </w:rPr>
                    <w:t>≤</w:t>
                  </w:r>
                  <w: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t>10</w:t>
                  </w:r>
                </w:p>
              </w:tc>
            </w:tr>
            <w:tr w14:paraId="117B1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42A3B03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19</w:t>
                  </w:r>
                </w:p>
              </w:tc>
              <w:tc>
                <w:tcPr>
                  <w:tcW w:w="1596" w:type="pct"/>
                  <w:tcBorders>
                    <w:tl2br w:val="nil"/>
                    <w:tr2bl w:val="nil"/>
                  </w:tcBorders>
                  <w:shd w:val="clear" w:color="auto" w:fill="auto"/>
                  <w:noWrap/>
                  <w:vAlign w:val="center"/>
                </w:tcPr>
                <w:p w14:paraId="2B5E50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耐磨强度</w:t>
                  </w:r>
                  <w: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t>（%）</w:t>
                  </w:r>
                </w:p>
              </w:tc>
              <w:tc>
                <w:tcPr>
                  <w:tcW w:w="1035" w:type="pct"/>
                  <w:tcBorders>
                    <w:tl2br w:val="nil"/>
                    <w:tr2bl w:val="nil"/>
                  </w:tcBorders>
                  <w:shd w:val="clear" w:color="auto" w:fill="auto"/>
                  <w:noWrap/>
                  <w:vAlign w:val="center"/>
                </w:tcPr>
                <w:p w14:paraId="220572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99</w:t>
                  </w:r>
                </w:p>
              </w:tc>
              <w:tc>
                <w:tcPr>
                  <w:tcW w:w="960" w:type="pct"/>
                  <w:tcBorders>
                    <w:tl2br w:val="nil"/>
                    <w:tr2bl w:val="nil"/>
                  </w:tcBorders>
                  <w:shd w:val="clear" w:color="auto" w:fill="auto"/>
                  <w:noWrap/>
                  <w:vAlign w:val="center"/>
                </w:tcPr>
                <w:p w14:paraId="254A3C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bidi="ar-SA"/>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99</w:t>
                  </w:r>
                </w:p>
              </w:tc>
              <w:tc>
                <w:tcPr>
                  <w:tcW w:w="1101" w:type="pct"/>
                  <w:tcBorders>
                    <w:tl2br w:val="nil"/>
                    <w:tr2bl w:val="nil"/>
                  </w:tcBorders>
                  <w:shd w:val="clear" w:color="auto" w:fill="auto"/>
                  <w:noWrap/>
                  <w:vAlign w:val="center"/>
                </w:tcPr>
                <w:p w14:paraId="010D1A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default" w:ascii="Times New Roman" w:hAnsi="Times New Roman" w:eastAsia="宋体" w:cs="Times New Roman"/>
                      <w:snapToGrid w:val="0"/>
                      <w:color w:val="auto"/>
                      <w:kern w:val="0"/>
                      <w:sz w:val="21"/>
                      <w:szCs w:val="21"/>
                      <w:highlight w:val="none"/>
                      <w:shd w:val="clear" w:color="auto" w:fill="auto"/>
                    </w:rPr>
                    <w:t>≥</w:t>
                  </w: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90</w:t>
                  </w:r>
                </w:p>
              </w:tc>
            </w:tr>
            <w:tr w14:paraId="14353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7605674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20</w:t>
                  </w:r>
                </w:p>
              </w:tc>
              <w:tc>
                <w:tcPr>
                  <w:tcW w:w="1596" w:type="pct"/>
                  <w:tcBorders>
                    <w:tl2br w:val="nil"/>
                    <w:tr2bl w:val="nil"/>
                  </w:tcBorders>
                  <w:shd w:val="clear" w:color="auto" w:fill="auto"/>
                  <w:noWrap/>
                  <w:vAlign w:val="center"/>
                </w:tcPr>
                <w:p w14:paraId="70570A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抗压强度</w:t>
                  </w:r>
                  <w: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t>（</w:t>
                  </w: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MPa</w:t>
                  </w:r>
                  <w: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t>）</w:t>
                  </w:r>
                </w:p>
              </w:tc>
              <w:tc>
                <w:tcPr>
                  <w:tcW w:w="1035" w:type="pct"/>
                  <w:tcBorders>
                    <w:tl2br w:val="nil"/>
                    <w:tr2bl w:val="nil"/>
                  </w:tcBorders>
                  <w:shd w:val="clear" w:color="auto" w:fill="auto"/>
                  <w:noWrap/>
                  <w:vAlign w:val="center"/>
                </w:tcPr>
                <w:p w14:paraId="648436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1.11</w:t>
                  </w:r>
                </w:p>
              </w:tc>
              <w:tc>
                <w:tcPr>
                  <w:tcW w:w="960" w:type="pct"/>
                  <w:tcBorders>
                    <w:tl2br w:val="nil"/>
                    <w:tr2bl w:val="nil"/>
                  </w:tcBorders>
                  <w:shd w:val="clear" w:color="auto" w:fill="auto"/>
                  <w:noWrap/>
                  <w:vAlign w:val="center"/>
                </w:tcPr>
                <w:p w14:paraId="14A2EE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bidi="ar-SA"/>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1.11</w:t>
                  </w:r>
                </w:p>
              </w:tc>
              <w:tc>
                <w:tcPr>
                  <w:tcW w:w="1101" w:type="pct"/>
                  <w:tcBorders>
                    <w:tl2br w:val="nil"/>
                    <w:tr2bl w:val="nil"/>
                  </w:tcBorders>
                  <w:shd w:val="clear" w:color="auto" w:fill="auto"/>
                  <w:noWrap/>
                  <w:vAlign w:val="center"/>
                </w:tcPr>
                <w:p w14:paraId="19B90B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w:t>
                  </w:r>
                </w:p>
              </w:tc>
            </w:tr>
            <w:tr w14:paraId="51E99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48DEEE0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21</w:t>
                  </w:r>
                </w:p>
              </w:tc>
              <w:tc>
                <w:tcPr>
                  <w:tcW w:w="1596" w:type="pct"/>
                  <w:tcBorders>
                    <w:tl2br w:val="nil"/>
                    <w:tr2bl w:val="nil"/>
                  </w:tcBorders>
                  <w:shd w:val="clear" w:color="auto" w:fill="auto"/>
                  <w:noWrap/>
                  <w:vAlign w:val="center"/>
                </w:tcPr>
                <w:p w14:paraId="230132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断裂强力（N）</w:t>
                  </w:r>
                </w:p>
              </w:tc>
              <w:tc>
                <w:tcPr>
                  <w:tcW w:w="1035" w:type="pct"/>
                  <w:tcBorders>
                    <w:tl2br w:val="nil"/>
                    <w:tr2bl w:val="nil"/>
                  </w:tcBorders>
                  <w:shd w:val="clear" w:color="auto" w:fill="auto"/>
                  <w:noWrap/>
                  <w:vAlign w:val="center"/>
                </w:tcPr>
                <w:p w14:paraId="6CB654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30</w:t>
                  </w:r>
                </w:p>
              </w:tc>
              <w:tc>
                <w:tcPr>
                  <w:tcW w:w="960" w:type="pct"/>
                  <w:tcBorders>
                    <w:tl2br w:val="nil"/>
                    <w:tr2bl w:val="nil"/>
                  </w:tcBorders>
                  <w:shd w:val="clear" w:color="auto" w:fill="auto"/>
                  <w:noWrap/>
                  <w:vAlign w:val="center"/>
                </w:tcPr>
                <w:p w14:paraId="72B1DE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bidi="ar-SA"/>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30</w:t>
                  </w:r>
                </w:p>
              </w:tc>
              <w:tc>
                <w:tcPr>
                  <w:tcW w:w="1101" w:type="pct"/>
                  <w:tcBorders>
                    <w:tl2br w:val="nil"/>
                    <w:tr2bl w:val="nil"/>
                  </w:tcBorders>
                  <w:shd w:val="clear" w:color="auto" w:fill="auto"/>
                  <w:noWrap/>
                  <w:vAlign w:val="center"/>
                </w:tcPr>
                <w:p w14:paraId="5E273A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w:t>
                  </w:r>
                </w:p>
              </w:tc>
            </w:tr>
            <w:tr w14:paraId="14931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269D0CC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22</w:t>
                  </w:r>
                </w:p>
              </w:tc>
              <w:tc>
                <w:tcPr>
                  <w:tcW w:w="1596" w:type="pct"/>
                  <w:tcBorders>
                    <w:tl2br w:val="nil"/>
                    <w:tr2bl w:val="nil"/>
                  </w:tcBorders>
                  <w:shd w:val="clear" w:color="auto" w:fill="auto"/>
                  <w:noWrap/>
                  <w:vAlign w:val="center"/>
                </w:tcPr>
                <w:p w14:paraId="26690B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着火点（℃）</w:t>
                  </w:r>
                </w:p>
              </w:tc>
              <w:tc>
                <w:tcPr>
                  <w:tcW w:w="1035" w:type="pct"/>
                  <w:tcBorders>
                    <w:tl2br w:val="nil"/>
                    <w:tr2bl w:val="nil"/>
                  </w:tcBorders>
                  <w:shd w:val="clear" w:color="auto" w:fill="auto"/>
                  <w:noWrap/>
                  <w:vAlign w:val="center"/>
                </w:tcPr>
                <w:p w14:paraId="1F97A5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427</w:t>
                  </w:r>
                </w:p>
              </w:tc>
              <w:tc>
                <w:tcPr>
                  <w:tcW w:w="960" w:type="pct"/>
                  <w:tcBorders>
                    <w:tl2br w:val="nil"/>
                    <w:tr2bl w:val="nil"/>
                  </w:tcBorders>
                  <w:shd w:val="clear" w:color="auto" w:fill="auto"/>
                  <w:noWrap/>
                  <w:vAlign w:val="center"/>
                </w:tcPr>
                <w:p w14:paraId="42507D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bidi="ar-SA"/>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427</w:t>
                  </w:r>
                </w:p>
              </w:tc>
              <w:tc>
                <w:tcPr>
                  <w:tcW w:w="1101" w:type="pct"/>
                  <w:tcBorders>
                    <w:tl2br w:val="nil"/>
                    <w:tr2bl w:val="nil"/>
                  </w:tcBorders>
                  <w:shd w:val="clear" w:color="auto" w:fill="auto"/>
                  <w:noWrap/>
                  <w:vAlign w:val="center"/>
                </w:tcPr>
                <w:p w14:paraId="36B5F9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default" w:ascii="Times New Roman" w:hAnsi="Times New Roman" w:eastAsia="宋体" w:cs="Times New Roman"/>
                      <w:snapToGrid w:val="0"/>
                      <w:color w:val="auto"/>
                      <w:kern w:val="0"/>
                      <w:sz w:val="21"/>
                      <w:szCs w:val="21"/>
                      <w:highlight w:val="none"/>
                      <w:shd w:val="clear" w:color="auto" w:fill="auto"/>
                    </w:rPr>
                    <w:t>≥</w:t>
                  </w:r>
                  <w:r>
                    <w:rPr>
                      <w:rFonts w:hint="eastAsia" w:ascii="Times New Roman" w:hAnsi="Times New Roman" w:eastAsia="宋体" w:cs="Times New Roman"/>
                      <w:snapToGrid w:val="0"/>
                      <w:color w:val="auto"/>
                      <w:kern w:val="0"/>
                      <w:sz w:val="21"/>
                      <w:szCs w:val="21"/>
                      <w:highlight w:val="none"/>
                      <w:shd w:val="clear" w:color="auto" w:fill="auto"/>
                      <w:lang w:val="en-US" w:eastAsia="zh-CN"/>
                    </w:rPr>
                    <w:t>350</w:t>
                  </w:r>
                </w:p>
              </w:tc>
            </w:tr>
            <w:tr w14:paraId="24E28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06" w:type="pct"/>
                  <w:tcBorders>
                    <w:tl2br w:val="nil"/>
                    <w:tr2bl w:val="nil"/>
                  </w:tcBorders>
                  <w:noWrap/>
                  <w:vAlign w:val="center"/>
                </w:tcPr>
                <w:p w14:paraId="0E80A03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23</w:t>
                  </w:r>
                </w:p>
              </w:tc>
              <w:tc>
                <w:tcPr>
                  <w:tcW w:w="1596" w:type="pct"/>
                  <w:tcBorders>
                    <w:tl2br w:val="nil"/>
                    <w:tr2bl w:val="nil"/>
                  </w:tcBorders>
                  <w:shd w:val="clear" w:color="auto" w:fill="auto"/>
                  <w:noWrap/>
                  <w:vAlign w:val="center"/>
                </w:tcPr>
                <w:p w14:paraId="5BC9D3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四氯化碳吸附率（%）</w:t>
                  </w:r>
                </w:p>
              </w:tc>
              <w:tc>
                <w:tcPr>
                  <w:tcW w:w="1035" w:type="pct"/>
                  <w:tcBorders>
                    <w:tl2br w:val="nil"/>
                    <w:tr2bl w:val="nil"/>
                  </w:tcBorders>
                  <w:shd w:val="clear" w:color="auto" w:fill="auto"/>
                  <w:noWrap/>
                  <w:vAlign w:val="center"/>
                </w:tcPr>
                <w:p w14:paraId="0E88C4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49</w:t>
                  </w:r>
                </w:p>
              </w:tc>
              <w:tc>
                <w:tcPr>
                  <w:tcW w:w="960" w:type="pct"/>
                  <w:tcBorders>
                    <w:tl2br w:val="nil"/>
                    <w:tr2bl w:val="nil"/>
                  </w:tcBorders>
                  <w:shd w:val="clear" w:color="auto" w:fill="auto"/>
                  <w:noWrap/>
                  <w:vAlign w:val="center"/>
                </w:tcPr>
                <w:p w14:paraId="1A9F58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bidi="ar-SA"/>
                    </w:rPr>
                  </w:pPr>
                  <w:r>
                    <w:rPr>
                      <w:rFonts w:hint="eastAsia" w:ascii="Times New Roman" w:hAnsi="Times New Roman" w:eastAsia="宋体" w:cs="Times New Roman"/>
                      <w:smallCaps w:val="0"/>
                      <w:snapToGrid w:val="0"/>
                      <w:color w:val="auto"/>
                      <w:spacing w:val="0"/>
                      <w:kern w:val="0"/>
                      <w:sz w:val="21"/>
                      <w:szCs w:val="21"/>
                      <w:highlight w:val="none"/>
                      <w:shd w:val="clear" w:color="auto" w:fill="auto"/>
                      <w:lang w:val="en-US" w:eastAsia="zh-CN"/>
                    </w:rPr>
                    <w:t>49</w:t>
                  </w:r>
                </w:p>
              </w:tc>
              <w:tc>
                <w:tcPr>
                  <w:tcW w:w="1101" w:type="pct"/>
                  <w:tcBorders>
                    <w:tl2br w:val="nil"/>
                    <w:tr2bl w:val="nil"/>
                  </w:tcBorders>
                  <w:shd w:val="clear" w:color="auto" w:fill="auto"/>
                  <w:noWrap/>
                  <w:vAlign w:val="center"/>
                </w:tcPr>
                <w:p w14:paraId="43EB09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snapToGrid w:val="0"/>
                      <w:color w:val="auto"/>
                      <w:spacing w:val="0"/>
                      <w:kern w:val="0"/>
                      <w:sz w:val="21"/>
                      <w:szCs w:val="21"/>
                      <w:highlight w:val="none"/>
                      <w:shd w:val="clear" w:color="auto" w:fill="auto"/>
                      <w:lang w:val="en-US" w:eastAsia="zh-CN"/>
                    </w:rPr>
                  </w:pPr>
                  <w:r>
                    <w:rPr>
                      <w:rFonts w:hint="default" w:ascii="Times New Roman" w:hAnsi="Times New Roman" w:eastAsia="宋体" w:cs="Times New Roman"/>
                      <w:snapToGrid w:val="0"/>
                      <w:color w:val="auto"/>
                      <w:kern w:val="0"/>
                      <w:sz w:val="21"/>
                      <w:szCs w:val="21"/>
                      <w:highlight w:val="none"/>
                      <w:shd w:val="clear" w:color="auto" w:fill="auto"/>
                    </w:rPr>
                    <w:t>≥</w:t>
                  </w:r>
                  <w:r>
                    <w:rPr>
                      <w:rFonts w:hint="eastAsia" w:ascii="Times New Roman" w:hAnsi="Times New Roman" w:eastAsia="宋体" w:cs="Times New Roman"/>
                      <w:snapToGrid w:val="0"/>
                      <w:color w:val="auto"/>
                      <w:kern w:val="0"/>
                      <w:sz w:val="21"/>
                      <w:szCs w:val="21"/>
                      <w:highlight w:val="none"/>
                      <w:shd w:val="clear" w:color="auto" w:fill="auto"/>
                      <w:lang w:val="en-US" w:eastAsia="zh-CN"/>
                    </w:rPr>
                    <w:t>40</w:t>
                  </w:r>
                </w:p>
              </w:tc>
            </w:tr>
          </w:tbl>
          <w:p w14:paraId="2E2E6328">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根据江苏省生态环境厅发布的《省生态环境厅关于将排污单位活性炭使用更换纳入排污许可管理的通知》附件中的公式计算活性炭更换周期：</w:t>
            </w:r>
          </w:p>
          <w:p w14:paraId="0135A4C0">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center"/>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position w:val="-10"/>
                <w:sz w:val="24"/>
                <w:szCs w:val="24"/>
                <w:highlight w:val="none"/>
                <w:shd w:val="clear" w:color="auto" w:fill="auto"/>
              </w:rPr>
              <w:object>
                <v:shape id="_x0000_i1025" o:spt="75" type="#_x0000_t75" style="height:18pt;width:134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5" r:id="rId18">
                  <o:LockedField>false</o:LockedField>
                </o:OLEObject>
              </w:object>
            </w:r>
          </w:p>
          <w:p w14:paraId="34BD4196">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式中：T——更换周期，天；</w:t>
            </w:r>
          </w:p>
          <w:p w14:paraId="2F8A19C9">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rPr>
              <w:t>m——活性炭的用量，kg；</w:t>
            </w:r>
            <w:r>
              <w:rPr>
                <w:rFonts w:hint="default" w:ascii="Times New Roman" w:hAnsi="Times New Roman" w:eastAsia="宋体" w:cs="Times New Roman"/>
                <w:color w:val="auto"/>
                <w:sz w:val="24"/>
                <w:szCs w:val="24"/>
                <w:highlight w:val="none"/>
                <w:shd w:val="clear" w:color="auto" w:fill="auto"/>
                <w:lang w:val="en-US" w:eastAsia="zh-CN"/>
              </w:rPr>
              <w:t xml:space="preserve"> </w:t>
            </w:r>
          </w:p>
          <w:p w14:paraId="788103DC">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s——动态吸附量，%；</w:t>
            </w:r>
          </w:p>
          <w:p w14:paraId="3A4840A0">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c——活性炭削减的VOCs浓度，mg/m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z w:val="24"/>
                <w:szCs w:val="24"/>
                <w:highlight w:val="none"/>
                <w:shd w:val="clear" w:color="auto" w:fill="auto"/>
              </w:rPr>
              <w:t>；</w:t>
            </w:r>
          </w:p>
          <w:p w14:paraId="2A719070">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rPr>
              <w:t>Q——风量，单位m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z w:val="24"/>
                <w:szCs w:val="24"/>
                <w:highlight w:val="none"/>
                <w:shd w:val="clear" w:color="auto" w:fill="auto"/>
              </w:rPr>
              <w:t>/h；</w:t>
            </w:r>
          </w:p>
          <w:p w14:paraId="27584BBB">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1200" w:firstLineChars="5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t——运行时间，单位h/d。</w:t>
            </w:r>
          </w:p>
          <w:p w14:paraId="5BD65042">
            <w:pPr>
              <w:pStyle w:val="8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表4-</w:t>
            </w:r>
            <w:r>
              <w:rPr>
                <w:rFonts w:hint="eastAsia" w:cs="Times New Roman"/>
                <w:color w:val="auto"/>
                <w:sz w:val="24"/>
                <w:szCs w:val="24"/>
                <w:highlight w:val="none"/>
                <w:shd w:val="clear" w:color="auto" w:fill="auto"/>
                <w:lang w:val="en-US" w:eastAsia="zh-CN"/>
              </w:rPr>
              <w:t>5</w:t>
            </w:r>
            <w:r>
              <w:rPr>
                <w:rFonts w:hint="default" w:ascii="Times New Roman" w:hAnsi="Times New Roman" w:eastAsia="宋体" w:cs="Times New Roman"/>
                <w:color w:val="auto"/>
                <w:sz w:val="24"/>
                <w:szCs w:val="24"/>
                <w:highlight w:val="none"/>
                <w:shd w:val="clear" w:color="auto" w:fill="auto"/>
              </w:rPr>
              <w:t xml:space="preserve">  活性炭更换周期一览表</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962"/>
              <w:gridCol w:w="1053"/>
              <w:gridCol w:w="1347"/>
              <w:gridCol w:w="985"/>
              <w:gridCol w:w="1087"/>
              <w:gridCol w:w="1803"/>
            </w:tblGrid>
            <w:tr w14:paraId="7A3D4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pct"/>
                  <w:tcBorders>
                    <w:tl2br w:val="nil"/>
                    <w:tr2bl w:val="nil"/>
                  </w:tcBorders>
                  <w:noWrap w:val="0"/>
                  <w:vAlign w:val="center"/>
                </w:tcPr>
                <w:p w14:paraId="5A55A577">
                  <w:pPr>
                    <w:pStyle w:val="7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lang w:val="en-US" w:eastAsia="zh-CN"/>
                    </w:rPr>
                    <w:t>工段</w:t>
                  </w:r>
                  <w:r>
                    <w:rPr>
                      <w:rFonts w:hint="default" w:ascii="Times New Roman" w:hAnsi="Times New Roman" w:eastAsia="宋体" w:cs="Times New Roman"/>
                      <w:b/>
                      <w:color w:val="auto"/>
                      <w:sz w:val="21"/>
                      <w:szCs w:val="21"/>
                      <w:highlight w:val="none"/>
                      <w:shd w:val="clear" w:color="auto" w:fill="auto"/>
                    </w:rPr>
                    <w:t>名称</w:t>
                  </w:r>
                </w:p>
              </w:tc>
              <w:tc>
                <w:tcPr>
                  <w:tcW w:w="575" w:type="pct"/>
                  <w:tcBorders>
                    <w:tl2br w:val="nil"/>
                    <w:tr2bl w:val="nil"/>
                  </w:tcBorders>
                  <w:noWrap w:val="0"/>
                  <w:vAlign w:val="center"/>
                </w:tcPr>
                <w:p w14:paraId="4CDCAA79">
                  <w:pPr>
                    <w:pStyle w:val="7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活性炭用量（kg）</w:t>
                  </w:r>
                </w:p>
              </w:tc>
              <w:tc>
                <w:tcPr>
                  <w:tcW w:w="629" w:type="pct"/>
                  <w:tcBorders>
                    <w:tl2br w:val="nil"/>
                    <w:tr2bl w:val="nil"/>
                  </w:tcBorders>
                  <w:noWrap w:val="0"/>
                  <w:vAlign w:val="center"/>
                </w:tcPr>
                <w:p w14:paraId="4E91DB86">
                  <w:pPr>
                    <w:pStyle w:val="7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动态吸附量（%）</w:t>
                  </w:r>
                </w:p>
              </w:tc>
              <w:tc>
                <w:tcPr>
                  <w:tcW w:w="805" w:type="pct"/>
                  <w:tcBorders>
                    <w:tl2br w:val="nil"/>
                    <w:tr2bl w:val="nil"/>
                  </w:tcBorders>
                  <w:noWrap w:val="0"/>
                  <w:vAlign w:val="center"/>
                </w:tcPr>
                <w:p w14:paraId="1164D06C">
                  <w:pPr>
                    <w:pStyle w:val="7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rPr>
                    <w:t>活性炭削减VOCs的浓度（mg/m</w:t>
                  </w:r>
                  <w:r>
                    <w:rPr>
                      <w:rFonts w:hint="default" w:ascii="Times New Roman" w:hAnsi="Times New Roman" w:eastAsia="宋体" w:cs="Times New Roman"/>
                      <w:b/>
                      <w:color w:val="auto"/>
                      <w:sz w:val="21"/>
                      <w:szCs w:val="21"/>
                      <w:highlight w:val="none"/>
                      <w:shd w:val="clear" w:color="auto" w:fill="auto"/>
                      <w:vertAlign w:val="superscript"/>
                    </w:rPr>
                    <w:t>3</w:t>
                  </w:r>
                  <w:r>
                    <w:rPr>
                      <w:rFonts w:hint="default" w:ascii="Times New Roman" w:hAnsi="Times New Roman" w:eastAsia="宋体" w:cs="Times New Roman"/>
                      <w:b/>
                      <w:color w:val="auto"/>
                      <w:sz w:val="21"/>
                      <w:szCs w:val="21"/>
                      <w:highlight w:val="none"/>
                      <w:shd w:val="clear" w:color="auto" w:fill="auto"/>
                    </w:rPr>
                    <w:t>）</w:t>
                  </w:r>
                </w:p>
              </w:tc>
              <w:tc>
                <w:tcPr>
                  <w:tcW w:w="589" w:type="pct"/>
                  <w:tcBorders>
                    <w:tl2br w:val="nil"/>
                    <w:tr2bl w:val="nil"/>
                  </w:tcBorders>
                  <w:noWrap w:val="0"/>
                  <w:vAlign w:val="center"/>
                </w:tcPr>
                <w:p w14:paraId="0262D69C">
                  <w:pPr>
                    <w:pStyle w:val="7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风量（m</w:t>
                  </w:r>
                  <w:r>
                    <w:rPr>
                      <w:rFonts w:hint="default" w:ascii="Times New Roman" w:hAnsi="Times New Roman" w:eastAsia="宋体" w:cs="Times New Roman"/>
                      <w:b/>
                      <w:color w:val="auto"/>
                      <w:sz w:val="21"/>
                      <w:szCs w:val="21"/>
                      <w:highlight w:val="none"/>
                      <w:shd w:val="clear" w:color="auto" w:fill="auto"/>
                      <w:vertAlign w:val="superscript"/>
                    </w:rPr>
                    <w:t>3</w:t>
                  </w:r>
                  <w:r>
                    <w:rPr>
                      <w:rFonts w:hint="default" w:ascii="Times New Roman" w:hAnsi="Times New Roman" w:eastAsia="宋体" w:cs="Times New Roman"/>
                      <w:b/>
                      <w:color w:val="auto"/>
                      <w:sz w:val="21"/>
                      <w:szCs w:val="21"/>
                      <w:highlight w:val="none"/>
                      <w:shd w:val="clear" w:color="auto" w:fill="auto"/>
                    </w:rPr>
                    <w:t>/h）</w:t>
                  </w:r>
                </w:p>
              </w:tc>
              <w:tc>
                <w:tcPr>
                  <w:tcW w:w="650" w:type="pct"/>
                  <w:tcBorders>
                    <w:tl2br w:val="nil"/>
                    <w:tr2bl w:val="nil"/>
                  </w:tcBorders>
                  <w:noWrap w:val="0"/>
                  <w:vAlign w:val="center"/>
                </w:tcPr>
                <w:p w14:paraId="6EB3CF5C">
                  <w:pPr>
                    <w:pStyle w:val="7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运行时间（h/d）</w:t>
                  </w:r>
                </w:p>
              </w:tc>
              <w:tc>
                <w:tcPr>
                  <w:tcW w:w="1078" w:type="pct"/>
                  <w:tcBorders>
                    <w:tl2br w:val="nil"/>
                    <w:tr2bl w:val="nil"/>
                  </w:tcBorders>
                  <w:noWrap w:val="0"/>
                  <w:vAlign w:val="center"/>
                </w:tcPr>
                <w:p w14:paraId="3F8C4B49">
                  <w:pPr>
                    <w:pStyle w:val="79"/>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更换周期（天）</w:t>
                  </w:r>
                </w:p>
              </w:tc>
            </w:tr>
            <w:tr w14:paraId="2160F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pct"/>
                  <w:tcBorders>
                    <w:tl2br w:val="nil"/>
                    <w:tr2bl w:val="nil"/>
                  </w:tcBorders>
                  <w:noWrap w:val="0"/>
                  <w:vAlign w:val="center"/>
                </w:tcPr>
                <w:p w14:paraId="67E2AE39">
                  <w:pPr>
                    <w:pStyle w:val="13"/>
                    <w:keepNext w:val="0"/>
                    <w:keepLines w:val="0"/>
                    <w:pageBreakBefore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调墨</w:t>
                  </w:r>
                  <w:r>
                    <w:rPr>
                      <w:rFonts w:hint="default" w:ascii="Times New Roman" w:hAnsi="Times New Roman" w:eastAsia="宋体" w:cs="Times New Roman"/>
                      <w:color w:val="auto"/>
                      <w:sz w:val="21"/>
                      <w:szCs w:val="21"/>
                      <w:highlight w:val="none"/>
                      <w:shd w:val="clear" w:color="auto" w:fill="auto"/>
                      <w:lang w:val="en-US" w:eastAsia="zh-CN"/>
                    </w:rPr>
                    <w:t>、印刷、复合、熟化、清洗</w:t>
                  </w:r>
                </w:p>
              </w:tc>
              <w:tc>
                <w:tcPr>
                  <w:tcW w:w="575" w:type="pct"/>
                  <w:tcBorders>
                    <w:tl2br w:val="nil"/>
                    <w:tr2bl w:val="nil"/>
                  </w:tcBorders>
                  <w:noWrap w:val="0"/>
                  <w:vAlign w:val="center"/>
                </w:tcPr>
                <w:p w14:paraId="4BDFB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bidi="ar"/>
                    </w:rPr>
                    <w:t>6</w:t>
                  </w:r>
                  <w:r>
                    <w:rPr>
                      <w:rFonts w:hint="default" w:ascii="Times New Roman" w:hAnsi="Times New Roman" w:eastAsia="宋体" w:cs="Times New Roman"/>
                      <w:color w:val="auto"/>
                      <w:kern w:val="0"/>
                      <w:sz w:val="21"/>
                      <w:szCs w:val="21"/>
                      <w:highlight w:val="none"/>
                      <w:shd w:val="clear" w:color="auto" w:fill="auto"/>
                      <w:lang w:val="en-US" w:eastAsia="zh-CN" w:bidi="ar"/>
                    </w:rPr>
                    <w:t>00</w:t>
                  </w:r>
                </w:p>
              </w:tc>
              <w:tc>
                <w:tcPr>
                  <w:tcW w:w="629" w:type="pct"/>
                  <w:tcBorders>
                    <w:tl2br w:val="nil"/>
                    <w:tr2bl w:val="nil"/>
                  </w:tcBorders>
                  <w:noWrap w:val="0"/>
                  <w:vAlign w:val="center"/>
                </w:tcPr>
                <w:p w14:paraId="2696E0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lang w:val="en-US" w:eastAsia="zh-CN" w:bidi="ar"/>
                    </w:rPr>
                    <w:t>2</w:t>
                  </w:r>
                  <w:r>
                    <w:rPr>
                      <w:rFonts w:hint="default" w:ascii="Times New Roman" w:hAnsi="Times New Roman" w:eastAsia="宋体" w:cs="Times New Roman"/>
                      <w:color w:val="auto"/>
                      <w:kern w:val="0"/>
                      <w:sz w:val="21"/>
                      <w:szCs w:val="21"/>
                      <w:highlight w:val="none"/>
                      <w:shd w:val="clear" w:color="auto" w:fill="auto"/>
                      <w:lang w:bidi="ar"/>
                    </w:rPr>
                    <w:t>0%</w:t>
                  </w:r>
                </w:p>
              </w:tc>
              <w:tc>
                <w:tcPr>
                  <w:tcW w:w="805" w:type="pct"/>
                  <w:tcBorders>
                    <w:tl2br w:val="nil"/>
                    <w:tr2bl w:val="nil"/>
                  </w:tcBorders>
                  <w:noWrap w:val="0"/>
                  <w:vAlign w:val="center"/>
                </w:tcPr>
                <w:p w14:paraId="0EAA04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12.61</w:t>
                  </w:r>
                </w:p>
              </w:tc>
              <w:tc>
                <w:tcPr>
                  <w:tcW w:w="589" w:type="pct"/>
                  <w:tcBorders>
                    <w:tl2br w:val="nil"/>
                    <w:tr2bl w:val="nil"/>
                  </w:tcBorders>
                  <w:shd w:val="clear" w:color="auto" w:fill="auto"/>
                  <w:noWrap w:val="0"/>
                  <w:vAlign w:val="center"/>
                </w:tcPr>
                <w:p w14:paraId="203D4D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
                    </w:rPr>
                    <w:t>23</w:t>
                  </w:r>
                  <w:r>
                    <w:rPr>
                      <w:rFonts w:hint="default" w:ascii="Times New Roman" w:hAnsi="Times New Roman" w:eastAsia="宋体" w:cs="Times New Roman"/>
                      <w:color w:val="auto"/>
                      <w:kern w:val="0"/>
                      <w:sz w:val="21"/>
                      <w:szCs w:val="21"/>
                      <w:highlight w:val="none"/>
                      <w:shd w:val="clear" w:color="auto" w:fill="auto"/>
                      <w:lang w:val="en-US" w:eastAsia="zh-CN" w:bidi="ar"/>
                    </w:rPr>
                    <w:t>000</w:t>
                  </w:r>
                </w:p>
              </w:tc>
              <w:tc>
                <w:tcPr>
                  <w:tcW w:w="650" w:type="pct"/>
                  <w:tcBorders>
                    <w:tl2br w:val="nil"/>
                    <w:tr2bl w:val="nil"/>
                  </w:tcBorders>
                  <w:noWrap w:val="0"/>
                  <w:vAlign w:val="center"/>
                </w:tcPr>
                <w:p w14:paraId="737772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bidi="ar"/>
                    </w:rPr>
                    <w:t>8</w:t>
                  </w:r>
                </w:p>
              </w:tc>
              <w:tc>
                <w:tcPr>
                  <w:tcW w:w="1078" w:type="pct"/>
                  <w:tcBorders>
                    <w:tl2br w:val="nil"/>
                    <w:tr2bl w:val="nil"/>
                  </w:tcBorders>
                  <w:noWrap w:val="0"/>
                  <w:vAlign w:val="center"/>
                </w:tcPr>
                <w:p w14:paraId="4048F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6</w:t>
                  </w:r>
                  <w:r>
                    <w:rPr>
                      <w:rFonts w:hint="default" w:ascii="Times New Roman" w:hAnsi="Times New Roman" w:eastAsia="宋体" w:cs="Times New Roman"/>
                      <w:color w:val="auto"/>
                      <w:sz w:val="21"/>
                      <w:szCs w:val="21"/>
                      <w:highlight w:val="none"/>
                      <w:shd w:val="clear" w:color="auto" w:fill="auto"/>
                      <w:lang w:val="en-US" w:eastAsia="zh-CN"/>
                    </w:rPr>
                    <w:t>00*20%/（</w:t>
                  </w:r>
                  <w:r>
                    <w:rPr>
                      <w:rFonts w:hint="eastAsia" w:ascii="Times New Roman" w:hAnsi="Times New Roman" w:eastAsia="宋体" w:cs="Times New Roman"/>
                      <w:color w:val="auto"/>
                      <w:kern w:val="0"/>
                      <w:sz w:val="21"/>
                      <w:szCs w:val="21"/>
                      <w:highlight w:val="none"/>
                      <w:shd w:val="clear" w:color="auto" w:fill="auto"/>
                      <w:lang w:val="en-US" w:eastAsia="zh-CN" w:bidi="ar"/>
                    </w:rPr>
                    <w:t>12.61</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23</w:t>
                  </w:r>
                  <w:r>
                    <w:rPr>
                      <w:rFonts w:hint="default" w:ascii="Times New Roman" w:hAnsi="Times New Roman" w:eastAsia="宋体" w:cs="Times New Roman"/>
                      <w:color w:val="auto"/>
                      <w:sz w:val="21"/>
                      <w:szCs w:val="21"/>
                      <w:highlight w:val="none"/>
                      <w:shd w:val="clear" w:color="auto" w:fill="auto"/>
                      <w:lang w:val="en-US" w:eastAsia="zh-CN"/>
                    </w:rPr>
                    <w:t>000*</w:t>
                  </w:r>
                  <w:r>
                    <w:rPr>
                      <w:rFonts w:hint="eastAsia"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lang w:val="en-US" w:eastAsia="zh-CN"/>
                    </w:rPr>
                    <w:t>/1000000）=</w:t>
                  </w:r>
                  <w:r>
                    <w:rPr>
                      <w:rFonts w:hint="eastAsia" w:ascii="Times New Roman" w:hAnsi="Times New Roman" w:eastAsia="宋体" w:cs="Times New Roman"/>
                      <w:color w:val="auto"/>
                      <w:sz w:val="21"/>
                      <w:szCs w:val="21"/>
                      <w:highlight w:val="none"/>
                      <w:shd w:val="clear" w:color="auto" w:fill="auto"/>
                      <w:lang w:val="en-US" w:eastAsia="zh-CN"/>
                    </w:rPr>
                    <w:t>51.72</w:t>
                  </w:r>
                </w:p>
              </w:tc>
            </w:tr>
            <w:tr w14:paraId="1F2DC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pct"/>
                  <w:tcBorders>
                    <w:tl2br w:val="nil"/>
                    <w:tr2bl w:val="nil"/>
                  </w:tcBorders>
                  <w:noWrap w:val="0"/>
                  <w:vAlign w:val="center"/>
                </w:tcPr>
                <w:p w14:paraId="0B1F003B">
                  <w:pPr>
                    <w:pStyle w:val="13"/>
                    <w:keepNext w:val="0"/>
                    <w:keepLines w:val="0"/>
                    <w:pageBreakBefore w:val="0"/>
                    <w:suppressLineNumbers w:val="0"/>
                    <w:kinsoku/>
                    <w:wordWrap/>
                    <w:overflowPunct/>
                    <w:topLinePunct w:val="0"/>
                    <w:autoSpaceDE/>
                    <w:autoSpaceDN/>
                    <w:bidi w:val="0"/>
                    <w:adjustRightInd/>
                    <w:snapToGrid/>
                    <w:spacing w:before="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吹膜、制袋</w:t>
                  </w:r>
                </w:p>
              </w:tc>
              <w:tc>
                <w:tcPr>
                  <w:tcW w:w="575" w:type="pct"/>
                  <w:tcBorders>
                    <w:tl2br w:val="nil"/>
                    <w:tr2bl w:val="nil"/>
                  </w:tcBorders>
                  <w:noWrap w:val="0"/>
                  <w:vAlign w:val="center"/>
                </w:tcPr>
                <w:p w14:paraId="5D0D2B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4</w:t>
                  </w:r>
                  <w:r>
                    <w:rPr>
                      <w:rFonts w:hint="default" w:ascii="Times New Roman" w:hAnsi="Times New Roman" w:eastAsia="宋体" w:cs="Times New Roman"/>
                      <w:color w:val="auto"/>
                      <w:kern w:val="0"/>
                      <w:sz w:val="21"/>
                      <w:szCs w:val="21"/>
                      <w:highlight w:val="none"/>
                      <w:shd w:val="clear" w:color="auto" w:fill="auto"/>
                      <w:lang w:val="en-US" w:eastAsia="zh-CN" w:bidi="ar"/>
                    </w:rPr>
                    <w:t>00</w:t>
                  </w:r>
                </w:p>
              </w:tc>
              <w:tc>
                <w:tcPr>
                  <w:tcW w:w="629" w:type="pct"/>
                  <w:tcBorders>
                    <w:tl2br w:val="nil"/>
                    <w:tr2bl w:val="nil"/>
                  </w:tcBorders>
                  <w:noWrap w:val="0"/>
                  <w:vAlign w:val="center"/>
                </w:tcPr>
                <w:p w14:paraId="5E022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2</w:t>
                  </w:r>
                  <w:r>
                    <w:rPr>
                      <w:rFonts w:hint="default" w:ascii="Times New Roman" w:hAnsi="Times New Roman" w:eastAsia="宋体" w:cs="Times New Roman"/>
                      <w:color w:val="auto"/>
                      <w:kern w:val="0"/>
                      <w:sz w:val="21"/>
                      <w:szCs w:val="21"/>
                      <w:highlight w:val="none"/>
                      <w:shd w:val="clear" w:color="auto" w:fill="auto"/>
                      <w:lang w:bidi="ar"/>
                    </w:rPr>
                    <w:t>0%</w:t>
                  </w:r>
                </w:p>
              </w:tc>
              <w:tc>
                <w:tcPr>
                  <w:tcW w:w="805" w:type="pct"/>
                  <w:tcBorders>
                    <w:tl2br w:val="nil"/>
                    <w:tr2bl w:val="nil"/>
                  </w:tcBorders>
                  <w:noWrap w:val="0"/>
                  <w:vAlign w:val="center"/>
                </w:tcPr>
                <w:p w14:paraId="72021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16.38</w:t>
                  </w:r>
                </w:p>
              </w:tc>
              <w:tc>
                <w:tcPr>
                  <w:tcW w:w="589" w:type="pct"/>
                  <w:tcBorders>
                    <w:tl2br w:val="nil"/>
                    <w:tr2bl w:val="nil"/>
                  </w:tcBorders>
                  <w:shd w:val="clear" w:color="auto" w:fill="auto"/>
                  <w:noWrap w:val="0"/>
                  <w:vAlign w:val="center"/>
                </w:tcPr>
                <w:p w14:paraId="3EDBC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8000</w:t>
                  </w:r>
                </w:p>
              </w:tc>
              <w:tc>
                <w:tcPr>
                  <w:tcW w:w="650" w:type="pct"/>
                  <w:tcBorders>
                    <w:tl2br w:val="nil"/>
                    <w:tr2bl w:val="nil"/>
                  </w:tcBorders>
                  <w:shd w:val="clear" w:color="auto" w:fill="auto"/>
                  <w:noWrap w:val="0"/>
                  <w:vAlign w:val="center"/>
                </w:tcPr>
                <w:p w14:paraId="4F4977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
                    </w:rPr>
                    <w:t>8</w:t>
                  </w:r>
                </w:p>
              </w:tc>
              <w:tc>
                <w:tcPr>
                  <w:tcW w:w="1078" w:type="pct"/>
                  <w:tcBorders>
                    <w:tl2br w:val="nil"/>
                    <w:tr2bl w:val="nil"/>
                  </w:tcBorders>
                  <w:shd w:val="clear" w:color="auto" w:fill="auto"/>
                  <w:noWrap w:val="0"/>
                  <w:vAlign w:val="center"/>
                </w:tcPr>
                <w:p w14:paraId="2430A2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lang w:val="en-US" w:eastAsia="zh-CN"/>
                    </w:rPr>
                    <w:t>00*20%/（</w:t>
                  </w:r>
                  <w:r>
                    <w:rPr>
                      <w:rFonts w:hint="eastAsia" w:ascii="Times New Roman" w:hAnsi="Times New Roman" w:eastAsia="宋体" w:cs="Times New Roman"/>
                      <w:color w:val="auto"/>
                      <w:kern w:val="0"/>
                      <w:sz w:val="21"/>
                      <w:szCs w:val="21"/>
                      <w:highlight w:val="none"/>
                      <w:shd w:val="clear" w:color="auto" w:fill="auto"/>
                      <w:lang w:val="en-US" w:eastAsia="zh-CN" w:bidi="ar"/>
                    </w:rPr>
                    <w:t>16.38</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lang w:val="en-US" w:eastAsia="zh-CN"/>
                    </w:rPr>
                    <w:t>000*</w:t>
                  </w:r>
                  <w:r>
                    <w:rPr>
                      <w:rFonts w:hint="eastAsia"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lang w:val="en-US" w:eastAsia="zh-CN"/>
                    </w:rPr>
                    <w:t>/1000000）=</w:t>
                  </w:r>
                  <w:r>
                    <w:rPr>
                      <w:rFonts w:hint="eastAsia" w:ascii="Times New Roman" w:hAnsi="Times New Roman" w:eastAsia="宋体" w:cs="Times New Roman"/>
                      <w:color w:val="auto"/>
                      <w:sz w:val="21"/>
                      <w:szCs w:val="21"/>
                      <w:highlight w:val="none"/>
                      <w:shd w:val="clear" w:color="auto" w:fill="auto"/>
                      <w:lang w:val="en-US" w:eastAsia="zh-CN"/>
                    </w:rPr>
                    <w:t>76.31</w:t>
                  </w:r>
                </w:p>
              </w:tc>
            </w:tr>
          </w:tbl>
          <w:p w14:paraId="00431B89">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Cs/>
                <w:color w:val="auto"/>
                <w:kern w:val="0"/>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根据计算所得</w:t>
            </w:r>
            <w:r>
              <w:rPr>
                <w:rFonts w:hint="default" w:ascii="Times New Roman" w:hAnsi="Times New Roman" w:eastAsia="宋体" w:cs="Times New Roman"/>
                <w:color w:val="auto"/>
                <w:sz w:val="24"/>
                <w:szCs w:val="24"/>
                <w:highlight w:val="none"/>
                <w:shd w:val="clear" w:color="auto" w:fill="auto"/>
                <w:lang w:val="en-US" w:eastAsia="zh-CN"/>
              </w:rPr>
              <w:t>及</w:t>
            </w:r>
            <w:r>
              <w:rPr>
                <w:rFonts w:hint="default" w:ascii="Times New Roman" w:hAnsi="Times New Roman" w:eastAsia="宋体" w:cs="Times New Roman"/>
                <w:color w:val="auto"/>
                <w:sz w:val="24"/>
                <w:szCs w:val="24"/>
                <w:highlight w:val="none"/>
                <w:shd w:val="clear" w:color="auto" w:fill="auto"/>
              </w:rPr>
              <w:t>苏环办﹝2022﹞218号文</w:t>
            </w:r>
            <w:r>
              <w:rPr>
                <w:rFonts w:hint="default" w:ascii="Times New Roman" w:hAnsi="Times New Roman" w:eastAsia="宋体" w:cs="Times New Roman"/>
                <w:color w:val="auto"/>
                <w:sz w:val="24"/>
                <w:szCs w:val="24"/>
                <w:highlight w:val="none"/>
                <w:shd w:val="clear" w:color="auto" w:fill="auto"/>
                <w:lang w:val="en-US" w:eastAsia="zh-CN"/>
              </w:rPr>
              <w:t>相关要求</w:t>
            </w:r>
            <w:r>
              <w:rPr>
                <w:rFonts w:hint="default" w:ascii="Times New Roman" w:hAnsi="Times New Roman" w:eastAsia="宋体" w:cs="Times New Roman"/>
                <w:color w:val="auto"/>
                <w:sz w:val="24"/>
                <w:szCs w:val="24"/>
                <w:highlight w:val="none"/>
                <w:shd w:val="clear" w:color="auto" w:fill="auto"/>
              </w:rPr>
              <w:t>，针对活性炭充填量的要求，活性炭更换周期一般不应超过累计运行500小时或3个月，符合要求。</w:t>
            </w:r>
            <w:r>
              <w:rPr>
                <w:rFonts w:hint="default" w:ascii="Times New Roman" w:hAnsi="Times New Roman" w:eastAsia="宋体" w:cs="Times New Roman"/>
                <w:color w:val="auto"/>
                <w:sz w:val="24"/>
                <w:szCs w:val="24"/>
                <w:highlight w:val="none"/>
                <w:shd w:val="clear" w:color="auto" w:fill="auto"/>
                <w:lang w:val="en-US" w:eastAsia="zh-CN"/>
              </w:rPr>
              <w:t>经上表可知，</w:t>
            </w:r>
            <w:r>
              <w:rPr>
                <w:rFonts w:hint="eastAsia" w:ascii="Times New Roman" w:hAnsi="Times New Roman" w:eastAsia="宋体" w:cs="Times New Roman"/>
                <w:color w:val="auto"/>
                <w:sz w:val="24"/>
                <w:szCs w:val="24"/>
                <w:highlight w:val="none"/>
                <w:shd w:val="clear" w:color="auto" w:fill="auto"/>
                <w:lang w:val="en-US" w:eastAsia="zh-CN"/>
              </w:rPr>
              <w:t>1#</w:t>
            </w:r>
            <w:r>
              <w:rPr>
                <w:rFonts w:hint="default" w:ascii="Times New Roman" w:hAnsi="Times New Roman" w:eastAsia="宋体" w:cs="Times New Roman"/>
                <w:color w:val="auto"/>
                <w:sz w:val="24"/>
                <w:szCs w:val="24"/>
                <w:highlight w:val="none"/>
                <w:shd w:val="clear" w:color="auto" w:fill="auto"/>
                <w:lang w:val="en-US" w:eastAsia="zh-CN"/>
              </w:rPr>
              <w:t>二级活性炭设施更换周期为</w:t>
            </w:r>
            <w:r>
              <w:rPr>
                <w:rFonts w:hint="eastAsia" w:ascii="Times New Roman" w:hAnsi="Times New Roman" w:eastAsia="宋体" w:cs="Times New Roman"/>
                <w:color w:val="auto"/>
                <w:sz w:val="24"/>
                <w:szCs w:val="24"/>
                <w:highlight w:val="none"/>
                <w:shd w:val="clear" w:color="auto" w:fill="auto"/>
                <w:lang w:val="en-US" w:eastAsia="zh-CN"/>
              </w:rPr>
              <w:t>51</w:t>
            </w:r>
            <w:r>
              <w:rPr>
                <w:rFonts w:hint="default" w:ascii="Times New Roman" w:hAnsi="Times New Roman" w:eastAsia="宋体" w:cs="Times New Roman"/>
                <w:color w:val="auto"/>
                <w:sz w:val="24"/>
                <w:szCs w:val="24"/>
                <w:highlight w:val="none"/>
                <w:shd w:val="clear" w:color="auto" w:fill="auto"/>
                <w:lang w:val="en-US" w:eastAsia="zh-CN"/>
              </w:rPr>
              <w:t>天，</w:t>
            </w:r>
            <w:r>
              <w:rPr>
                <w:rFonts w:hint="default" w:ascii="Times New Roman" w:hAnsi="Times New Roman" w:eastAsia="宋体" w:cs="Times New Roman"/>
                <w:color w:val="auto"/>
                <w:sz w:val="24"/>
                <w:szCs w:val="24"/>
                <w:highlight w:val="none"/>
                <w:shd w:val="clear" w:color="auto" w:fill="auto"/>
              </w:rPr>
              <w:t>更换次数约</w:t>
            </w:r>
            <w:r>
              <w:rPr>
                <w:rFonts w:hint="eastAsia" w:ascii="Times New Roman" w:hAnsi="Times New Roman" w:eastAsia="宋体" w:cs="Times New Roman"/>
                <w:color w:val="auto"/>
                <w:sz w:val="24"/>
                <w:szCs w:val="24"/>
                <w:highlight w:val="none"/>
                <w:shd w:val="clear" w:color="auto" w:fill="auto"/>
                <w:lang w:val="en-US" w:eastAsia="zh-CN"/>
              </w:rPr>
              <w:t>6</w:t>
            </w:r>
            <w:r>
              <w:rPr>
                <w:rFonts w:hint="default" w:ascii="Times New Roman" w:hAnsi="Times New Roman" w:eastAsia="宋体" w:cs="Times New Roman"/>
                <w:color w:val="auto"/>
                <w:sz w:val="24"/>
                <w:szCs w:val="24"/>
                <w:highlight w:val="none"/>
                <w:shd w:val="clear" w:color="auto" w:fill="auto"/>
              </w:rPr>
              <w:t>次/a</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2#</w:t>
            </w:r>
            <w:r>
              <w:rPr>
                <w:rFonts w:hint="default" w:ascii="Times New Roman" w:hAnsi="Times New Roman" w:eastAsia="宋体" w:cs="Times New Roman"/>
                <w:color w:val="auto"/>
                <w:sz w:val="24"/>
                <w:szCs w:val="24"/>
                <w:highlight w:val="none"/>
                <w:shd w:val="clear" w:color="auto" w:fill="auto"/>
                <w:lang w:val="en-US" w:eastAsia="zh-CN"/>
              </w:rPr>
              <w:t>二级活性炭设施更换周期为</w:t>
            </w:r>
            <w:r>
              <w:rPr>
                <w:rFonts w:hint="eastAsia" w:ascii="Times New Roman" w:hAnsi="Times New Roman" w:eastAsia="宋体" w:cs="Times New Roman"/>
                <w:color w:val="auto"/>
                <w:sz w:val="24"/>
                <w:szCs w:val="24"/>
                <w:highlight w:val="none"/>
                <w:shd w:val="clear" w:color="auto" w:fill="auto"/>
                <w:lang w:val="en-US" w:eastAsia="zh-CN"/>
              </w:rPr>
              <w:t>76</w:t>
            </w:r>
            <w:r>
              <w:rPr>
                <w:rFonts w:hint="default" w:ascii="Times New Roman" w:hAnsi="Times New Roman" w:eastAsia="宋体" w:cs="Times New Roman"/>
                <w:color w:val="auto"/>
                <w:sz w:val="24"/>
                <w:szCs w:val="24"/>
                <w:highlight w:val="none"/>
                <w:shd w:val="clear" w:color="auto" w:fill="auto"/>
                <w:lang w:val="en-US" w:eastAsia="zh-CN"/>
              </w:rPr>
              <w:t>天，</w:t>
            </w:r>
            <w:r>
              <w:rPr>
                <w:rFonts w:hint="default" w:ascii="Times New Roman" w:hAnsi="Times New Roman" w:eastAsia="宋体" w:cs="Times New Roman"/>
                <w:color w:val="auto"/>
                <w:sz w:val="24"/>
                <w:szCs w:val="24"/>
                <w:highlight w:val="none"/>
                <w:shd w:val="clear" w:color="auto" w:fill="auto"/>
              </w:rPr>
              <w:t>更换次数约</w:t>
            </w:r>
            <w:r>
              <w:rPr>
                <w:rFonts w:hint="eastAsia" w:ascii="Times New Roman" w:hAnsi="Times New Roman" w:eastAsia="宋体" w:cs="Times New Roman"/>
                <w:color w:val="auto"/>
                <w:sz w:val="24"/>
                <w:szCs w:val="24"/>
                <w:highlight w:val="none"/>
                <w:shd w:val="clear" w:color="auto" w:fill="auto"/>
                <w:lang w:val="en-US" w:eastAsia="zh-CN"/>
              </w:rPr>
              <w:t>4</w:t>
            </w:r>
            <w:r>
              <w:rPr>
                <w:rFonts w:hint="default" w:ascii="Times New Roman" w:hAnsi="Times New Roman" w:eastAsia="宋体" w:cs="Times New Roman"/>
                <w:color w:val="auto"/>
                <w:sz w:val="24"/>
                <w:szCs w:val="24"/>
                <w:highlight w:val="none"/>
                <w:shd w:val="clear" w:color="auto" w:fill="auto"/>
              </w:rPr>
              <w:t>次/a</w:t>
            </w:r>
            <w:r>
              <w:rPr>
                <w:rFonts w:hint="default" w:ascii="Times New Roman" w:hAnsi="Times New Roman" w:eastAsia="宋体" w:cs="Times New Roman"/>
                <w:color w:val="auto"/>
                <w:sz w:val="24"/>
                <w:szCs w:val="24"/>
                <w:highlight w:val="none"/>
                <w:shd w:val="clear" w:color="auto" w:fill="auto"/>
                <w:lang w:val="en-US" w:eastAsia="zh-CN"/>
              </w:rPr>
              <w:t>，因此</w:t>
            </w:r>
            <w:r>
              <w:rPr>
                <w:rFonts w:hint="eastAsia" w:ascii="Times New Roman" w:hAnsi="Times New Roman" w:eastAsia="宋体" w:cs="Times New Roman"/>
                <w:color w:val="auto"/>
                <w:sz w:val="24"/>
                <w:szCs w:val="24"/>
                <w:highlight w:val="none"/>
                <w:shd w:val="clear" w:color="auto" w:fill="auto"/>
                <w:lang w:val="en-US" w:eastAsia="zh-CN"/>
              </w:rPr>
              <w:t>活性炭的用量为5.2t/a，</w:t>
            </w:r>
            <w:r>
              <w:rPr>
                <w:rFonts w:hint="default" w:ascii="Times New Roman" w:hAnsi="Times New Roman" w:eastAsia="宋体" w:cs="Times New Roman"/>
                <w:color w:val="auto"/>
                <w:sz w:val="24"/>
                <w:szCs w:val="24"/>
                <w:highlight w:val="none"/>
                <w:shd w:val="clear" w:color="auto" w:fill="auto"/>
                <w:lang w:val="en-US" w:eastAsia="zh-CN"/>
              </w:rPr>
              <w:t>废活性炭总年产生量为</w:t>
            </w:r>
            <w:r>
              <w:rPr>
                <w:rFonts w:hint="eastAsia" w:ascii="Times New Roman" w:hAnsi="Times New Roman" w:eastAsia="宋体" w:cs="Times New Roman"/>
                <w:color w:val="auto"/>
                <w:sz w:val="24"/>
                <w:szCs w:val="24"/>
                <w:highlight w:val="none"/>
                <w:shd w:val="clear" w:color="auto" w:fill="auto"/>
                <w:lang w:val="en-US" w:eastAsia="zh-CN"/>
              </w:rPr>
              <w:t>6.2</w:t>
            </w:r>
            <w:r>
              <w:rPr>
                <w:rFonts w:hint="default" w:ascii="Times New Roman" w:hAnsi="Times New Roman" w:eastAsia="宋体" w:cs="Times New Roman"/>
                <w:color w:val="auto"/>
                <w:sz w:val="24"/>
                <w:szCs w:val="24"/>
                <w:highlight w:val="none"/>
                <w:shd w:val="clear" w:color="auto" w:fill="auto"/>
                <w:lang w:val="en-US" w:eastAsia="zh-CN"/>
              </w:rPr>
              <w:t>t</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b w:val="0"/>
                <w:bCs/>
                <w:color w:val="auto"/>
                <w:sz w:val="24"/>
                <w:highlight w:val="none"/>
                <w:shd w:val="clear" w:color="auto" w:fill="auto"/>
                <w:lang w:eastAsia="zh-CN"/>
              </w:rPr>
              <w:t>含吸附的有机废气量</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w:t>
            </w:r>
          </w:p>
          <w:p w14:paraId="432ABCEB">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b/>
                <w:bCs/>
                <w:color w:val="auto"/>
                <w:sz w:val="24"/>
                <w:highlight w:val="none"/>
                <w:shd w:val="clear" w:color="auto" w:fill="auto"/>
                <w:lang w:val="en-US" w:eastAsia="zh-CN"/>
              </w:rPr>
            </w:pPr>
            <w:r>
              <w:rPr>
                <w:rFonts w:hint="default" w:ascii="Times New Roman" w:hAnsi="Times New Roman" w:eastAsia="宋体" w:cs="Times New Roman"/>
                <w:b/>
                <w:bCs/>
                <w:color w:val="auto"/>
                <w:sz w:val="24"/>
                <w:highlight w:val="none"/>
                <w:shd w:val="clear" w:color="auto" w:fill="auto"/>
                <w:lang w:val="en-US" w:eastAsia="zh-CN"/>
              </w:rPr>
              <w:t>活性炭吸附装置安全设置要求：</w:t>
            </w:r>
          </w:p>
          <w:p w14:paraId="3740D1C9">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按照《吸附法工业有机废气治理工程技术规范》（HJ 2026-2013）、《</w:t>
            </w:r>
            <w:bookmarkStart w:id="10" w:name="_Hlk141347411"/>
            <w:r>
              <w:rPr>
                <w:rFonts w:hint="default" w:ascii="Times New Roman" w:hAnsi="Times New Roman" w:eastAsia="宋体" w:cs="Times New Roman"/>
                <w:b w:val="0"/>
                <w:bCs w:val="0"/>
                <w:color w:val="auto"/>
                <w:sz w:val="24"/>
                <w:highlight w:val="none"/>
                <w:shd w:val="clear" w:color="auto" w:fill="auto"/>
                <w:lang w:val="en-US" w:eastAsia="zh-CN"/>
              </w:rPr>
              <w:t>环境保护产品技术要求 工业废气吸附净化装置</w:t>
            </w:r>
            <w:bookmarkEnd w:id="10"/>
            <w:r>
              <w:rPr>
                <w:rFonts w:hint="default" w:ascii="Times New Roman" w:hAnsi="Times New Roman" w:eastAsia="宋体" w:cs="Times New Roman"/>
                <w:b w:val="0"/>
                <w:bCs w:val="0"/>
                <w:color w:val="auto"/>
                <w:sz w:val="24"/>
                <w:highlight w:val="none"/>
                <w:shd w:val="clear" w:color="auto" w:fill="auto"/>
                <w:lang w:val="en-US" w:eastAsia="zh-CN"/>
              </w:rPr>
              <w:t>》（</w:t>
            </w:r>
            <w:bookmarkStart w:id="11" w:name="_Hlk141347438"/>
            <w:r>
              <w:rPr>
                <w:rFonts w:hint="default" w:ascii="Times New Roman" w:hAnsi="Times New Roman" w:eastAsia="宋体" w:cs="Times New Roman"/>
                <w:b w:val="0"/>
                <w:bCs w:val="0"/>
                <w:color w:val="auto"/>
                <w:sz w:val="24"/>
                <w:highlight w:val="none"/>
                <w:shd w:val="clear" w:color="auto" w:fill="auto"/>
                <w:lang w:val="en-US" w:eastAsia="zh-CN"/>
              </w:rPr>
              <w:t>HJ/T 386-2007</w:t>
            </w:r>
            <w:bookmarkEnd w:id="11"/>
            <w:r>
              <w:rPr>
                <w:rFonts w:hint="default" w:ascii="Times New Roman" w:hAnsi="Times New Roman" w:eastAsia="宋体" w:cs="Times New Roman"/>
                <w:b w:val="0"/>
                <w:bCs w:val="0"/>
                <w:color w:val="auto"/>
                <w:sz w:val="24"/>
                <w:highlight w:val="none"/>
                <w:shd w:val="clear" w:color="auto" w:fill="auto"/>
                <w:lang w:val="en-US" w:eastAsia="zh-CN"/>
              </w:rPr>
              <w:t>）安全设置规定，本项目对活性炭吸附装置提出以下要求：</w:t>
            </w:r>
          </w:p>
          <w:p w14:paraId="44EBB644">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①治理系统应有事故自动报警装置，并符合安全生产、事故防范的相关规定。</w:t>
            </w:r>
          </w:p>
          <w:p w14:paraId="31B2CC26">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②治理系统与主体生产装置之间的管道系统应安装阻火器（防火阀），阻火器性能应符合GB 13347的规定。</w:t>
            </w:r>
          </w:p>
          <w:p w14:paraId="770A3080">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③风机、电机和置于现场的电气仪表等应不低于现场防爆等级。当吸附剂采用降压解吸方式再生且解吸后的高浓度有机气体采用液体吸收工艺进行回收时，风机、真空解吸泵和电气系统均应采用符合GB 3836.4要求的本安型防爆器件。</w:t>
            </w:r>
          </w:p>
          <w:p w14:paraId="2A2F574F">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④在吸附操作周期内，吸附了有机气体后吸附床内的温度应低于83℃。当吸附装置内的温度超过83℃时，应能自动报警，并立即启动降温装置。</w:t>
            </w:r>
          </w:p>
          <w:p w14:paraId="1D76743C">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⑤采用热空气吹扫方式进行吸附剂再生时，当吸附装置内的温度超过120℃时，应能自动报警并立即中止再生操作、启动降温措施。</w:t>
            </w:r>
          </w:p>
          <w:p w14:paraId="2B07D320">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⑥治理装置安装区域应按规定设置消防设施。</w:t>
            </w:r>
          </w:p>
          <w:p w14:paraId="0397C3E2">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⑦治理设备应具备短路保护和接地保护，接地电阻应小于4Q。</w:t>
            </w:r>
          </w:p>
          <w:p w14:paraId="47DC31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lang w:val="en-US" w:eastAsia="zh-CN" w:bidi="ar"/>
              </w:rPr>
            </w:pPr>
            <w:r>
              <w:rPr>
                <w:rFonts w:hint="default" w:ascii="Times New Roman" w:hAnsi="Times New Roman" w:eastAsia="宋体" w:cs="Times New Roman"/>
                <w:b w:val="0"/>
                <w:bCs w:val="0"/>
                <w:color w:val="auto"/>
                <w:sz w:val="24"/>
                <w:highlight w:val="none"/>
                <w:shd w:val="clear" w:color="auto" w:fill="auto"/>
                <w:lang w:val="en-US" w:eastAsia="zh-CN"/>
              </w:rPr>
              <w:t>⑧室外治理设备应安装符合GB 50057规定的避雷装置。</w:t>
            </w:r>
          </w:p>
          <w:p w14:paraId="38AC8042">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t>工程实例分析</w:t>
            </w:r>
          </w:p>
          <w:p w14:paraId="7B53E2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本项目根据江苏蓝天环境检测技术有限公司于20</w:t>
            </w:r>
            <w:r>
              <w:rPr>
                <w:rFonts w:hint="default" w:ascii="Times New Roman" w:hAnsi="Times New Roman" w:eastAsia="宋体" w:cs="Times New Roman"/>
                <w:color w:val="auto"/>
                <w:sz w:val="24"/>
                <w:szCs w:val="24"/>
                <w:highlight w:val="none"/>
                <w:shd w:val="clear" w:color="auto" w:fill="auto"/>
                <w:lang w:val="en-US" w:eastAsia="zh-CN"/>
              </w:rPr>
              <w:t>23</w:t>
            </w:r>
            <w:r>
              <w:rPr>
                <w:rFonts w:hint="default" w:ascii="Times New Roman" w:hAnsi="Times New Roman" w:eastAsia="宋体" w:cs="Times New Roman"/>
                <w:color w:val="auto"/>
                <w:sz w:val="24"/>
                <w:szCs w:val="24"/>
                <w:highlight w:val="none"/>
                <w:shd w:val="clear" w:color="auto" w:fill="auto"/>
              </w:rPr>
              <w:t>年</w:t>
            </w:r>
            <w:r>
              <w:rPr>
                <w:rFonts w:hint="default" w:ascii="Times New Roman" w:hAnsi="Times New Roman" w:eastAsia="宋体" w:cs="Times New Roman"/>
                <w:color w:val="auto"/>
                <w:sz w:val="24"/>
                <w:szCs w:val="24"/>
                <w:highlight w:val="none"/>
                <w:shd w:val="clear" w:color="auto" w:fill="auto"/>
                <w:lang w:val="en-US" w:eastAsia="zh-CN"/>
              </w:rPr>
              <w:t>8</w:t>
            </w:r>
            <w:r>
              <w:rPr>
                <w:rFonts w:hint="default" w:ascii="Times New Roman" w:hAnsi="Times New Roman" w:eastAsia="宋体" w:cs="Times New Roman"/>
                <w:color w:val="auto"/>
                <w:sz w:val="24"/>
                <w:szCs w:val="24"/>
                <w:highlight w:val="none"/>
                <w:shd w:val="clear" w:color="auto" w:fill="auto"/>
              </w:rPr>
              <w:t>月对“常州市汇兴精密钣金制造有限公司新建精密零配件制造项目”的验收检测数据，其</w:t>
            </w:r>
            <w:r>
              <w:rPr>
                <w:rFonts w:hint="default" w:ascii="Times New Roman" w:hAnsi="Times New Roman" w:eastAsia="宋体" w:cs="Times New Roman"/>
                <w:color w:val="auto"/>
                <w:sz w:val="24"/>
                <w:szCs w:val="24"/>
                <w:highlight w:val="none"/>
                <w:shd w:val="clear" w:color="auto" w:fill="auto"/>
                <w:lang w:val="en-US" w:eastAsia="zh-CN"/>
              </w:rPr>
              <w:t>废气处理设施为</w:t>
            </w:r>
            <w:r>
              <w:rPr>
                <w:rFonts w:hint="default" w:ascii="Times New Roman" w:hAnsi="Times New Roman" w:eastAsia="宋体" w:cs="Times New Roman"/>
                <w:color w:val="auto"/>
                <w:sz w:val="24"/>
                <w:szCs w:val="24"/>
                <w:highlight w:val="none"/>
                <w:shd w:val="clear" w:color="auto" w:fill="auto"/>
              </w:rPr>
              <w:t>“</w:t>
            </w:r>
            <w:r>
              <w:rPr>
                <w:rFonts w:hint="default" w:ascii="Times New Roman" w:hAnsi="Times New Roman" w:eastAsia="宋体" w:cs="Times New Roman"/>
                <w:color w:val="auto"/>
                <w:sz w:val="24"/>
                <w:szCs w:val="24"/>
                <w:highlight w:val="none"/>
                <w:shd w:val="clear" w:color="auto" w:fill="auto"/>
                <w:lang w:val="en-US" w:eastAsia="zh-CN"/>
              </w:rPr>
              <w:t>二</w:t>
            </w:r>
            <w:r>
              <w:rPr>
                <w:rFonts w:hint="default" w:ascii="Times New Roman" w:hAnsi="Times New Roman" w:eastAsia="宋体" w:cs="Times New Roman"/>
                <w:color w:val="auto"/>
                <w:sz w:val="24"/>
                <w:szCs w:val="24"/>
                <w:highlight w:val="none"/>
                <w:shd w:val="clear" w:color="auto" w:fill="auto"/>
              </w:rPr>
              <w:t>级活性炭吸附装置”</w:t>
            </w:r>
            <w:r>
              <w:rPr>
                <w:rFonts w:hint="default" w:ascii="Times New Roman" w:hAnsi="Times New Roman" w:eastAsia="宋体" w:cs="Times New Roman"/>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rPr>
              <w:t>处理效率在90%以上，具体见下表。</w:t>
            </w:r>
          </w:p>
          <w:p w14:paraId="7AF40246">
            <w:pPr>
              <w:adjustRightInd w:val="0"/>
              <w:snapToGrid w:val="0"/>
              <w:jc w:val="center"/>
              <w:rPr>
                <w:rFonts w:hint="default" w:ascii="Times New Roman" w:hAnsi="Times New Roman" w:eastAsia="宋体" w:cs="Times New Roman"/>
                <w:b/>
                <w:color w:val="auto"/>
                <w:sz w:val="24"/>
                <w:szCs w:val="24"/>
                <w:highlight w:val="none"/>
                <w:shd w:val="clear" w:color="auto" w:fill="auto"/>
              </w:rPr>
            </w:pPr>
            <w:r>
              <w:rPr>
                <w:rFonts w:hint="default" w:ascii="Times New Roman" w:hAnsi="Times New Roman" w:eastAsia="宋体" w:cs="Times New Roman"/>
                <w:b/>
                <w:color w:val="auto"/>
                <w:sz w:val="24"/>
                <w:szCs w:val="24"/>
                <w:highlight w:val="none"/>
                <w:shd w:val="clear" w:color="auto" w:fill="auto"/>
              </w:rPr>
              <w:t>表4-</w:t>
            </w:r>
            <w:r>
              <w:rPr>
                <w:rFonts w:hint="eastAsia" w:ascii="Times New Roman" w:hAnsi="Times New Roman" w:eastAsia="宋体" w:cs="Times New Roman"/>
                <w:b/>
                <w:color w:val="auto"/>
                <w:sz w:val="24"/>
                <w:szCs w:val="24"/>
                <w:highlight w:val="none"/>
                <w:shd w:val="clear" w:color="auto" w:fill="auto"/>
                <w:lang w:val="en-US" w:eastAsia="zh-CN"/>
              </w:rPr>
              <w:t>6</w:t>
            </w:r>
            <w:r>
              <w:rPr>
                <w:rFonts w:hint="default" w:ascii="Times New Roman" w:hAnsi="Times New Roman" w:eastAsia="宋体" w:cs="Times New Roman"/>
                <w:b/>
                <w:color w:val="auto"/>
                <w:sz w:val="24"/>
                <w:szCs w:val="24"/>
                <w:highlight w:val="none"/>
                <w:shd w:val="clear" w:color="auto" w:fill="auto"/>
              </w:rPr>
              <w:t xml:space="preserve"> </w:t>
            </w:r>
            <w:r>
              <w:rPr>
                <w:rFonts w:hint="default" w:ascii="Times New Roman" w:hAnsi="Times New Roman" w:eastAsia="宋体" w:cs="Times New Roman"/>
                <w:b/>
                <w:color w:val="auto"/>
                <w:sz w:val="24"/>
                <w:szCs w:val="24"/>
                <w:highlight w:val="none"/>
                <w:shd w:val="clear" w:color="auto" w:fill="auto"/>
                <w:lang w:val="en-US" w:eastAsia="zh-CN"/>
              </w:rPr>
              <w:t xml:space="preserve"> </w:t>
            </w:r>
            <w:r>
              <w:rPr>
                <w:rFonts w:hint="default" w:ascii="Times New Roman" w:hAnsi="Times New Roman" w:eastAsia="宋体" w:cs="Times New Roman"/>
                <w:b/>
                <w:color w:val="auto"/>
                <w:sz w:val="24"/>
                <w:szCs w:val="24"/>
                <w:highlight w:val="none"/>
                <w:shd w:val="clear" w:color="auto" w:fill="auto"/>
              </w:rPr>
              <w:t>工程实例废气监测结果表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1392"/>
              <w:gridCol w:w="1393"/>
              <w:gridCol w:w="1393"/>
              <w:gridCol w:w="1393"/>
              <w:gridCol w:w="1396"/>
            </w:tblGrid>
            <w:tr w14:paraId="48C73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pct"/>
                  <w:vMerge w:val="restart"/>
                  <w:vAlign w:val="center"/>
                </w:tcPr>
                <w:p w14:paraId="2964212A">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项目点位</w:t>
                  </w:r>
                </w:p>
              </w:tc>
              <w:tc>
                <w:tcPr>
                  <w:tcW w:w="832" w:type="pct"/>
                  <w:vMerge w:val="restart"/>
                  <w:vAlign w:val="center"/>
                </w:tcPr>
                <w:p w14:paraId="4CF85075">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监测时间</w:t>
                  </w:r>
                </w:p>
              </w:tc>
              <w:tc>
                <w:tcPr>
                  <w:tcW w:w="3334" w:type="pct"/>
                  <w:gridSpan w:val="4"/>
                  <w:vAlign w:val="center"/>
                </w:tcPr>
                <w:p w14:paraId="2D3C4840">
                  <w:pPr>
                    <w:adjustRightInd w:val="0"/>
                    <w:snapToGrid w:val="0"/>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非甲烷总烃监测结果（mg/m</w:t>
                  </w:r>
                  <w:r>
                    <w:rPr>
                      <w:rFonts w:hint="default" w:ascii="Times New Roman" w:hAnsi="Times New Roman" w:eastAsia="宋体" w:cs="Times New Roman"/>
                      <w:b/>
                      <w:bCs/>
                      <w:color w:val="auto"/>
                      <w:sz w:val="21"/>
                      <w:szCs w:val="21"/>
                      <w:highlight w:val="none"/>
                      <w:shd w:val="clear" w:color="auto" w:fill="auto"/>
                      <w:vertAlign w:val="superscript"/>
                    </w:rPr>
                    <w:t>3</w:t>
                  </w:r>
                  <w:r>
                    <w:rPr>
                      <w:rFonts w:hint="default" w:ascii="Times New Roman" w:hAnsi="Times New Roman" w:eastAsia="宋体" w:cs="Times New Roman"/>
                      <w:b/>
                      <w:bCs/>
                      <w:color w:val="auto"/>
                      <w:sz w:val="21"/>
                      <w:szCs w:val="21"/>
                      <w:highlight w:val="none"/>
                      <w:shd w:val="clear" w:color="auto" w:fill="auto"/>
                    </w:rPr>
                    <w:t>）</w:t>
                  </w:r>
                </w:p>
              </w:tc>
            </w:tr>
            <w:tr w14:paraId="3A363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pct"/>
                  <w:vMerge w:val="continue"/>
                  <w:vAlign w:val="center"/>
                </w:tcPr>
                <w:p w14:paraId="1001C86B">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832" w:type="pct"/>
                  <w:vMerge w:val="continue"/>
                  <w:vAlign w:val="center"/>
                </w:tcPr>
                <w:p w14:paraId="1393F698">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833" w:type="pct"/>
                  <w:vAlign w:val="center"/>
                </w:tcPr>
                <w:p w14:paraId="04E442DA">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833" w:type="pct"/>
                  <w:vAlign w:val="center"/>
                </w:tcPr>
                <w:p w14:paraId="44421684">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p>
              </w:tc>
              <w:tc>
                <w:tcPr>
                  <w:tcW w:w="833" w:type="pct"/>
                  <w:vAlign w:val="center"/>
                </w:tcPr>
                <w:p w14:paraId="3633ABE5">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w:t>
                  </w:r>
                </w:p>
              </w:tc>
              <w:tc>
                <w:tcPr>
                  <w:tcW w:w="835" w:type="pct"/>
                  <w:vAlign w:val="center"/>
                </w:tcPr>
                <w:p w14:paraId="0C7337FD">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平均值</w:t>
                  </w:r>
                </w:p>
              </w:tc>
            </w:tr>
            <w:tr w14:paraId="0756C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pct"/>
                  <w:vAlign w:val="center"/>
                </w:tcPr>
                <w:p w14:paraId="767496E3">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废气进口</w:t>
                  </w:r>
                </w:p>
              </w:tc>
              <w:tc>
                <w:tcPr>
                  <w:tcW w:w="832" w:type="pct"/>
                  <w:vMerge w:val="restart"/>
                  <w:vAlign w:val="center"/>
                </w:tcPr>
                <w:p w14:paraId="406ACD48">
                  <w:pPr>
                    <w:adjustRightInd w:val="0"/>
                    <w:snapToGrid w:val="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20</w:t>
                  </w:r>
                  <w:r>
                    <w:rPr>
                      <w:rFonts w:hint="default" w:ascii="Times New Roman" w:hAnsi="Times New Roman" w:eastAsia="宋体" w:cs="Times New Roman"/>
                      <w:color w:val="auto"/>
                      <w:sz w:val="21"/>
                      <w:szCs w:val="21"/>
                      <w:highlight w:val="none"/>
                      <w:shd w:val="clear" w:color="auto" w:fill="auto"/>
                      <w:lang w:val="en-US" w:eastAsia="zh-CN"/>
                    </w:rPr>
                    <w:t>23</w:t>
                  </w:r>
                  <w:r>
                    <w:rPr>
                      <w:rFonts w:hint="default" w:ascii="Times New Roman" w:hAnsi="Times New Roman" w:eastAsia="宋体" w:cs="Times New Roman"/>
                      <w:color w:val="auto"/>
                      <w:sz w:val="21"/>
                      <w:szCs w:val="21"/>
                      <w:highlight w:val="none"/>
                      <w:shd w:val="clear" w:color="auto" w:fill="auto"/>
                    </w:rPr>
                    <w:t>.</w:t>
                  </w:r>
                  <w:r>
                    <w:rPr>
                      <w:rFonts w:hint="default"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rPr>
                    <w:t>.</w:t>
                  </w:r>
                  <w:r>
                    <w:rPr>
                      <w:rFonts w:hint="default" w:ascii="Times New Roman" w:hAnsi="Times New Roman" w:eastAsia="宋体" w:cs="Times New Roman"/>
                      <w:color w:val="auto"/>
                      <w:sz w:val="21"/>
                      <w:szCs w:val="21"/>
                      <w:highlight w:val="none"/>
                      <w:shd w:val="clear" w:color="auto" w:fill="auto"/>
                      <w:lang w:val="en-US" w:eastAsia="zh-CN"/>
                    </w:rPr>
                    <w:t>9</w:t>
                  </w:r>
                </w:p>
              </w:tc>
              <w:tc>
                <w:tcPr>
                  <w:tcW w:w="833" w:type="pct"/>
                  <w:shd w:val="clear" w:color="auto" w:fill="auto"/>
                  <w:vAlign w:val="center"/>
                </w:tcPr>
                <w:p w14:paraId="6A21DA12">
                  <w:pPr>
                    <w:keepNext w:val="0"/>
                    <w:keepLines w:val="0"/>
                    <w:pageBreakBefore w:val="0"/>
                    <w:kinsoku/>
                    <w:wordWrap/>
                    <w:overflowPunct/>
                    <w:topLinePunct w:val="0"/>
                    <w:autoSpaceDE/>
                    <w:autoSpaceDN/>
                    <w:bidi w:val="0"/>
                    <w:spacing w:line="195" w:lineRule="auto"/>
                    <w:ind w:left="0" w:leftChars="0"/>
                    <w:jc w:val="center"/>
                    <w:rPr>
                      <w:rFonts w:hint="default" w:ascii="Times New Roman" w:hAnsi="Times New Roman" w:eastAsia="宋体" w:cs="Times New Roman"/>
                      <w:color w:val="auto"/>
                      <w:spacing w:val="3"/>
                      <w:kern w:val="2"/>
                      <w:sz w:val="21"/>
                      <w:szCs w:val="21"/>
                      <w:highlight w:val="none"/>
                      <w:shd w:val="clear" w:color="auto" w:fill="auto"/>
                      <w:lang w:val="en-US" w:eastAsia="zh-CN" w:bidi="ar-SA"/>
                    </w:rPr>
                  </w:pPr>
                  <w:r>
                    <w:rPr>
                      <w:rFonts w:hint="default" w:ascii="Times New Roman" w:hAnsi="Times New Roman" w:eastAsia="宋体" w:cs="Times New Roman"/>
                      <w:color w:val="auto"/>
                      <w:spacing w:val="3"/>
                      <w:sz w:val="21"/>
                      <w:szCs w:val="21"/>
                      <w:highlight w:val="none"/>
                      <w:shd w:val="clear" w:color="auto" w:fill="auto"/>
                      <w:lang w:val="en-US" w:eastAsia="zh-CN"/>
                    </w:rPr>
                    <w:t>15.2</w:t>
                  </w:r>
                </w:p>
              </w:tc>
              <w:tc>
                <w:tcPr>
                  <w:tcW w:w="833" w:type="pct"/>
                  <w:shd w:val="clear" w:color="auto" w:fill="auto"/>
                  <w:vAlign w:val="center"/>
                </w:tcPr>
                <w:p w14:paraId="39130137">
                  <w:pPr>
                    <w:keepNext w:val="0"/>
                    <w:keepLines w:val="0"/>
                    <w:pageBreakBefore w:val="0"/>
                    <w:kinsoku/>
                    <w:wordWrap/>
                    <w:overflowPunct/>
                    <w:topLinePunct w:val="0"/>
                    <w:autoSpaceDE/>
                    <w:autoSpaceDN/>
                    <w:bidi w:val="0"/>
                    <w:spacing w:line="195" w:lineRule="auto"/>
                    <w:ind w:left="0" w:leftChars="0"/>
                    <w:jc w:val="center"/>
                    <w:rPr>
                      <w:rFonts w:hint="default" w:ascii="Times New Roman" w:hAnsi="Times New Roman" w:eastAsia="宋体" w:cs="Times New Roman"/>
                      <w:color w:val="auto"/>
                      <w:spacing w:val="4"/>
                      <w:kern w:val="2"/>
                      <w:sz w:val="21"/>
                      <w:szCs w:val="21"/>
                      <w:highlight w:val="none"/>
                      <w:shd w:val="clear" w:color="auto" w:fill="auto"/>
                      <w:lang w:val="en-US" w:eastAsia="zh-CN" w:bidi="ar-SA"/>
                    </w:rPr>
                  </w:pPr>
                  <w:r>
                    <w:rPr>
                      <w:rFonts w:hint="default" w:ascii="Times New Roman" w:hAnsi="Times New Roman" w:eastAsia="宋体" w:cs="Times New Roman"/>
                      <w:color w:val="auto"/>
                      <w:spacing w:val="4"/>
                      <w:sz w:val="21"/>
                      <w:szCs w:val="21"/>
                      <w:highlight w:val="none"/>
                      <w:shd w:val="clear" w:color="auto" w:fill="auto"/>
                      <w:lang w:val="en-US" w:eastAsia="zh-CN"/>
                    </w:rPr>
                    <w:t>13.6</w:t>
                  </w:r>
                </w:p>
              </w:tc>
              <w:tc>
                <w:tcPr>
                  <w:tcW w:w="833" w:type="pct"/>
                  <w:shd w:val="clear" w:color="auto" w:fill="auto"/>
                  <w:vAlign w:val="center"/>
                </w:tcPr>
                <w:p w14:paraId="6A983068">
                  <w:pPr>
                    <w:keepNext w:val="0"/>
                    <w:keepLines w:val="0"/>
                    <w:pageBreakBefore w:val="0"/>
                    <w:kinsoku/>
                    <w:wordWrap/>
                    <w:overflowPunct/>
                    <w:topLinePunct w:val="0"/>
                    <w:autoSpaceDE/>
                    <w:autoSpaceDN/>
                    <w:bidi w:val="0"/>
                    <w:spacing w:line="195" w:lineRule="auto"/>
                    <w:ind w:left="0" w:leftChars="0"/>
                    <w:jc w:val="center"/>
                    <w:rPr>
                      <w:rFonts w:hint="default" w:ascii="Times New Roman" w:hAnsi="Times New Roman" w:eastAsia="宋体" w:cs="Times New Roman"/>
                      <w:color w:val="auto"/>
                      <w:spacing w:val="4"/>
                      <w:kern w:val="2"/>
                      <w:sz w:val="21"/>
                      <w:szCs w:val="21"/>
                      <w:highlight w:val="none"/>
                      <w:shd w:val="clear" w:color="auto" w:fill="auto"/>
                      <w:lang w:val="en-US" w:eastAsia="zh-CN" w:bidi="ar-SA"/>
                    </w:rPr>
                  </w:pPr>
                  <w:r>
                    <w:rPr>
                      <w:rFonts w:hint="default" w:ascii="Times New Roman" w:hAnsi="Times New Roman" w:eastAsia="宋体" w:cs="Times New Roman"/>
                      <w:color w:val="auto"/>
                      <w:spacing w:val="4"/>
                      <w:sz w:val="21"/>
                      <w:szCs w:val="21"/>
                      <w:highlight w:val="none"/>
                      <w:shd w:val="clear" w:color="auto" w:fill="auto"/>
                      <w:lang w:val="en-US" w:eastAsia="zh-CN"/>
                    </w:rPr>
                    <w:t>13.0</w:t>
                  </w:r>
                </w:p>
              </w:tc>
              <w:tc>
                <w:tcPr>
                  <w:tcW w:w="835" w:type="pct"/>
                  <w:vAlign w:val="center"/>
                </w:tcPr>
                <w:p w14:paraId="746DE687">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13.9</w:t>
                  </w:r>
                </w:p>
              </w:tc>
            </w:tr>
            <w:tr w14:paraId="59103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pct"/>
                  <w:vAlign w:val="center"/>
                </w:tcPr>
                <w:p w14:paraId="2060CF46">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废气出口</w:t>
                  </w:r>
                </w:p>
              </w:tc>
              <w:tc>
                <w:tcPr>
                  <w:tcW w:w="832" w:type="pct"/>
                  <w:vMerge w:val="continue"/>
                  <w:vAlign w:val="center"/>
                </w:tcPr>
                <w:p w14:paraId="30586F1C">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1393" w:type="dxa"/>
                  <w:vAlign w:val="center"/>
                </w:tcPr>
                <w:p w14:paraId="69833A87">
                  <w:pPr>
                    <w:keepNext w:val="0"/>
                    <w:keepLines w:val="0"/>
                    <w:pageBreakBefore w:val="0"/>
                    <w:kinsoku/>
                    <w:wordWrap/>
                    <w:overflowPunct/>
                    <w:topLinePunct w:val="0"/>
                    <w:autoSpaceDE/>
                    <w:autoSpaceDN/>
                    <w:bidi w:val="0"/>
                    <w:spacing w:line="198" w:lineRule="auto"/>
                    <w:ind w:left="0" w:left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pacing w:val="5"/>
                      <w:sz w:val="21"/>
                      <w:szCs w:val="21"/>
                      <w:highlight w:val="none"/>
                      <w:shd w:val="clear" w:color="auto" w:fill="auto"/>
                      <w:lang w:val="en-US" w:eastAsia="zh-CN"/>
                    </w:rPr>
                    <w:t>0.78</w:t>
                  </w:r>
                </w:p>
              </w:tc>
              <w:tc>
                <w:tcPr>
                  <w:tcW w:w="1393" w:type="dxa"/>
                  <w:vAlign w:val="center"/>
                </w:tcPr>
                <w:p w14:paraId="594897E7">
                  <w:pPr>
                    <w:keepNext w:val="0"/>
                    <w:keepLines w:val="0"/>
                    <w:pageBreakBefore w:val="0"/>
                    <w:kinsoku/>
                    <w:wordWrap/>
                    <w:overflowPunct/>
                    <w:topLinePunct w:val="0"/>
                    <w:autoSpaceDE/>
                    <w:autoSpaceDN/>
                    <w:bidi w:val="0"/>
                    <w:spacing w:line="198" w:lineRule="auto"/>
                    <w:ind w:left="0" w:left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lang w:val="en-US" w:eastAsia="zh-CN" w:bidi="ar-SA"/>
                    </w:rPr>
                    <w:t>0.76</w:t>
                  </w:r>
                </w:p>
              </w:tc>
              <w:tc>
                <w:tcPr>
                  <w:tcW w:w="1393" w:type="dxa"/>
                  <w:vAlign w:val="center"/>
                </w:tcPr>
                <w:p w14:paraId="77BDD37B">
                  <w:pPr>
                    <w:keepNext w:val="0"/>
                    <w:keepLines w:val="0"/>
                    <w:pageBreakBefore w:val="0"/>
                    <w:kinsoku/>
                    <w:wordWrap/>
                    <w:overflowPunct/>
                    <w:topLinePunct w:val="0"/>
                    <w:autoSpaceDE/>
                    <w:autoSpaceDN/>
                    <w:bidi w:val="0"/>
                    <w:spacing w:line="198" w:lineRule="auto"/>
                    <w:ind w:left="0" w:left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lang w:val="en-US" w:eastAsia="zh-CN" w:bidi="ar-SA"/>
                    </w:rPr>
                    <w:t>0.80</w:t>
                  </w:r>
                </w:p>
              </w:tc>
              <w:tc>
                <w:tcPr>
                  <w:tcW w:w="835" w:type="pct"/>
                  <w:vAlign w:val="center"/>
                </w:tcPr>
                <w:p w14:paraId="75AC38A1">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w:t>
                  </w:r>
                  <w:r>
                    <w:rPr>
                      <w:rFonts w:hint="default" w:ascii="Times New Roman" w:hAnsi="Times New Roman" w:eastAsia="宋体" w:cs="Times New Roman"/>
                      <w:color w:val="auto"/>
                      <w:sz w:val="21"/>
                      <w:szCs w:val="21"/>
                      <w:highlight w:val="none"/>
                      <w:shd w:val="clear" w:color="auto" w:fill="auto"/>
                      <w:lang w:val="en-US" w:eastAsia="zh-CN"/>
                    </w:rPr>
                    <w:t>78</w:t>
                  </w:r>
                </w:p>
              </w:tc>
            </w:tr>
            <w:tr w14:paraId="7ADA6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pct"/>
                  <w:vAlign w:val="center"/>
                </w:tcPr>
                <w:p w14:paraId="79654818">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处理效率</w:t>
                  </w:r>
                </w:p>
              </w:tc>
              <w:tc>
                <w:tcPr>
                  <w:tcW w:w="832" w:type="pct"/>
                  <w:vMerge w:val="continue"/>
                  <w:vAlign w:val="center"/>
                </w:tcPr>
                <w:p w14:paraId="17BBD36F">
                  <w:pPr>
                    <w:adjustRightInd w:val="0"/>
                    <w:snapToGrid w:val="0"/>
                    <w:jc w:val="center"/>
                    <w:rPr>
                      <w:rFonts w:hint="default" w:ascii="Times New Roman" w:hAnsi="Times New Roman" w:eastAsia="宋体" w:cs="Times New Roman"/>
                      <w:color w:val="auto"/>
                      <w:sz w:val="21"/>
                      <w:szCs w:val="21"/>
                      <w:highlight w:val="none"/>
                      <w:shd w:val="clear" w:color="auto" w:fill="auto"/>
                    </w:rPr>
                  </w:pPr>
                </w:p>
              </w:tc>
              <w:tc>
                <w:tcPr>
                  <w:tcW w:w="833" w:type="pct"/>
                  <w:vAlign w:val="center"/>
                </w:tcPr>
                <w:p w14:paraId="541941DE">
                  <w:pPr>
                    <w:adjustRightInd w:val="0"/>
                    <w:snapToGrid w:val="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94.</w:t>
                  </w:r>
                  <w:r>
                    <w:rPr>
                      <w:rFonts w:hint="default" w:ascii="Times New Roman" w:hAnsi="Times New Roman" w:eastAsia="宋体" w:cs="Times New Roman"/>
                      <w:color w:val="auto"/>
                      <w:sz w:val="21"/>
                      <w:szCs w:val="21"/>
                      <w:highlight w:val="none"/>
                      <w:shd w:val="clear" w:color="auto" w:fill="auto"/>
                      <w:lang w:val="en-US" w:eastAsia="zh-CN"/>
                    </w:rPr>
                    <w:t>9</w:t>
                  </w:r>
                </w:p>
              </w:tc>
              <w:tc>
                <w:tcPr>
                  <w:tcW w:w="833" w:type="pct"/>
                  <w:vAlign w:val="center"/>
                </w:tcPr>
                <w:p w14:paraId="5085E135">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9</w:t>
                  </w:r>
                  <w:r>
                    <w:rPr>
                      <w:rFonts w:hint="default" w:ascii="Times New Roman" w:hAnsi="Times New Roman" w:eastAsia="宋体" w:cs="Times New Roman"/>
                      <w:color w:val="auto"/>
                      <w:sz w:val="21"/>
                      <w:szCs w:val="21"/>
                      <w:highlight w:val="none"/>
                      <w:shd w:val="clear" w:color="auto" w:fill="auto"/>
                      <w:lang w:val="en-US" w:eastAsia="zh-CN"/>
                    </w:rPr>
                    <w:t>4.4</w:t>
                  </w:r>
                </w:p>
              </w:tc>
              <w:tc>
                <w:tcPr>
                  <w:tcW w:w="833" w:type="pct"/>
                  <w:vAlign w:val="center"/>
                </w:tcPr>
                <w:p w14:paraId="1606529E">
                  <w:pPr>
                    <w:adjustRightInd w:val="0"/>
                    <w:snapToGrid w:val="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93.</w:t>
                  </w:r>
                  <w:r>
                    <w:rPr>
                      <w:rFonts w:hint="default" w:ascii="Times New Roman" w:hAnsi="Times New Roman" w:eastAsia="宋体" w:cs="Times New Roman"/>
                      <w:color w:val="auto"/>
                      <w:sz w:val="21"/>
                      <w:szCs w:val="21"/>
                      <w:highlight w:val="none"/>
                      <w:shd w:val="clear" w:color="auto" w:fill="auto"/>
                      <w:lang w:val="en-US" w:eastAsia="zh-CN"/>
                    </w:rPr>
                    <w:t>8</w:t>
                  </w:r>
                </w:p>
              </w:tc>
              <w:tc>
                <w:tcPr>
                  <w:tcW w:w="835" w:type="pct"/>
                  <w:vAlign w:val="center"/>
                </w:tcPr>
                <w:p w14:paraId="3F1727A6">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9</w:t>
                  </w:r>
                  <w:r>
                    <w:rPr>
                      <w:rFonts w:hint="default" w:ascii="Times New Roman" w:hAnsi="Times New Roman" w:eastAsia="宋体" w:cs="Times New Roman"/>
                      <w:color w:val="auto"/>
                      <w:sz w:val="21"/>
                      <w:szCs w:val="21"/>
                      <w:highlight w:val="none"/>
                      <w:shd w:val="clear" w:color="auto" w:fill="auto"/>
                      <w:lang w:val="en-US" w:eastAsia="zh-CN"/>
                    </w:rPr>
                    <w:t>4.4</w:t>
                  </w:r>
                </w:p>
              </w:tc>
            </w:tr>
          </w:tbl>
          <w:p w14:paraId="513D3785">
            <w:pPr>
              <w:keepNext w:val="0"/>
              <w:keepLines w:val="0"/>
              <w:pageBreakBefore w:val="0"/>
              <w:widowControl w:val="0"/>
              <w:tabs>
                <w:tab w:val="left" w:pos="840"/>
              </w:tabs>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由上表可知，“两级活性炭吸附装置”对非甲烷总烃的去除效率平均在90%以上，故认为本项目两级活性炭吸附装置对非甲烷总烃去除效率以90%计算是可行的。</w:t>
            </w:r>
          </w:p>
          <w:p w14:paraId="433064B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（2）无组织废气</w:t>
            </w:r>
          </w:p>
          <w:p w14:paraId="3DA53D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应对无组织排放源加强管理，拟采取的控制措施有：</w:t>
            </w:r>
          </w:p>
          <w:p w14:paraId="1C15BB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①车间内安装良好的净化通风设施，保持生产车间风机的正常运转；</w:t>
            </w:r>
          </w:p>
          <w:p w14:paraId="23CE99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②设备需要采购质量合格的产品，并且定期检查、检修，尤其注意对集气管、吸气管路、阀门等关键部位的检查，保持装置密封性良好；</w:t>
            </w:r>
          </w:p>
          <w:p w14:paraId="0186B9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③生产车间大部分工艺采用自动化控制系统，各项控制参数做到实时、无缝监控；</w:t>
            </w:r>
          </w:p>
          <w:p w14:paraId="38D14D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④加强对工程技术人员及操作工的培训，熟悉各类物品的物化性质，熟练掌握操作规程，考核合格持上岗证方可上岗；加强劳动保护措施，以防各种辅料对操作工人产生毒害；</w:t>
            </w:r>
          </w:p>
          <w:p w14:paraId="5B9CA1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⑤完善各类规章制度，加强管理，所有操作严格按照操作规程进行。</w:t>
            </w:r>
          </w:p>
        </w:tc>
      </w:tr>
    </w:tbl>
    <w:p w14:paraId="0787D288">
      <w:pPr>
        <w:numPr>
          <w:ilvl w:val="0"/>
          <w:numId w:val="0"/>
        </w:numPr>
        <w:rPr>
          <w:rFonts w:hint="default" w:ascii="Times New Roman" w:hAnsi="Times New Roman" w:eastAsia="宋体" w:cs="Times New Roman"/>
          <w:color w:val="auto"/>
          <w:highlight w:val="none"/>
          <w:shd w:val="clear" w:color="auto" w:fill="auto"/>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7"/>
        <w:tblW w:w="50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459"/>
      </w:tblGrid>
      <w:tr w14:paraId="4B4C1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9" w:hRule="atLeast"/>
          <w:jc w:val="center"/>
        </w:trPr>
        <w:tc>
          <w:tcPr>
            <w:tcW w:w="252" w:type="pct"/>
            <w:tcMar>
              <w:left w:w="28" w:type="dxa"/>
              <w:right w:w="28" w:type="dxa"/>
            </w:tcMar>
            <w:vAlign w:val="center"/>
          </w:tcPr>
          <w:p w14:paraId="1377714E">
            <w:pPr>
              <w:adjustRightInd w:val="0"/>
              <w:snapToGrid w:val="0"/>
              <w:jc w:val="center"/>
              <w:rPr>
                <w:rFonts w:hint="default" w:ascii="Times New Roman" w:hAnsi="Times New Roman" w:eastAsia="宋体" w:cs="Times New Roman"/>
                <w:bCs/>
                <w:color w:val="auto"/>
                <w:sz w:val="28"/>
                <w:szCs w:val="28"/>
                <w:highlight w:val="none"/>
                <w:shd w:val="clear" w:color="auto" w:fill="auto"/>
              </w:rPr>
            </w:pPr>
            <w:r>
              <w:rPr>
                <w:rFonts w:hint="default" w:ascii="Times New Roman" w:hAnsi="Times New Roman" w:eastAsia="宋体" w:cs="Times New Roman"/>
                <w:b/>
                <w:bCs w:val="0"/>
                <w:color w:val="auto"/>
                <w:sz w:val="24"/>
                <w:szCs w:val="24"/>
                <w:highlight w:val="none"/>
                <w:shd w:val="clear" w:color="auto" w:fill="auto"/>
              </w:rPr>
              <w:t>运营期环境影响和保护措施</w:t>
            </w:r>
          </w:p>
        </w:tc>
        <w:tc>
          <w:tcPr>
            <w:tcW w:w="4747" w:type="pct"/>
            <w:vAlign w:val="center"/>
          </w:tcPr>
          <w:p w14:paraId="3F172EF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8"/>
                <w:szCs w:val="28"/>
                <w:highlight w:val="none"/>
                <w:shd w:val="clear" w:color="auto" w:fill="auto"/>
              </w:rPr>
            </w:pPr>
            <w:r>
              <w:rPr>
                <w:rFonts w:hint="default" w:ascii="Times New Roman" w:hAnsi="Times New Roman" w:eastAsia="宋体" w:cs="Times New Roman"/>
                <w:b/>
                <w:bCs w:val="0"/>
                <w:color w:val="auto"/>
                <w:sz w:val="24"/>
                <w:highlight w:val="none"/>
                <w:shd w:val="clear" w:color="auto" w:fill="auto"/>
                <w:lang w:val="en-US" w:eastAsia="zh-CN"/>
              </w:rPr>
              <w:t>3.</w:t>
            </w:r>
            <w:r>
              <w:rPr>
                <w:rFonts w:hint="default" w:ascii="Times New Roman" w:hAnsi="Times New Roman" w:eastAsia="宋体" w:cs="Times New Roman"/>
                <w:b/>
                <w:bCs w:val="0"/>
                <w:color w:val="auto"/>
                <w:sz w:val="24"/>
                <w:highlight w:val="none"/>
                <w:shd w:val="clear" w:color="auto" w:fill="auto"/>
              </w:rPr>
              <w:t>达标情况分析</w:t>
            </w:r>
          </w:p>
          <w:p w14:paraId="7723ACE4">
            <w:pPr>
              <w:pStyle w:val="62"/>
              <w:keepNext w:val="0"/>
              <w:keepLines w:val="0"/>
              <w:suppressLineNumbers w:val="0"/>
              <w:spacing w:before="0" w:beforeLines="0" w:beforeAutospacing="0" w:after="0" w:afterLines="0" w:afterAutospacing="0" w:line="480" w:lineRule="exact"/>
              <w:ind w:left="0" w:right="0" w:firstLine="480"/>
              <w:rPr>
                <w:rFonts w:hint="default" w:ascii="Times New Roman" w:hAnsi="Times New Roman" w:eastAsia="宋体" w:cs="Times New Roman"/>
                <w:color w:val="auto"/>
                <w:spacing w:val="0"/>
                <w:sz w:val="24"/>
                <w:szCs w:val="24"/>
                <w:highlight w:val="none"/>
                <w:shd w:val="clear" w:color="auto" w:fill="auto"/>
              </w:rPr>
            </w:pPr>
            <w:r>
              <w:rPr>
                <w:rFonts w:hint="default" w:ascii="Times New Roman" w:hAnsi="Times New Roman" w:eastAsia="宋体" w:cs="Times New Roman"/>
                <w:color w:val="auto"/>
                <w:spacing w:val="0"/>
                <w:sz w:val="24"/>
                <w:szCs w:val="24"/>
                <w:highlight w:val="none"/>
                <w:shd w:val="clear" w:color="auto" w:fill="auto"/>
                <w:lang w:val="en-US" w:eastAsia="zh-CN"/>
              </w:rPr>
              <w:t>本项目</w:t>
            </w:r>
            <w:r>
              <w:rPr>
                <w:rFonts w:hint="default" w:ascii="Times New Roman" w:hAnsi="Times New Roman" w:eastAsia="宋体" w:cs="Times New Roman"/>
                <w:color w:val="auto"/>
                <w:spacing w:val="0"/>
                <w:sz w:val="24"/>
                <w:szCs w:val="24"/>
                <w:highlight w:val="none"/>
                <w:shd w:val="clear" w:color="auto" w:fill="auto"/>
              </w:rPr>
              <w:t>有组织及无组织废气产生及排放情况如下：</w:t>
            </w:r>
          </w:p>
          <w:p w14:paraId="64C9DD1A">
            <w:pPr>
              <w:pStyle w:val="62"/>
              <w:keepNext w:val="0"/>
              <w:keepLines w:val="0"/>
              <w:suppressLineNumbers w:val="0"/>
              <w:spacing w:before="0" w:beforeLines="0" w:beforeAutospacing="0" w:after="0" w:afterLines="0" w:afterAutospacing="0" w:line="480" w:lineRule="exact"/>
              <w:ind w:left="0" w:right="0" w:firstLine="0" w:firstLineChars="0"/>
              <w:jc w:val="center"/>
              <w:rPr>
                <w:rFonts w:hint="default" w:ascii="Times New Roman" w:hAnsi="Times New Roman" w:eastAsia="宋体" w:cs="Times New Roman"/>
                <w:b/>
                <w:bCs w:val="0"/>
                <w:color w:val="auto"/>
                <w:spacing w:val="0"/>
                <w:sz w:val="24"/>
                <w:szCs w:val="24"/>
                <w:highlight w:val="none"/>
                <w:shd w:val="clear" w:color="auto" w:fill="auto"/>
              </w:rPr>
            </w:pPr>
            <w:r>
              <w:rPr>
                <w:rFonts w:hint="default" w:ascii="Times New Roman" w:hAnsi="Times New Roman" w:eastAsia="宋体" w:cs="Times New Roman"/>
                <w:b/>
                <w:bCs w:val="0"/>
                <w:color w:val="auto"/>
                <w:spacing w:val="0"/>
                <w:sz w:val="24"/>
                <w:szCs w:val="24"/>
                <w:highlight w:val="none"/>
                <w:shd w:val="clear" w:color="auto" w:fill="auto"/>
              </w:rPr>
              <w:t>表4-</w:t>
            </w:r>
            <w:r>
              <w:rPr>
                <w:rFonts w:hint="eastAsia" w:ascii="Times New Roman" w:hAnsi="Times New Roman" w:eastAsia="宋体" w:cs="Times New Roman"/>
                <w:b/>
                <w:bCs w:val="0"/>
                <w:color w:val="auto"/>
                <w:spacing w:val="0"/>
                <w:sz w:val="24"/>
                <w:szCs w:val="24"/>
                <w:highlight w:val="none"/>
                <w:shd w:val="clear" w:color="auto" w:fill="auto"/>
                <w:lang w:val="en-US" w:eastAsia="zh-CN"/>
              </w:rPr>
              <w:t>7</w:t>
            </w:r>
            <w:r>
              <w:rPr>
                <w:rFonts w:hint="default" w:ascii="Times New Roman" w:hAnsi="Times New Roman" w:eastAsia="宋体" w:cs="Times New Roman"/>
                <w:b/>
                <w:bCs w:val="0"/>
                <w:color w:val="auto"/>
                <w:spacing w:val="0"/>
                <w:sz w:val="24"/>
                <w:szCs w:val="24"/>
                <w:highlight w:val="none"/>
                <w:shd w:val="clear" w:color="auto" w:fill="auto"/>
              </w:rPr>
              <w:t xml:space="preserve">  </w:t>
            </w:r>
            <w:r>
              <w:rPr>
                <w:rFonts w:hint="default" w:ascii="Times New Roman" w:hAnsi="Times New Roman" w:eastAsia="宋体" w:cs="Times New Roman"/>
                <w:b/>
                <w:bCs w:val="0"/>
                <w:color w:val="auto"/>
                <w:spacing w:val="0"/>
                <w:sz w:val="24"/>
                <w:szCs w:val="24"/>
                <w:highlight w:val="none"/>
                <w:shd w:val="clear" w:color="auto" w:fill="auto"/>
                <w:lang w:val="en-US" w:eastAsia="zh-CN"/>
              </w:rPr>
              <w:t>本项目</w:t>
            </w:r>
            <w:r>
              <w:rPr>
                <w:rFonts w:hint="default" w:ascii="Times New Roman" w:hAnsi="Times New Roman" w:eastAsia="宋体" w:cs="Times New Roman"/>
                <w:b/>
                <w:bCs w:val="0"/>
                <w:color w:val="auto"/>
                <w:spacing w:val="0"/>
                <w:sz w:val="24"/>
                <w:szCs w:val="24"/>
                <w:highlight w:val="none"/>
                <w:shd w:val="clear" w:color="auto" w:fill="auto"/>
              </w:rPr>
              <w:t>大气污染物产、排情况表（有组织）</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43"/>
              <w:gridCol w:w="732"/>
              <w:gridCol w:w="809"/>
              <w:gridCol w:w="854"/>
              <w:gridCol w:w="753"/>
              <w:gridCol w:w="708"/>
              <w:gridCol w:w="840"/>
              <w:gridCol w:w="1172"/>
              <w:gridCol w:w="618"/>
              <w:gridCol w:w="610"/>
              <w:gridCol w:w="843"/>
              <w:gridCol w:w="742"/>
              <w:gridCol w:w="750"/>
              <w:gridCol w:w="750"/>
              <w:gridCol w:w="750"/>
              <w:gridCol w:w="570"/>
              <w:gridCol w:w="528"/>
              <w:gridCol w:w="671"/>
            </w:tblGrid>
            <w:tr w14:paraId="02FF1D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5" w:type="pct"/>
                  <w:vMerge w:val="restart"/>
                  <w:tcBorders>
                    <w:tl2br w:val="nil"/>
                    <w:tr2bl w:val="nil"/>
                  </w:tcBorders>
                  <w:noWrap w:val="0"/>
                  <w:vAlign w:val="center"/>
                </w:tcPr>
                <w:p w14:paraId="1EA2B1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排气筒编号</w:t>
                  </w:r>
                </w:p>
              </w:tc>
              <w:tc>
                <w:tcPr>
                  <w:tcW w:w="276" w:type="pct"/>
                  <w:vMerge w:val="restart"/>
                  <w:tcBorders>
                    <w:tl2br w:val="nil"/>
                    <w:tr2bl w:val="nil"/>
                  </w:tcBorders>
                  <w:noWrap w:val="0"/>
                  <w:vAlign w:val="center"/>
                </w:tcPr>
                <w:p w14:paraId="4BF0E7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污染源名称</w:t>
                  </w:r>
                </w:p>
              </w:tc>
              <w:tc>
                <w:tcPr>
                  <w:tcW w:w="305" w:type="pct"/>
                  <w:vMerge w:val="restart"/>
                  <w:tcBorders>
                    <w:tl2br w:val="nil"/>
                    <w:tr2bl w:val="nil"/>
                  </w:tcBorders>
                  <w:noWrap w:val="0"/>
                  <w:vAlign w:val="center"/>
                </w:tcPr>
                <w:p w14:paraId="79BACE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排气量m</w:t>
                  </w:r>
                  <w:r>
                    <w:rPr>
                      <w:rFonts w:hint="default" w:ascii="Times New Roman" w:hAnsi="Times New Roman" w:eastAsia="宋体" w:cs="Times New Roman"/>
                      <w:b/>
                      <w:color w:val="auto"/>
                      <w:sz w:val="21"/>
                      <w:szCs w:val="21"/>
                      <w:highlight w:val="none"/>
                      <w:shd w:val="clear" w:color="auto" w:fill="auto"/>
                      <w:vertAlign w:val="superscript"/>
                    </w:rPr>
                    <w:t>3</w:t>
                  </w:r>
                  <w:r>
                    <w:rPr>
                      <w:rFonts w:hint="default" w:ascii="Times New Roman" w:hAnsi="Times New Roman" w:eastAsia="宋体" w:cs="Times New Roman"/>
                      <w:b/>
                      <w:color w:val="auto"/>
                      <w:sz w:val="21"/>
                      <w:szCs w:val="21"/>
                      <w:highlight w:val="none"/>
                      <w:shd w:val="clear" w:color="auto" w:fill="auto"/>
                    </w:rPr>
                    <w:t>/h</w:t>
                  </w:r>
                </w:p>
              </w:tc>
              <w:tc>
                <w:tcPr>
                  <w:tcW w:w="322" w:type="pct"/>
                  <w:vMerge w:val="restart"/>
                  <w:tcBorders>
                    <w:tl2br w:val="nil"/>
                    <w:tr2bl w:val="nil"/>
                  </w:tcBorders>
                  <w:noWrap w:val="0"/>
                  <w:vAlign w:val="center"/>
                </w:tcPr>
                <w:p w14:paraId="2C257B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污染物名称</w:t>
                  </w:r>
                </w:p>
              </w:tc>
              <w:tc>
                <w:tcPr>
                  <w:tcW w:w="868" w:type="pct"/>
                  <w:gridSpan w:val="3"/>
                  <w:tcBorders>
                    <w:tl2br w:val="nil"/>
                    <w:tr2bl w:val="nil"/>
                  </w:tcBorders>
                  <w:noWrap w:val="0"/>
                  <w:vAlign w:val="center"/>
                </w:tcPr>
                <w:p w14:paraId="0F9D03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产生情况</w:t>
                  </w:r>
                </w:p>
              </w:tc>
              <w:tc>
                <w:tcPr>
                  <w:tcW w:w="442" w:type="pct"/>
                  <w:vMerge w:val="restart"/>
                  <w:tcBorders>
                    <w:tl2br w:val="nil"/>
                    <w:tr2bl w:val="nil"/>
                  </w:tcBorders>
                  <w:noWrap w:val="0"/>
                  <w:vAlign w:val="center"/>
                </w:tcPr>
                <w:p w14:paraId="34C31B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治理措施</w:t>
                  </w:r>
                </w:p>
              </w:tc>
              <w:tc>
                <w:tcPr>
                  <w:tcW w:w="233" w:type="pct"/>
                  <w:vMerge w:val="restart"/>
                  <w:tcBorders>
                    <w:tl2br w:val="nil"/>
                    <w:tr2bl w:val="nil"/>
                  </w:tcBorders>
                  <w:noWrap w:val="0"/>
                  <w:vAlign w:val="center"/>
                </w:tcPr>
                <w:p w14:paraId="4E9180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去除率%</w:t>
                  </w:r>
                </w:p>
              </w:tc>
              <w:tc>
                <w:tcPr>
                  <w:tcW w:w="828" w:type="pct"/>
                  <w:gridSpan w:val="3"/>
                  <w:tcBorders>
                    <w:tl2br w:val="nil"/>
                    <w:tr2bl w:val="nil"/>
                  </w:tcBorders>
                  <w:noWrap w:val="0"/>
                  <w:vAlign w:val="center"/>
                </w:tcPr>
                <w:p w14:paraId="4C5CF2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排放情况</w:t>
                  </w:r>
                </w:p>
              </w:tc>
              <w:tc>
                <w:tcPr>
                  <w:tcW w:w="566" w:type="pct"/>
                  <w:gridSpan w:val="2"/>
                  <w:tcBorders>
                    <w:tl2br w:val="nil"/>
                    <w:tr2bl w:val="nil"/>
                  </w:tcBorders>
                  <w:noWrap w:val="0"/>
                  <w:vAlign w:val="center"/>
                </w:tcPr>
                <w:p w14:paraId="5D6760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lang w:val="en-US"/>
                    </w:rPr>
                  </w:pPr>
                  <w:r>
                    <w:rPr>
                      <w:rFonts w:hint="eastAsia" w:ascii="Times New Roman" w:hAnsi="Times New Roman" w:eastAsia="宋体" w:cs="Times New Roman"/>
                      <w:b/>
                      <w:color w:val="auto"/>
                      <w:sz w:val="21"/>
                      <w:szCs w:val="21"/>
                      <w:highlight w:val="none"/>
                      <w:shd w:val="clear" w:color="auto" w:fill="auto"/>
                      <w:lang w:val="en-US" w:eastAsia="zh-CN"/>
                    </w:rPr>
                    <w:t>执行标准</w:t>
                  </w:r>
                </w:p>
              </w:tc>
              <w:tc>
                <w:tcPr>
                  <w:tcW w:w="283" w:type="pct"/>
                  <w:vMerge w:val="restart"/>
                  <w:tcBorders>
                    <w:tl2br w:val="nil"/>
                    <w:tr2bl w:val="nil"/>
                  </w:tcBorders>
                  <w:noWrap w:val="0"/>
                  <w:vAlign w:val="center"/>
                </w:tcPr>
                <w:p w14:paraId="79744C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排放方式</w:t>
                  </w:r>
                </w:p>
              </w:tc>
              <w:tc>
                <w:tcPr>
                  <w:tcW w:w="667" w:type="pct"/>
                  <w:gridSpan w:val="3"/>
                  <w:tcBorders>
                    <w:tl2br w:val="nil"/>
                    <w:tr2bl w:val="nil"/>
                  </w:tcBorders>
                  <w:noWrap w:val="0"/>
                  <w:vAlign w:val="center"/>
                </w:tcPr>
                <w:p w14:paraId="2570C3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排放源参数</w:t>
                  </w:r>
                </w:p>
              </w:tc>
            </w:tr>
            <w:tr w14:paraId="65BB62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5" w:type="pct"/>
                  <w:vMerge w:val="continue"/>
                  <w:tcBorders>
                    <w:tl2br w:val="nil"/>
                    <w:tr2bl w:val="nil"/>
                  </w:tcBorders>
                  <w:noWrap w:val="0"/>
                  <w:vAlign w:val="center"/>
                </w:tcPr>
                <w:p w14:paraId="10CEDB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p>
              </w:tc>
              <w:tc>
                <w:tcPr>
                  <w:tcW w:w="276" w:type="pct"/>
                  <w:vMerge w:val="continue"/>
                  <w:tcBorders>
                    <w:tl2br w:val="nil"/>
                    <w:tr2bl w:val="nil"/>
                  </w:tcBorders>
                  <w:noWrap w:val="0"/>
                  <w:vAlign w:val="center"/>
                </w:tcPr>
                <w:p w14:paraId="56D6F9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p>
              </w:tc>
              <w:tc>
                <w:tcPr>
                  <w:tcW w:w="305" w:type="pct"/>
                  <w:vMerge w:val="continue"/>
                  <w:tcBorders>
                    <w:tl2br w:val="nil"/>
                    <w:tr2bl w:val="nil"/>
                  </w:tcBorders>
                  <w:noWrap w:val="0"/>
                  <w:vAlign w:val="center"/>
                </w:tcPr>
                <w:p w14:paraId="604CA8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p>
              </w:tc>
              <w:tc>
                <w:tcPr>
                  <w:tcW w:w="322" w:type="pct"/>
                  <w:vMerge w:val="continue"/>
                  <w:tcBorders>
                    <w:tl2br w:val="nil"/>
                    <w:tr2bl w:val="nil"/>
                  </w:tcBorders>
                  <w:noWrap w:val="0"/>
                  <w:vAlign w:val="center"/>
                </w:tcPr>
                <w:p w14:paraId="06B563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p>
              </w:tc>
              <w:tc>
                <w:tcPr>
                  <w:tcW w:w="284" w:type="pct"/>
                  <w:tcBorders>
                    <w:tl2br w:val="nil"/>
                    <w:tr2bl w:val="nil"/>
                  </w:tcBorders>
                  <w:noWrap w:val="0"/>
                  <w:vAlign w:val="center"/>
                </w:tcPr>
                <w:p w14:paraId="097261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浓度mg/m</w:t>
                  </w:r>
                  <w:r>
                    <w:rPr>
                      <w:rFonts w:hint="default" w:ascii="Times New Roman" w:hAnsi="Times New Roman" w:eastAsia="宋体" w:cs="Times New Roman"/>
                      <w:b/>
                      <w:color w:val="auto"/>
                      <w:kern w:val="0"/>
                      <w:sz w:val="21"/>
                      <w:szCs w:val="21"/>
                      <w:highlight w:val="none"/>
                      <w:shd w:val="clear" w:color="auto" w:fill="auto"/>
                      <w:vertAlign w:val="superscript"/>
                    </w:rPr>
                    <w:t>3</w:t>
                  </w:r>
                </w:p>
              </w:tc>
              <w:tc>
                <w:tcPr>
                  <w:tcW w:w="267" w:type="pct"/>
                  <w:tcBorders>
                    <w:tl2br w:val="nil"/>
                    <w:tr2bl w:val="nil"/>
                  </w:tcBorders>
                  <w:noWrap w:val="0"/>
                  <w:vAlign w:val="center"/>
                </w:tcPr>
                <w:p w14:paraId="0F30D3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速率kg/h</w:t>
                  </w:r>
                </w:p>
              </w:tc>
              <w:tc>
                <w:tcPr>
                  <w:tcW w:w="317" w:type="pct"/>
                  <w:tcBorders>
                    <w:tl2br w:val="nil"/>
                    <w:tr2bl w:val="nil"/>
                  </w:tcBorders>
                  <w:noWrap w:val="0"/>
                  <w:vAlign w:val="center"/>
                </w:tcPr>
                <w:p w14:paraId="257851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产生量t/a</w:t>
                  </w:r>
                </w:p>
              </w:tc>
              <w:tc>
                <w:tcPr>
                  <w:tcW w:w="442" w:type="pct"/>
                  <w:vMerge w:val="continue"/>
                  <w:tcBorders>
                    <w:tl2br w:val="nil"/>
                    <w:tr2bl w:val="nil"/>
                  </w:tcBorders>
                  <w:noWrap w:val="0"/>
                  <w:vAlign w:val="center"/>
                </w:tcPr>
                <w:p w14:paraId="4C8CA1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p>
              </w:tc>
              <w:tc>
                <w:tcPr>
                  <w:tcW w:w="233" w:type="pct"/>
                  <w:vMerge w:val="continue"/>
                  <w:tcBorders>
                    <w:tl2br w:val="nil"/>
                    <w:tr2bl w:val="nil"/>
                  </w:tcBorders>
                  <w:noWrap w:val="0"/>
                  <w:vAlign w:val="center"/>
                </w:tcPr>
                <w:p w14:paraId="659D87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p>
              </w:tc>
              <w:tc>
                <w:tcPr>
                  <w:tcW w:w="230" w:type="pct"/>
                  <w:tcBorders>
                    <w:tl2br w:val="nil"/>
                    <w:tr2bl w:val="nil"/>
                  </w:tcBorders>
                  <w:noWrap w:val="0"/>
                  <w:vAlign w:val="center"/>
                </w:tcPr>
                <w:p w14:paraId="7B318D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浓度mg/m</w:t>
                  </w:r>
                  <w:r>
                    <w:rPr>
                      <w:rFonts w:hint="default" w:ascii="Times New Roman" w:hAnsi="Times New Roman" w:eastAsia="宋体" w:cs="Times New Roman"/>
                      <w:b/>
                      <w:color w:val="auto"/>
                      <w:kern w:val="0"/>
                      <w:sz w:val="21"/>
                      <w:szCs w:val="21"/>
                      <w:highlight w:val="none"/>
                      <w:shd w:val="clear" w:color="auto" w:fill="auto"/>
                      <w:vertAlign w:val="superscript"/>
                    </w:rPr>
                    <w:t>3</w:t>
                  </w:r>
                </w:p>
              </w:tc>
              <w:tc>
                <w:tcPr>
                  <w:tcW w:w="318" w:type="pct"/>
                  <w:tcBorders>
                    <w:tl2br w:val="nil"/>
                    <w:tr2bl w:val="nil"/>
                  </w:tcBorders>
                  <w:noWrap w:val="0"/>
                  <w:vAlign w:val="center"/>
                </w:tcPr>
                <w:p w14:paraId="0C1DE4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速率kg/h</w:t>
                  </w:r>
                </w:p>
              </w:tc>
              <w:tc>
                <w:tcPr>
                  <w:tcW w:w="280" w:type="pct"/>
                  <w:tcBorders>
                    <w:tl2br w:val="nil"/>
                    <w:tr2bl w:val="nil"/>
                  </w:tcBorders>
                  <w:noWrap w:val="0"/>
                  <w:vAlign w:val="center"/>
                </w:tcPr>
                <w:p w14:paraId="75CD88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排放量t/a</w:t>
                  </w:r>
                </w:p>
              </w:tc>
              <w:tc>
                <w:tcPr>
                  <w:tcW w:w="283" w:type="pct"/>
                  <w:tcBorders>
                    <w:tl2br w:val="nil"/>
                    <w:tr2bl w:val="nil"/>
                  </w:tcBorders>
                  <w:noWrap w:val="0"/>
                  <w:vAlign w:val="center"/>
                </w:tcPr>
                <w:p w14:paraId="396219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kern w:val="0"/>
                      <w:sz w:val="21"/>
                      <w:szCs w:val="21"/>
                      <w:highlight w:val="none"/>
                      <w:shd w:val="clear" w:color="auto" w:fill="auto"/>
                    </w:rPr>
                    <w:t>浓度mg/m</w:t>
                  </w:r>
                  <w:r>
                    <w:rPr>
                      <w:rFonts w:hint="default" w:ascii="Times New Roman" w:hAnsi="Times New Roman" w:eastAsia="宋体" w:cs="Times New Roman"/>
                      <w:b/>
                      <w:color w:val="auto"/>
                      <w:kern w:val="0"/>
                      <w:sz w:val="21"/>
                      <w:szCs w:val="21"/>
                      <w:highlight w:val="none"/>
                      <w:shd w:val="clear" w:color="auto" w:fill="auto"/>
                      <w:vertAlign w:val="superscript"/>
                    </w:rPr>
                    <w:t>3</w:t>
                  </w:r>
                </w:p>
              </w:tc>
              <w:tc>
                <w:tcPr>
                  <w:tcW w:w="283" w:type="pct"/>
                  <w:tcBorders>
                    <w:tl2br w:val="nil"/>
                    <w:tr2bl w:val="nil"/>
                  </w:tcBorders>
                  <w:noWrap w:val="0"/>
                  <w:vAlign w:val="center"/>
                </w:tcPr>
                <w:p w14:paraId="2A8B4F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速率kg/h</w:t>
                  </w:r>
                </w:p>
              </w:tc>
              <w:tc>
                <w:tcPr>
                  <w:tcW w:w="283" w:type="pct"/>
                  <w:vMerge w:val="continue"/>
                  <w:tcBorders>
                    <w:tl2br w:val="nil"/>
                    <w:tr2bl w:val="nil"/>
                  </w:tcBorders>
                  <w:noWrap w:val="0"/>
                  <w:vAlign w:val="center"/>
                </w:tcPr>
                <w:p w14:paraId="34BD43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p>
              </w:tc>
              <w:tc>
                <w:tcPr>
                  <w:tcW w:w="215" w:type="pct"/>
                  <w:tcBorders>
                    <w:tl2br w:val="nil"/>
                    <w:tr2bl w:val="nil"/>
                  </w:tcBorders>
                  <w:noWrap w:val="0"/>
                  <w:vAlign w:val="center"/>
                </w:tcPr>
                <w:p w14:paraId="27191F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排放高度m</w:t>
                  </w:r>
                </w:p>
              </w:tc>
              <w:tc>
                <w:tcPr>
                  <w:tcW w:w="199" w:type="pct"/>
                  <w:tcBorders>
                    <w:tl2br w:val="nil"/>
                    <w:tr2bl w:val="nil"/>
                  </w:tcBorders>
                  <w:noWrap w:val="0"/>
                  <w:vAlign w:val="center"/>
                </w:tcPr>
                <w:p w14:paraId="3DC69E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直径m</w:t>
                  </w:r>
                </w:p>
              </w:tc>
              <w:tc>
                <w:tcPr>
                  <w:tcW w:w="253" w:type="pct"/>
                  <w:tcBorders>
                    <w:tl2br w:val="nil"/>
                    <w:tr2bl w:val="nil"/>
                  </w:tcBorders>
                  <w:noWrap w:val="0"/>
                  <w:vAlign w:val="center"/>
                </w:tcPr>
                <w:p w14:paraId="7DCEBD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烟气出口温度℃</w:t>
                  </w:r>
                </w:p>
              </w:tc>
            </w:tr>
            <w:tr w14:paraId="479840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205" w:type="pct"/>
                  <w:vMerge w:val="restart"/>
                  <w:tcBorders>
                    <w:tl2br w:val="nil"/>
                    <w:tr2bl w:val="nil"/>
                  </w:tcBorders>
                  <w:noWrap w:val="0"/>
                  <w:vAlign w:val="center"/>
                </w:tcPr>
                <w:p w14:paraId="2129D1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276" w:type="pct"/>
                  <w:tcBorders>
                    <w:tl2br w:val="nil"/>
                    <w:tr2bl w:val="nil"/>
                  </w:tcBorders>
                  <w:noWrap w:val="0"/>
                  <w:vAlign w:val="center"/>
                </w:tcPr>
                <w:p w14:paraId="2F7437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调墨、印刷</w:t>
                  </w:r>
                </w:p>
              </w:tc>
              <w:tc>
                <w:tcPr>
                  <w:tcW w:w="305" w:type="pct"/>
                  <w:vMerge w:val="restart"/>
                  <w:tcBorders>
                    <w:tl2br w:val="nil"/>
                    <w:tr2bl w:val="nil"/>
                  </w:tcBorders>
                  <w:shd w:val="clear" w:color="auto" w:fill="auto"/>
                  <w:noWrap w:val="0"/>
                  <w:vAlign w:val="center"/>
                </w:tcPr>
                <w:p w14:paraId="294B9A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23000</w:t>
                  </w:r>
                </w:p>
              </w:tc>
              <w:tc>
                <w:tcPr>
                  <w:tcW w:w="322" w:type="pct"/>
                  <w:vMerge w:val="restart"/>
                  <w:tcBorders>
                    <w:tl2br w:val="nil"/>
                    <w:tr2bl w:val="nil"/>
                  </w:tcBorders>
                  <w:shd w:val="clear" w:color="auto" w:fill="auto"/>
                  <w:noWrap w:val="0"/>
                  <w:vAlign w:val="center"/>
                </w:tcPr>
                <w:p w14:paraId="0A9289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kern w:val="2"/>
                      <w:sz w:val="21"/>
                      <w:szCs w:val="21"/>
                      <w:highlight w:val="none"/>
                      <w:shd w:val="clear" w:color="auto" w:fill="auto"/>
                      <w:lang w:val="en-US" w:eastAsia="zh-CN" w:bidi="ar-SA"/>
                    </w:rPr>
                    <w:t>非甲烷总烃</w:t>
                  </w:r>
                </w:p>
              </w:tc>
              <w:tc>
                <w:tcPr>
                  <w:tcW w:w="284" w:type="pct"/>
                  <w:tcBorders>
                    <w:tl2br w:val="nil"/>
                    <w:tr2bl w:val="nil"/>
                  </w:tcBorders>
                  <w:shd w:val="clear" w:color="auto" w:fill="auto"/>
                  <w:noWrap w:val="0"/>
                  <w:vAlign w:val="center"/>
                </w:tcPr>
                <w:p w14:paraId="76B9A43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12.39</w:t>
                  </w:r>
                </w:p>
              </w:tc>
              <w:tc>
                <w:tcPr>
                  <w:tcW w:w="267" w:type="pct"/>
                  <w:tcBorders>
                    <w:tl2br w:val="nil"/>
                    <w:tr2bl w:val="nil"/>
                  </w:tcBorders>
                  <w:shd w:val="clear" w:color="auto" w:fill="auto"/>
                  <w:noWrap w:val="0"/>
                  <w:vAlign w:val="center"/>
                </w:tcPr>
                <w:p w14:paraId="2FB61D9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0.285</w:t>
                  </w:r>
                </w:p>
              </w:tc>
              <w:tc>
                <w:tcPr>
                  <w:tcW w:w="317" w:type="pct"/>
                  <w:tcBorders>
                    <w:tl2br w:val="nil"/>
                    <w:tr2bl w:val="nil"/>
                  </w:tcBorders>
                  <w:shd w:val="clear" w:color="auto" w:fill="auto"/>
                  <w:noWrap w:val="0"/>
                  <w:vAlign w:val="center"/>
                </w:tcPr>
                <w:p w14:paraId="184BF3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lang w:val="en-US" w:eastAsia="zh-CN"/>
                    </w:rPr>
                    <w:t>0.</w:t>
                  </w:r>
                  <w:r>
                    <w:rPr>
                      <w:rFonts w:hint="eastAsia" w:ascii="Times New Roman" w:hAnsi="Times New Roman" w:eastAsia="宋体" w:cs="Times New Roman"/>
                      <w:color w:val="auto"/>
                      <w:sz w:val="21"/>
                      <w:szCs w:val="21"/>
                      <w:highlight w:val="none"/>
                      <w:shd w:val="clear" w:color="auto" w:fill="auto"/>
                      <w:lang w:val="en-US" w:eastAsia="zh-CN"/>
                    </w:rPr>
                    <w:t>6840</w:t>
                  </w:r>
                </w:p>
              </w:tc>
              <w:tc>
                <w:tcPr>
                  <w:tcW w:w="442" w:type="pct"/>
                  <w:vMerge w:val="restart"/>
                  <w:tcBorders>
                    <w:tl2br w:val="nil"/>
                    <w:tr2bl w:val="nil"/>
                  </w:tcBorders>
                  <w:noWrap w:val="0"/>
                  <w:vAlign w:val="center"/>
                </w:tcPr>
                <w:p w14:paraId="35E7DC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lang w:val="en-US" w:eastAsia="zh-CN"/>
                    </w:rPr>
                    <w:t>二级活性炭</w:t>
                  </w:r>
                </w:p>
              </w:tc>
              <w:tc>
                <w:tcPr>
                  <w:tcW w:w="233" w:type="pct"/>
                  <w:vMerge w:val="restart"/>
                  <w:tcBorders>
                    <w:tl2br w:val="nil"/>
                    <w:tr2bl w:val="nil"/>
                  </w:tcBorders>
                  <w:noWrap w:val="0"/>
                  <w:vAlign w:val="center"/>
                </w:tcPr>
                <w:p w14:paraId="0076F6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90</w:t>
                  </w:r>
                </w:p>
              </w:tc>
              <w:tc>
                <w:tcPr>
                  <w:tcW w:w="230" w:type="pct"/>
                  <w:vMerge w:val="restart"/>
                  <w:tcBorders>
                    <w:tl2br w:val="nil"/>
                    <w:tr2bl w:val="nil"/>
                  </w:tcBorders>
                  <w:noWrap w:val="0"/>
                  <w:vAlign w:val="center"/>
                </w:tcPr>
                <w:p w14:paraId="491501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1.39</w:t>
                  </w:r>
                </w:p>
              </w:tc>
              <w:tc>
                <w:tcPr>
                  <w:tcW w:w="318" w:type="pct"/>
                  <w:vMerge w:val="restart"/>
                  <w:tcBorders>
                    <w:tl2br w:val="nil"/>
                    <w:tr2bl w:val="nil"/>
                  </w:tcBorders>
                  <w:noWrap w:val="0"/>
                  <w:vAlign w:val="center"/>
                </w:tcPr>
                <w:p w14:paraId="747A2D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0.032</w:t>
                  </w:r>
                </w:p>
              </w:tc>
              <w:tc>
                <w:tcPr>
                  <w:tcW w:w="280" w:type="pct"/>
                  <w:vMerge w:val="restart"/>
                  <w:tcBorders>
                    <w:tl2br w:val="nil"/>
                    <w:tr2bl w:val="nil"/>
                  </w:tcBorders>
                  <w:noWrap w:val="0"/>
                  <w:vAlign w:val="center"/>
                </w:tcPr>
                <w:p w14:paraId="74512E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0.0771</w:t>
                  </w:r>
                </w:p>
              </w:tc>
              <w:tc>
                <w:tcPr>
                  <w:tcW w:w="283" w:type="pct"/>
                  <w:vMerge w:val="restart"/>
                  <w:tcBorders>
                    <w:tl2br w:val="nil"/>
                    <w:tr2bl w:val="nil"/>
                  </w:tcBorders>
                  <w:noWrap w:val="0"/>
                  <w:vAlign w:val="center"/>
                </w:tcPr>
                <w:p w14:paraId="5FBD85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50</w:t>
                  </w:r>
                </w:p>
              </w:tc>
              <w:tc>
                <w:tcPr>
                  <w:tcW w:w="283" w:type="pct"/>
                  <w:vMerge w:val="restart"/>
                  <w:tcBorders>
                    <w:tl2br w:val="nil"/>
                    <w:tr2bl w:val="nil"/>
                  </w:tcBorders>
                  <w:noWrap w:val="0"/>
                  <w:vAlign w:val="center"/>
                </w:tcPr>
                <w:p w14:paraId="6E5B02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1.8</w:t>
                  </w:r>
                </w:p>
              </w:tc>
              <w:tc>
                <w:tcPr>
                  <w:tcW w:w="283" w:type="pct"/>
                  <w:vMerge w:val="restart"/>
                  <w:tcBorders>
                    <w:tl2br w:val="nil"/>
                    <w:tr2bl w:val="nil"/>
                  </w:tcBorders>
                  <w:noWrap w:val="0"/>
                  <w:vAlign w:val="center"/>
                </w:tcPr>
                <w:p w14:paraId="4E6364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间断</w:t>
                  </w:r>
                  <w:r>
                    <w:rPr>
                      <w:rFonts w:hint="eastAsia" w:ascii="Times New Roman" w:hAnsi="Times New Roman" w:eastAsia="宋体" w:cs="Times New Roman"/>
                      <w:color w:val="auto"/>
                      <w:sz w:val="21"/>
                      <w:szCs w:val="21"/>
                      <w:highlight w:val="none"/>
                      <w:shd w:val="clear" w:color="auto" w:fill="auto"/>
                      <w:lang w:val="en-US" w:eastAsia="zh-CN"/>
                    </w:rPr>
                    <w:t>24</w:t>
                  </w:r>
                  <w:r>
                    <w:rPr>
                      <w:rFonts w:hint="default" w:ascii="Times New Roman" w:hAnsi="Times New Roman" w:eastAsia="宋体" w:cs="Times New Roman"/>
                      <w:color w:val="auto"/>
                      <w:sz w:val="21"/>
                      <w:szCs w:val="21"/>
                      <w:highlight w:val="none"/>
                      <w:shd w:val="clear" w:color="auto" w:fill="auto"/>
                      <w:lang w:val="en-US" w:eastAsia="zh-CN"/>
                    </w:rPr>
                    <w:t>0</w:t>
                  </w:r>
                  <w:r>
                    <w:rPr>
                      <w:rFonts w:hint="default" w:ascii="Times New Roman" w:hAnsi="Times New Roman" w:eastAsia="宋体" w:cs="Times New Roman"/>
                      <w:color w:val="auto"/>
                      <w:sz w:val="21"/>
                      <w:szCs w:val="21"/>
                      <w:highlight w:val="none"/>
                      <w:shd w:val="clear" w:color="auto" w:fill="auto"/>
                    </w:rPr>
                    <w:t>0h</w:t>
                  </w:r>
                </w:p>
              </w:tc>
              <w:tc>
                <w:tcPr>
                  <w:tcW w:w="215" w:type="pct"/>
                  <w:vMerge w:val="restart"/>
                  <w:tcBorders>
                    <w:tl2br w:val="nil"/>
                    <w:tr2bl w:val="nil"/>
                  </w:tcBorders>
                  <w:noWrap w:val="0"/>
                  <w:vAlign w:val="center"/>
                </w:tcPr>
                <w:p w14:paraId="450801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18</w:t>
                  </w:r>
                </w:p>
              </w:tc>
              <w:tc>
                <w:tcPr>
                  <w:tcW w:w="199" w:type="pct"/>
                  <w:vMerge w:val="restart"/>
                  <w:tcBorders>
                    <w:tl2br w:val="nil"/>
                    <w:tr2bl w:val="nil"/>
                  </w:tcBorders>
                  <w:noWrap w:val="0"/>
                  <w:vAlign w:val="center"/>
                </w:tcPr>
                <w:p w14:paraId="17C979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0.7</w:t>
                  </w:r>
                </w:p>
              </w:tc>
              <w:tc>
                <w:tcPr>
                  <w:tcW w:w="253" w:type="pct"/>
                  <w:vMerge w:val="restart"/>
                  <w:tcBorders>
                    <w:tl2br w:val="nil"/>
                    <w:tr2bl w:val="nil"/>
                  </w:tcBorders>
                  <w:noWrap w:val="0"/>
                  <w:vAlign w:val="center"/>
                </w:tcPr>
                <w:p w14:paraId="4636FA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25</w:t>
                  </w:r>
                </w:p>
              </w:tc>
            </w:tr>
            <w:tr w14:paraId="23FBBB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205" w:type="pct"/>
                  <w:vMerge w:val="continue"/>
                  <w:tcBorders>
                    <w:tl2br w:val="nil"/>
                    <w:tr2bl w:val="nil"/>
                  </w:tcBorders>
                  <w:noWrap w:val="0"/>
                  <w:vAlign w:val="center"/>
                </w:tcPr>
                <w:p w14:paraId="2547A1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276" w:type="pct"/>
                  <w:tcBorders>
                    <w:tl2br w:val="nil"/>
                    <w:tr2bl w:val="nil"/>
                  </w:tcBorders>
                  <w:shd w:val="clear" w:color="auto" w:fill="auto"/>
                  <w:noWrap w:val="0"/>
                  <w:vAlign w:val="center"/>
                </w:tcPr>
                <w:p w14:paraId="1DF8CC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复合</w:t>
                  </w:r>
                </w:p>
              </w:tc>
              <w:tc>
                <w:tcPr>
                  <w:tcW w:w="305" w:type="pct"/>
                  <w:vMerge w:val="continue"/>
                  <w:tcBorders>
                    <w:tl2br w:val="nil"/>
                    <w:tr2bl w:val="nil"/>
                  </w:tcBorders>
                  <w:shd w:val="clear" w:color="auto" w:fill="auto"/>
                  <w:noWrap w:val="0"/>
                  <w:vAlign w:val="center"/>
                </w:tcPr>
                <w:p w14:paraId="58548F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22" w:type="pct"/>
                  <w:vMerge w:val="continue"/>
                  <w:tcBorders>
                    <w:tl2br w:val="nil"/>
                    <w:tr2bl w:val="nil"/>
                  </w:tcBorders>
                  <w:shd w:val="clear" w:color="auto" w:fill="auto"/>
                  <w:noWrap w:val="0"/>
                  <w:vAlign w:val="center"/>
                </w:tcPr>
                <w:p w14:paraId="6420C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4" w:type="pct"/>
                  <w:tcBorders>
                    <w:tl2br w:val="nil"/>
                    <w:tr2bl w:val="nil"/>
                  </w:tcBorders>
                  <w:shd w:val="clear" w:color="auto" w:fill="auto"/>
                  <w:noWrap w:val="0"/>
                  <w:vAlign w:val="center"/>
                </w:tcPr>
                <w:p w14:paraId="560C41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0.09</w:t>
                  </w:r>
                </w:p>
              </w:tc>
              <w:tc>
                <w:tcPr>
                  <w:tcW w:w="267" w:type="pct"/>
                  <w:tcBorders>
                    <w:tl2br w:val="nil"/>
                    <w:tr2bl w:val="nil"/>
                  </w:tcBorders>
                  <w:shd w:val="clear" w:color="auto" w:fill="auto"/>
                  <w:noWrap w:val="0"/>
                  <w:vAlign w:val="center"/>
                </w:tcPr>
                <w:p w14:paraId="628522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0.002</w:t>
                  </w:r>
                </w:p>
              </w:tc>
              <w:tc>
                <w:tcPr>
                  <w:tcW w:w="317" w:type="pct"/>
                  <w:tcBorders>
                    <w:tl2br w:val="nil"/>
                    <w:tr2bl w:val="nil"/>
                  </w:tcBorders>
                  <w:shd w:val="clear" w:color="auto" w:fill="auto"/>
                  <w:noWrap w:val="0"/>
                  <w:vAlign w:val="center"/>
                </w:tcPr>
                <w:p w14:paraId="49E044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0.0036</w:t>
                  </w:r>
                </w:p>
              </w:tc>
              <w:tc>
                <w:tcPr>
                  <w:tcW w:w="442" w:type="pct"/>
                  <w:vMerge w:val="continue"/>
                  <w:tcBorders>
                    <w:tl2br w:val="nil"/>
                    <w:tr2bl w:val="nil"/>
                  </w:tcBorders>
                  <w:shd w:val="clear" w:color="auto" w:fill="auto"/>
                  <w:noWrap w:val="0"/>
                  <w:vAlign w:val="center"/>
                </w:tcPr>
                <w:p w14:paraId="64A2E1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3" w:type="pct"/>
                  <w:vMerge w:val="continue"/>
                  <w:tcBorders>
                    <w:tl2br w:val="nil"/>
                    <w:tr2bl w:val="nil"/>
                  </w:tcBorders>
                  <w:shd w:val="clear" w:color="auto" w:fill="auto"/>
                  <w:noWrap w:val="0"/>
                  <w:vAlign w:val="center"/>
                </w:tcPr>
                <w:p w14:paraId="14E3F4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0" w:type="pct"/>
                  <w:vMerge w:val="continue"/>
                  <w:tcBorders>
                    <w:tl2br w:val="nil"/>
                    <w:tr2bl w:val="nil"/>
                  </w:tcBorders>
                  <w:shd w:val="clear" w:color="auto" w:fill="auto"/>
                  <w:noWrap w:val="0"/>
                  <w:vAlign w:val="center"/>
                </w:tcPr>
                <w:p w14:paraId="5B2ED7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p>
              </w:tc>
              <w:tc>
                <w:tcPr>
                  <w:tcW w:w="318" w:type="pct"/>
                  <w:vMerge w:val="continue"/>
                  <w:tcBorders>
                    <w:tl2br w:val="nil"/>
                    <w:tr2bl w:val="nil"/>
                  </w:tcBorders>
                  <w:shd w:val="clear" w:color="auto" w:fill="auto"/>
                  <w:noWrap w:val="0"/>
                  <w:vAlign w:val="center"/>
                </w:tcPr>
                <w:p w14:paraId="074DB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p>
              </w:tc>
              <w:tc>
                <w:tcPr>
                  <w:tcW w:w="280" w:type="pct"/>
                  <w:vMerge w:val="continue"/>
                  <w:tcBorders>
                    <w:tl2br w:val="nil"/>
                    <w:tr2bl w:val="nil"/>
                  </w:tcBorders>
                  <w:shd w:val="clear" w:color="auto" w:fill="auto"/>
                  <w:noWrap w:val="0"/>
                  <w:vAlign w:val="center"/>
                </w:tcPr>
                <w:p w14:paraId="1CEC86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283" w:type="pct"/>
                  <w:vMerge w:val="continue"/>
                  <w:tcBorders>
                    <w:tl2br w:val="nil"/>
                    <w:tr2bl w:val="nil"/>
                  </w:tcBorders>
                  <w:shd w:val="clear" w:color="auto" w:fill="auto"/>
                  <w:noWrap w:val="0"/>
                  <w:vAlign w:val="center"/>
                </w:tcPr>
                <w:p w14:paraId="280E7F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283" w:type="pct"/>
                  <w:vMerge w:val="continue"/>
                  <w:tcBorders>
                    <w:tl2br w:val="nil"/>
                    <w:tr2bl w:val="nil"/>
                  </w:tcBorders>
                  <w:shd w:val="clear" w:color="auto" w:fill="auto"/>
                  <w:noWrap w:val="0"/>
                  <w:vAlign w:val="center"/>
                </w:tcPr>
                <w:p w14:paraId="409725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283" w:type="pct"/>
                  <w:vMerge w:val="continue"/>
                  <w:tcBorders>
                    <w:tl2br w:val="nil"/>
                    <w:tr2bl w:val="nil"/>
                  </w:tcBorders>
                  <w:shd w:val="clear" w:color="auto" w:fill="auto"/>
                  <w:noWrap w:val="0"/>
                  <w:vAlign w:val="center"/>
                </w:tcPr>
                <w:p w14:paraId="6E03F2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215" w:type="pct"/>
                  <w:vMerge w:val="continue"/>
                  <w:tcBorders>
                    <w:tl2br w:val="nil"/>
                    <w:tr2bl w:val="nil"/>
                  </w:tcBorders>
                  <w:shd w:val="clear" w:color="auto" w:fill="auto"/>
                  <w:noWrap w:val="0"/>
                  <w:vAlign w:val="center"/>
                </w:tcPr>
                <w:p w14:paraId="75FB4F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199" w:type="pct"/>
                  <w:vMerge w:val="continue"/>
                  <w:tcBorders>
                    <w:tl2br w:val="nil"/>
                    <w:tr2bl w:val="nil"/>
                  </w:tcBorders>
                  <w:shd w:val="clear" w:color="auto" w:fill="auto"/>
                  <w:noWrap w:val="0"/>
                  <w:vAlign w:val="center"/>
                </w:tcPr>
                <w:p w14:paraId="24FAFF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53" w:type="pct"/>
                  <w:vMerge w:val="continue"/>
                  <w:tcBorders>
                    <w:tl2br w:val="nil"/>
                    <w:tr2bl w:val="nil"/>
                  </w:tcBorders>
                  <w:shd w:val="clear" w:color="auto" w:fill="auto"/>
                  <w:noWrap w:val="0"/>
                  <w:vAlign w:val="center"/>
                </w:tcPr>
                <w:p w14:paraId="7EBAFF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6BCA09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205" w:type="pct"/>
                  <w:vMerge w:val="continue"/>
                  <w:tcBorders>
                    <w:tl2br w:val="nil"/>
                    <w:tr2bl w:val="nil"/>
                  </w:tcBorders>
                  <w:noWrap w:val="0"/>
                  <w:vAlign w:val="center"/>
                </w:tcPr>
                <w:p w14:paraId="2E9209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276" w:type="pct"/>
                  <w:tcBorders>
                    <w:tl2br w:val="nil"/>
                    <w:tr2bl w:val="nil"/>
                  </w:tcBorders>
                  <w:shd w:val="clear" w:color="auto" w:fill="auto"/>
                  <w:noWrap w:val="0"/>
                  <w:vAlign w:val="center"/>
                </w:tcPr>
                <w:p w14:paraId="56BB26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熟化</w:t>
                  </w:r>
                </w:p>
              </w:tc>
              <w:tc>
                <w:tcPr>
                  <w:tcW w:w="305" w:type="pct"/>
                  <w:vMerge w:val="continue"/>
                  <w:tcBorders>
                    <w:tl2br w:val="nil"/>
                    <w:tr2bl w:val="nil"/>
                  </w:tcBorders>
                  <w:shd w:val="clear" w:color="auto" w:fill="auto"/>
                  <w:noWrap w:val="0"/>
                  <w:vAlign w:val="center"/>
                </w:tcPr>
                <w:p w14:paraId="09AB04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22" w:type="pct"/>
                  <w:vMerge w:val="continue"/>
                  <w:tcBorders>
                    <w:tl2br w:val="nil"/>
                    <w:tr2bl w:val="nil"/>
                  </w:tcBorders>
                  <w:shd w:val="clear" w:color="auto" w:fill="auto"/>
                  <w:noWrap w:val="0"/>
                  <w:vAlign w:val="center"/>
                </w:tcPr>
                <w:p w14:paraId="24F0E7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4" w:type="pct"/>
                  <w:tcBorders>
                    <w:tl2br w:val="nil"/>
                    <w:tr2bl w:val="nil"/>
                  </w:tcBorders>
                  <w:shd w:val="clear" w:color="auto" w:fill="auto"/>
                  <w:noWrap w:val="0"/>
                  <w:vAlign w:val="center"/>
                </w:tcPr>
                <w:p w14:paraId="465DA36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0.61</w:t>
                  </w:r>
                </w:p>
              </w:tc>
              <w:tc>
                <w:tcPr>
                  <w:tcW w:w="267" w:type="pct"/>
                  <w:tcBorders>
                    <w:tl2br w:val="nil"/>
                    <w:tr2bl w:val="nil"/>
                  </w:tcBorders>
                  <w:shd w:val="clear" w:color="auto" w:fill="auto"/>
                  <w:noWrap w:val="0"/>
                  <w:vAlign w:val="center"/>
                </w:tcPr>
                <w:p w14:paraId="6253A08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0.014</w:t>
                  </w:r>
                </w:p>
              </w:tc>
              <w:tc>
                <w:tcPr>
                  <w:tcW w:w="317" w:type="pct"/>
                  <w:tcBorders>
                    <w:tl2br w:val="nil"/>
                    <w:tr2bl w:val="nil"/>
                  </w:tcBorders>
                  <w:shd w:val="clear" w:color="auto" w:fill="auto"/>
                  <w:noWrap w:val="0"/>
                  <w:vAlign w:val="center"/>
                </w:tcPr>
                <w:p w14:paraId="362D1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w:t>
                  </w:r>
                  <w:r>
                    <w:rPr>
                      <w:rFonts w:hint="eastAsia" w:ascii="Times New Roman" w:hAnsi="Times New Roman" w:eastAsia="宋体" w:cs="Times New Roman"/>
                      <w:color w:val="auto"/>
                      <w:kern w:val="0"/>
                      <w:sz w:val="21"/>
                      <w:szCs w:val="21"/>
                      <w:highlight w:val="none"/>
                      <w:shd w:val="clear" w:color="auto" w:fill="auto"/>
                      <w:lang w:val="en-US" w:eastAsia="zh-CN"/>
                    </w:rPr>
                    <w:t>0342</w:t>
                  </w:r>
                </w:p>
              </w:tc>
              <w:tc>
                <w:tcPr>
                  <w:tcW w:w="442" w:type="pct"/>
                  <w:vMerge w:val="continue"/>
                  <w:tcBorders>
                    <w:tl2br w:val="nil"/>
                    <w:tr2bl w:val="nil"/>
                  </w:tcBorders>
                  <w:shd w:val="clear" w:color="auto" w:fill="auto"/>
                  <w:noWrap w:val="0"/>
                  <w:vAlign w:val="center"/>
                </w:tcPr>
                <w:p w14:paraId="7E59A7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3" w:type="pct"/>
                  <w:vMerge w:val="continue"/>
                  <w:tcBorders>
                    <w:tl2br w:val="nil"/>
                    <w:tr2bl w:val="nil"/>
                  </w:tcBorders>
                  <w:shd w:val="clear" w:color="auto" w:fill="auto"/>
                  <w:noWrap w:val="0"/>
                  <w:vAlign w:val="center"/>
                </w:tcPr>
                <w:p w14:paraId="4511E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0" w:type="pct"/>
                  <w:vMerge w:val="continue"/>
                  <w:tcBorders>
                    <w:tl2br w:val="nil"/>
                    <w:tr2bl w:val="nil"/>
                  </w:tcBorders>
                  <w:shd w:val="clear" w:color="auto" w:fill="auto"/>
                  <w:noWrap w:val="0"/>
                  <w:vAlign w:val="center"/>
                </w:tcPr>
                <w:p w14:paraId="0A32A01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p>
              </w:tc>
              <w:tc>
                <w:tcPr>
                  <w:tcW w:w="318" w:type="pct"/>
                  <w:vMerge w:val="continue"/>
                  <w:tcBorders>
                    <w:tl2br w:val="nil"/>
                    <w:tr2bl w:val="nil"/>
                  </w:tcBorders>
                  <w:shd w:val="clear" w:color="auto" w:fill="auto"/>
                  <w:noWrap w:val="0"/>
                  <w:vAlign w:val="center"/>
                </w:tcPr>
                <w:p w14:paraId="383530C5">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p>
              </w:tc>
              <w:tc>
                <w:tcPr>
                  <w:tcW w:w="280" w:type="pct"/>
                  <w:vMerge w:val="continue"/>
                  <w:tcBorders>
                    <w:tl2br w:val="nil"/>
                    <w:tr2bl w:val="nil"/>
                  </w:tcBorders>
                  <w:shd w:val="clear" w:color="auto" w:fill="auto"/>
                  <w:noWrap w:val="0"/>
                  <w:vAlign w:val="center"/>
                </w:tcPr>
                <w:p w14:paraId="3A0EE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083FC6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034C05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035DFF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215" w:type="pct"/>
                  <w:vMerge w:val="continue"/>
                  <w:tcBorders>
                    <w:tl2br w:val="nil"/>
                    <w:tr2bl w:val="nil"/>
                  </w:tcBorders>
                  <w:shd w:val="clear" w:color="auto" w:fill="auto"/>
                  <w:noWrap w:val="0"/>
                  <w:vAlign w:val="center"/>
                </w:tcPr>
                <w:p w14:paraId="1D7AE3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199" w:type="pct"/>
                  <w:vMerge w:val="continue"/>
                  <w:tcBorders>
                    <w:tl2br w:val="nil"/>
                    <w:tr2bl w:val="nil"/>
                  </w:tcBorders>
                  <w:shd w:val="clear" w:color="auto" w:fill="auto"/>
                  <w:noWrap w:val="0"/>
                  <w:vAlign w:val="center"/>
                </w:tcPr>
                <w:p w14:paraId="3D25C6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53" w:type="pct"/>
                  <w:vMerge w:val="continue"/>
                  <w:tcBorders>
                    <w:tl2br w:val="nil"/>
                    <w:tr2bl w:val="nil"/>
                  </w:tcBorders>
                  <w:shd w:val="clear" w:color="auto" w:fill="auto"/>
                  <w:noWrap w:val="0"/>
                  <w:vAlign w:val="center"/>
                </w:tcPr>
                <w:p w14:paraId="3E7D3A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rPr>
                  </w:pPr>
                </w:p>
              </w:tc>
            </w:tr>
            <w:tr w14:paraId="54E820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05" w:type="pct"/>
                  <w:vMerge w:val="continue"/>
                  <w:tcBorders>
                    <w:tl2br w:val="nil"/>
                    <w:tr2bl w:val="nil"/>
                  </w:tcBorders>
                  <w:noWrap w:val="0"/>
                  <w:vAlign w:val="center"/>
                </w:tcPr>
                <w:p w14:paraId="4BF61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shd w:val="clear" w:color="auto" w:fill="auto"/>
                    </w:rPr>
                  </w:pPr>
                </w:p>
              </w:tc>
              <w:tc>
                <w:tcPr>
                  <w:tcW w:w="276" w:type="pct"/>
                  <w:tcBorders>
                    <w:tl2br w:val="nil"/>
                    <w:tr2bl w:val="nil"/>
                  </w:tcBorders>
                  <w:shd w:val="clear" w:color="auto" w:fill="auto"/>
                  <w:noWrap w:val="0"/>
                  <w:vAlign w:val="center"/>
                </w:tcPr>
                <w:p w14:paraId="0B59E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清洗</w:t>
                  </w:r>
                </w:p>
              </w:tc>
              <w:tc>
                <w:tcPr>
                  <w:tcW w:w="305" w:type="pct"/>
                  <w:vMerge w:val="continue"/>
                  <w:tcBorders>
                    <w:tl2br w:val="nil"/>
                    <w:tr2bl w:val="nil"/>
                  </w:tcBorders>
                  <w:shd w:val="clear" w:color="auto" w:fill="auto"/>
                  <w:noWrap w:val="0"/>
                  <w:vAlign w:val="center"/>
                </w:tcPr>
                <w:p w14:paraId="6A424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22" w:type="pct"/>
                  <w:vMerge w:val="continue"/>
                  <w:tcBorders>
                    <w:tl2br w:val="nil"/>
                    <w:tr2bl w:val="nil"/>
                  </w:tcBorders>
                  <w:shd w:val="clear" w:color="auto" w:fill="auto"/>
                  <w:noWrap w:val="0"/>
                  <w:vAlign w:val="center"/>
                </w:tcPr>
                <w:p w14:paraId="24F242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4" w:type="pct"/>
                  <w:tcBorders>
                    <w:tl2br w:val="nil"/>
                    <w:tr2bl w:val="nil"/>
                  </w:tcBorders>
                  <w:shd w:val="clear" w:color="auto" w:fill="auto"/>
                  <w:noWrap w:val="0"/>
                  <w:vAlign w:val="center"/>
                </w:tcPr>
                <w:p w14:paraId="3CB1340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0.91</w:t>
                  </w:r>
                </w:p>
              </w:tc>
              <w:tc>
                <w:tcPr>
                  <w:tcW w:w="267" w:type="pct"/>
                  <w:tcBorders>
                    <w:tl2br w:val="nil"/>
                    <w:tr2bl w:val="nil"/>
                  </w:tcBorders>
                  <w:shd w:val="clear" w:color="auto" w:fill="auto"/>
                  <w:noWrap w:val="0"/>
                  <w:vAlign w:val="center"/>
                </w:tcPr>
                <w:p w14:paraId="669B1A9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0.021</w:t>
                  </w:r>
                </w:p>
              </w:tc>
              <w:tc>
                <w:tcPr>
                  <w:tcW w:w="317" w:type="pct"/>
                  <w:tcBorders>
                    <w:tl2br w:val="nil"/>
                    <w:tr2bl w:val="nil"/>
                  </w:tcBorders>
                  <w:shd w:val="clear" w:color="auto" w:fill="auto"/>
                  <w:noWrap w:val="0"/>
                  <w:vAlign w:val="center"/>
                </w:tcPr>
                <w:p w14:paraId="5BFE6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0.0494</w:t>
                  </w:r>
                </w:p>
              </w:tc>
              <w:tc>
                <w:tcPr>
                  <w:tcW w:w="442" w:type="pct"/>
                  <w:vMerge w:val="continue"/>
                  <w:tcBorders>
                    <w:tl2br w:val="nil"/>
                    <w:tr2bl w:val="nil"/>
                  </w:tcBorders>
                  <w:shd w:val="clear" w:color="auto" w:fill="auto"/>
                  <w:noWrap w:val="0"/>
                  <w:vAlign w:val="center"/>
                </w:tcPr>
                <w:p w14:paraId="775019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3" w:type="pct"/>
                  <w:vMerge w:val="continue"/>
                  <w:tcBorders>
                    <w:tl2br w:val="nil"/>
                    <w:tr2bl w:val="nil"/>
                  </w:tcBorders>
                  <w:shd w:val="clear" w:color="auto" w:fill="auto"/>
                  <w:noWrap w:val="0"/>
                  <w:vAlign w:val="center"/>
                </w:tcPr>
                <w:p w14:paraId="75E6FA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0" w:type="pct"/>
                  <w:vMerge w:val="continue"/>
                  <w:tcBorders>
                    <w:tl2br w:val="nil"/>
                    <w:tr2bl w:val="nil"/>
                  </w:tcBorders>
                  <w:shd w:val="clear" w:color="auto" w:fill="auto"/>
                  <w:noWrap w:val="0"/>
                  <w:vAlign w:val="center"/>
                </w:tcPr>
                <w:p w14:paraId="3C3417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18" w:type="pct"/>
                  <w:vMerge w:val="continue"/>
                  <w:tcBorders>
                    <w:tl2br w:val="nil"/>
                    <w:tr2bl w:val="nil"/>
                  </w:tcBorders>
                  <w:shd w:val="clear" w:color="auto" w:fill="auto"/>
                  <w:noWrap w:val="0"/>
                  <w:vAlign w:val="center"/>
                </w:tcPr>
                <w:p w14:paraId="52BA91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0" w:type="pct"/>
                  <w:vMerge w:val="continue"/>
                  <w:tcBorders>
                    <w:tl2br w:val="nil"/>
                    <w:tr2bl w:val="nil"/>
                  </w:tcBorders>
                  <w:shd w:val="clear" w:color="auto" w:fill="auto"/>
                  <w:noWrap w:val="0"/>
                  <w:vAlign w:val="center"/>
                </w:tcPr>
                <w:p w14:paraId="5BDA1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38E6DE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0F702B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66DC7D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15" w:type="pct"/>
                  <w:vMerge w:val="continue"/>
                  <w:tcBorders>
                    <w:tl2br w:val="nil"/>
                    <w:tr2bl w:val="nil"/>
                  </w:tcBorders>
                  <w:shd w:val="clear" w:color="auto" w:fill="auto"/>
                  <w:noWrap w:val="0"/>
                  <w:vAlign w:val="center"/>
                </w:tcPr>
                <w:p w14:paraId="512FA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199" w:type="pct"/>
                  <w:vMerge w:val="continue"/>
                  <w:tcBorders>
                    <w:tl2br w:val="nil"/>
                    <w:tr2bl w:val="nil"/>
                  </w:tcBorders>
                  <w:shd w:val="clear" w:color="auto" w:fill="auto"/>
                  <w:noWrap w:val="0"/>
                  <w:vAlign w:val="center"/>
                </w:tcPr>
                <w:p w14:paraId="570F31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53" w:type="pct"/>
                  <w:vMerge w:val="continue"/>
                  <w:tcBorders>
                    <w:tl2br w:val="nil"/>
                    <w:tr2bl w:val="nil"/>
                  </w:tcBorders>
                  <w:shd w:val="clear" w:color="auto" w:fill="auto"/>
                  <w:noWrap w:val="0"/>
                  <w:vAlign w:val="center"/>
                </w:tcPr>
                <w:p w14:paraId="16C25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151681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05" w:type="pct"/>
                  <w:vMerge w:val="continue"/>
                  <w:tcBorders>
                    <w:tl2br w:val="nil"/>
                    <w:tr2bl w:val="nil"/>
                  </w:tcBorders>
                  <w:noWrap w:val="0"/>
                  <w:vAlign w:val="center"/>
                </w:tcPr>
                <w:p w14:paraId="4F9EF2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shd w:val="clear" w:color="auto" w:fill="auto"/>
                    </w:rPr>
                  </w:pPr>
                </w:p>
              </w:tc>
              <w:tc>
                <w:tcPr>
                  <w:tcW w:w="276" w:type="pct"/>
                  <w:tcBorders>
                    <w:tl2br w:val="nil"/>
                    <w:tr2bl w:val="nil"/>
                  </w:tcBorders>
                  <w:shd w:val="clear" w:color="auto" w:fill="auto"/>
                  <w:noWrap w:val="0"/>
                  <w:vAlign w:val="center"/>
                </w:tcPr>
                <w:p w14:paraId="302BFD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调墨、印刷</w:t>
                  </w:r>
                </w:p>
              </w:tc>
              <w:tc>
                <w:tcPr>
                  <w:tcW w:w="305" w:type="pct"/>
                  <w:vMerge w:val="continue"/>
                  <w:tcBorders>
                    <w:tl2br w:val="nil"/>
                    <w:tr2bl w:val="nil"/>
                  </w:tcBorders>
                  <w:shd w:val="clear" w:color="auto" w:fill="auto"/>
                  <w:noWrap w:val="0"/>
                  <w:vAlign w:val="center"/>
                </w:tcPr>
                <w:p w14:paraId="48AA9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22" w:type="pct"/>
                  <w:vMerge w:val="restart"/>
                  <w:tcBorders>
                    <w:tl2br w:val="nil"/>
                    <w:tr2bl w:val="nil"/>
                  </w:tcBorders>
                  <w:shd w:val="clear" w:color="auto" w:fill="auto"/>
                  <w:noWrap w:val="0"/>
                  <w:vAlign w:val="center"/>
                </w:tcPr>
                <w:p w14:paraId="7703C9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TVOC</w:t>
                  </w:r>
                </w:p>
              </w:tc>
              <w:tc>
                <w:tcPr>
                  <w:tcW w:w="284" w:type="pct"/>
                  <w:tcBorders>
                    <w:tl2br w:val="nil"/>
                    <w:tr2bl w:val="nil"/>
                  </w:tcBorders>
                  <w:shd w:val="clear" w:color="auto" w:fill="auto"/>
                  <w:noWrap w:val="0"/>
                  <w:vAlign w:val="center"/>
                </w:tcPr>
                <w:p w14:paraId="5BBCF7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10.17</w:t>
                  </w:r>
                </w:p>
              </w:tc>
              <w:tc>
                <w:tcPr>
                  <w:tcW w:w="267" w:type="pct"/>
                  <w:tcBorders>
                    <w:tl2br w:val="nil"/>
                    <w:tr2bl w:val="nil"/>
                  </w:tcBorders>
                  <w:shd w:val="clear" w:color="auto" w:fill="auto"/>
                  <w:noWrap w:val="0"/>
                  <w:vAlign w:val="center"/>
                </w:tcPr>
                <w:p w14:paraId="745D54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0.234</w:t>
                  </w:r>
                </w:p>
              </w:tc>
              <w:tc>
                <w:tcPr>
                  <w:tcW w:w="317" w:type="pct"/>
                  <w:tcBorders>
                    <w:tl2br w:val="nil"/>
                    <w:tr2bl w:val="nil"/>
                  </w:tcBorders>
                  <w:shd w:val="clear" w:color="auto" w:fill="auto"/>
                  <w:noWrap w:val="0"/>
                  <w:vAlign w:val="center"/>
                </w:tcPr>
                <w:p w14:paraId="3E8345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0.5605</w:t>
                  </w:r>
                </w:p>
              </w:tc>
              <w:tc>
                <w:tcPr>
                  <w:tcW w:w="442" w:type="pct"/>
                  <w:vMerge w:val="continue"/>
                  <w:tcBorders>
                    <w:tl2br w:val="nil"/>
                    <w:tr2bl w:val="nil"/>
                  </w:tcBorders>
                  <w:shd w:val="clear" w:color="auto" w:fill="auto"/>
                  <w:noWrap w:val="0"/>
                  <w:vAlign w:val="center"/>
                </w:tcPr>
                <w:p w14:paraId="1FF7C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3" w:type="pct"/>
                  <w:vMerge w:val="continue"/>
                  <w:tcBorders>
                    <w:tl2br w:val="nil"/>
                    <w:tr2bl w:val="nil"/>
                  </w:tcBorders>
                  <w:shd w:val="clear" w:color="auto" w:fill="auto"/>
                  <w:noWrap w:val="0"/>
                  <w:vAlign w:val="center"/>
                </w:tcPr>
                <w:p w14:paraId="2A5EB2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0" w:type="pct"/>
                  <w:vMerge w:val="restart"/>
                  <w:tcBorders>
                    <w:tl2br w:val="nil"/>
                    <w:tr2bl w:val="nil"/>
                  </w:tcBorders>
                  <w:shd w:val="clear" w:color="auto" w:fill="auto"/>
                  <w:noWrap w:val="0"/>
                  <w:vAlign w:val="center"/>
                </w:tcPr>
                <w:p w14:paraId="7CB52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1.35</w:t>
                  </w:r>
                </w:p>
              </w:tc>
              <w:tc>
                <w:tcPr>
                  <w:tcW w:w="318" w:type="pct"/>
                  <w:vMerge w:val="restart"/>
                  <w:tcBorders>
                    <w:tl2br w:val="nil"/>
                    <w:tr2bl w:val="nil"/>
                  </w:tcBorders>
                  <w:shd w:val="clear" w:color="auto" w:fill="auto"/>
                  <w:noWrap w:val="0"/>
                  <w:vAlign w:val="center"/>
                </w:tcPr>
                <w:p w14:paraId="6546F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0.031</w:t>
                  </w:r>
                </w:p>
              </w:tc>
              <w:tc>
                <w:tcPr>
                  <w:tcW w:w="280" w:type="pct"/>
                  <w:vMerge w:val="restart"/>
                  <w:tcBorders>
                    <w:tl2br w:val="nil"/>
                    <w:tr2bl w:val="nil"/>
                  </w:tcBorders>
                  <w:shd w:val="clear" w:color="auto" w:fill="auto"/>
                  <w:noWrap w:val="0"/>
                  <w:vAlign w:val="center"/>
                </w:tcPr>
                <w:p w14:paraId="399129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0.0751</w:t>
                  </w:r>
                </w:p>
              </w:tc>
              <w:tc>
                <w:tcPr>
                  <w:tcW w:w="750" w:type="dxa"/>
                  <w:vMerge w:val="restart"/>
                  <w:tcBorders>
                    <w:tl2br w:val="nil"/>
                    <w:tr2bl w:val="nil"/>
                  </w:tcBorders>
                  <w:shd w:val="clear" w:color="auto" w:fill="auto"/>
                  <w:noWrap w:val="0"/>
                  <w:vAlign w:val="center"/>
                </w:tcPr>
                <w:p w14:paraId="36241E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70</w:t>
                  </w:r>
                </w:p>
              </w:tc>
              <w:tc>
                <w:tcPr>
                  <w:tcW w:w="750" w:type="dxa"/>
                  <w:vMerge w:val="restart"/>
                  <w:tcBorders>
                    <w:tl2br w:val="nil"/>
                    <w:tr2bl w:val="nil"/>
                  </w:tcBorders>
                  <w:shd w:val="clear" w:color="auto" w:fill="auto"/>
                  <w:noWrap w:val="0"/>
                  <w:vAlign w:val="center"/>
                </w:tcPr>
                <w:p w14:paraId="765274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2.5</w:t>
                  </w:r>
                </w:p>
              </w:tc>
              <w:tc>
                <w:tcPr>
                  <w:tcW w:w="283" w:type="pct"/>
                  <w:vMerge w:val="continue"/>
                  <w:tcBorders>
                    <w:tl2br w:val="nil"/>
                    <w:tr2bl w:val="nil"/>
                  </w:tcBorders>
                  <w:shd w:val="clear" w:color="auto" w:fill="auto"/>
                  <w:noWrap w:val="0"/>
                  <w:vAlign w:val="center"/>
                </w:tcPr>
                <w:p w14:paraId="3B3F17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15" w:type="pct"/>
                  <w:vMerge w:val="continue"/>
                  <w:tcBorders>
                    <w:tl2br w:val="nil"/>
                    <w:tr2bl w:val="nil"/>
                  </w:tcBorders>
                  <w:shd w:val="clear" w:color="auto" w:fill="auto"/>
                  <w:noWrap w:val="0"/>
                  <w:vAlign w:val="center"/>
                </w:tcPr>
                <w:p w14:paraId="1FA6E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199" w:type="pct"/>
                  <w:vMerge w:val="continue"/>
                  <w:tcBorders>
                    <w:tl2br w:val="nil"/>
                    <w:tr2bl w:val="nil"/>
                  </w:tcBorders>
                  <w:shd w:val="clear" w:color="auto" w:fill="auto"/>
                  <w:noWrap w:val="0"/>
                  <w:vAlign w:val="center"/>
                </w:tcPr>
                <w:p w14:paraId="5FC7C8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53" w:type="pct"/>
                  <w:vMerge w:val="continue"/>
                  <w:tcBorders>
                    <w:tl2br w:val="nil"/>
                    <w:tr2bl w:val="nil"/>
                  </w:tcBorders>
                  <w:shd w:val="clear" w:color="auto" w:fill="auto"/>
                  <w:noWrap w:val="0"/>
                  <w:vAlign w:val="center"/>
                </w:tcPr>
                <w:p w14:paraId="0CDCA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376264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05" w:type="pct"/>
                  <w:vMerge w:val="continue"/>
                  <w:tcBorders>
                    <w:tl2br w:val="nil"/>
                    <w:tr2bl w:val="nil"/>
                  </w:tcBorders>
                  <w:noWrap w:val="0"/>
                  <w:vAlign w:val="center"/>
                </w:tcPr>
                <w:p w14:paraId="657E2C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shd w:val="clear" w:color="auto" w:fill="auto"/>
                    </w:rPr>
                  </w:pPr>
                </w:p>
              </w:tc>
              <w:tc>
                <w:tcPr>
                  <w:tcW w:w="276" w:type="pct"/>
                  <w:tcBorders>
                    <w:tl2br w:val="nil"/>
                    <w:tr2bl w:val="nil"/>
                  </w:tcBorders>
                  <w:shd w:val="clear" w:color="auto" w:fill="auto"/>
                  <w:noWrap w:val="0"/>
                  <w:vAlign w:val="center"/>
                </w:tcPr>
                <w:p w14:paraId="2C8FB9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清洗</w:t>
                  </w:r>
                </w:p>
              </w:tc>
              <w:tc>
                <w:tcPr>
                  <w:tcW w:w="305" w:type="pct"/>
                  <w:vMerge w:val="continue"/>
                  <w:tcBorders>
                    <w:tl2br w:val="nil"/>
                    <w:tr2bl w:val="nil"/>
                  </w:tcBorders>
                  <w:shd w:val="clear" w:color="auto" w:fill="auto"/>
                  <w:noWrap w:val="0"/>
                  <w:vAlign w:val="center"/>
                </w:tcPr>
                <w:p w14:paraId="24887C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22" w:type="pct"/>
                  <w:vMerge w:val="continue"/>
                  <w:tcBorders>
                    <w:tl2br w:val="nil"/>
                    <w:tr2bl w:val="nil"/>
                  </w:tcBorders>
                  <w:shd w:val="clear" w:color="auto" w:fill="auto"/>
                  <w:noWrap w:val="0"/>
                  <w:vAlign w:val="center"/>
                </w:tcPr>
                <w:p w14:paraId="69963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4" w:type="pct"/>
                  <w:tcBorders>
                    <w:tl2br w:val="nil"/>
                    <w:tr2bl w:val="nil"/>
                  </w:tcBorders>
                  <w:shd w:val="clear" w:color="auto" w:fill="auto"/>
                  <w:noWrap w:val="0"/>
                  <w:vAlign w:val="center"/>
                </w:tcPr>
                <w:p w14:paraId="2998D0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3.43</w:t>
                  </w:r>
                </w:p>
              </w:tc>
              <w:tc>
                <w:tcPr>
                  <w:tcW w:w="267" w:type="pct"/>
                  <w:tcBorders>
                    <w:tl2br w:val="nil"/>
                    <w:tr2bl w:val="nil"/>
                  </w:tcBorders>
                  <w:shd w:val="clear" w:color="auto" w:fill="auto"/>
                  <w:noWrap w:val="0"/>
                  <w:vAlign w:val="center"/>
                </w:tcPr>
                <w:p w14:paraId="24CF76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0.079</w:t>
                  </w:r>
                </w:p>
              </w:tc>
              <w:tc>
                <w:tcPr>
                  <w:tcW w:w="317" w:type="pct"/>
                  <w:tcBorders>
                    <w:tl2br w:val="nil"/>
                    <w:tr2bl w:val="nil"/>
                  </w:tcBorders>
                  <w:shd w:val="clear" w:color="auto" w:fill="auto"/>
                  <w:noWrap w:val="0"/>
                  <w:vAlign w:val="center"/>
                </w:tcPr>
                <w:p w14:paraId="783BAD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0.1900</w:t>
                  </w:r>
                </w:p>
              </w:tc>
              <w:tc>
                <w:tcPr>
                  <w:tcW w:w="442" w:type="pct"/>
                  <w:vMerge w:val="continue"/>
                  <w:tcBorders>
                    <w:tl2br w:val="nil"/>
                    <w:tr2bl w:val="nil"/>
                  </w:tcBorders>
                  <w:shd w:val="clear" w:color="auto" w:fill="auto"/>
                  <w:noWrap w:val="0"/>
                  <w:vAlign w:val="center"/>
                </w:tcPr>
                <w:p w14:paraId="54996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3" w:type="pct"/>
                  <w:vMerge w:val="continue"/>
                  <w:tcBorders>
                    <w:tl2br w:val="nil"/>
                    <w:tr2bl w:val="nil"/>
                  </w:tcBorders>
                  <w:shd w:val="clear" w:color="auto" w:fill="auto"/>
                  <w:noWrap w:val="0"/>
                  <w:vAlign w:val="center"/>
                </w:tcPr>
                <w:p w14:paraId="2CA11B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0" w:type="pct"/>
                  <w:vMerge w:val="continue"/>
                  <w:tcBorders>
                    <w:tl2br w:val="nil"/>
                    <w:tr2bl w:val="nil"/>
                  </w:tcBorders>
                  <w:shd w:val="clear" w:color="auto" w:fill="auto"/>
                  <w:noWrap w:val="0"/>
                  <w:vAlign w:val="center"/>
                </w:tcPr>
                <w:p w14:paraId="55E41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18" w:type="pct"/>
                  <w:vMerge w:val="continue"/>
                  <w:tcBorders>
                    <w:tl2br w:val="nil"/>
                    <w:tr2bl w:val="nil"/>
                  </w:tcBorders>
                  <w:shd w:val="clear" w:color="auto" w:fill="auto"/>
                  <w:noWrap w:val="0"/>
                  <w:vAlign w:val="center"/>
                </w:tcPr>
                <w:p w14:paraId="47A676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0" w:type="pct"/>
                  <w:vMerge w:val="continue"/>
                  <w:tcBorders>
                    <w:tl2br w:val="nil"/>
                    <w:tr2bl w:val="nil"/>
                  </w:tcBorders>
                  <w:shd w:val="clear" w:color="auto" w:fill="auto"/>
                  <w:noWrap w:val="0"/>
                  <w:vAlign w:val="center"/>
                </w:tcPr>
                <w:p w14:paraId="078910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12A5F0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0ACB8F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2876E3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15" w:type="pct"/>
                  <w:vMerge w:val="continue"/>
                  <w:tcBorders>
                    <w:tl2br w:val="nil"/>
                    <w:tr2bl w:val="nil"/>
                  </w:tcBorders>
                  <w:shd w:val="clear" w:color="auto" w:fill="auto"/>
                  <w:noWrap w:val="0"/>
                  <w:vAlign w:val="center"/>
                </w:tcPr>
                <w:p w14:paraId="1E925B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199" w:type="pct"/>
                  <w:vMerge w:val="continue"/>
                  <w:tcBorders>
                    <w:tl2br w:val="nil"/>
                    <w:tr2bl w:val="nil"/>
                  </w:tcBorders>
                  <w:shd w:val="clear" w:color="auto" w:fill="auto"/>
                  <w:noWrap w:val="0"/>
                  <w:vAlign w:val="center"/>
                </w:tcPr>
                <w:p w14:paraId="1A8F30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53" w:type="pct"/>
                  <w:vMerge w:val="continue"/>
                  <w:tcBorders>
                    <w:tl2br w:val="nil"/>
                    <w:tr2bl w:val="nil"/>
                  </w:tcBorders>
                  <w:shd w:val="clear" w:color="auto" w:fill="auto"/>
                  <w:noWrap w:val="0"/>
                  <w:vAlign w:val="center"/>
                </w:tcPr>
                <w:p w14:paraId="31812E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79340F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05" w:type="pct"/>
                  <w:vMerge w:val="restart"/>
                  <w:tcBorders>
                    <w:tl2br w:val="nil"/>
                    <w:tr2bl w:val="nil"/>
                  </w:tcBorders>
                  <w:noWrap w:val="0"/>
                  <w:vAlign w:val="center"/>
                </w:tcPr>
                <w:p w14:paraId="2D3BC1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2#</w:t>
                  </w:r>
                </w:p>
              </w:tc>
              <w:tc>
                <w:tcPr>
                  <w:tcW w:w="276" w:type="pct"/>
                  <w:tcBorders>
                    <w:tl2br w:val="nil"/>
                    <w:tr2bl w:val="nil"/>
                  </w:tcBorders>
                  <w:shd w:val="clear" w:color="auto" w:fill="auto"/>
                  <w:noWrap w:val="0"/>
                  <w:vAlign w:val="center"/>
                </w:tcPr>
                <w:p w14:paraId="00C18C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吹膜</w:t>
                  </w:r>
                </w:p>
              </w:tc>
              <w:tc>
                <w:tcPr>
                  <w:tcW w:w="305" w:type="pct"/>
                  <w:vMerge w:val="restart"/>
                  <w:tcBorders>
                    <w:tl2br w:val="nil"/>
                    <w:tr2bl w:val="nil"/>
                  </w:tcBorders>
                  <w:shd w:val="clear" w:color="auto" w:fill="auto"/>
                  <w:noWrap w:val="0"/>
                  <w:vAlign w:val="center"/>
                </w:tcPr>
                <w:p w14:paraId="7FEDC4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8000</w:t>
                  </w:r>
                </w:p>
              </w:tc>
              <w:tc>
                <w:tcPr>
                  <w:tcW w:w="322" w:type="pct"/>
                  <w:vMerge w:val="restart"/>
                  <w:tcBorders>
                    <w:tl2br w:val="nil"/>
                    <w:tr2bl w:val="nil"/>
                  </w:tcBorders>
                  <w:shd w:val="clear" w:color="auto" w:fill="auto"/>
                  <w:noWrap w:val="0"/>
                  <w:vAlign w:val="center"/>
                </w:tcPr>
                <w:p w14:paraId="019066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非甲烷总烃</w:t>
                  </w:r>
                </w:p>
              </w:tc>
              <w:tc>
                <w:tcPr>
                  <w:tcW w:w="284" w:type="pct"/>
                  <w:tcBorders>
                    <w:tl2br w:val="nil"/>
                    <w:tr2bl w:val="nil"/>
                  </w:tcBorders>
                  <w:shd w:val="clear" w:color="auto" w:fill="auto"/>
                  <w:noWrap w:val="0"/>
                  <w:vAlign w:val="center"/>
                </w:tcPr>
                <w:p w14:paraId="05C2736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16.41</w:t>
                  </w:r>
                </w:p>
              </w:tc>
              <w:tc>
                <w:tcPr>
                  <w:tcW w:w="267" w:type="pct"/>
                  <w:tcBorders>
                    <w:tl2br w:val="nil"/>
                    <w:tr2bl w:val="nil"/>
                  </w:tcBorders>
                  <w:shd w:val="clear" w:color="auto" w:fill="auto"/>
                  <w:noWrap w:val="0"/>
                  <w:vAlign w:val="center"/>
                </w:tcPr>
                <w:p w14:paraId="27F3F5B5">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0.131</w:t>
                  </w:r>
                </w:p>
              </w:tc>
              <w:tc>
                <w:tcPr>
                  <w:tcW w:w="317" w:type="pct"/>
                  <w:tcBorders>
                    <w:tl2br w:val="nil"/>
                    <w:tr2bl w:val="nil"/>
                  </w:tcBorders>
                  <w:shd w:val="clear" w:color="auto" w:fill="auto"/>
                  <w:noWrap w:val="0"/>
                  <w:vAlign w:val="center"/>
                </w:tcPr>
                <w:p w14:paraId="74FC4A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lang w:val="en-US" w:eastAsia="zh-CN"/>
                    </w:rPr>
                    <w:t>0.</w:t>
                  </w:r>
                  <w:r>
                    <w:rPr>
                      <w:rFonts w:hint="eastAsia" w:ascii="Times New Roman" w:hAnsi="Times New Roman" w:eastAsia="宋体" w:cs="Times New Roman"/>
                      <w:color w:val="auto"/>
                      <w:sz w:val="21"/>
                      <w:szCs w:val="21"/>
                      <w:highlight w:val="none"/>
                      <w:shd w:val="clear" w:color="auto" w:fill="auto"/>
                      <w:lang w:val="en-US" w:eastAsia="zh-CN"/>
                    </w:rPr>
                    <w:t>3150</w:t>
                  </w:r>
                </w:p>
              </w:tc>
              <w:tc>
                <w:tcPr>
                  <w:tcW w:w="442" w:type="pct"/>
                  <w:vMerge w:val="restart"/>
                  <w:tcBorders>
                    <w:tl2br w:val="nil"/>
                    <w:tr2bl w:val="nil"/>
                  </w:tcBorders>
                  <w:shd w:val="clear" w:color="auto" w:fill="auto"/>
                  <w:noWrap w:val="0"/>
                  <w:vAlign w:val="center"/>
                </w:tcPr>
                <w:p w14:paraId="56B846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r>
                    <w:rPr>
                      <w:rFonts w:hint="default" w:ascii="Times New Roman" w:hAnsi="Times New Roman" w:eastAsia="宋体" w:cs="Times New Roman"/>
                      <w:color w:val="auto"/>
                      <w:sz w:val="21"/>
                      <w:szCs w:val="21"/>
                      <w:highlight w:val="none"/>
                      <w:shd w:val="clear" w:color="auto" w:fill="auto"/>
                      <w:lang w:val="en-US" w:eastAsia="zh-CN"/>
                    </w:rPr>
                    <w:t>二级活性炭</w:t>
                  </w:r>
                </w:p>
              </w:tc>
              <w:tc>
                <w:tcPr>
                  <w:tcW w:w="233" w:type="pct"/>
                  <w:vMerge w:val="restart"/>
                  <w:tcBorders>
                    <w:tl2br w:val="nil"/>
                    <w:tr2bl w:val="nil"/>
                  </w:tcBorders>
                  <w:shd w:val="clear" w:color="auto" w:fill="auto"/>
                  <w:noWrap w:val="0"/>
                  <w:vAlign w:val="center"/>
                </w:tcPr>
                <w:p w14:paraId="4D242A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90</w:t>
                  </w:r>
                </w:p>
              </w:tc>
              <w:tc>
                <w:tcPr>
                  <w:tcW w:w="230" w:type="pct"/>
                  <w:vMerge w:val="restart"/>
                  <w:tcBorders>
                    <w:tl2br w:val="nil"/>
                    <w:tr2bl w:val="nil"/>
                  </w:tcBorders>
                  <w:shd w:val="clear" w:color="auto" w:fill="auto"/>
                  <w:noWrap w:val="0"/>
                  <w:vAlign w:val="center"/>
                </w:tcPr>
                <w:p w14:paraId="0C6517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1.82</w:t>
                  </w:r>
                </w:p>
              </w:tc>
              <w:tc>
                <w:tcPr>
                  <w:tcW w:w="318" w:type="pct"/>
                  <w:vMerge w:val="restart"/>
                  <w:tcBorders>
                    <w:tl2br w:val="nil"/>
                    <w:tr2bl w:val="nil"/>
                  </w:tcBorders>
                  <w:shd w:val="clear" w:color="auto" w:fill="auto"/>
                  <w:noWrap w:val="0"/>
                  <w:vAlign w:val="center"/>
                </w:tcPr>
                <w:p w14:paraId="3CA99D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0.014</w:t>
                  </w:r>
                </w:p>
              </w:tc>
              <w:tc>
                <w:tcPr>
                  <w:tcW w:w="280" w:type="pct"/>
                  <w:vMerge w:val="restart"/>
                  <w:tcBorders>
                    <w:tl2br w:val="nil"/>
                    <w:tr2bl w:val="nil"/>
                  </w:tcBorders>
                  <w:shd w:val="clear" w:color="auto" w:fill="auto"/>
                  <w:noWrap w:val="0"/>
                  <w:vAlign w:val="center"/>
                </w:tcPr>
                <w:p w14:paraId="2F847E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0.0347</w:t>
                  </w:r>
                </w:p>
              </w:tc>
              <w:tc>
                <w:tcPr>
                  <w:tcW w:w="750" w:type="dxa"/>
                  <w:vMerge w:val="restart"/>
                  <w:tcBorders>
                    <w:tl2br w:val="nil"/>
                    <w:tr2bl w:val="nil"/>
                  </w:tcBorders>
                  <w:shd w:val="clear" w:color="auto" w:fill="auto"/>
                  <w:noWrap w:val="0"/>
                  <w:vAlign w:val="center"/>
                </w:tcPr>
                <w:p w14:paraId="570E15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60</w:t>
                  </w:r>
                </w:p>
              </w:tc>
              <w:tc>
                <w:tcPr>
                  <w:tcW w:w="750" w:type="dxa"/>
                  <w:vMerge w:val="restart"/>
                  <w:tcBorders>
                    <w:tl2br w:val="nil"/>
                    <w:tr2bl w:val="nil"/>
                  </w:tcBorders>
                  <w:shd w:val="clear" w:color="auto" w:fill="auto"/>
                  <w:noWrap w:val="0"/>
                  <w:vAlign w:val="center"/>
                </w:tcPr>
                <w:p w14:paraId="016A10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283" w:type="pct"/>
                  <w:vMerge w:val="restart"/>
                  <w:tcBorders>
                    <w:tl2br w:val="nil"/>
                    <w:tr2bl w:val="nil"/>
                  </w:tcBorders>
                  <w:shd w:val="clear" w:color="auto" w:fill="auto"/>
                  <w:noWrap w:val="0"/>
                  <w:vAlign w:val="center"/>
                </w:tcPr>
                <w:p w14:paraId="7C6698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间断</w:t>
                  </w:r>
                  <w:r>
                    <w:rPr>
                      <w:rFonts w:hint="eastAsia" w:ascii="Times New Roman" w:hAnsi="Times New Roman" w:eastAsia="宋体" w:cs="Times New Roman"/>
                      <w:color w:val="auto"/>
                      <w:sz w:val="21"/>
                      <w:szCs w:val="21"/>
                      <w:highlight w:val="none"/>
                      <w:shd w:val="clear" w:color="auto" w:fill="auto"/>
                      <w:lang w:val="en-US" w:eastAsia="zh-CN"/>
                    </w:rPr>
                    <w:t>24</w:t>
                  </w:r>
                  <w:r>
                    <w:rPr>
                      <w:rFonts w:hint="default" w:ascii="Times New Roman" w:hAnsi="Times New Roman" w:eastAsia="宋体" w:cs="Times New Roman"/>
                      <w:color w:val="auto"/>
                      <w:sz w:val="21"/>
                      <w:szCs w:val="21"/>
                      <w:highlight w:val="none"/>
                      <w:shd w:val="clear" w:color="auto" w:fill="auto"/>
                      <w:lang w:val="en-US" w:eastAsia="zh-CN"/>
                    </w:rPr>
                    <w:t>0</w:t>
                  </w:r>
                  <w:r>
                    <w:rPr>
                      <w:rFonts w:hint="default" w:ascii="Times New Roman" w:hAnsi="Times New Roman" w:eastAsia="宋体" w:cs="Times New Roman"/>
                      <w:color w:val="auto"/>
                      <w:sz w:val="21"/>
                      <w:szCs w:val="21"/>
                      <w:highlight w:val="none"/>
                      <w:shd w:val="clear" w:color="auto" w:fill="auto"/>
                    </w:rPr>
                    <w:t>0h</w:t>
                  </w:r>
                </w:p>
              </w:tc>
              <w:tc>
                <w:tcPr>
                  <w:tcW w:w="215" w:type="pct"/>
                  <w:vMerge w:val="restart"/>
                  <w:tcBorders>
                    <w:tl2br w:val="nil"/>
                    <w:tr2bl w:val="nil"/>
                  </w:tcBorders>
                  <w:shd w:val="clear" w:color="auto" w:fill="auto"/>
                  <w:noWrap w:val="0"/>
                  <w:vAlign w:val="center"/>
                </w:tcPr>
                <w:p w14:paraId="58BABD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18</w:t>
                  </w:r>
                </w:p>
              </w:tc>
              <w:tc>
                <w:tcPr>
                  <w:tcW w:w="199" w:type="pct"/>
                  <w:vMerge w:val="restart"/>
                  <w:tcBorders>
                    <w:tl2br w:val="nil"/>
                    <w:tr2bl w:val="nil"/>
                  </w:tcBorders>
                  <w:shd w:val="clear" w:color="auto" w:fill="auto"/>
                  <w:noWrap w:val="0"/>
                  <w:vAlign w:val="center"/>
                </w:tcPr>
                <w:p w14:paraId="02AE11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0.3</w:t>
                  </w:r>
                </w:p>
              </w:tc>
              <w:tc>
                <w:tcPr>
                  <w:tcW w:w="253" w:type="pct"/>
                  <w:vMerge w:val="restart"/>
                  <w:tcBorders>
                    <w:tl2br w:val="nil"/>
                    <w:tr2bl w:val="nil"/>
                  </w:tcBorders>
                  <w:shd w:val="clear" w:color="auto" w:fill="auto"/>
                  <w:noWrap w:val="0"/>
                  <w:vAlign w:val="center"/>
                </w:tcPr>
                <w:p w14:paraId="7B8F46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25</w:t>
                  </w:r>
                </w:p>
              </w:tc>
            </w:tr>
            <w:tr w14:paraId="4F7731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205" w:type="pct"/>
                  <w:vMerge w:val="continue"/>
                  <w:tcBorders>
                    <w:tl2br w:val="nil"/>
                    <w:tr2bl w:val="nil"/>
                  </w:tcBorders>
                  <w:noWrap w:val="0"/>
                  <w:vAlign w:val="center"/>
                </w:tcPr>
                <w:p w14:paraId="60497E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shd w:val="clear" w:color="auto" w:fill="auto"/>
                    </w:rPr>
                  </w:pPr>
                </w:p>
              </w:tc>
              <w:tc>
                <w:tcPr>
                  <w:tcW w:w="276" w:type="pct"/>
                  <w:tcBorders>
                    <w:tl2br w:val="nil"/>
                    <w:tr2bl w:val="nil"/>
                  </w:tcBorders>
                  <w:shd w:val="clear" w:color="auto" w:fill="auto"/>
                  <w:noWrap w:val="0"/>
                  <w:vAlign w:val="center"/>
                </w:tcPr>
                <w:p w14:paraId="662B4C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制袋</w:t>
                  </w:r>
                </w:p>
              </w:tc>
              <w:tc>
                <w:tcPr>
                  <w:tcW w:w="305" w:type="pct"/>
                  <w:vMerge w:val="continue"/>
                  <w:tcBorders>
                    <w:tl2br w:val="nil"/>
                    <w:tr2bl w:val="nil"/>
                  </w:tcBorders>
                  <w:shd w:val="clear" w:color="auto" w:fill="auto"/>
                  <w:noWrap w:val="0"/>
                  <w:vAlign w:val="center"/>
                </w:tcPr>
                <w:p w14:paraId="0C05D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22" w:type="pct"/>
                  <w:vMerge w:val="continue"/>
                  <w:tcBorders>
                    <w:tl2br w:val="nil"/>
                    <w:tr2bl w:val="nil"/>
                  </w:tcBorders>
                  <w:shd w:val="clear" w:color="auto" w:fill="auto"/>
                  <w:noWrap w:val="0"/>
                  <w:vAlign w:val="center"/>
                </w:tcPr>
                <w:p w14:paraId="1BC2C2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4" w:type="pct"/>
                  <w:tcBorders>
                    <w:tl2br w:val="nil"/>
                    <w:tr2bl w:val="nil"/>
                  </w:tcBorders>
                  <w:shd w:val="clear" w:color="auto" w:fill="auto"/>
                  <w:noWrap w:val="0"/>
                  <w:vAlign w:val="center"/>
                </w:tcPr>
                <w:p w14:paraId="78054F7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1.64</w:t>
                  </w:r>
                </w:p>
              </w:tc>
              <w:tc>
                <w:tcPr>
                  <w:tcW w:w="267" w:type="pct"/>
                  <w:tcBorders>
                    <w:tl2br w:val="nil"/>
                    <w:tr2bl w:val="nil"/>
                  </w:tcBorders>
                  <w:shd w:val="clear" w:color="auto" w:fill="auto"/>
                  <w:noWrap w:val="0"/>
                  <w:vAlign w:val="center"/>
                </w:tcPr>
                <w:p w14:paraId="029DD5A4">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0.013</w:t>
                  </w:r>
                </w:p>
              </w:tc>
              <w:tc>
                <w:tcPr>
                  <w:tcW w:w="317" w:type="pct"/>
                  <w:tcBorders>
                    <w:tl2br w:val="nil"/>
                    <w:tr2bl w:val="nil"/>
                  </w:tcBorders>
                  <w:shd w:val="clear" w:color="auto" w:fill="auto"/>
                  <w:noWrap w:val="0"/>
                  <w:vAlign w:val="center"/>
                </w:tcPr>
                <w:p w14:paraId="445F1E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0.0315</w:t>
                  </w:r>
                </w:p>
              </w:tc>
              <w:tc>
                <w:tcPr>
                  <w:tcW w:w="442" w:type="pct"/>
                  <w:vMerge w:val="continue"/>
                  <w:tcBorders>
                    <w:tl2br w:val="nil"/>
                    <w:tr2bl w:val="nil"/>
                  </w:tcBorders>
                  <w:shd w:val="clear" w:color="auto" w:fill="auto"/>
                  <w:noWrap w:val="0"/>
                  <w:vAlign w:val="center"/>
                </w:tcPr>
                <w:p w14:paraId="13378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3" w:type="pct"/>
                  <w:vMerge w:val="continue"/>
                  <w:tcBorders>
                    <w:tl2br w:val="nil"/>
                    <w:tr2bl w:val="nil"/>
                  </w:tcBorders>
                  <w:shd w:val="clear" w:color="auto" w:fill="auto"/>
                  <w:noWrap w:val="0"/>
                  <w:vAlign w:val="center"/>
                </w:tcPr>
                <w:p w14:paraId="17177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30" w:type="pct"/>
                  <w:vMerge w:val="continue"/>
                  <w:tcBorders>
                    <w:tl2br w:val="nil"/>
                    <w:tr2bl w:val="nil"/>
                  </w:tcBorders>
                  <w:shd w:val="clear" w:color="auto" w:fill="auto"/>
                  <w:noWrap w:val="0"/>
                  <w:vAlign w:val="center"/>
                </w:tcPr>
                <w:p w14:paraId="6E4B2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18" w:type="pct"/>
                  <w:vMerge w:val="continue"/>
                  <w:tcBorders>
                    <w:tl2br w:val="nil"/>
                    <w:tr2bl w:val="nil"/>
                  </w:tcBorders>
                  <w:shd w:val="clear" w:color="auto" w:fill="auto"/>
                  <w:noWrap w:val="0"/>
                  <w:vAlign w:val="center"/>
                </w:tcPr>
                <w:p w14:paraId="10E5CE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0" w:type="pct"/>
                  <w:vMerge w:val="continue"/>
                  <w:tcBorders>
                    <w:tl2br w:val="nil"/>
                    <w:tr2bl w:val="nil"/>
                  </w:tcBorders>
                  <w:shd w:val="clear" w:color="auto" w:fill="auto"/>
                  <w:noWrap w:val="0"/>
                  <w:vAlign w:val="center"/>
                </w:tcPr>
                <w:p w14:paraId="370ED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71AC7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2B95B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83" w:type="pct"/>
                  <w:vMerge w:val="continue"/>
                  <w:tcBorders>
                    <w:tl2br w:val="nil"/>
                    <w:tr2bl w:val="nil"/>
                  </w:tcBorders>
                  <w:shd w:val="clear" w:color="auto" w:fill="auto"/>
                  <w:noWrap w:val="0"/>
                  <w:vAlign w:val="center"/>
                </w:tcPr>
                <w:p w14:paraId="015203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15" w:type="pct"/>
                  <w:vMerge w:val="continue"/>
                  <w:tcBorders>
                    <w:tl2br w:val="nil"/>
                    <w:tr2bl w:val="nil"/>
                  </w:tcBorders>
                  <w:shd w:val="clear" w:color="auto" w:fill="auto"/>
                  <w:noWrap w:val="0"/>
                  <w:vAlign w:val="center"/>
                </w:tcPr>
                <w:p w14:paraId="142278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199" w:type="pct"/>
                  <w:vMerge w:val="continue"/>
                  <w:tcBorders>
                    <w:tl2br w:val="nil"/>
                    <w:tr2bl w:val="nil"/>
                  </w:tcBorders>
                  <w:shd w:val="clear" w:color="auto" w:fill="auto"/>
                  <w:noWrap w:val="0"/>
                  <w:vAlign w:val="center"/>
                </w:tcPr>
                <w:p w14:paraId="372CB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253" w:type="pct"/>
                  <w:vMerge w:val="continue"/>
                  <w:tcBorders>
                    <w:tl2br w:val="nil"/>
                    <w:tr2bl w:val="nil"/>
                  </w:tcBorders>
                  <w:shd w:val="clear" w:color="auto" w:fill="auto"/>
                  <w:noWrap w:val="0"/>
                  <w:vAlign w:val="center"/>
                </w:tcPr>
                <w:p w14:paraId="59D38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bl>
          <w:p w14:paraId="4151031C">
            <w:pPr>
              <w:pStyle w:val="62"/>
              <w:keepNext w:val="0"/>
              <w:keepLines w:val="0"/>
              <w:suppressLineNumbers w:val="0"/>
              <w:spacing w:before="0" w:beforeLines="0" w:beforeAutospacing="0" w:after="0" w:afterLines="0" w:afterAutospacing="0" w:line="500" w:lineRule="exact"/>
              <w:ind w:left="0" w:right="0" w:firstLine="0" w:firstLineChars="0"/>
              <w:jc w:val="center"/>
              <w:rPr>
                <w:rFonts w:hint="default" w:ascii="Times New Roman" w:hAnsi="Times New Roman" w:eastAsia="宋体" w:cs="Times New Roman"/>
                <w:b/>
                <w:bCs w:val="0"/>
                <w:color w:val="auto"/>
                <w:spacing w:val="0"/>
                <w:sz w:val="24"/>
                <w:szCs w:val="24"/>
                <w:highlight w:val="none"/>
                <w:shd w:val="clear" w:color="auto" w:fill="auto"/>
              </w:rPr>
            </w:pPr>
            <w:r>
              <w:rPr>
                <w:rFonts w:hint="default" w:ascii="Times New Roman" w:hAnsi="Times New Roman" w:eastAsia="宋体" w:cs="Times New Roman"/>
                <w:b/>
                <w:bCs w:val="0"/>
                <w:color w:val="auto"/>
                <w:spacing w:val="0"/>
                <w:sz w:val="24"/>
                <w:szCs w:val="24"/>
                <w:highlight w:val="none"/>
                <w:shd w:val="clear" w:color="auto" w:fill="auto"/>
              </w:rPr>
              <w:t>表4-</w:t>
            </w:r>
            <w:r>
              <w:rPr>
                <w:rFonts w:hint="eastAsia" w:ascii="Times New Roman" w:hAnsi="Times New Roman" w:eastAsia="宋体" w:cs="Times New Roman"/>
                <w:b/>
                <w:bCs w:val="0"/>
                <w:color w:val="auto"/>
                <w:spacing w:val="0"/>
                <w:sz w:val="24"/>
                <w:szCs w:val="24"/>
                <w:highlight w:val="none"/>
                <w:shd w:val="clear" w:color="auto" w:fill="auto"/>
                <w:lang w:val="en-US" w:eastAsia="zh-CN"/>
              </w:rPr>
              <w:t>8</w:t>
            </w:r>
            <w:r>
              <w:rPr>
                <w:rFonts w:hint="default" w:ascii="Times New Roman" w:hAnsi="Times New Roman" w:eastAsia="宋体" w:cs="Times New Roman"/>
                <w:b/>
                <w:bCs w:val="0"/>
                <w:color w:val="auto"/>
                <w:spacing w:val="0"/>
                <w:sz w:val="24"/>
                <w:szCs w:val="24"/>
                <w:highlight w:val="none"/>
                <w:shd w:val="clear" w:color="auto" w:fill="auto"/>
              </w:rPr>
              <w:t xml:space="preserve">  </w:t>
            </w:r>
            <w:r>
              <w:rPr>
                <w:rFonts w:hint="default" w:ascii="Times New Roman" w:hAnsi="Times New Roman" w:eastAsia="宋体" w:cs="Times New Roman"/>
                <w:b/>
                <w:bCs w:val="0"/>
                <w:color w:val="auto"/>
                <w:spacing w:val="0"/>
                <w:sz w:val="24"/>
                <w:szCs w:val="24"/>
                <w:highlight w:val="none"/>
                <w:shd w:val="clear" w:color="auto" w:fill="auto"/>
                <w:lang w:val="en-US" w:eastAsia="zh-CN"/>
              </w:rPr>
              <w:t>本项目</w:t>
            </w:r>
            <w:r>
              <w:rPr>
                <w:rFonts w:hint="default" w:ascii="Times New Roman" w:hAnsi="Times New Roman" w:eastAsia="宋体" w:cs="Times New Roman"/>
                <w:b/>
                <w:bCs w:val="0"/>
                <w:color w:val="auto"/>
                <w:spacing w:val="0"/>
                <w:sz w:val="24"/>
                <w:szCs w:val="24"/>
                <w:highlight w:val="none"/>
                <w:shd w:val="clear" w:color="auto" w:fill="auto"/>
              </w:rPr>
              <w:t>无组织废气产、排情况表</w:t>
            </w:r>
          </w:p>
          <w:tbl>
            <w:tblPr>
              <w:tblStyle w:val="27"/>
              <w:tblW w:w="4935" w:type="pct"/>
              <w:jc w:val="center"/>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Layout w:type="fixed"/>
              <w:tblCellMar>
                <w:top w:w="0" w:type="dxa"/>
                <w:left w:w="108" w:type="dxa"/>
                <w:bottom w:w="0" w:type="dxa"/>
                <w:right w:w="108" w:type="dxa"/>
              </w:tblCellMar>
            </w:tblPr>
            <w:tblGrid>
              <w:gridCol w:w="788"/>
              <w:gridCol w:w="1371"/>
              <w:gridCol w:w="2086"/>
              <w:gridCol w:w="1287"/>
              <w:gridCol w:w="1091"/>
              <w:gridCol w:w="887"/>
              <w:gridCol w:w="798"/>
              <w:gridCol w:w="1188"/>
              <w:gridCol w:w="1193"/>
              <w:gridCol w:w="1248"/>
              <w:gridCol w:w="1134"/>
            </w:tblGrid>
            <w:tr w14:paraId="7F6261CE">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restart"/>
                  <w:noWrap w:val="0"/>
                  <w:vAlign w:val="center"/>
                </w:tcPr>
                <w:p w14:paraId="6627B5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编号</w:t>
                  </w:r>
                </w:p>
              </w:tc>
              <w:tc>
                <w:tcPr>
                  <w:tcW w:w="524" w:type="pct"/>
                  <w:vMerge w:val="restart"/>
                  <w:noWrap w:val="0"/>
                  <w:vAlign w:val="center"/>
                </w:tcPr>
                <w:p w14:paraId="1F234D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污染工序</w:t>
                  </w:r>
                </w:p>
              </w:tc>
              <w:tc>
                <w:tcPr>
                  <w:tcW w:w="797" w:type="pct"/>
                  <w:vMerge w:val="restart"/>
                  <w:noWrap w:val="0"/>
                  <w:vAlign w:val="center"/>
                </w:tcPr>
                <w:p w14:paraId="27240E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污染因子</w:t>
                  </w:r>
                </w:p>
              </w:tc>
              <w:tc>
                <w:tcPr>
                  <w:tcW w:w="909" w:type="pct"/>
                  <w:gridSpan w:val="2"/>
                  <w:noWrap w:val="0"/>
                  <w:vAlign w:val="center"/>
                </w:tcPr>
                <w:p w14:paraId="66355F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产生情况</w:t>
                  </w:r>
                </w:p>
              </w:tc>
              <w:tc>
                <w:tcPr>
                  <w:tcW w:w="339" w:type="pct"/>
                  <w:vMerge w:val="restart"/>
                  <w:noWrap w:val="0"/>
                  <w:vAlign w:val="center"/>
                </w:tcPr>
                <w:p w14:paraId="7A2BDC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治理措施</w:t>
                  </w:r>
                </w:p>
              </w:tc>
              <w:tc>
                <w:tcPr>
                  <w:tcW w:w="305" w:type="pct"/>
                  <w:vMerge w:val="restart"/>
                  <w:noWrap w:val="0"/>
                  <w:vAlign w:val="center"/>
                </w:tcPr>
                <w:p w14:paraId="39E25F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去除率%</w:t>
                  </w:r>
                </w:p>
              </w:tc>
              <w:tc>
                <w:tcPr>
                  <w:tcW w:w="910" w:type="pct"/>
                  <w:gridSpan w:val="2"/>
                  <w:noWrap w:val="0"/>
                  <w:vAlign w:val="center"/>
                </w:tcPr>
                <w:p w14:paraId="79FBED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排放情况</w:t>
                  </w:r>
                </w:p>
              </w:tc>
              <w:tc>
                <w:tcPr>
                  <w:tcW w:w="477" w:type="pct"/>
                  <w:vMerge w:val="restart"/>
                  <w:noWrap w:val="0"/>
                  <w:vAlign w:val="center"/>
                </w:tcPr>
                <w:p w14:paraId="3B3470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面源面积（m</w:t>
                  </w:r>
                  <w:r>
                    <w:rPr>
                      <w:rFonts w:hint="default" w:ascii="Times New Roman" w:hAnsi="Times New Roman" w:eastAsia="宋体" w:cs="Times New Roman"/>
                      <w:b/>
                      <w:bCs w:val="0"/>
                      <w:smallCaps w:val="0"/>
                      <w:color w:val="auto"/>
                      <w:spacing w:val="0"/>
                      <w:sz w:val="21"/>
                      <w:szCs w:val="21"/>
                      <w:highlight w:val="none"/>
                      <w:shd w:val="clear" w:color="auto" w:fill="auto"/>
                      <w:vertAlign w:val="superscript"/>
                      <w:lang w:val="en-US" w:eastAsia="zh-CN"/>
                    </w:rPr>
                    <w:t>2</w:t>
                  </w: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w:t>
                  </w:r>
                </w:p>
              </w:tc>
              <w:tc>
                <w:tcPr>
                  <w:tcW w:w="433" w:type="pct"/>
                  <w:vMerge w:val="restart"/>
                  <w:noWrap w:val="0"/>
                  <w:vAlign w:val="center"/>
                </w:tcPr>
                <w:p w14:paraId="6416BF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面源高度（m）</w:t>
                  </w:r>
                </w:p>
              </w:tc>
            </w:tr>
            <w:tr w14:paraId="1F817058">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40" w:hRule="atLeast"/>
                <w:jc w:val="center"/>
              </w:trPr>
              <w:tc>
                <w:tcPr>
                  <w:tcW w:w="301" w:type="pct"/>
                  <w:vMerge w:val="continue"/>
                  <w:noWrap w:val="0"/>
                  <w:vAlign w:val="center"/>
                </w:tcPr>
                <w:p w14:paraId="2D0D5D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rPr>
                  </w:pPr>
                </w:p>
              </w:tc>
              <w:tc>
                <w:tcPr>
                  <w:tcW w:w="524" w:type="pct"/>
                  <w:vMerge w:val="continue"/>
                  <w:noWrap w:val="0"/>
                  <w:vAlign w:val="center"/>
                </w:tcPr>
                <w:p w14:paraId="72DB3D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rPr>
                  </w:pPr>
                </w:p>
              </w:tc>
              <w:tc>
                <w:tcPr>
                  <w:tcW w:w="797" w:type="pct"/>
                  <w:vMerge w:val="continue"/>
                  <w:noWrap w:val="0"/>
                  <w:vAlign w:val="center"/>
                </w:tcPr>
                <w:p w14:paraId="11313A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rPr>
                  </w:pPr>
                </w:p>
              </w:tc>
              <w:tc>
                <w:tcPr>
                  <w:tcW w:w="492" w:type="pct"/>
                  <w:noWrap w:val="0"/>
                  <w:vAlign w:val="center"/>
                </w:tcPr>
                <w:p w14:paraId="0D60AC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产生速率（kg/h）</w:t>
                  </w:r>
                </w:p>
              </w:tc>
              <w:tc>
                <w:tcPr>
                  <w:tcW w:w="417" w:type="pct"/>
                  <w:noWrap w:val="0"/>
                  <w:vAlign w:val="center"/>
                </w:tcPr>
                <w:p w14:paraId="5D7961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shd w:val="clear" w:color="auto" w:fill="auto"/>
                      <w:lang w:val="en-US" w:eastAsia="zh-CN"/>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产生量（t/a）</w:t>
                  </w:r>
                </w:p>
              </w:tc>
              <w:tc>
                <w:tcPr>
                  <w:tcW w:w="339" w:type="pct"/>
                  <w:vMerge w:val="continue"/>
                  <w:noWrap w:val="0"/>
                  <w:vAlign w:val="center"/>
                </w:tcPr>
                <w:p w14:paraId="509A58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p>
              </w:tc>
              <w:tc>
                <w:tcPr>
                  <w:tcW w:w="305" w:type="pct"/>
                  <w:vMerge w:val="continue"/>
                  <w:noWrap w:val="0"/>
                  <w:vAlign w:val="center"/>
                </w:tcPr>
                <w:p w14:paraId="3BFFD8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p>
              </w:tc>
              <w:tc>
                <w:tcPr>
                  <w:tcW w:w="454" w:type="pct"/>
                  <w:noWrap w:val="0"/>
                  <w:vAlign w:val="center"/>
                </w:tcPr>
                <w:p w14:paraId="3DD8A9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排放速率（kg/h）</w:t>
                  </w:r>
                </w:p>
              </w:tc>
              <w:tc>
                <w:tcPr>
                  <w:tcW w:w="456" w:type="pct"/>
                  <w:noWrap w:val="0"/>
                  <w:vAlign w:val="center"/>
                </w:tcPr>
                <w:p w14:paraId="4AA349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shd w:val="clear" w:color="auto" w:fill="auto"/>
                      <w:lang w:val="en-US" w:eastAsia="zh-CN" w:bidi="ar-SA"/>
                    </w:rPr>
                  </w:pPr>
                  <w: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t>排放量（t/a）</w:t>
                  </w:r>
                </w:p>
              </w:tc>
              <w:tc>
                <w:tcPr>
                  <w:tcW w:w="477" w:type="pct"/>
                  <w:vMerge w:val="continue"/>
                  <w:noWrap w:val="0"/>
                  <w:vAlign w:val="center"/>
                </w:tcPr>
                <w:p w14:paraId="77B83E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kern w:val="0"/>
                      <w:sz w:val="21"/>
                      <w:szCs w:val="21"/>
                      <w:highlight w:val="none"/>
                      <w:shd w:val="clear" w:color="auto" w:fill="auto"/>
                      <w:lang w:val="en-US" w:eastAsia="zh-CN" w:bidi="ar-SA"/>
                    </w:rPr>
                  </w:pPr>
                </w:p>
              </w:tc>
              <w:tc>
                <w:tcPr>
                  <w:tcW w:w="433" w:type="pct"/>
                  <w:vMerge w:val="continue"/>
                  <w:noWrap w:val="0"/>
                  <w:vAlign w:val="center"/>
                </w:tcPr>
                <w:p w14:paraId="695B47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mallCaps w:val="0"/>
                      <w:color w:val="auto"/>
                      <w:spacing w:val="0"/>
                      <w:sz w:val="21"/>
                      <w:szCs w:val="21"/>
                      <w:highlight w:val="none"/>
                      <w:shd w:val="clear" w:color="auto" w:fill="auto"/>
                      <w:lang w:val="en-US" w:eastAsia="zh-CN"/>
                    </w:rPr>
                  </w:pPr>
                </w:p>
              </w:tc>
            </w:tr>
            <w:tr w14:paraId="232437BB">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301" w:type="pct"/>
                  <w:noWrap w:val="0"/>
                  <w:vAlign w:val="center"/>
                </w:tcPr>
                <w:p w14:paraId="46C0C7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1</w:t>
                  </w:r>
                </w:p>
              </w:tc>
              <w:tc>
                <w:tcPr>
                  <w:tcW w:w="524" w:type="pct"/>
                  <w:noWrap w:val="0"/>
                  <w:vAlign w:val="center"/>
                </w:tcPr>
                <w:p w14:paraId="27D1A0B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rPr>
                    <w:t>未补集的</w:t>
                  </w:r>
                  <w:r>
                    <w:rPr>
                      <w:rFonts w:hint="eastAsia" w:ascii="Times New Roman" w:hAnsi="Times New Roman" w:eastAsia="宋体" w:cs="Times New Roman"/>
                      <w:color w:val="auto"/>
                      <w:kern w:val="0"/>
                      <w:sz w:val="21"/>
                      <w:szCs w:val="21"/>
                      <w:highlight w:val="none"/>
                      <w:shd w:val="clear" w:color="auto" w:fill="auto"/>
                      <w:lang w:val="en-US" w:eastAsia="zh-CN"/>
                    </w:rPr>
                    <w:t>吹膜</w:t>
                  </w:r>
                  <w:r>
                    <w:rPr>
                      <w:rFonts w:hint="default" w:ascii="Times New Roman" w:hAnsi="Times New Roman" w:eastAsia="宋体" w:cs="Times New Roman"/>
                      <w:color w:val="auto"/>
                      <w:kern w:val="0"/>
                      <w:sz w:val="21"/>
                      <w:szCs w:val="21"/>
                      <w:highlight w:val="none"/>
                      <w:shd w:val="clear" w:color="auto" w:fill="auto"/>
                      <w:lang w:val="en-US" w:eastAsia="zh-CN"/>
                    </w:rPr>
                    <w:t>废气</w:t>
                  </w:r>
                </w:p>
              </w:tc>
              <w:tc>
                <w:tcPr>
                  <w:tcW w:w="797" w:type="pct"/>
                  <w:noWrap w:val="0"/>
                  <w:vAlign w:val="center"/>
                </w:tcPr>
                <w:p w14:paraId="0AD76F5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非甲烷总烃</w:t>
                  </w:r>
                </w:p>
              </w:tc>
              <w:tc>
                <w:tcPr>
                  <w:tcW w:w="492" w:type="pct"/>
                  <w:noWrap w:val="0"/>
                  <w:vAlign w:val="center"/>
                </w:tcPr>
                <w:p w14:paraId="5CEAE7A5">
                  <w:pPr>
                    <w:keepNext w:val="0"/>
                    <w:keepLines w:val="0"/>
                    <w:widowControl/>
                    <w:suppressLineNumbers w:val="0"/>
                    <w:jc w:val="center"/>
                    <w:textAlignment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0.014</w:t>
                  </w:r>
                </w:p>
              </w:tc>
              <w:tc>
                <w:tcPr>
                  <w:tcW w:w="417" w:type="pct"/>
                  <w:noWrap w:val="0"/>
                  <w:vAlign w:val="center"/>
                </w:tcPr>
                <w:p w14:paraId="5EACA3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lang w:val="en-US" w:eastAsia="zh-CN"/>
                    </w:rPr>
                    <w:t>0.0</w:t>
                  </w:r>
                  <w:r>
                    <w:rPr>
                      <w:rFonts w:hint="eastAsia" w:ascii="Times New Roman" w:hAnsi="Times New Roman" w:eastAsia="宋体" w:cs="Times New Roman"/>
                      <w:color w:val="auto"/>
                      <w:kern w:val="0"/>
                      <w:sz w:val="21"/>
                      <w:szCs w:val="21"/>
                      <w:highlight w:val="none"/>
                      <w:shd w:val="clear" w:color="auto" w:fill="auto"/>
                      <w:lang w:val="en-US" w:eastAsia="zh-CN"/>
                    </w:rPr>
                    <w:t>350</w:t>
                  </w:r>
                </w:p>
              </w:tc>
              <w:tc>
                <w:tcPr>
                  <w:tcW w:w="339" w:type="pct"/>
                  <w:vMerge w:val="restart"/>
                  <w:noWrap w:val="0"/>
                  <w:vAlign w:val="center"/>
                </w:tcPr>
                <w:p w14:paraId="0100AE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源头治理，加强管理</w:t>
                  </w:r>
                </w:p>
                <w:p w14:paraId="46DF50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05" w:type="pct"/>
                  <w:noWrap w:val="0"/>
                  <w:vAlign w:val="center"/>
                </w:tcPr>
                <w:p w14:paraId="4A695C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6D92EA7A">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0.007</w:t>
                  </w:r>
                </w:p>
              </w:tc>
              <w:tc>
                <w:tcPr>
                  <w:tcW w:w="456" w:type="pct"/>
                  <w:shd w:val="clear" w:color="auto" w:fill="auto"/>
                  <w:noWrap w:val="0"/>
                  <w:vAlign w:val="center"/>
                </w:tcPr>
                <w:p w14:paraId="36E36C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0.0</w:t>
                  </w:r>
                  <w:r>
                    <w:rPr>
                      <w:rFonts w:hint="eastAsia" w:ascii="Times New Roman" w:hAnsi="Times New Roman" w:eastAsia="宋体" w:cs="Times New Roman"/>
                      <w:color w:val="auto"/>
                      <w:kern w:val="0"/>
                      <w:sz w:val="21"/>
                      <w:szCs w:val="21"/>
                      <w:highlight w:val="none"/>
                      <w:shd w:val="clear" w:color="auto" w:fill="auto"/>
                      <w:lang w:val="en-US" w:eastAsia="zh-CN"/>
                    </w:rPr>
                    <w:t>175</w:t>
                  </w:r>
                </w:p>
              </w:tc>
              <w:tc>
                <w:tcPr>
                  <w:tcW w:w="477" w:type="pct"/>
                  <w:vMerge w:val="restart"/>
                  <w:noWrap w:val="0"/>
                  <w:vAlign w:val="center"/>
                </w:tcPr>
                <w:p w14:paraId="13769B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b w:val="0"/>
                      <w:bCs w:val="0"/>
                      <w:smallCaps w:val="0"/>
                      <w:color w:val="auto"/>
                      <w:spacing w:val="0"/>
                      <w:sz w:val="21"/>
                      <w:szCs w:val="21"/>
                      <w:highlight w:val="none"/>
                      <w:shd w:val="clear" w:color="auto" w:fill="auto"/>
                      <w:lang w:val="en-US" w:eastAsia="zh-CN"/>
                    </w:rPr>
                    <w:t>600</w:t>
                  </w:r>
                </w:p>
              </w:tc>
              <w:tc>
                <w:tcPr>
                  <w:tcW w:w="433" w:type="pct"/>
                  <w:vMerge w:val="restart"/>
                  <w:noWrap w:val="0"/>
                  <w:vAlign w:val="center"/>
                </w:tcPr>
                <w:p w14:paraId="4F92D6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b w:val="0"/>
                      <w:bCs w:val="0"/>
                      <w:smallCaps w:val="0"/>
                      <w:color w:val="auto"/>
                      <w:spacing w:val="0"/>
                      <w:sz w:val="21"/>
                      <w:szCs w:val="21"/>
                      <w:highlight w:val="none"/>
                      <w:shd w:val="clear" w:color="auto" w:fill="auto"/>
                      <w:lang w:val="en-US" w:eastAsia="zh-CN"/>
                    </w:rPr>
                    <w:t>4</w:t>
                  </w:r>
                </w:p>
              </w:tc>
            </w:tr>
            <w:tr w14:paraId="48CEFA01">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301" w:type="pct"/>
                  <w:noWrap w:val="0"/>
                  <w:vAlign w:val="center"/>
                </w:tcPr>
                <w:p w14:paraId="6A256A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2</w:t>
                  </w:r>
                </w:p>
              </w:tc>
              <w:tc>
                <w:tcPr>
                  <w:tcW w:w="524" w:type="pct"/>
                  <w:shd w:val="clear" w:color="auto" w:fill="auto"/>
                  <w:noWrap w:val="0"/>
                  <w:vAlign w:val="center"/>
                </w:tcPr>
                <w:p w14:paraId="1AAE3D2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rPr>
                    <w:t>未补集的</w:t>
                  </w:r>
                  <w:r>
                    <w:rPr>
                      <w:rFonts w:hint="eastAsia" w:ascii="Times New Roman" w:hAnsi="Times New Roman" w:eastAsia="宋体" w:cs="Times New Roman"/>
                      <w:color w:val="auto"/>
                      <w:kern w:val="0"/>
                      <w:sz w:val="21"/>
                      <w:szCs w:val="21"/>
                      <w:highlight w:val="none"/>
                      <w:shd w:val="clear" w:color="auto" w:fill="auto"/>
                      <w:lang w:val="en-US" w:eastAsia="zh-CN"/>
                    </w:rPr>
                    <w:t>制袋废气</w:t>
                  </w:r>
                </w:p>
              </w:tc>
              <w:tc>
                <w:tcPr>
                  <w:tcW w:w="797" w:type="pct"/>
                  <w:shd w:val="clear" w:color="auto" w:fill="auto"/>
                  <w:noWrap w:val="0"/>
                  <w:vAlign w:val="center"/>
                </w:tcPr>
                <w:p w14:paraId="29B346B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非甲烷总烃</w:t>
                  </w:r>
                </w:p>
              </w:tc>
              <w:tc>
                <w:tcPr>
                  <w:tcW w:w="492" w:type="pct"/>
                  <w:shd w:val="clear" w:color="auto" w:fill="auto"/>
                  <w:noWrap w:val="0"/>
                  <w:vAlign w:val="center"/>
                </w:tcPr>
                <w:p w14:paraId="687C9FA5">
                  <w:pPr>
                    <w:keepNext w:val="0"/>
                    <w:keepLines w:val="0"/>
                    <w:widowControl/>
                    <w:suppressLineNumbers w:val="0"/>
                    <w:jc w:val="center"/>
                    <w:textAlignment w:val="cente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0.002</w:t>
                  </w:r>
                </w:p>
              </w:tc>
              <w:tc>
                <w:tcPr>
                  <w:tcW w:w="417" w:type="pct"/>
                  <w:shd w:val="clear" w:color="auto" w:fill="auto"/>
                  <w:noWrap w:val="0"/>
                  <w:vAlign w:val="center"/>
                </w:tcPr>
                <w:p w14:paraId="78454D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0.00</w:t>
                  </w:r>
                  <w:r>
                    <w:rPr>
                      <w:rFonts w:hint="eastAsia" w:ascii="Times New Roman" w:hAnsi="Times New Roman" w:eastAsia="宋体" w:cs="Times New Roman"/>
                      <w:color w:val="auto"/>
                      <w:kern w:val="0"/>
                      <w:sz w:val="21"/>
                      <w:szCs w:val="21"/>
                      <w:highlight w:val="none"/>
                      <w:shd w:val="clear" w:color="auto" w:fill="auto"/>
                      <w:lang w:val="en-US" w:eastAsia="zh-CN"/>
                    </w:rPr>
                    <w:t>35</w:t>
                  </w:r>
                </w:p>
              </w:tc>
              <w:tc>
                <w:tcPr>
                  <w:tcW w:w="339" w:type="pct"/>
                  <w:vMerge w:val="continue"/>
                  <w:shd w:val="clear" w:color="auto" w:fill="auto"/>
                  <w:noWrap w:val="0"/>
                  <w:vAlign w:val="center"/>
                </w:tcPr>
                <w:p w14:paraId="2B8E87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p>
              </w:tc>
              <w:tc>
                <w:tcPr>
                  <w:tcW w:w="305" w:type="pct"/>
                  <w:shd w:val="clear" w:color="auto" w:fill="auto"/>
                  <w:noWrap w:val="0"/>
                  <w:vAlign w:val="center"/>
                </w:tcPr>
                <w:p w14:paraId="6A4648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1E8D1F36">
                  <w:pPr>
                    <w:keepNext w:val="0"/>
                    <w:keepLines w:val="0"/>
                    <w:widowControl/>
                    <w:suppressLineNumbers w:val="0"/>
                    <w:jc w:val="center"/>
                    <w:textAlignment w:val="cente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0.001</w:t>
                  </w:r>
                </w:p>
              </w:tc>
              <w:tc>
                <w:tcPr>
                  <w:tcW w:w="456" w:type="pct"/>
                  <w:shd w:val="clear" w:color="auto" w:fill="auto"/>
                  <w:noWrap w:val="0"/>
                  <w:vAlign w:val="center"/>
                </w:tcPr>
                <w:p w14:paraId="1A75F4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0.00</w:t>
                  </w:r>
                  <w:r>
                    <w:rPr>
                      <w:rFonts w:hint="eastAsia" w:ascii="Times New Roman" w:hAnsi="Times New Roman" w:eastAsia="宋体" w:cs="Times New Roman"/>
                      <w:color w:val="auto"/>
                      <w:kern w:val="0"/>
                      <w:sz w:val="21"/>
                      <w:szCs w:val="21"/>
                      <w:highlight w:val="none"/>
                      <w:shd w:val="clear" w:color="auto" w:fill="auto"/>
                      <w:lang w:val="en-US" w:eastAsia="zh-CN"/>
                    </w:rPr>
                    <w:t>17</w:t>
                  </w:r>
                </w:p>
              </w:tc>
              <w:tc>
                <w:tcPr>
                  <w:tcW w:w="477" w:type="pct"/>
                  <w:vMerge w:val="continue"/>
                  <w:shd w:val="clear" w:color="auto" w:fill="auto"/>
                  <w:noWrap w:val="0"/>
                  <w:vAlign w:val="center"/>
                </w:tcPr>
                <w:p w14:paraId="006BCC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mallCaps w:val="0"/>
                      <w:color w:val="auto"/>
                      <w:spacing w:val="0"/>
                      <w:kern w:val="2"/>
                      <w:sz w:val="21"/>
                      <w:szCs w:val="21"/>
                      <w:highlight w:val="none"/>
                      <w:shd w:val="clear" w:color="auto" w:fill="auto"/>
                      <w:lang w:val="en-US" w:eastAsia="zh-CN" w:bidi="ar-SA"/>
                    </w:rPr>
                  </w:pPr>
                </w:p>
              </w:tc>
              <w:tc>
                <w:tcPr>
                  <w:tcW w:w="433" w:type="pct"/>
                  <w:vMerge w:val="continue"/>
                  <w:shd w:val="clear" w:color="auto" w:fill="auto"/>
                  <w:noWrap w:val="0"/>
                  <w:vAlign w:val="center"/>
                </w:tcPr>
                <w:p w14:paraId="11F290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smallCaps w:val="0"/>
                      <w:color w:val="auto"/>
                      <w:spacing w:val="0"/>
                      <w:kern w:val="2"/>
                      <w:sz w:val="21"/>
                      <w:szCs w:val="21"/>
                      <w:highlight w:val="none"/>
                      <w:shd w:val="clear" w:color="auto" w:fill="auto"/>
                      <w:lang w:val="en-US" w:eastAsia="zh-CN" w:bidi="ar-SA"/>
                    </w:rPr>
                  </w:pPr>
                </w:p>
              </w:tc>
            </w:tr>
            <w:tr w14:paraId="1A2A2961">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25" w:type="pct"/>
                  <w:gridSpan w:val="2"/>
                  <w:shd w:val="clear" w:color="auto" w:fill="auto"/>
                  <w:noWrap w:val="0"/>
                  <w:vAlign w:val="center"/>
                </w:tcPr>
                <w:p w14:paraId="638482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heme="minorHAnsi" w:hAnsiTheme="minorHAnsi" w:eastAsiaTheme="minorEastAsia" w:cstheme="minorBidi"/>
                      <w:color w:val="auto"/>
                      <w:kern w:val="2"/>
                      <w:sz w:val="21"/>
                      <w:szCs w:val="22"/>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rPr>
                    <w:t>洁净车间二</w:t>
                  </w:r>
                </w:p>
              </w:tc>
              <w:tc>
                <w:tcPr>
                  <w:tcW w:w="797" w:type="pct"/>
                  <w:shd w:val="clear" w:color="auto" w:fill="auto"/>
                  <w:noWrap w:val="0"/>
                  <w:vAlign w:val="center"/>
                </w:tcPr>
                <w:p w14:paraId="4958640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非甲烷总烃</w:t>
                  </w:r>
                </w:p>
              </w:tc>
              <w:tc>
                <w:tcPr>
                  <w:tcW w:w="492" w:type="pct"/>
                  <w:shd w:val="clear" w:color="auto" w:fill="auto"/>
                  <w:noWrap w:val="0"/>
                  <w:vAlign w:val="center"/>
                </w:tcPr>
                <w:p w14:paraId="0A897D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0.016</w:t>
                  </w:r>
                </w:p>
              </w:tc>
              <w:tc>
                <w:tcPr>
                  <w:tcW w:w="417" w:type="pct"/>
                  <w:shd w:val="clear" w:color="auto" w:fill="auto"/>
                  <w:noWrap w:val="0"/>
                  <w:vAlign w:val="center"/>
                </w:tcPr>
                <w:p w14:paraId="3354C8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0.0385</w:t>
                  </w:r>
                </w:p>
              </w:tc>
              <w:tc>
                <w:tcPr>
                  <w:tcW w:w="339" w:type="pct"/>
                  <w:vMerge w:val="continue"/>
                  <w:shd w:val="clear" w:color="auto" w:fill="auto"/>
                  <w:noWrap w:val="0"/>
                  <w:vAlign w:val="center"/>
                </w:tcPr>
                <w:p w14:paraId="6611F5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05" w:type="pct"/>
                  <w:shd w:val="clear" w:color="auto" w:fill="auto"/>
                  <w:noWrap w:val="0"/>
                  <w:vAlign w:val="center"/>
                </w:tcPr>
                <w:p w14:paraId="16E98F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7A9C65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0.016</w:t>
                  </w:r>
                </w:p>
              </w:tc>
              <w:tc>
                <w:tcPr>
                  <w:tcW w:w="456" w:type="pct"/>
                  <w:shd w:val="clear" w:color="auto" w:fill="auto"/>
                  <w:noWrap w:val="0"/>
                  <w:vAlign w:val="center"/>
                </w:tcPr>
                <w:p w14:paraId="1059C8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0.0385</w:t>
                  </w:r>
                </w:p>
              </w:tc>
              <w:tc>
                <w:tcPr>
                  <w:tcW w:w="477" w:type="pct"/>
                  <w:vMerge w:val="continue"/>
                  <w:shd w:val="clear" w:color="auto" w:fill="auto"/>
                  <w:noWrap w:val="0"/>
                  <w:vAlign w:val="center"/>
                </w:tcPr>
                <w:p w14:paraId="7CA84C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p>
              </w:tc>
              <w:tc>
                <w:tcPr>
                  <w:tcW w:w="433" w:type="pct"/>
                  <w:vMerge w:val="continue"/>
                  <w:shd w:val="clear" w:color="auto" w:fill="auto"/>
                  <w:noWrap w:val="0"/>
                  <w:vAlign w:val="center"/>
                </w:tcPr>
                <w:p w14:paraId="35E71C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p>
              </w:tc>
            </w:tr>
            <w:tr w14:paraId="03419FCC">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301" w:type="pct"/>
                  <w:vMerge w:val="restart"/>
                  <w:shd w:val="clear" w:color="auto" w:fill="auto"/>
                  <w:noWrap w:val="0"/>
                  <w:vAlign w:val="center"/>
                </w:tcPr>
                <w:p w14:paraId="2D72E7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3</w:t>
                  </w:r>
                </w:p>
              </w:tc>
              <w:tc>
                <w:tcPr>
                  <w:tcW w:w="524" w:type="pct"/>
                  <w:vMerge w:val="restart"/>
                  <w:shd w:val="clear" w:color="auto" w:fill="auto"/>
                  <w:noWrap w:val="0"/>
                  <w:vAlign w:val="center"/>
                </w:tcPr>
                <w:p w14:paraId="055756D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rPr>
                    <w:t>未补集的</w:t>
                  </w:r>
                  <w:r>
                    <w:rPr>
                      <w:rFonts w:hint="eastAsia" w:ascii="Times New Roman" w:hAnsi="Times New Roman" w:eastAsia="宋体" w:cs="Times New Roman"/>
                      <w:color w:val="auto"/>
                      <w:kern w:val="0"/>
                      <w:sz w:val="21"/>
                      <w:szCs w:val="21"/>
                      <w:highlight w:val="none"/>
                      <w:shd w:val="clear" w:color="auto" w:fill="auto"/>
                      <w:lang w:val="en-US" w:eastAsia="zh-CN"/>
                    </w:rPr>
                    <w:t>调墨、印刷</w:t>
                  </w:r>
                  <w:r>
                    <w:rPr>
                      <w:rFonts w:hint="default" w:ascii="Times New Roman" w:hAnsi="Times New Roman" w:eastAsia="宋体" w:cs="Times New Roman"/>
                      <w:color w:val="auto"/>
                      <w:kern w:val="0"/>
                      <w:sz w:val="21"/>
                      <w:szCs w:val="21"/>
                      <w:highlight w:val="none"/>
                      <w:shd w:val="clear" w:color="auto" w:fill="auto"/>
                      <w:lang w:val="en-US" w:eastAsia="zh-CN"/>
                    </w:rPr>
                    <w:t>废气</w:t>
                  </w:r>
                </w:p>
              </w:tc>
              <w:tc>
                <w:tcPr>
                  <w:tcW w:w="797" w:type="pct"/>
                  <w:shd w:val="clear" w:color="auto" w:fill="auto"/>
                  <w:noWrap w:val="0"/>
                  <w:vAlign w:val="center"/>
                </w:tcPr>
                <w:p w14:paraId="372E0EC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非甲烷总烃</w:t>
                  </w:r>
                </w:p>
              </w:tc>
              <w:tc>
                <w:tcPr>
                  <w:tcW w:w="492" w:type="pct"/>
                  <w:shd w:val="clear" w:color="auto" w:fill="auto"/>
                  <w:noWrap w:val="0"/>
                  <w:vAlign w:val="center"/>
                </w:tcPr>
                <w:p w14:paraId="48847982">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0.015</w:t>
                  </w:r>
                </w:p>
              </w:tc>
              <w:tc>
                <w:tcPr>
                  <w:tcW w:w="417" w:type="pct"/>
                  <w:shd w:val="clear" w:color="auto" w:fill="auto"/>
                  <w:noWrap w:val="0"/>
                  <w:vAlign w:val="center"/>
                </w:tcPr>
                <w:p w14:paraId="6B8133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0.0</w:t>
                  </w:r>
                  <w:r>
                    <w:rPr>
                      <w:rFonts w:hint="eastAsia" w:ascii="Times New Roman" w:hAnsi="Times New Roman" w:eastAsia="宋体" w:cs="Times New Roman"/>
                      <w:color w:val="auto"/>
                      <w:kern w:val="0"/>
                      <w:sz w:val="21"/>
                      <w:szCs w:val="21"/>
                      <w:highlight w:val="none"/>
                      <w:shd w:val="clear" w:color="auto" w:fill="auto"/>
                      <w:lang w:val="en-US" w:eastAsia="zh-CN"/>
                    </w:rPr>
                    <w:t>360</w:t>
                  </w:r>
                </w:p>
              </w:tc>
              <w:tc>
                <w:tcPr>
                  <w:tcW w:w="339" w:type="pct"/>
                  <w:vMerge w:val="continue"/>
                  <w:shd w:val="clear" w:color="auto" w:fill="auto"/>
                  <w:noWrap w:val="0"/>
                  <w:vAlign w:val="center"/>
                </w:tcPr>
                <w:p w14:paraId="49F4E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p>
              </w:tc>
              <w:tc>
                <w:tcPr>
                  <w:tcW w:w="305" w:type="pct"/>
                  <w:noWrap w:val="0"/>
                  <w:vAlign w:val="center"/>
                </w:tcPr>
                <w:p w14:paraId="598FA0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203FB354">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0.015</w:t>
                  </w:r>
                </w:p>
              </w:tc>
              <w:tc>
                <w:tcPr>
                  <w:tcW w:w="456" w:type="pct"/>
                  <w:shd w:val="clear" w:color="auto" w:fill="auto"/>
                  <w:noWrap w:val="0"/>
                  <w:vAlign w:val="center"/>
                </w:tcPr>
                <w:p w14:paraId="1151DE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0.0</w:t>
                  </w:r>
                  <w:r>
                    <w:rPr>
                      <w:rFonts w:hint="eastAsia" w:ascii="Times New Roman" w:hAnsi="Times New Roman" w:eastAsia="宋体" w:cs="Times New Roman"/>
                      <w:color w:val="auto"/>
                      <w:kern w:val="0"/>
                      <w:sz w:val="21"/>
                      <w:szCs w:val="21"/>
                      <w:highlight w:val="none"/>
                      <w:shd w:val="clear" w:color="auto" w:fill="auto"/>
                      <w:lang w:val="en-US" w:eastAsia="zh-CN"/>
                    </w:rPr>
                    <w:t>360</w:t>
                  </w:r>
                </w:p>
              </w:tc>
              <w:tc>
                <w:tcPr>
                  <w:tcW w:w="477" w:type="pct"/>
                  <w:vMerge w:val="restart"/>
                  <w:noWrap w:val="0"/>
                  <w:vAlign w:val="center"/>
                </w:tcPr>
                <w:p w14:paraId="632206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shd w:val="clear" w:color="auto" w:fill="auto"/>
                      <w:lang w:val="en-US" w:eastAsia="zh-CN"/>
                    </w:rPr>
                  </w:pPr>
                  <w:r>
                    <w:rPr>
                      <w:rFonts w:hint="eastAsia" w:ascii="Times New Roman" w:hAnsi="Times New Roman" w:eastAsia="宋体" w:cs="Times New Roman"/>
                      <w:b w:val="0"/>
                      <w:bCs w:val="0"/>
                      <w:smallCaps w:val="0"/>
                      <w:color w:val="auto"/>
                      <w:spacing w:val="0"/>
                      <w:sz w:val="21"/>
                      <w:szCs w:val="21"/>
                      <w:highlight w:val="none"/>
                      <w:shd w:val="clear" w:color="auto" w:fill="auto"/>
                      <w:lang w:val="en-US" w:eastAsia="zh-CN"/>
                    </w:rPr>
                    <w:t>864</w:t>
                  </w:r>
                </w:p>
              </w:tc>
              <w:tc>
                <w:tcPr>
                  <w:tcW w:w="433" w:type="pct"/>
                  <w:vMerge w:val="restart"/>
                  <w:noWrap w:val="0"/>
                  <w:vAlign w:val="center"/>
                </w:tcPr>
                <w:p w14:paraId="2A183D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shd w:val="clear" w:color="auto" w:fill="auto"/>
                      <w:lang w:val="en-US" w:eastAsia="zh-CN"/>
                    </w:rPr>
                  </w:pPr>
                  <w:r>
                    <w:rPr>
                      <w:rFonts w:hint="eastAsia" w:ascii="Times New Roman" w:hAnsi="Times New Roman" w:eastAsia="宋体" w:cs="Times New Roman"/>
                      <w:b w:val="0"/>
                      <w:bCs w:val="0"/>
                      <w:smallCaps w:val="0"/>
                      <w:color w:val="auto"/>
                      <w:spacing w:val="0"/>
                      <w:sz w:val="21"/>
                      <w:szCs w:val="21"/>
                      <w:highlight w:val="none"/>
                      <w:shd w:val="clear" w:color="auto" w:fill="auto"/>
                      <w:lang w:val="en-US" w:eastAsia="zh-CN"/>
                    </w:rPr>
                    <w:t>4</w:t>
                  </w:r>
                </w:p>
              </w:tc>
            </w:tr>
            <w:tr w14:paraId="3E539C47">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301" w:type="pct"/>
                  <w:vMerge w:val="continue"/>
                  <w:shd w:val="clear" w:color="auto" w:fill="auto"/>
                  <w:noWrap w:val="0"/>
                  <w:vAlign w:val="center"/>
                </w:tcPr>
                <w:p w14:paraId="7A44AD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p>
              </w:tc>
              <w:tc>
                <w:tcPr>
                  <w:tcW w:w="524" w:type="pct"/>
                  <w:vMerge w:val="continue"/>
                  <w:shd w:val="clear" w:color="auto" w:fill="auto"/>
                  <w:noWrap w:val="0"/>
                  <w:vAlign w:val="center"/>
                </w:tcPr>
                <w:p w14:paraId="369873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color w:val="auto"/>
                    </w:rPr>
                  </w:pPr>
                </w:p>
              </w:tc>
              <w:tc>
                <w:tcPr>
                  <w:tcW w:w="797" w:type="pct"/>
                  <w:shd w:val="clear" w:color="auto" w:fill="auto"/>
                  <w:noWrap w:val="0"/>
                  <w:vAlign w:val="center"/>
                </w:tcPr>
                <w:p w14:paraId="3F806F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TVOC</w:t>
                  </w:r>
                </w:p>
              </w:tc>
              <w:tc>
                <w:tcPr>
                  <w:tcW w:w="492" w:type="pct"/>
                  <w:shd w:val="clear" w:color="auto" w:fill="auto"/>
                  <w:noWrap w:val="0"/>
                  <w:vAlign w:val="center"/>
                </w:tcPr>
                <w:p w14:paraId="75B474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0.012</w:t>
                  </w:r>
                </w:p>
              </w:tc>
              <w:tc>
                <w:tcPr>
                  <w:tcW w:w="417" w:type="pct"/>
                  <w:shd w:val="clear" w:color="auto" w:fill="auto"/>
                  <w:noWrap w:val="0"/>
                  <w:vAlign w:val="center"/>
                </w:tcPr>
                <w:p w14:paraId="540E10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0.0295</w:t>
                  </w:r>
                </w:p>
              </w:tc>
              <w:tc>
                <w:tcPr>
                  <w:tcW w:w="339" w:type="pct"/>
                  <w:vMerge w:val="continue"/>
                  <w:shd w:val="clear" w:color="auto" w:fill="auto"/>
                  <w:noWrap w:val="0"/>
                  <w:vAlign w:val="center"/>
                </w:tcPr>
                <w:p w14:paraId="6D6AED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05" w:type="pct"/>
                  <w:shd w:val="clear" w:color="auto" w:fill="auto"/>
                  <w:noWrap w:val="0"/>
                  <w:vAlign w:val="center"/>
                </w:tcPr>
                <w:p w14:paraId="5650C1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457AC3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0.012</w:t>
                  </w:r>
                </w:p>
              </w:tc>
              <w:tc>
                <w:tcPr>
                  <w:tcW w:w="456" w:type="pct"/>
                  <w:shd w:val="clear" w:color="auto" w:fill="auto"/>
                  <w:noWrap w:val="0"/>
                  <w:vAlign w:val="center"/>
                </w:tcPr>
                <w:p w14:paraId="1604D0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0.0295</w:t>
                  </w:r>
                </w:p>
              </w:tc>
              <w:tc>
                <w:tcPr>
                  <w:tcW w:w="477" w:type="pct"/>
                  <w:vMerge w:val="continue"/>
                  <w:noWrap w:val="0"/>
                  <w:vAlign w:val="center"/>
                </w:tcPr>
                <w:p w14:paraId="04DCA3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433" w:type="pct"/>
                  <w:vMerge w:val="continue"/>
                  <w:noWrap w:val="0"/>
                  <w:vAlign w:val="center"/>
                </w:tcPr>
                <w:p w14:paraId="67047E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6F384236">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301" w:type="pct"/>
                  <w:shd w:val="clear" w:color="auto" w:fill="auto"/>
                  <w:noWrap w:val="0"/>
                  <w:vAlign w:val="center"/>
                </w:tcPr>
                <w:p w14:paraId="1E3D66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4</w:t>
                  </w:r>
                </w:p>
              </w:tc>
              <w:tc>
                <w:tcPr>
                  <w:tcW w:w="524" w:type="pct"/>
                  <w:shd w:val="clear" w:color="auto" w:fill="auto"/>
                  <w:noWrap w:val="0"/>
                  <w:vAlign w:val="center"/>
                </w:tcPr>
                <w:p w14:paraId="771C2E6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rPr>
                    <w:t>未补集的</w:t>
                  </w:r>
                  <w:r>
                    <w:rPr>
                      <w:rFonts w:hint="eastAsia" w:ascii="Times New Roman" w:hAnsi="Times New Roman" w:eastAsia="宋体" w:cs="Times New Roman"/>
                      <w:color w:val="auto"/>
                      <w:kern w:val="0"/>
                      <w:sz w:val="21"/>
                      <w:szCs w:val="21"/>
                      <w:highlight w:val="none"/>
                      <w:shd w:val="clear" w:color="auto" w:fill="auto"/>
                      <w:lang w:val="en-US" w:eastAsia="zh-CN"/>
                    </w:rPr>
                    <w:t>复合废气</w:t>
                  </w:r>
                </w:p>
              </w:tc>
              <w:tc>
                <w:tcPr>
                  <w:tcW w:w="797" w:type="pct"/>
                  <w:shd w:val="clear" w:color="auto" w:fill="auto"/>
                  <w:noWrap w:val="0"/>
                  <w:vAlign w:val="center"/>
                </w:tcPr>
                <w:p w14:paraId="78B3E87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非甲烷总烃</w:t>
                  </w:r>
                </w:p>
              </w:tc>
              <w:tc>
                <w:tcPr>
                  <w:tcW w:w="492" w:type="pct"/>
                  <w:shd w:val="clear" w:color="auto" w:fill="auto"/>
                  <w:noWrap w:val="0"/>
                  <w:vAlign w:val="center"/>
                </w:tcPr>
                <w:p w14:paraId="13536F42">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0.0002</w:t>
                  </w:r>
                </w:p>
              </w:tc>
              <w:tc>
                <w:tcPr>
                  <w:tcW w:w="417" w:type="pct"/>
                  <w:shd w:val="clear" w:color="auto" w:fill="auto"/>
                  <w:noWrap w:val="0"/>
                  <w:vAlign w:val="center"/>
                </w:tcPr>
                <w:p w14:paraId="2D7DFF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0.0</w:t>
                  </w:r>
                  <w:r>
                    <w:rPr>
                      <w:rFonts w:hint="eastAsia" w:ascii="Times New Roman" w:hAnsi="Times New Roman" w:eastAsia="宋体" w:cs="Times New Roman"/>
                      <w:color w:val="auto"/>
                      <w:kern w:val="0"/>
                      <w:sz w:val="21"/>
                      <w:szCs w:val="21"/>
                      <w:highlight w:val="none"/>
                      <w:shd w:val="clear" w:color="auto" w:fill="auto"/>
                      <w:lang w:val="en-US" w:eastAsia="zh-CN"/>
                    </w:rPr>
                    <w:t>004</w:t>
                  </w:r>
                </w:p>
              </w:tc>
              <w:tc>
                <w:tcPr>
                  <w:tcW w:w="339" w:type="pct"/>
                  <w:vMerge w:val="continue"/>
                  <w:shd w:val="clear" w:color="auto" w:fill="auto"/>
                  <w:noWrap w:val="0"/>
                  <w:vAlign w:val="center"/>
                </w:tcPr>
                <w:p w14:paraId="686856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p>
              </w:tc>
              <w:tc>
                <w:tcPr>
                  <w:tcW w:w="305" w:type="pct"/>
                  <w:shd w:val="clear" w:color="auto" w:fill="auto"/>
                  <w:noWrap w:val="0"/>
                  <w:vAlign w:val="center"/>
                </w:tcPr>
                <w:p w14:paraId="5BBBF2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145EECD4">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0.0001</w:t>
                  </w:r>
                </w:p>
              </w:tc>
              <w:tc>
                <w:tcPr>
                  <w:tcW w:w="456" w:type="pct"/>
                  <w:shd w:val="clear" w:color="auto" w:fill="auto"/>
                  <w:noWrap w:val="0"/>
                  <w:vAlign w:val="center"/>
                </w:tcPr>
                <w:p w14:paraId="5B2C8F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0.0</w:t>
                  </w:r>
                  <w:r>
                    <w:rPr>
                      <w:rFonts w:hint="eastAsia" w:ascii="Times New Roman" w:hAnsi="Times New Roman" w:eastAsia="宋体" w:cs="Times New Roman"/>
                      <w:color w:val="auto"/>
                      <w:kern w:val="0"/>
                      <w:sz w:val="21"/>
                      <w:szCs w:val="21"/>
                      <w:highlight w:val="none"/>
                      <w:shd w:val="clear" w:color="auto" w:fill="auto"/>
                      <w:lang w:val="en-US" w:eastAsia="zh-CN"/>
                    </w:rPr>
                    <w:t>002</w:t>
                  </w:r>
                </w:p>
              </w:tc>
              <w:tc>
                <w:tcPr>
                  <w:tcW w:w="477" w:type="pct"/>
                  <w:vMerge w:val="continue"/>
                  <w:noWrap w:val="0"/>
                  <w:vAlign w:val="center"/>
                </w:tcPr>
                <w:p w14:paraId="5DC121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shd w:val="clear" w:color="auto" w:fill="auto"/>
                      <w:lang w:val="en-US" w:eastAsia="zh-CN"/>
                    </w:rPr>
                  </w:pPr>
                </w:p>
              </w:tc>
              <w:tc>
                <w:tcPr>
                  <w:tcW w:w="433" w:type="pct"/>
                  <w:vMerge w:val="continue"/>
                  <w:noWrap w:val="0"/>
                  <w:vAlign w:val="center"/>
                </w:tcPr>
                <w:p w14:paraId="6F2F7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shd w:val="clear" w:color="auto" w:fill="auto"/>
                      <w:lang w:val="en-US" w:eastAsia="zh-CN"/>
                    </w:rPr>
                  </w:pPr>
                </w:p>
              </w:tc>
            </w:tr>
            <w:tr w14:paraId="7FEB3DD9">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301" w:type="pct"/>
                  <w:shd w:val="clear" w:color="auto" w:fill="auto"/>
                  <w:noWrap w:val="0"/>
                  <w:vAlign w:val="center"/>
                </w:tcPr>
                <w:p w14:paraId="4A12A2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5</w:t>
                  </w:r>
                </w:p>
              </w:tc>
              <w:tc>
                <w:tcPr>
                  <w:tcW w:w="524" w:type="pct"/>
                  <w:shd w:val="clear" w:color="auto" w:fill="auto"/>
                  <w:noWrap w:val="0"/>
                  <w:vAlign w:val="center"/>
                </w:tcPr>
                <w:p w14:paraId="7ACC90E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rPr>
                    <w:t>未补集的</w:t>
                  </w:r>
                  <w:r>
                    <w:rPr>
                      <w:rFonts w:hint="eastAsia" w:ascii="Times New Roman" w:hAnsi="Times New Roman" w:eastAsia="宋体" w:cs="Times New Roman"/>
                      <w:color w:val="auto"/>
                      <w:kern w:val="0"/>
                      <w:sz w:val="21"/>
                      <w:szCs w:val="21"/>
                      <w:highlight w:val="none"/>
                      <w:shd w:val="clear" w:color="auto" w:fill="auto"/>
                      <w:lang w:val="en-US" w:eastAsia="zh-CN"/>
                    </w:rPr>
                    <w:t>熟化废气</w:t>
                  </w:r>
                </w:p>
              </w:tc>
              <w:tc>
                <w:tcPr>
                  <w:tcW w:w="797" w:type="pct"/>
                  <w:shd w:val="clear" w:color="auto" w:fill="auto"/>
                  <w:noWrap w:val="0"/>
                  <w:vAlign w:val="center"/>
                </w:tcPr>
                <w:p w14:paraId="456B697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非甲烷总烃</w:t>
                  </w:r>
                </w:p>
              </w:tc>
              <w:tc>
                <w:tcPr>
                  <w:tcW w:w="492" w:type="pct"/>
                  <w:shd w:val="clear" w:color="auto" w:fill="auto"/>
                  <w:noWrap w:val="0"/>
                  <w:vAlign w:val="center"/>
                </w:tcPr>
                <w:p w14:paraId="78828D49">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0.0008</w:t>
                  </w:r>
                </w:p>
              </w:tc>
              <w:tc>
                <w:tcPr>
                  <w:tcW w:w="417" w:type="pct"/>
                  <w:shd w:val="clear" w:color="auto" w:fill="auto"/>
                  <w:noWrap w:val="0"/>
                  <w:vAlign w:val="center"/>
                </w:tcPr>
                <w:p w14:paraId="600CC1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0.0</w:t>
                  </w:r>
                  <w:r>
                    <w:rPr>
                      <w:rFonts w:hint="eastAsia" w:ascii="Times New Roman" w:hAnsi="Times New Roman" w:eastAsia="宋体" w:cs="Times New Roman"/>
                      <w:color w:val="auto"/>
                      <w:kern w:val="0"/>
                      <w:sz w:val="21"/>
                      <w:szCs w:val="21"/>
                      <w:highlight w:val="none"/>
                      <w:shd w:val="clear" w:color="auto" w:fill="auto"/>
                      <w:lang w:val="en-US" w:eastAsia="zh-CN"/>
                    </w:rPr>
                    <w:t>018</w:t>
                  </w:r>
                </w:p>
              </w:tc>
              <w:tc>
                <w:tcPr>
                  <w:tcW w:w="339" w:type="pct"/>
                  <w:vMerge w:val="continue"/>
                  <w:shd w:val="clear" w:color="auto" w:fill="auto"/>
                  <w:noWrap w:val="0"/>
                  <w:vAlign w:val="center"/>
                </w:tcPr>
                <w:p w14:paraId="745FF6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p>
              </w:tc>
              <w:tc>
                <w:tcPr>
                  <w:tcW w:w="305" w:type="pct"/>
                  <w:shd w:val="clear" w:color="auto" w:fill="auto"/>
                  <w:noWrap w:val="0"/>
                  <w:vAlign w:val="center"/>
                </w:tcPr>
                <w:p w14:paraId="62E869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2DBFBF3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0.0003</w:t>
                  </w:r>
                </w:p>
              </w:tc>
              <w:tc>
                <w:tcPr>
                  <w:tcW w:w="456" w:type="pct"/>
                  <w:shd w:val="clear" w:color="auto" w:fill="auto"/>
                  <w:noWrap w:val="0"/>
                  <w:vAlign w:val="center"/>
                </w:tcPr>
                <w:p w14:paraId="4BC7FA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0.0</w:t>
                  </w:r>
                  <w:r>
                    <w:rPr>
                      <w:rFonts w:hint="eastAsia" w:ascii="Times New Roman" w:hAnsi="Times New Roman" w:eastAsia="宋体" w:cs="Times New Roman"/>
                      <w:color w:val="auto"/>
                      <w:kern w:val="0"/>
                      <w:sz w:val="21"/>
                      <w:szCs w:val="21"/>
                      <w:highlight w:val="none"/>
                      <w:shd w:val="clear" w:color="auto" w:fill="auto"/>
                      <w:lang w:val="en-US" w:eastAsia="zh-CN"/>
                    </w:rPr>
                    <w:t>007</w:t>
                  </w:r>
                </w:p>
              </w:tc>
              <w:tc>
                <w:tcPr>
                  <w:tcW w:w="477" w:type="pct"/>
                  <w:vMerge w:val="continue"/>
                  <w:noWrap w:val="0"/>
                  <w:vAlign w:val="center"/>
                </w:tcPr>
                <w:p w14:paraId="594BD7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shd w:val="clear" w:color="auto" w:fill="auto"/>
                      <w:lang w:val="en-US" w:eastAsia="zh-CN"/>
                    </w:rPr>
                  </w:pPr>
                </w:p>
              </w:tc>
              <w:tc>
                <w:tcPr>
                  <w:tcW w:w="433" w:type="pct"/>
                  <w:vMerge w:val="continue"/>
                  <w:noWrap w:val="0"/>
                  <w:vAlign w:val="center"/>
                </w:tcPr>
                <w:p w14:paraId="61F156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mallCaps w:val="0"/>
                      <w:color w:val="auto"/>
                      <w:spacing w:val="0"/>
                      <w:sz w:val="21"/>
                      <w:szCs w:val="21"/>
                      <w:highlight w:val="none"/>
                      <w:shd w:val="clear" w:color="auto" w:fill="auto"/>
                      <w:lang w:val="en-US" w:eastAsia="zh-CN"/>
                    </w:rPr>
                  </w:pPr>
                </w:p>
              </w:tc>
            </w:tr>
            <w:tr w14:paraId="2F22E043">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301" w:type="pct"/>
                  <w:vMerge w:val="restart"/>
                  <w:shd w:val="clear" w:color="auto" w:fill="auto"/>
                  <w:noWrap w:val="0"/>
                  <w:vAlign w:val="center"/>
                </w:tcPr>
                <w:p w14:paraId="43F5C3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6</w:t>
                  </w:r>
                </w:p>
              </w:tc>
              <w:tc>
                <w:tcPr>
                  <w:tcW w:w="524" w:type="pct"/>
                  <w:vMerge w:val="restart"/>
                  <w:shd w:val="clear" w:color="auto" w:fill="auto"/>
                  <w:noWrap w:val="0"/>
                  <w:vAlign w:val="center"/>
                </w:tcPr>
                <w:p w14:paraId="7573B1C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rPr>
                    <w:t>未补集的</w:t>
                  </w:r>
                  <w:r>
                    <w:rPr>
                      <w:rFonts w:hint="eastAsia" w:ascii="Times New Roman" w:hAnsi="Times New Roman" w:eastAsia="宋体" w:cs="Times New Roman"/>
                      <w:color w:val="auto"/>
                      <w:kern w:val="0"/>
                      <w:sz w:val="21"/>
                      <w:szCs w:val="21"/>
                      <w:highlight w:val="none"/>
                      <w:shd w:val="clear" w:color="auto" w:fill="auto"/>
                      <w:lang w:val="en-US" w:eastAsia="zh-CN"/>
                    </w:rPr>
                    <w:t>清洗废气</w:t>
                  </w:r>
                </w:p>
              </w:tc>
              <w:tc>
                <w:tcPr>
                  <w:tcW w:w="797" w:type="pct"/>
                  <w:shd w:val="clear" w:color="auto" w:fill="auto"/>
                  <w:noWrap w:val="0"/>
                  <w:vAlign w:val="center"/>
                </w:tcPr>
                <w:p w14:paraId="7DFFD2B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非甲烷总烃</w:t>
                  </w:r>
                </w:p>
              </w:tc>
              <w:tc>
                <w:tcPr>
                  <w:tcW w:w="492" w:type="pct"/>
                  <w:shd w:val="clear" w:color="auto" w:fill="auto"/>
                  <w:noWrap w:val="0"/>
                  <w:vAlign w:val="center"/>
                </w:tcPr>
                <w:p w14:paraId="0EC637AF">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0.001</w:t>
                  </w:r>
                </w:p>
              </w:tc>
              <w:tc>
                <w:tcPr>
                  <w:tcW w:w="417" w:type="pct"/>
                  <w:shd w:val="clear" w:color="auto" w:fill="auto"/>
                  <w:noWrap w:val="0"/>
                  <w:vAlign w:val="center"/>
                </w:tcPr>
                <w:p w14:paraId="784782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0.00</w:t>
                  </w:r>
                  <w:r>
                    <w:rPr>
                      <w:rFonts w:hint="eastAsia" w:ascii="Times New Roman" w:hAnsi="Times New Roman" w:eastAsia="宋体" w:cs="Times New Roman"/>
                      <w:color w:val="auto"/>
                      <w:kern w:val="0"/>
                      <w:sz w:val="21"/>
                      <w:szCs w:val="21"/>
                      <w:highlight w:val="none"/>
                      <w:shd w:val="clear" w:color="auto" w:fill="auto"/>
                      <w:lang w:val="en-US" w:eastAsia="zh-CN"/>
                    </w:rPr>
                    <w:t>26</w:t>
                  </w:r>
                </w:p>
              </w:tc>
              <w:tc>
                <w:tcPr>
                  <w:tcW w:w="339" w:type="pct"/>
                  <w:vMerge w:val="continue"/>
                  <w:shd w:val="clear" w:color="auto" w:fill="auto"/>
                  <w:noWrap w:val="0"/>
                  <w:vAlign w:val="center"/>
                </w:tcPr>
                <w:p w14:paraId="3EF2E8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p>
              </w:tc>
              <w:tc>
                <w:tcPr>
                  <w:tcW w:w="305" w:type="pct"/>
                  <w:shd w:val="clear" w:color="auto" w:fill="auto"/>
                  <w:noWrap w:val="0"/>
                  <w:vAlign w:val="center"/>
                </w:tcPr>
                <w:p w14:paraId="2403F8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7FE27510">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0.001</w:t>
                  </w:r>
                </w:p>
              </w:tc>
              <w:tc>
                <w:tcPr>
                  <w:tcW w:w="456" w:type="pct"/>
                  <w:shd w:val="clear" w:color="auto" w:fill="auto"/>
                  <w:noWrap w:val="0"/>
                  <w:vAlign w:val="center"/>
                </w:tcPr>
                <w:p w14:paraId="6F5016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rPr>
                    <w:t>0.00</w:t>
                  </w:r>
                  <w:r>
                    <w:rPr>
                      <w:rFonts w:hint="eastAsia" w:ascii="Times New Roman" w:hAnsi="Times New Roman" w:eastAsia="宋体" w:cs="Times New Roman"/>
                      <w:color w:val="auto"/>
                      <w:kern w:val="0"/>
                      <w:sz w:val="21"/>
                      <w:szCs w:val="21"/>
                      <w:highlight w:val="none"/>
                      <w:shd w:val="clear" w:color="auto" w:fill="auto"/>
                      <w:lang w:val="en-US" w:eastAsia="zh-CN"/>
                    </w:rPr>
                    <w:t>26</w:t>
                  </w:r>
                </w:p>
              </w:tc>
              <w:tc>
                <w:tcPr>
                  <w:tcW w:w="477" w:type="pct"/>
                  <w:vMerge w:val="continue"/>
                  <w:shd w:val="clear" w:color="auto" w:fill="auto"/>
                  <w:noWrap w:val="0"/>
                  <w:vAlign w:val="center"/>
                </w:tcPr>
                <w:p w14:paraId="67D7BD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mallCaps w:val="0"/>
                      <w:color w:val="auto"/>
                      <w:spacing w:val="0"/>
                      <w:kern w:val="2"/>
                      <w:sz w:val="21"/>
                      <w:szCs w:val="21"/>
                      <w:highlight w:val="none"/>
                      <w:shd w:val="clear" w:color="auto" w:fill="auto"/>
                      <w:lang w:val="en-US" w:eastAsia="zh-CN" w:bidi="ar-SA"/>
                    </w:rPr>
                  </w:pPr>
                </w:p>
              </w:tc>
              <w:tc>
                <w:tcPr>
                  <w:tcW w:w="433" w:type="pct"/>
                  <w:vMerge w:val="continue"/>
                  <w:shd w:val="clear" w:color="auto" w:fill="auto"/>
                  <w:noWrap w:val="0"/>
                  <w:vAlign w:val="center"/>
                </w:tcPr>
                <w:p w14:paraId="11E1AB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mallCaps w:val="0"/>
                      <w:color w:val="auto"/>
                      <w:spacing w:val="0"/>
                      <w:kern w:val="2"/>
                      <w:sz w:val="21"/>
                      <w:szCs w:val="21"/>
                      <w:highlight w:val="none"/>
                      <w:shd w:val="clear" w:color="auto" w:fill="auto"/>
                      <w:lang w:val="en-US" w:eastAsia="zh-CN" w:bidi="ar-SA"/>
                    </w:rPr>
                  </w:pPr>
                </w:p>
              </w:tc>
            </w:tr>
            <w:tr w14:paraId="4519A65A">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301" w:type="pct"/>
                  <w:vMerge w:val="continue"/>
                  <w:shd w:val="clear" w:color="auto" w:fill="auto"/>
                  <w:noWrap w:val="0"/>
                  <w:vAlign w:val="center"/>
                </w:tcPr>
                <w:p w14:paraId="24BA01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color w:val="auto"/>
                    </w:rPr>
                  </w:pPr>
                </w:p>
              </w:tc>
              <w:tc>
                <w:tcPr>
                  <w:tcW w:w="524" w:type="pct"/>
                  <w:vMerge w:val="continue"/>
                  <w:shd w:val="clear" w:color="auto" w:fill="auto"/>
                  <w:noWrap w:val="0"/>
                  <w:vAlign w:val="center"/>
                </w:tcPr>
                <w:p w14:paraId="7A6EB7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color w:val="auto"/>
                    </w:rPr>
                  </w:pPr>
                </w:p>
              </w:tc>
              <w:tc>
                <w:tcPr>
                  <w:tcW w:w="797" w:type="pct"/>
                  <w:shd w:val="clear" w:color="auto" w:fill="auto"/>
                  <w:noWrap w:val="0"/>
                  <w:vAlign w:val="center"/>
                </w:tcPr>
                <w:p w14:paraId="4A316F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TVOC</w:t>
                  </w:r>
                </w:p>
              </w:tc>
              <w:tc>
                <w:tcPr>
                  <w:tcW w:w="492" w:type="pct"/>
                  <w:shd w:val="clear" w:color="auto" w:fill="auto"/>
                  <w:noWrap w:val="0"/>
                  <w:vAlign w:val="center"/>
                </w:tcPr>
                <w:p w14:paraId="65D868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0.004</w:t>
                  </w:r>
                </w:p>
              </w:tc>
              <w:tc>
                <w:tcPr>
                  <w:tcW w:w="417" w:type="pct"/>
                  <w:shd w:val="clear" w:color="auto" w:fill="auto"/>
                  <w:noWrap w:val="0"/>
                  <w:vAlign w:val="center"/>
                </w:tcPr>
                <w:p w14:paraId="24F98E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0.0100</w:t>
                  </w:r>
                </w:p>
              </w:tc>
              <w:tc>
                <w:tcPr>
                  <w:tcW w:w="339" w:type="pct"/>
                  <w:vMerge w:val="continue"/>
                  <w:shd w:val="clear" w:color="auto" w:fill="auto"/>
                  <w:noWrap w:val="0"/>
                  <w:vAlign w:val="center"/>
                </w:tcPr>
                <w:p w14:paraId="1EC4DD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05" w:type="pct"/>
                  <w:shd w:val="clear" w:color="auto" w:fill="auto"/>
                  <w:noWrap w:val="0"/>
                  <w:vAlign w:val="center"/>
                </w:tcPr>
                <w:p w14:paraId="2BC904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21610A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0.004</w:t>
                  </w:r>
                </w:p>
              </w:tc>
              <w:tc>
                <w:tcPr>
                  <w:tcW w:w="456" w:type="pct"/>
                  <w:shd w:val="clear" w:color="auto" w:fill="auto"/>
                  <w:noWrap w:val="0"/>
                  <w:vAlign w:val="center"/>
                </w:tcPr>
                <w:p w14:paraId="553828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0.0100</w:t>
                  </w:r>
                </w:p>
              </w:tc>
              <w:tc>
                <w:tcPr>
                  <w:tcW w:w="477" w:type="pct"/>
                  <w:vMerge w:val="continue"/>
                  <w:shd w:val="clear" w:color="auto" w:fill="auto"/>
                  <w:noWrap w:val="0"/>
                  <w:vAlign w:val="center"/>
                </w:tcPr>
                <w:p w14:paraId="6D59CB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433" w:type="pct"/>
                  <w:vMerge w:val="continue"/>
                  <w:shd w:val="clear" w:color="auto" w:fill="auto"/>
                  <w:noWrap w:val="0"/>
                  <w:vAlign w:val="center"/>
                </w:tcPr>
                <w:p w14:paraId="181077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269BC9F2">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25" w:type="pct"/>
                  <w:gridSpan w:val="2"/>
                  <w:vMerge w:val="restart"/>
                  <w:shd w:val="clear" w:color="auto" w:fill="auto"/>
                  <w:noWrap w:val="0"/>
                  <w:vAlign w:val="center"/>
                </w:tcPr>
                <w:p w14:paraId="70339A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eastAsiaTheme="minorEastAsia"/>
                      <w:color w:val="auto"/>
                      <w:lang w:val="en-US" w:eastAsia="zh-CN"/>
                    </w:rPr>
                  </w:pPr>
                  <w:r>
                    <w:rPr>
                      <w:rFonts w:hint="eastAsia" w:ascii="Times New Roman" w:hAnsi="Times New Roman" w:eastAsia="宋体" w:cs="Times New Roman"/>
                      <w:color w:val="auto"/>
                      <w:kern w:val="0"/>
                      <w:sz w:val="21"/>
                      <w:szCs w:val="21"/>
                      <w:highlight w:val="none"/>
                      <w:shd w:val="clear" w:color="auto" w:fill="auto"/>
                      <w:lang w:val="en-US" w:eastAsia="zh-CN"/>
                    </w:rPr>
                    <w:t>洁净车间一</w:t>
                  </w:r>
                </w:p>
              </w:tc>
              <w:tc>
                <w:tcPr>
                  <w:tcW w:w="797" w:type="pct"/>
                  <w:shd w:val="clear" w:color="auto" w:fill="auto"/>
                  <w:noWrap w:val="0"/>
                  <w:vAlign w:val="center"/>
                </w:tcPr>
                <w:p w14:paraId="38B26B6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非甲烷总烃</w:t>
                  </w:r>
                </w:p>
              </w:tc>
              <w:tc>
                <w:tcPr>
                  <w:tcW w:w="492" w:type="pct"/>
                  <w:shd w:val="clear" w:color="auto" w:fill="auto"/>
                  <w:noWrap w:val="0"/>
                  <w:vAlign w:val="center"/>
                </w:tcPr>
                <w:p w14:paraId="3F697B18">
                  <w:pPr>
                    <w:keepNext w:val="0"/>
                    <w:keepLines w:val="0"/>
                    <w:widowControl/>
                    <w:suppressLineNumbers w:val="0"/>
                    <w:jc w:val="center"/>
                    <w:textAlignment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0.017</w:t>
                  </w:r>
                </w:p>
              </w:tc>
              <w:tc>
                <w:tcPr>
                  <w:tcW w:w="417" w:type="pct"/>
                  <w:shd w:val="clear" w:color="auto" w:fill="auto"/>
                  <w:noWrap w:val="0"/>
                  <w:vAlign w:val="center"/>
                </w:tcPr>
                <w:p w14:paraId="08A07E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0.0408</w:t>
                  </w:r>
                </w:p>
              </w:tc>
              <w:tc>
                <w:tcPr>
                  <w:tcW w:w="339" w:type="pct"/>
                  <w:vMerge w:val="continue"/>
                  <w:shd w:val="clear" w:color="auto" w:fill="auto"/>
                  <w:noWrap w:val="0"/>
                  <w:vAlign w:val="center"/>
                </w:tcPr>
                <w:p w14:paraId="3D7B7C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05" w:type="pct"/>
                  <w:shd w:val="clear" w:color="auto" w:fill="auto"/>
                  <w:noWrap w:val="0"/>
                  <w:vAlign w:val="center"/>
                </w:tcPr>
                <w:p w14:paraId="64B96B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6F88529D">
                  <w:pPr>
                    <w:keepNext w:val="0"/>
                    <w:keepLines w:val="0"/>
                    <w:widowControl/>
                    <w:suppressLineNumbers w:val="0"/>
                    <w:jc w:val="center"/>
                    <w:textAlignment w:val="cente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0.017</w:t>
                  </w:r>
                </w:p>
              </w:tc>
              <w:tc>
                <w:tcPr>
                  <w:tcW w:w="456" w:type="pct"/>
                  <w:shd w:val="clear" w:color="auto" w:fill="auto"/>
                  <w:noWrap w:val="0"/>
                  <w:vAlign w:val="center"/>
                </w:tcPr>
                <w:p w14:paraId="239E10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0.0408</w:t>
                  </w:r>
                </w:p>
              </w:tc>
              <w:tc>
                <w:tcPr>
                  <w:tcW w:w="477" w:type="pct"/>
                  <w:vMerge w:val="continue"/>
                  <w:shd w:val="clear" w:color="auto" w:fill="auto"/>
                  <w:noWrap w:val="0"/>
                  <w:vAlign w:val="center"/>
                </w:tcPr>
                <w:p w14:paraId="1D547D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433" w:type="pct"/>
                  <w:vMerge w:val="continue"/>
                  <w:shd w:val="clear" w:color="auto" w:fill="auto"/>
                  <w:noWrap w:val="0"/>
                  <w:vAlign w:val="center"/>
                </w:tcPr>
                <w:p w14:paraId="429647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3AADE7AE">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25" w:type="pct"/>
                  <w:gridSpan w:val="2"/>
                  <w:vMerge w:val="continue"/>
                  <w:shd w:val="clear" w:color="auto" w:fill="auto"/>
                  <w:noWrap w:val="0"/>
                  <w:vAlign w:val="center"/>
                </w:tcPr>
                <w:p w14:paraId="207A79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color w:val="auto"/>
                    </w:rPr>
                  </w:pPr>
                </w:p>
              </w:tc>
              <w:tc>
                <w:tcPr>
                  <w:tcW w:w="797" w:type="pct"/>
                  <w:shd w:val="clear" w:color="auto" w:fill="auto"/>
                  <w:noWrap w:val="0"/>
                  <w:vAlign w:val="center"/>
                </w:tcPr>
                <w:p w14:paraId="3FC41E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TVOC</w:t>
                  </w:r>
                </w:p>
              </w:tc>
              <w:tc>
                <w:tcPr>
                  <w:tcW w:w="492" w:type="pct"/>
                  <w:shd w:val="clear" w:color="auto" w:fill="auto"/>
                  <w:noWrap w:val="0"/>
                  <w:vAlign w:val="center"/>
                </w:tcPr>
                <w:p w14:paraId="174A3C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0.016</w:t>
                  </w:r>
                </w:p>
              </w:tc>
              <w:tc>
                <w:tcPr>
                  <w:tcW w:w="417" w:type="pct"/>
                  <w:shd w:val="clear" w:color="auto" w:fill="auto"/>
                  <w:noWrap w:val="0"/>
                  <w:vAlign w:val="center"/>
                </w:tcPr>
                <w:p w14:paraId="4E50E4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0.0395</w:t>
                  </w:r>
                </w:p>
              </w:tc>
              <w:tc>
                <w:tcPr>
                  <w:tcW w:w="339" w:type="pct"/>
                  <w:vMerge w:val="continue"/>
                  <w:shd w:val="clear" w:color="auto" w:fill="auto"/>
                  <w:noWrap w:val="0"/>
                  <w:vAlign w:val="center"/>
                </w:tcPr>
                <w:p w14:paraId="142E82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05" w:type="pct"/>
                  <w:shd w:val="clear" w:color="auto" w:fill="auto"/>
                  <w:noWrap w:val="0"/>
                  <w:vAlign w:val="center"/>
                </w:tcPr>
                <w:p w14:paraId="61F20D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74C416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0.016</w:t>
                  </w:r>
                </w:p>
              </w:tc>
              <w:tc>
                <w:tcPr>
                  <w:tcW w:w="456" w:type="pct"/>
                  <w:shd w:val="clear" w:color="auto" w:fill="auto"/>
                  <w:noWrap w:val="0"/>
                  <w:vAlign w:val="center"/>
                </w:tcPr>
                <w:p w14:paraId="4B337C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0.0395</w:t>
                  </w:r>
                </w:p>
              </w:tc>
              <w:tc>
                <w:tcPr>
                  <w:tcW w:w="477" w:type="pct"/>
                  <w:vMerge w:val="continue"/>
                  <w:shd w:val="clear" w:color="auto" w:fill="auto"/>
                  <w:noWrap w:val="0"/>
                  <w:vAlign w:val="center"/>
                </w:tcPr>
                <w:p w14:paraId="124C3D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433" w:type="pct"/>
                  <w:vMerge w:val="continue"/>
                  <w:shd w:val="clear" w:color="auto" w:fill="auto"/>
                  <w:noWrap w:val="0"/>
                  <w:vAlign w:val="center"/>
                </w:tcPr>
                <w:p w14:paraId="669FE3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3799E0B9">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25" w:type="pct"/>
                  <w:gridSpan w:val="2"/>
                  <w:vMerge w:val="restart"/>
                  <w:shd w:val="clear" w:color="auto" w:fill="auto"/>
                  <w:noWrap w:val="0"/>
                  <w:vAlign w:val="center"/>
                </w:tcPr>
                <w:p w14:paraId="48EB74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eastAsiaTheme="minorEastAsia"/>
                      <w:color w:val="auto"/>
                      <w:lang w:val="en-US" w:eastAsia="zh-CN"/>
                    </w:rPr>
                  </w:pPr>
                  <w:r>
                    <w:rPr>
                      <w:rFonts w:hint="eastAsia" w:ascii="Times New Roman" w:hAnsi="Times New Roman" w:eastAsia="宋体" w:cs="Times New Roman"/>
                      <w:color w:val="auto"/>
                      <w:kern w:val="0"/>
                      <w:szCs w:val="21"/>
                      <w:highlight w:val="none"/>
                      <w:shd w:val="clear" w:color="auto" w:fill="auto"/>
                      <w:lang w:val="en-US" w:eastAsia="zh-CN"/>
                    </w:rPr>
                    <w:t>合计</w:t>
                  </w:r>
                </w:p>
              </w:tc>
              <w:tc>
                <w:tcPr>
                  <w:tcW w:w="797" w:type="pct"/>
                  <w:shd w:val="clear" w:color="auto" w:fill="auto"/>
                  <w:noWrap w:val="0"/>
                  <w:vAlign w:val="center"/>
                </w:tcPr>
                <w:p w14:paraId="2EBEB71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非甲烷总烃</w:t>
                  </w:r>
                </w:p>
              </w:tc>
              <w:tc>
                <w:tcPr>
                  <w:tcW w:w="492" w:type="pct"/>
                  <w:shd w:val="clear" w:color="auto" w:fill="auto"/>
                  <w:noWrap w:val="0"/>
                  <w:vAlign w:val="center"/>
                </w:tcPr>
                <w:p w14:paraId="31E893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0.033</w:t>
                  </w:r>
                </w:p>
              </w:tc>
              <w:tc>
                <w:tcPr>
                  <w:tcW w:w="417" w:type="pct"/>
                  <w:shd w:val="clear" w:color="auto" w:fill="auto"/>
                  <w:noWrap w:val="0"/>
                  <w:vAlign w:val="center"/>
                </w:tcPr>
                <w:p w14:paraId="5DCC4C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0.0793</w:t>
                  </w:r>
                </w:p>
              </w:tc>
              <w:tc>
                <w:tcPr>
                  <w:tcW w:w="339" w:type="pct"/>
                  <w:vMerge w:val="continue"/>
                  <w:shd w:val="clear" w:color="auto" w:fill="auto"/>
                  <w:noWrap w:val="0"/>
                  <w:vAlign w:val="center"/>
                </w:tcPr>
                <w:p w14:paraId="26CACB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05" w:type="pct"/>
                  <w:shd w:val="clear" w:color="auto" w:fill="auto"/>
                  <w:noWrap w:val="0"/>
                  <w:vAlign w:val="center"/>
                </w:tcPr>
                <w:p w14:paraId="02172A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35B008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0.033</w:t>
                  </w:r>
                </w:p>
              </w:tc>
              <w:tc>
                <w:tcPr>
                  <w:tcW w:w="456" w:type="pct"/>
                  <w:shd w:val="clear" w:color="auto" w:fill="auto"/>
                  <w:noWrap w:val="0"/>
                  <w:vAlign w:val="center"/>
                </w:tcPr>
                <w:p w14:paraId="6AD735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0.0793</w:t>
                  </w:r>
                </w:p>
              </w:tc>
              <w:tc>
                <w:tcPr>
                  <w:tcW w:w="477" w:type="pct"/>
                  <w:vMerge w:val="restart"/>
                  <w:shd w:val="clear" w:color="auto" w:fill="auto"/>
                  <w:noWrap w:val="0"/>
                  <w:vAlign w:val="center"/>
                </w:tcPr>
                <w:p w14:paraId="60C839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433" w:type="pct"/>
                  <w:vMerge w:val="restart"/>
                  <w:shd w:val="clear" w:color="auto" w:fill="auto"/>
                  <w:noWrap w:val="0"/>
                  <w:vAlign w:val="center"/>
                </w:tcPr>
                <w:p w14:paraId="2DA743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r>
            <w:tr w14:paraId="2CF5E224">
              <w:tblPrEx>
                <w:tblBorders>
                  <w:top w:val="single" w:color="000000" w:sz="12" w:space="0"/>
                  <w:left w:val="none" w:color="auto" w:sz="0" w:space="0"/>
                  <w:bottom w:val="single" w:color="000000" w:sz="12" w:space="0"/>
                  <w:right w:val="none" w:color="auto" w:sz="0" w:space="0"/>
                  <w:insideH w:val="single" w:color="000000" w:sz="4" w:space="0"/>
                  <w:insideV w:val="single" w:color="auto" w:sz="4" w:space="0"/>
                </w:tblBorders>
                <w:tblCellMar>
                  <w:top w:w="0" w:type="dxa"/>
                  <w:left w:w="108" w:type="dxa"/>
                  <w:bottom w:w="0" w:type="dxa"/>
                  <w:right w:w="108" w:type="dxa"/>
                </w:tblCellMar>
              </w:tblPrEx>
              <w:trPr>
                <w:trHeight w:val="397" w:hRule="atLeast"/>
                <w:jc w:val="center"/>
              </w:trPr>
              <w:tc>
                <w:tcPr>
                  <w:tcW w:w="825" w:type="pct"/>
                  <w:gridSpan w:val="2"/>
                  <w:vMerge w:val="continue"/>
                  <w:shd w:val="clear" w:color="auto" w:fill="auto"/>
                  <w:noWrap w:val="0"/>
                  <w:vAlign w:val="center"/>
                </w:tcPr>
                <w:p w14:paraId="034399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color w:val="auto"/>
                    </w:rPr>
                  </w:pPr>
                </w:p>
              </w:tc>
              <w:tc>
                <w:tcPr>
                  <w:tcW w:w="797" w:type="pct"/>
                  <w:shd w:val="clear" w:color="auto" w:fill="auto"/>
                  <w:noWrap w:val="0"/>
                  <w:vAlign w:val="center"/>
                </w:tcPr>
                <w:p w14:paraId="47DE89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TVOC</w:t>
                  </w:r>
                </w:p>
              </w:tc>
              <w:tc>
                <w:tcPr>
                  <w:tcW w:w="492" w:type="pct"/>
                  <w:shd w:val="clear" w:color="auto" w:fill="auto"/>
                  <w:noWrap w:val="0"/>
                  <w:vAlign w:val="center"/>
                </w:tcPr>
                <w:p w14:paraId="01D39D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0.016</w:t>
                  </w:r>
                </w:p>
              </w:tc>
              <w:tc>
                <w:tcPr>
                  <w:tcW w:w="417" w:type="pct"/>
                  <w:shd w:val="clear" w:color="auto" w:fill="auto"/>
                  <w:noWrap w:val="0"/>
                  <w:vAlign w:val="center"/>
                </w:tcPr>
                <w:p w14:paraId="76B271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0.0395</w:t>
                  </w:r>
                </w:p>
              </w:tc>
              <w:tc>
                <w:tcPr>
                  <w:tcW w:w="339" w:type="pct"/>
                  <w:vMerge w:val="continue"/>
                  <w:shd w:val="clear" w:color="auto" w:fill="auto"/>
                  <w:noWrap w:val="0"/>
                  <w:vAlign w:val="center"/>
                </w:tcPr>
                <w:p w14:paraId="7DDC59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305" w:type="pct"/>
                  <w:shd w:val="clear" w:color="auto" w:fill="auto"/>
                  <w:noWrap w:val="0"/>
                  <w:vAlign w:val="center"/>
                </w:tcPr>
                <w:p w14:paraId="107BD7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w:t>
                  </w:r>
                </w:p>
              </w:tc>
              <w:tc>
                <w:tcPr>
                  <w:tcW w:w="454" w:type="pct"/>
                  <w:shd w:val="clear" w:color="auto" w:fill="auto"/>
                  <w:noWrap w:val="0"/>
                  <w:vAlign w:val="center"/>
                </w:tcPr>
                <w:p w14:paraId="47528B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0.016</w:t>
                  </w:r>
                </w:p>
              </w:tc>
              <w:tc>
                <w:tcPr>
                  <w:tcW w:w="456" w:type="pct"/>
                  <w:shd w:val="clear" w:color="auto" w:fill="auto"/>
                  <w:noWrap w:val="0"/>
                  <w:vAlign w:val="center"/>
                </w:tcPr>
                <w:p w14:paraId="5F4C51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0.0395</w:t>
                  </w:r>
                </w:p>
              </w:tc>
              <w:tc>
                <w:tcPr>
                  <w:tcW w:w="477" w:type="pct"/>
                  <w:vMerge w:val="continue"/>
                  <w:shd w:val="clear" w:color="auto" w:fill="auto"/>
                  <w:noWrap w:val="0"/>
                  <w:vAlign w:val="center"/>
                </w:tcPr>
                <w:p w14:paraId="2E21BE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433" w:type="pct"/>
                  <w:vMerge w:val="continue"/>
                  <w:shd w:val="clear" w:color="auto" w:fill="auto"/>
                  <w:noWrap w:val="0"/>
                  <w:vAlign w:val="center"/>
                </w:tcPr>
                <w:p w14:paraId="1B09DB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bl>
          <w:p w14:paraId="4347E914">
            <w:pPr>
              <w:pStyle w:val="62"/>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500" w:lineRule="exact"/>
              <w:ind w:left="0" w:right="0" w:firstLine="482"/>
              <w:textAlignment w:val="auto"/>
              <w:rPr>
                <w:rFonts w:hint="default" w:ascii="Times New Roman" w:hAnsi="Times New Roman" w:eastAsia="宋体" w:cs="Times New Roman"/>
                <w:b/>
                <w:color w:val="auto"/>
                <w:spacing w:val="0"/>
                <w:sz w:val="24"/>
                <w:szCs w:val="24"/>
                <w:highlight w:val="none"/>
                <w:shd w:val="clear" w:color="auto" w:fill="auto"/>
              </w:rPr>
            </w:pPr>
            <w:r>
              <w:rPr>
                <w:rFonts w:hint="default" w:ascii="Times New Roman" w:hAnsi="Times New Roman" w:eastAsia="宋体" w:cs="Times New Roman"/>
                <w:b/>
                <w:color w:val="auto"/>
                <w:spacing w:val="0"/>
                <w:sz w:val="24"/>
                <w:szCs w:val="24"/>
                <w:highlight w:val="none"/>
                <w:shd w:val="clear" w:color="auto" w:fill="auto"/>
                <w:lang w:val="en-US" w:eastAsia="zh-CN"/>
              </w:rPr>
              <w:t>4、</w:t>
            </w:r>
            <w:r>
              <w:rPr>
                <w:rFonts w:hint="default" w:ascii="Times New Roman" w:hAnsi="Times New Roman" w:eastAsia="宋体" w:cs="Times New Roman"/>
                <w:b/>
                <w:color w:val="auto"/>
                <w:spacing w:val="0"/>
                <w:sz w:val="24"/>
                <w:szCs w:val="24"/>
                <w:highlight w:val="none"/>
                <w:shd w:val="clear" w:color="auto" w:fill="auto"/>
              </w:rPr>
              <w:t>本项目非正常工况大气污染源情况</w:t>
            </w:r>
          </w:p>
          <w:p w14:paraId="30B32235">
            <w:pPr>
              <w:pStyle w:val="62"/>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500" w:lineRule="exact"/>
              <w:ind w:left="0" w:right="0" w:firstLine="500"/>
              <w:textAlignment w:val="auto"/>
              <w:rPr>
                <w:rFonts w:hint="default" w:ascii="Times New Roman" w:hAnsi="Times New Roman" w:eastAsia="宋体" w:cs="Times New Roman"/>
                <w:bCs/>
                <w:smallCaps w:val="0"/>
                <w:color w:val="auto"/>
                <w:spacing w:val="0"/>
                <w:sz w:val="24"/>
                <w:szCs w:val="24"/>
                <w:highlight w:val="none"/>
                <w:shd w:val="clear" w:color="auto" w:fill="auto"/>
                <w:lang w:val="en-US" w:eastAsia="zh-CN"/>
              </w:rPr>
            </w:pPr>
            <w:r>
              <w:rPr>
                <w:rFonts w:hint="default" w:ascii="Times New Roman" w:hAnsi="Times New Roman" w:eastAsia="宋体" w:cs="Times New Roman"/>
                <w:bCs/>
                <w:smallCaps w:val="0"/>
                <w:color w:val="auto"/>
                <w:spacing w:val="0"/>
                <w:sz w:val="24"/>
                <w:szCs w:val="24"/>
                <w:highlight w:val="none"/>
                <w:shd w:val="clear" w:color="auto" w:fill="auto"/>
                <w:lang w:val="en-US" w:eastAsia="zh-CN"/>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3D34C052">
            <w:pPr>
              <w:pStyle w:val="62"/>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Lines="0" w:afterAutospacing="0" w:line="500" w:lineRule="exact"/>
              <w:ind w:left="0" w:right="0" w:firstLine="48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bCs/>
                <w:smallCaps w:val="0"/>
                <w:color w:val="auto"/>
                <w:spacing w:val="0"/>
                <w:sz w:val="24"/>
                <w:szCs w:val="24"/>
                <w:highlight w:val="none"/>
                <w:shd w:val="clear" w:color="auto" w:fill="auto"/>
                <w:lang w:val="en-US" w:eastAsia="zh-CN"/>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w:t>
            </w:r>
            <w:r>
              <w:rPr>
                <w:rFonts w:hint="default" w:ascii="Times New Roman" w:hAnsi="Times New Roman" w:eastAsia="宋体" w:cs="Times New Roman"/>
                <w:bCs/>
                <w:smallCaps w:val="0"/>
                <w:color w:val="auto"/>
                <w:spacing w:val="0"/>
                <w:sz w:val="24"/>
                <w:szCs w:val="24"/>
                <w:highlight w:val="none"/>
                <w:lang w:val="en-US" w:eastAsia="zh-CN"/>
              </w:rPr>
              <w:t>本项目非正常工况大气污染物排放情况见下表。</w:t>
            </w:r>
          </w:p>
          <w:p w14:paraId="5ADF7E85">
            <w:pPr>
              <w:pStyle w:val="62"/>
              <w:keepNext w:val="0"/>
              <w:keepLines w:val="0"/>
              <w:suppressLineNumbers w:val="0"/>
              <w:spacing w:before="0" w:beforeLines="0" w:beforeAutospacing="0" w:after="0" w:afterLines="0" w:afterAutospacing="0" w:line="500" w:lineRule="exact"/>
              <w:ind w:left="0" w:right="0" w:firstLine="0" w:firstLineChars="0"/>
              <w:jc w:val="center"/>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表4-</w:t>
            </w:r>
            <w:r>
              <w:rPr>
                <w:rFonts w:hint="eastAsia" w:ascii="Times New Roman" w:hAnsi="Times New Roman" w:eastAsia="宋体" w:cs="Times New Roman"/>
                <w:b/>
                <w:bCs w:val="0"/>
                <w:color w:val="auto"/>
                <w:spacing w:val="0"/>
                <w:sz w:val="24"/>
                <w:szCs w:val="24"/>
                <w:highlight w:val="none"/>
                <w:lang w:val="en-US" w:eastAsia="zh-CN"/>
              </w:rPr>
              <w:t>9</w:t>
            </w:r>
            <w:r>
              <w:rPr>
                <w:rFonts w:hint="default" w:ascii="Times New Roman" w:hAnsi="Times New Roman" w:eastAsia="宋体" w:cs="Times New Roman"/>
                <w:b/>
                <w:bCs w:val="0"/>
                <w:color w:val="auto"/>
                <w:spacing w:val="0"/>
                <w:sz w:val="24"/>
                <w:szCs w:val="24"/>
                <w:highlight w:val="none"/>
              </w:rPr>
              <w:t xml:space="preserve"> </w:t>
            </w:r>
            <w:r>
              <w:rPr>
                <w:rFonts w:hint="eastAsia" w:ascii="Times New Roman" w:hAnsi="Times New Roman" w:eastAsia="宋体" w:cs="Times New Roman"/>
                <w:b/>
                <w:bCs w:val="0"/>
                <w:color w:val="auto"/>
                <w:spacing w:val="0"/>
                <w:sz w:val="24"/>
                <w:szCs w:val="24"/>
                <w:highlight w:val="none"/>
                <w:lang w:val="en-US" w:eastAsia="zh-CN"/>
              </w:rPr>
              <w:t xml:space="preserve"> </w:t>
            </w:r>
            <w:r>
              <w:rPr>
                <w:rFonts w:hint="default" w:ascii="Times New Roman" w:hAnsi="Times New Roman" w:eastAsia="宋体" w:cs="Times New Roman"/>
                <w:b/>
                <w:bCs w:val="0"/>
                <w:color w:val="auto"/>
                <w:spacing w:val="0"/>
                <w:sz w:val="24"/>
                <w:szCs w:val="24"/>
                <w:highlight w:val="none"/>
              </w:rPr>
              <w:t>非正常工况下废气污染源强及排放状况</w:t>
            </w:r>
          </w:p>
          <w:tbl>
            <w:tblPr>
              <w:tblStyle w:val="27"/>
              <w:tblW w:w="5000" w:type="pct"/>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0" w:type="dxa"/>
                <w:bottom w:w="0" w:type="dxa"/>
                <w:right w:w="0" w:type="dxa"/>
              </w:tblCellMar>
            </w:tblPr>
            <w:tblGrid>
              <w:gridCol w:w="580"/>
              <w:gridCol w:w="1586"/>
              <w:gridCol w:w="2550"/>
              <w:gridCol w:w="5249"/>
              <w:gridCol w:w="1255"/>
              <w:gridCol w:w="824"/>
              <w:gridCol w:w="548"/>
              <w:gridCol w:w="641"/>
            </w:tblGrid>
            <w:tr w14:paraId="210078C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 w:type="pct"/>
                  <w:vMerge w:val="restart"/>
                  <w:tcBorders>
                    <w:bottom w:val="single" w:color="auto" w:sz="12" w:space="0"/>
                  </w:tcBorders>
                  <w:noWrap w:val="0"/>
                  <w:tcMar>
                    <w:top w:w="15" w:type="dxa"/>
                    <w:left w:w="15" w:type="dxa"/>
                    <w:bottom w:w="0" w:type="dxa"/>
                    <w:right w:w="15" w:type="dxa"/>
                  </w:tcMar>
                  <w:vAlign w:val="center"/>
                </w:tcPr>
                <w:p w14:paraId="069E60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排气筒m</w:t>
                  </w:r>
                </w:p>
              </w:tc>
              <w:tc>
                <w:tcPr>
                  <w:tcW w:w="599" w:type="pct"/>
                  <w:vMerge w:val="restart"/>
                  <w:tcBorders>
                    <w:bottom w:val="single" w:color="auto" w:sz="12" w:space="0"/>
                  </w:tcBorders>
                  <w:noWrap/>
                  <w:tcMar>
                    <w:top w:w="15" w:type="dxa"/>
                    <w:left w:w="15" w:type="dxa"/>
                    <w:bottom w:w="0" w:type="dxa"/>
                    <w:right w:w="15" w:type="dxa"/>
                  </w:tcMar>
                  <w:vAlign w:val="center"/>
                </w:tcPr>
                <w:p w14:paraId="578DA7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废气量m</w:t>
                  </w:r>
                  <w:r>
                    <w:rPr>
                      <w:rFonts w:hint="default" w:ascii="Times New Roman" w:hAnsi="Times New Roman" w:eastAsia="宋体" w:cs="Times New Roman"/>
                      <w:b/>
                      <w:smallCaps w:val="0"/>
                      <w:color w:val="auto"/>
                      <w:spacing w:val="0"/>
                      <w:kern w:val="0"/>
                      <w:sz w:val="21"/>
                      <w:szCs w:val="21"/>
                      <w:highlight w:val="none"/>
                      <w:vertAlign w:val="superscript"/>
                    </w:rPr>
                    <w:t>3</w:t>
                  </w:r>
                  <w:r>
                    <w:rPr>
                      <w:rFonts w:hint="default" w:ascii="Times New Roman" w:hAnsi="Times New Roman" w:eastAsia="宋体" w:cs="Times New Roman"/>
                      <w:b/>
                      <w:smallCaps w:val="0"/>
                      <w:color w:val="auto"/>
                      <w:spacing w:val="0"/>
                      <w:kern w:val="0"/>
                      <w:sz w:val="21"/>
                      <w:szCs w:val="21"/>
                      <w:highlight w:val="none"/>
                    </w:rPr>
                    <w:t>/h</w:t>
                  </w:r>
                </w:p>
              </w:tc>
              <w:tc>
                <w:tcPr>
                  <w:tcW w:w="963" w:type="pct"/>
                  <w:vMerge w:val="restart"/>
                  <w:tcBorders>
                    <w:bottom w:val="single" w:color="auto" w:sz="12" w:space="0"/>
                  </w:tcBorders>
                  <w:noWrap/>
                  <w:tcMar>
                    <w:top w:w="15" w:type="dxa"/>
                    <w:left w:w="15" w:type="dxa"/>
                    <w:bottom w:w="0" w:type="dxa"/>
                    <w:right w:w="15" w:type="dxa"/>
                  </w:tcMar>
                  <w:vAlign w:val="center"/>
                </w:tcPr>
                <w:p w14:paraId="3EABFE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污染物名称</w:t>
                  </w:r>
                </w:p>
              </w:tc>
              <w:tc>
                <w:tcPr>
                  <w:tcW w:w="1983" w:type="pct"/>
                  <w:vMerge w:val="restart"/>
                  <w:tcBorders>
                    <w:bottom w:val="single" w:color="auto" w:sz="12" w:space="0"/>
                  </w:tcBorders>
                  <w:noWrap/>
                  <w:tcMar>
                    <w:top w:w="15" w:type="dxa"/>
                    <w:left w:w="15" w:type="dxa"/>
                    <w:bottom w:w="0" w:type="dxa"/>
                    <w:right w:w="15" w:type="dxa"/>
                  </w:tcMar>
                  <w:vAlign w:val="center"/>
                </w:tcPr>
                <w:p w14:paraId="3C85C7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事故工况</w:t>
                  </w:r>
                </w:p>
              </w:tc>
              <w:tc>
                <w:tcPr>
                  <w:tcW w:w="785" w:type="pct"/>
                  <w:gridSpan w:val="2"/>
                  <w:noWrap/>
                  <w:tcMar>
                    <w:top w:w="15" w:type="dxa"/>
                    <w:left w:w="15" w:type="dxa"/>
                    <w:bottom w:w="0" w:type="dxa"/>
                    <w:right w:w="15" w:type="dxa"/>
                  </w:tcMar>
                  <w:vAlign w:val="center"/>
                </w:tcPr>
                <w:p w14:paraId="5C5374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排放状况</w:t>
                  </w:r>
                </w:p>
              </w:tc>
              <w:tc>
                <w:tcPr>
                  <w:tcW w:w="207" w:type="pct"/>
                  <w:vMerge w:val="restart"/>
                  <w:noWrap w:val="0"/>
                  <w:vAlign w:val="center"/>
                </w:tcPr>
                <w:p w14:paraId="09AC8F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lang w:val="en-US" w:eastAsia="zh-CN"/>
                    </w:rPr>
                  </w:pPr>
                  <w:r>
                    <w:rPr>
                      <w:rFonts w:hint="default" w:ascii="Times New Roman" w:hAnsi="Times New Roman" w:eastAsia="宋体" w:cs="Times New Roman"/>
                      <w:b/>
                      <w:smallCaps w:val="0"/>
                      <w:color w:val="auto"/>
                      <w:spacing w:val="0"/>
                      <w:kern w:val="0"/>
                      <w:sz w:val="21"/>
                      <w:szCs w:val="21"/>
                      <w:highlight w:val="none"/>
                      <w:lang w:val="en-US" w:eastAsia="zh-CN"/>
                    </w:rPr>
                    <w:t>单次持续时间（h）</w:t>
                  </w:r>
                </w:p>
              </w:tc>
              <w:tc>
                <w:tcPr>
                  <w:tcW w:w="242" w:type="pct"/>
                  <w:vMerge w:val="restart"/>
                  <w:noWrap w:val="0"/>
                  <w:vAlign w:val="center"/>
                </w:tcPr>
                <w:p w14:paraId="6592F8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lang w:val="en-US" w:eastAsia="zh-CN"/>
                    </w:rPr>
                  </w:pPr>
                  <w:r>
                    <w:rPr>
                      <w:rFonts w:hint="default" w:ascii="Times New Roman" w:hAnsi="Times New Roman" w:eastAsia="宋体" w:cs="Times New Roman"/>
                      <w:b/>
                      <w:smallCaps w:val="0"/>
                      <w:color w:val="auto"/>
                      <w:spacing w:val="0"/>
                      <w:kern w:val="0"/>
                      <w:sz w:val="21"/>
                      <w:szCs w:val="21"/>
                      <w:highlight w:val="none"/>
                      <w:lang w:val="en-US" w:eastAsia="zh-CN"/>
                    </w:rPr>
                    <w:t>年发生频次（次）</w:t>
                  </w:r>
                </w:p>
              </w:tc>
            </w:tr>
            <w:tr w14:paraId="57609F1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 w:type="pct"/>
                  <w:vMerge w:val="continue"/>
                  <w:tcBorders>
                    <w:top w:val="single" w:color="auto" w:sz="12" w:space="0"/>
                    <w:bottom w:val="single" w:color="auto" w:sz="12" w:space="0"/>
                    <w:tl2br w:val="nil"/>
                    <w:tr2bl w:val="nil"/>
                  </w:tcBorders>
                  <w:noWrap w:val="0"/>
                  <w:tcMar>
                    <w:top w:w="15" w:type="dxa"/>
                    <w:left w:w="15" w:type="dxa"/>
                    <w:bottom w:w="0" w:type="dxa"/>
                    <w:right w:w="15" w:type="dxa"/>
                  </w:tcMar>
                  <w:vAlign w:val="center"/>
                </w:tcPr>
                <w:p w14:paraId="7F20A5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599" w:type="pct"/>
                  <w:vMerge w:val="continue"/>
                  <w:tcBorders>
                    <w:top w:val="single" w:color="auto" w:sz="12" w:space="0"/>
                    <w:bottom w:val="single" w:color="auto" w:sz="12" w:space="0"/>
                    <w:tl2br w:val="nil"/>
                    <w:tr2bl w:val="nil"/>
                  </w:tcBorders>
                  <w:noWrap/>
                  <w:tcMar>
                    <w:top w:w="15" w:type="dxa"/>
                    <w:left w:w="15" w:type="dxa"/>
                    <w:bottom w:w="0" w:type="dxa"/>
                    <w:right w:w="15" w:type="dxa"/>
                  </w:tcMar>
                  <w:vAlign w:val="center"/>
                </w:tcPr>
                <w:p w14:paraId="5BAF9D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963" w:type="pct"/>
                  <w:vMerge w:val="continue"/>
                  <w:tcBorders>
                    <w:top w:val="single" w:color="auto" w:sz="12" w:space="0"/>
                    <w:bottom w:val="single" w:color="auto" w:sz="12" w:space="0"/>
                    <w:tl2br w:val="nil"/>
                    <w:tr2bl w:val="nil"/>
                  </w:tcBorders>
                  <w:noWrap/>
                  <w:tcMar>
                    <w:top w:w="15" w:type="dxa"/>
                    <w:left w:w="15" w:type="dxa"/>
                    <w:bottom w:w="0" w:type="dxa"/>
                    <w:right w:w="15" w:type="dxa"/>
                  </w:tcMar>
                  <w:vAlign w:val="center"/>
                </w:tcPr>
                <w:p w14:paraId="3D4F7B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1983" w:type="pct"/>
                  <w:vMerge w:val="continue"/>
                  <w:tcBorders>
                    <w:top w:val="single" w:color="auto" w:sz="12" w:space="0"/>
                    <w:bottom w:val="single" w:color="auto" w:sz="12" w:space="0"/>
                    <w:tl2br w:val="nil"/>
                    <w:tr2bl w:val="nil"/>
                  </w:tcBorders>
                  <w:noWrap/>
                  <w:tcMar>
                    <w:top w:w="15" w:type="dxa"/>
                    <w:left w:w="15" w:type="dxa"/>
                    <w:bottom w:w="0" w:type="dxa"/>
                    <w:right w:w="15" w:type="dxa"/>
                  </w:tcMar>
                  <w:vAlign w:val="center"/>
                </w:tcPr>
                <w:p w14:paraId="1DB17C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474" w:type="pct"/>
                  <w:tcBorders>
                    <w:bottom w:val="single" w:color="auto" w:sz="12" w:space="0"/>
                  </w:tcBorders>
                  <w:noWrap/>
                  <w:tcMar>
                    <w:top w:w="15" w:type="dxa"/>
                    <w:left w:w="15" w:type="dxa"/>
                    <w:bottom w:w="0" w:type="dxa"/>
                    <w:right w:w="15" w:type="dxa"/>
                  </w:tcMar>
                  <w:vAlign w:val="center"/>
                </w:tcPr>
                <w:p w14:paraId="4CE32A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浓度(mg/m</w:t>
                  </w:r>
                  <w:r>
                    <w:rPr>
                      <w:rFonts w:hint="default" w:ascii="Times New Roman" w:hAnsi="Times New Roman" w:eastAsia="宋体" w:cs="Times New Roman"/>
                      <w:b/>
                      <w:smallCaps w:val="0"/>
                      <w:color w:val="auto"/>
                      <w:spacing w:val="0"/>
                      <w:kern w:val="0"/>
                      <w:sz w:val="21"/>
                      <w:szCs w:val="21"/>
                      <w:highlight w:val="none"/>
                      <w:vertAlign w:val="superscript"/>
                    </w:rPr>
                    <w:t>3</w:t>
                  </w:r>
                  <w:r>
                    <w:rPr>
                      <w:rFonts w:hint="default" w:ascii="Times New Roman" w:hAnsi="Times New Roman" w:eastAsia="宋体" w:cs="Times New Roman"/>
                      <w:b/>
                      <w:smallCaps w:val="0"/>
                      <w:color w:val="auto"/>
                      <w:spacing w:val="0"/>
                      <w:kern w:val="0"/>
                      <w:sz w:val="21"/>
                      <w:szCs w:val="21"/>
                      <w:highlight w:val="none"/>
                    </w:rPr>
                    <w:t>)</w:t>
                  </w:r>
                </w:p>
              </w:tc>
              <w:tc>
                <w:tcPr>
                  <w:tcW w:w="311" w:type="pct"/>
                  <w:tcBorders>
                    <w:bottom w:val="single" w:color="auto" w:sz="12" w:space="0"/>
                  </w:tcBorders>
                  <w:noWrap w:val="0"/>
                  <w:vAlign w:val="center"/>
                </w:tcPr>
                <w:p w14:paraId="3C2038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r>
                    <w:rPr>
                      <w:rFonts w:hint="default" w:ascii="Times New Roman" w:hAnsi="Times New Roman" w:eastAsia="宋体" w:cs="Times New Roman"/>
                      <w:b/>
                      <w:smallCaps w:val="0"/>
                      <w:color w:val="auto"/>
                      <w:spacing w:val="0"/>
                      <w:kern w:val="0"/>
                      <w:sz w:val="21"/>
                      <w:szCs w:val="21"/>
                      <w:highlight w:val="none"/>
                    </w:rPr>
                    <w:t>速率(kg/h)</w:t>
                  </w:r>
                </w:p>
              </w:tc>
              <w:tc>
                <w:tcPr>
                  <w:tcW w:w="207" w:type="pct"/>
                  <w:vMerge w:val="continue"/>
                  <w:tcBorders>
                    <w:bottom w:val="single" w:color="auto" w:sz="12" w:space="0"/>
                  </w:tcBorders>
                  <w:noWrap w:val="0"/>
                  <w:vAlign w:val="center"/>
                </w:tcPr>
                <w:p w14:paraId="0A8573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c>
                <w:tcPr>
                  <w:tcW w:w="242" w:type="pct"/>
                  <w:vMerge w:val="continue"/>
                  <w:tcBorders>
                    <w:bottom w:val="single" w:color="auto" w:sz="12" w:space="0"/>
                  </w:tcBorders>
                  <w:noWrap w:val="0"/>
                  <w:vAlign w:val="center"/>
                </w:tcPr>
                <w:p w14:paraId="28C436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smallCaps w:val="0"/>
                      <w:color w:val="auto"/>
                      <w:spacing w:val="0"/>
                      <w:kern w:val="0"/>
                      <w:sz w:val="21"/>
                      <w:szCs w:val="21"/>
                      <w:highlight w:val="none"/>
                    </w:rPr>
                  </w:pPr>
                </w:p>
              </w:tc>
            </w:tr>
            <w:tr w14:paraId="5BB241BB">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172" w:hRule="atLeast"/>
                <w:jc w:val="center"/>
              </w:trPr>
              <w:tc>
                <w:tcPr>
                  <w:tcW w:w="219" w:type="pct"/>
                  <w:vMerge w:val="restart"/>
                  <w:tcBorders>
                    <w:top w:val="single" w:color="auto" w:sz="12" w:space="0"/>
                  </w:tcBorders>
                  <w:noWrap w:val="0"/>
                  <w:tcMar>
                    <w:top w:w="15" w:type="dxa"/>
                    <w:left w:w="15" w:type="dxa"/>
                    <w:bottom w:w="0" w:type="dxa"/>
                    <w:right w:w="15" w:type="dxa"/>
                  </w:tcMar>
                  <w:vAlign w:val="center"/>
                </w:tcPr>
                <w:p w14:paraId="02F9D0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kern w:val="0"/>
                      <w:sz w:val="21"/>
                      <w:szCs w:val="21"/>
                      <w:highlight w:val="none"/>
                      <w:lang w:val="en-US" w:eastAsia="zh-CN"/>
                    </w:rPr>
                    <w:t>1#</w:t>
                  </w:r>
                </w:p>
              </w:tc>
              <w:tc>
                <w:tcPr>
                  <w:tcW w:w="599" w:type="pct"/>
                  <w:vMerge w:val="restart"/>
                  <w:tcBorders>
                    <w:top w:val="single" w:color="auto" w:sz="12" w:space="0"/>
                  </w:tcBorders>
                  <w:noWrap/>
                  <w:tcMar>
                    <w:top w:w="15" w:type="dxa"/>
                    <w:left w:w="15" w:type="dxa"/>
                    <w:bottom w:w="0" w:type="dxa"/>
                    <w:right w:w="15" w:type="dxa"/>
                  </w:tcMar>
                  <w:vAlign w:val="center"/>
                </w:tcPr>
                <w:p w14:paraId="6D710A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eastAsia="宋体" w:cs="Times New Roman"/>
                      <w:smallCaps w:val="0"/>
                      <w:color w:val="auto"/>
                      <w:spacing w:val="0"/>
                      <w:kern w:val="0"/>
                      <w:sz w:val="21"/>
                      <w:szCs w:val="21"/>
                      <w:highlight w:val="none"/>
                      <w:lang w:val="en-US" w:eastAsia="zh-CN"/>
                    </w:rPr>
                    <w:t>23000</w:t>
                  </w:r>
                </w:p>
              </w:tc>
              <w:tc>
                <w:tcPr>
                  <w:tcW w:w="963" w:type="pct"/>
                  <w:tcBorders>
                    <w:top w:val="single" w:color="auto" w:sz="12" w:space="0"/>
                    <w:bottom w:val="single" w:color="auto" w:sz="4" w:space="0"/>
                  </w:tcBorders>
                  <w:noWrap/>
                  <w:tcMar>
                    <w:top w:w="15" w:type="dxa"/>
                    <w:left w:w="15" w:type="dxa"/>
                    <w:bottom w:w="0" w:type="dxa"/>
                    <w:right w:w="15" w:type="dxa"/>
                  </w:tcMar>
                  <w:vAlign w:val="center"/>
                </w:tcPr>
                <w:p w14:paraId="791DD1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TVOC</w:t>
                  </w:r>
                </w:p>
              </w:tc>
              <w:tc>
                <w:tcPr>
                  <w:tcW w:w="1983" w:type="pct"/>
                  <w:tcBorders>
                    <w:top w:val="single" w:color="auto" w:sz="12" w:space="0"/>
                    <w:bottom w:val="single" w:color="auto" w:sz="4" w:space="0"/>
                  </w:tcBorders>
                  <w:noWrap/>
                  <w:tcMar>
                    <w:top w:w="15" w:type="dxa"/>
                    <w:left w:w="15" w:type="dxa"/>
                    <w:bottom w:w="0" w:type="dxa"/>
                    <w:right w:w="15" w:type="dxa"/>
                  </w:tcMar>
                  <w:vAlign w:val="center"/>
                </w:tcPr>
                <w:p w14:paraId="185B9B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rPr>
                  </w:pPr>
                  <w:r>
                    <w:rPr>
                      <w:rFonts w:hint="default" w:ascii="Times New Roman" w:hAnsi="Times New Roman" w:eastAsia="宋体" w:cs="Times New Roman"/>
                      <w:smallCaps w:val="0"/>
                      <w:color w:val="auto"/>
                      <w:spacing w:val="0"/>
                      <w:kern w:val="0"/>
                      <w:sz w:val="21"/>
                      <w:szCs w:val="21"/>
                      <w:highlight w:val="none"/>
                    </w:rPr>
                    <w:t>处理设施由于废气设备发生故障，无废气处理设施</w:t>
                  </w:r>
                </w:p>
              </w:tc>
              <w:tc>
                <w:tcPr>
                  <w:tcW w:w="474" w:type="pct"/>
                  <w:tcBorders>
                    <w:top w:val="single" w:color="auto" w:sz="12" w:space="0"/>
                    <w:bottom w:val="single" w:color="auto" w:sz="4" w:space="0"/>
                  </w:tcBorders>
                  <w:shd w:val="clear" w:color="auto" w:fill="auto"/>
                  <w:noWrap/>
                  <w:tcMar>
                    <w:top w:w="15" w:type="dxa"/>
                    <w:left w:w="15" w:type="dxa"/>
                    <w:bottom w:w="0" w:type="dxa"/>
                    <w:right w:w="15" w:type="dxa"/>
                  </w:tcMar>
                  <w:vAlign w:val="center"/>
                </w:tcPr>
                <w:p w14:paraId="15AF465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13.60</w:t>
                  </w:r>
                </w:p>
              </w:tc>
              <w:tc>
                <w:tcPr>
                  <w:tcW w:w="311" w:type="pct"/>
                  <w:tcBorders>
                    <w:top w:val="single" w:color="auto" w:sz="12" w:space="0"/>
                    <w:bottom w:val="single" w:color="auto" w:sz="4" w:space="0"/>
                  </w:tcBorders>
                  <w:shd w:val="clear" w:color="auto" w:fill="auto"/>
                  <w:noWrap w:val="0"/>
                  <w:vAlign w:val="center"/>
                </w:tcPr>
                <w:p w14:paraId="7BFA863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0.313</w:t>
                  </w:r>
                </w:p>
              </w:tc>
              <w:tc>
                <w:tcPr>
                  <w:tcW w:w="207" w:type="pct"/>
                  <w:tcBorders>
                    <w:top w:val="single" w:color="auto" w:sz="12" w:space="0"/>
                  </w:tcBorders>
                  <w:shd w:val="clear" w:color="auto" w:fill="auto"/>
                  <w:noWrap w:val="0"/>
                  <w:vAlign w:val="center"/>
                </w:tcPr>
                <w:p w14:paraId="7FA25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0.25</w:t>
                  </w:r>
                </w:p>
              </w:tc>
              <w:tc>
                <w:tcPr>
                  <w:tcW w:w="242" w:type="pct"/>
                  <w:tcBorders>
                    <w:top w:val="single" w:color="auto" w:sz="12" w:space="0"/>
                  </w:tcBorders>
                  <w:noWrap w:val="0"/>
                  <w:vAlign w:val="center"/>
                </w:tcPr>
                <w:p w14:paraId="7A5E84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default" w:ascii="Times New Roman" w:hAnsi="Times New Roman" w:eastAsia="宋体" w:cs="Times New Roman"/>
                      <w:smallCaps w:val="0"/>
                      <w:color w:val="auto"/>
                      <w:spacing w:val="0"/>
                      <w:sz w:val="21"/>
                      <w:szCs w:val="21"/>
                      <w:highlight w:val="none"/>
                      <w:lang w:val="en-US" w:eastAsia="zh-CN"/>
                    </w:rPr>
                    <w:t>1</w:t>
                  </w:r>
                </w:p>
              </w:tc>
            </w:tr>
            <w:tr w14:paraId="25EDF1CD">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 w:type="pct"/>
                  <w:vMerge w:val="continue"/>
                  <w:shd w:val="clear" w:color="auto" w:fill="auto"/>
                  <w:noWrap w:val="0"/>
                  <w:tcMar>
                    <w:top w:w="15" w:type="dxa"/>
                    <w:left w:w="15" w:type="dxa"/>
                    <w:bottom w:w="0" w:type="dxa"/>
                    <w:right w:w="15" w:type="dxa"/>
                  </w:tcMar>
                  <w:vAlign w:val="center"/>
                </w:tcPr>
                <w:p w14:paraId="317B50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p>
              </w:tc>
              <w:tc>
                <w:tcPr>
                  <w:tcW w:w="599" w:type="pct"/>
                  <w:vMerge w:val="continue"/>
                  <w:shd w:val="clear" w:color="auto" w:fill="auto"/>
                  <w:noWrap/>
                  <w:tcMar>
                    <w:top w:w="15" w:type="dxa"/>
                    <w:left w:w="15" w:type="dxa"/>
                    <w:bottom w:w="0" w:type="dxa"/>
                    <w:right w:w="15" w:type="dxa"/>
                  </w:tcMar>
                  <w:vAlign w:val="center"/>
                </w:tcPr>
                <w:p w14:paraId="25C729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p>
              </w:tc>
              <w:tc>
                <w:tcPr>
                  <w:tcW w:w="963" w:type="pct"/>
                  <w:tcBorders>
                    <w:top w:val="single" w:color="auto" w:sz="4" w:space="0"/>
                    <w:bottom w:val="single" w:color="auto" w:sz="4" w:space="0"/>
                  </w:tcBorders>
                  <w:shd w:val="clear" w:color="auto" w:fill="auto"/>
                  <w:noWrap/>
                  <w:tcMar>
                    <w:top w:w="15" w:type="dxa"/>
                    <w:left w:w="15" w:type="dxa"/>
                    <w:bottom w:w="0" w:type="dxa"/>
                    <w:right w:w="15" w:type="dxa"/>
                  </w:tcMar>
                  <w:vAlign w:val="center"/>
                </w:tcPr>
                <w:p w14:paraId="044443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非甲烷总烃</w:t>
                  </w:r>
                </w:p>
              </w:tc>
              <w:tc>
                <w:tcPr>
                  <w:tcW w:w="1983" w:type="pct"/>
                  <w:tcBorders>
                    <w:top w:val="single" w:color="auto" w:sz="4" w:space="0"/>
                    <w:bottom w:val="single" w:color="auto" w:sz="4" w:space="0"/>
                  </w:tcBorders>
                  <w:shd w:val="clear" w:color="auto" w:fill="auto"/>
                  <w:noWrap/>
                  <w:tcMar>
                    <w:top w:w="15" w:type="dxa"/>
                    <w:left w:w="15" w:type="dxa"/>
                    <w:bottom w:w="0" w:type="dxa"/>
                    <w:right w:w="15" w:type="dxa"/>
                  </w:tcMar>
                  <w:vAlign w:val="center"/>
                </w:tcPr>
                <w:p w14:paraId="02FC41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kern w:val="0"/>
                      <w:sz w:val="21"/>
                      <w:szCs w:val="21"/>
                      <w:highlight w:val="none"/>
                    </w:rPr>
                    <w:t>处理设施由于废气设备发生故障，无废气处理设施</w:t>
                  </w:r>
                </w:p>
              </w:tc>
              <w:tc>
                <w:tcPr>
                  <w:tcW w:w="474" w:type="pct"/>
                  <w:tcBorders>
                    <w:top w:val="single" w:color="auto" w:sz="4" w:space="0"/>
                    <w:bottom w:val="single" w:color="auto" w:sz="4" w:space="0"/>
                  </w:tcBorders>
                  <w:shd w:val="clear" w:color="auto" w:fill="auto"/>
                  <w:noWrap/>
                  <w:tcMar>
                    <w:top w:w="15" w:type="dxa"/>
                    <w:left w:w="15" w:type="dxa"/>
                    <w:bottom w:w="0" w:type="dxa"/>
                    <w:right w:w="15" w:type="dxa"/>
                  </w:tcMar>
                  <w:vAlign w:val="center"/>
                </w:tcPr>
                <w:p w14:paraId="62636E3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14.00</w:t>
                  </w:r>
                </w:p>
              </w:tc>
              <w:tc>
                <w:tcPr>
                  <w:tcW w:w="311" w:type="pct"/>
                  <w:tcBorders>
                    <w:top w:val="single" w:color="auto" w:sz="4" w:space="0"/>
                    <w:bottom w:val="single" w:color="auto" w:sz="4" w:space="0"/>
                  </w:tcBorders>
                  <w:shd w:val="clear" w:color="auto" w:fill="auto"/>
                  <w:noWrap w:val="0"/>
                  <w:vAlign w:val="center"/>
                </w:tcPr>
                <w:p w14:paraId="446FBFC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r>
                    <w:rPr>
                      <w:rFonts w:hint="eastAsia" w:ascii="Times New Roman" w:hAnsi="Times New Roman" w:eastAsia="宋体" w:cs="Times New Roman"/>
                      <w:i w:val="0"/>
                      <w:iCs w:val="0"/>
                      <w:color w:val="auto"/>
                      <w:kern w:val="0"/>
                      <w:sz w:val="22"/>
                      <w:szCs w:val="22"/>
                      <w:u w:val="none"/>
                      <w:lang w:val="en-US" w:eastAsia="zh-CN" w:bidi="ar"/>
                    </w:rPr>
                    <w:t>322</w:t>
                  </w:r>
                </w:p>
              </w:tc>
              <w:tc>
                <w:tcPr>
                  <w:tcW w:w="207" w:type="pct"/>
                  <w:tcBorders>
                    <w:top w:val="single" w:color="auto" w:sz="4" w:space="0"/>
                    <w:bottom w:val="single" w:color="auto" w:sz="4" w:space="0"/>
                  </w:tcBorders>
                  <w:shd w:val="clear" w:color="auto" w:fill="auto"/>
                  <w:noWrap w:val="0"/>
                  <w:vAlign w:val="center"/>
                </w:tcPr>
                <w:p w14:paraId="6D4B75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0.25</w:t>
                  </w:r>
                </w:p>
              </w:tc>
              <w:tc>
                <w:tcPr>
                  <w:tcW w:w="242" w:type="pct"/>
                  <w:tcBorders>
                    <w:top w:val="single" w:color="auto" w:sz="4" w:space="0"/>
                    <w:bottom w:val="single" w:color="auto" w:sz="4" w:space="0"/>
                  </w:tcBorders>
                  <w:shd w:val="clear" w:color="auto" w:fill="auto"/>
                  <w:noWrap w:val="0"/>
                  <w:vAlign w:val="center"/>
                </w:tcPr>
                <w:p w14:paraId="6D164B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1</w:t>
                  </w:r>
                </w:p>
              </w:tc>
            </w:tr>
            <w:tr w14:paraId="7CEC5A11">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 w:type="pct"/>
                  <w:shd w:val="clear" w:color="auto" w:fill="auto"/>
                  <w:noWrap w:val="0"/>
                  <w:tcMar>
                    <w:top w:w="15" w:type="dxa"/>
                    <w:left w:w="15" w:type="dxa"/>
                    <w:bottom w:w="0" w:type="dxa"/>
                    <w:right w:w="15" w:type="dxa"/>
                  </w:tcMar>
                  <w:vAlign w:val="center"/>
                </w:tcPr>
                <w:p w14:paraId="5E903A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eastAsia="宋体" w:cs="Times New Roman"/>
                      <w:smallCaps w:val="0"/>
                      <w:color w:val="auto"/>
                      <w:spacing w:val="0"/>
                      <w:kern w:val="0"/>
                      <w:sz w:val="21"/>
                      <w:szCs w:val="21"/>
                      <w:highlight w:val="none"/>
                      <w:lang w:val="en-US" w:eastAsia="zh-CN" w:bidi="ar-SA"/>
                    </w:rPr>
                    <w:t>2#</w:t>
                  </w:r>
                </w:p>
              </w:tc>
              <w:tc>
                <w:tcPr>
                  <w:tcW w:w="599" w:type="pct"/>
                  <w:shd w:val="clear" w:color="auto" w:fill="auto"/>
                  <w:noWrap/>
                  <w:tcMar>
                    <w:top w:w="15" w:type="dxa"/>
                    <w:left w:w="15" w:type="dxa"/>
                    <w:bottom w:w="0" w:type="dxa"/>
                    <w:right w:w="15" w:type="dxa"/>
                  </w:tcMar>
                  <w:vAlign w:val="center"/>
                </w:tcPr>
                <w:p w14:paraId="3287C3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eastAsia" w:ascii="Times New Roman" w:hAnsi="Times New Roman" w:eastAsia="宋体" w:cs="Times New Roman"/>
                      <w:smallCaps w:val="0"/>
                      <w:color w:val="auto"/>
                      <w:spacing w:val="0"/>
                      <w:kern w:val="0"/>
                      <w:sz w:val="21"/>
                      <w:szCs w:val="21"/>
                      <w:highlight w:val="none"/>
                      <w:lang w:val="en-US" w:eastAsia="zh-CN" w:bidi="ar-SA"/>
                    </w:rPr>
                    <w:t>8000</w:t>
                  </w:r>
                </w:p>
              </w:tc>
              <w:tc>
                <w:tcPr>
                  <w:tcW w:w="963" w:type="pct"/>
                  <w:tcBorders>
                    <w:top w:val="single" w:color="auto" w:sz="4" w:space="0"/>
                  </w:tcBorders>
                  <w:shd w:val="clear" w:color="auto" w:fill="auto"/>
                  <w:noWrap/>
                  <w:tcMar>
                    <w:top w:w="15" w:type="dxa"/>
                    <w:left w:w="15" w:type="dxa"/>
                    <w:bottom w:w="0" w:type="dxa"/>
                    <w:right w:w="15" w:type="dxa"/>
                  </w:tcMar>
                  <w:vAlign w:val="center"/>
                </w:tcPr>
                <w:p w14:paraId="2710DA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非甲烷总烃</w:t>
                  </w:r>
                </w:p>
              </w:tc>
              <w:tc>
                <w:tcPr>
                  <w:tcW w:w="1983" w:type="pct"/>
                  <w:tcBorders>
                    <w:top w:val="single" w:color="auto" w:sz="4" w:space="0"/>
                  </w:tcBorders>
                  <w:shd w:val="clear" w:color="auto" w:fill="auto"/>
                  <w:noWrap/>
                  <w:tcMar>
                    <w:top w:w="15" w:type="dxa"/>
                    <w:left w:w="15" w:type="dxa"/>
                    <w:bottom w:w="0" w:type="dxa"/>
                    <w:right w:w="15" w:type="dxa"/>
                  </w:tcMar>
                  <w:vAlign w:val="center"/>
                </w:tcPr>
                <w:p w14:paraId="5F3C3F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0"/>
                      <w:sz w:val="21"/>
                      <w:szCs w:val="21"/>
                      <w:highlight w:val="none"/>
                      <w:lang w:val="en-US" w:eastAsia="zh-CN" w:bidi="ar-SA"/>
                    </w:rPr>
                  </w:pPr>
                  <w:r>
                    <w:rPr>
                      <w:rFonts w:hint="default" w:ascii="Times New Roman" w:hAnsi="Times New Roman" w:eastAsia="宋体" w:cs="Times New Roman"/>
                      <w:smallCaps w:val="0"/>
                      <w:color w:val="auto"/>
                      <w:spacing w:val="0"/>
                      <w:kern w:val="0"/>
                      <w:sz w:val="21"/>
                      <w:szCs w:val="21"/>
                      <w:highlight w:val="none"/>
                    </w:rPr>
                    <w:t>处理设施由于废气设备发生故障，无废气处理设施</w:t>
                  </w:r>
                </w:p>
              </w:tc>
              <w:tc>
                <w:tcPr>
                  <w:tcW w:w="474" w:type="pct"/>
                  <w:tcBorders>
                    <w:top w:val="single" w:color="auto" w:sz="4" w:space="0"/>
                  </w:tcBorders>
                  <w:shd w:val="clear" w:color="auto" w:fill="auto"/>
                  <w:noWrap/>
                  <w:tcMar>
                    <w:top w:w="15" w:type="dxa"/>
                    <w:left w:w="15" w:type="dxa"/>
                    <w:bottom w:w="0" w:type="dxa"/>
                    <w:right w:w="15" w:type="dxa"/>
                  </w:tcMar>
                  <w:vAlign w:val="center"/>
                </w:tcPr>
                <w:p w14:paraId="35E9932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18.05</w:t>
                  </w:r>
                </w:p>
              </w:tc>
              <w:tc>
                <w:tcPr>
                  <w:tcW w:w="311" w:type="pct"/>
                  <w:tcBorders>
                    <w:top w:val="single" w:color="auto" w:sz="4" w:space="0"/>
                  </w:tcBorders>
                  <w:shd w:val="clear" w:color="auto" w:fill="auto"/>
                  <w:noWrap w:val="0"/>
                  <w:vAlign w:val="center"/>
                </w:tcPr>
                <w:p w14:paraId="41FE6E1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r>
                    <w:rPr>
                      <w:rFonts w:hint="eastAsia" w:ascii="Times New Roman" w:hAnsi="Times New Roman" w:eastAsia="宋体" w:cs="Times New Roman"/>
                      <w:i w:val="0"/>
                      <w:iCs w:val="0"/>
                      <w:color w:val="auto"/>
                      <w:kern w:val="0"/>
                      <w:sz w:val="22"/>
                      <w:szCs w:val="22"/>
                      <w:u w:val="none"/>
                      <w:lang w:val="en-US" w:eastAsia="zh-CN" w:bidi="ar"/>
                    </w:rPr>
                    <w:t>144</w:t>
                  </w:r>
                </w:p>
              </w:tc>
              <w:tc>
                <w:tcPr>
                  <w:tcW w:w="207" w:type="pct"/>
                  <w:tcBorders>
                    <w:top w:val="single" w:color="auto" w:sz="4" w:space="0"/>
                  </w:tcBorders>
                  <w:shd w:val="clear" w:color="auto" w:fill="auto"/>
                  <w:noWrap w:val="0"/>
                  <w:vAlign w:val="center"/>
                </w:tcPr>
                <w:p w14:paraId="124F91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lang w:val="en-US" w:eastAsia="zh-CN" w:bidi="ar-SA"/>
                    </w:rPr>
                  </w:pPr>
                  <w:r>
                    <w:rPr>
                      <w:rFonts w:hint="default" w:ascii="Times New Roman" w:hAnsi="Times New Roman" w:eastAsia="宋体" w:cs="Times New Roman"/>
                      <w:smallCaps w:val="0"/>
                      <w:color w:val="auto"/>
                      <w:spacing w:val="0"/>
                      <w:sz w:val="21"/>
                      <w:szCs w:val="21"/>
                      <w:highlight w:val="none"/>
                      <w:lang w:val="en-US" w:eastAsia="zh-CN"/>
                    </w:rPr>
                    <w:t>0.25</w:t>
                  </w:r>
                </w:p>
              </w:tc>
              <w:tc>
                <w:tcPr>
                  <w:tcW w:w="242" w:type="pct"/>
                  <w:tcBorders>
                    <w:top w:val="single" w:color="auto" w:sz="4" w:space="0"/>
                  </w:tcBorders>
                  <w:shd w:val="clear" w:color="auto" w:fill="auto"/>
                  <w:noWrap w:val="0"/>
                  <w:vAlign w:val="center"/>
                </w:tcPr>
                <w:p w14:paraId="020AC5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lang w:val="en-US" w:eastAsia="zh-CN"/>
                    </w:rPr>
                  </w:pPr>
                  <w:r>
                    <w:rPr>
                      <w:rFonts w:hint="eastAsia" w:ascii="Times New Roman" w:hAnsi="Times New Roman" w:eastAsia="宋体" w:cs="Times New Roman"/>
                      <w:smallCaps w:val="0"/>
                      <w:color w:val="auto"/>
                      <w:spacing w:val="0"/>
                      <w:sz w:val="21"/>
                      <w:szCs w:val="21"/>
                      <w:highlight w:val="none"/>
                      <w:lang w:val="en-US" w:eastAsia="zh-CN"/>
                    </w:rPr>
                    <w:t>1</w:t>
                  </w:r>
                </w:p>
              </w:tc>
            </w:tr>
          </w:tbl>
          <w:p w14:paraId="7ED518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highlight w:val="none"/>
                <w:shd w:val="clear" w:color="auto" w:fill="auto"/>
              </w:rPr>
            </w:pPr>
            <w:r>
              <w:rPr>
                <w:rFonts w:hint="default" w:ascii="Times New Roman" w:hAnsi="Times New Roman" w:eastAsia="宋体" w:cs="Times New Roman"/>
                <w:color w:val="auto"/>
                <w:spacing w:val="0"/>
                <w:sz w:val="24"/>
                <w:szCs w:val="24"/>
                <w:highlight w:val="none"/>
              </w:rPr>
              <w:t>本项目废气处理设施设置专人维护管理，当废气收集处理系统发生故障或检修时，厂内相应废气产生工段均停工，待废气处理设施检修完毕后再同步投入使用。</w:t>
            </w:r>
          </w:p>
        </w:tc>
      </w:tr>
    </w:tbl>
    <w:p w14:paraId="4EC919C7">
      <w:pPr>
        <w:numPr>
          <w:ilvl w:val="0"/>
          <w:numId w:val="0"/>
        </w:numPr>
        <w:rPr>
          <w:rFonts w:hint="default" w:ascii="Times New Roman" w:hAnsi="Times New Roman" w:eastAsia="宋体" w:cs="Times New Roman"/>
          <w:color w:val="auto"/>
          <w:highlight w:val="none"/>
          <w:shd w:val="clear" w:color="auto" w:fill="auto"/>
        </w:rPr>
        <w:sectPr>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496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8502"/>
      </w:tblGrid>
      <w:tr w14:paraId="2637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7" w:hRule="atLeast"/>
        </w:trPr>
        <w:tc>
          <w:tcPr>
            <w:tcW w:w="392" w:type="pct"/>
            <w:vAlign w:val="center"/>
          </w:tcPr>
          <w:p w14:paraId="592AC846">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运营期环境影响和保护措施</w:t>
            </w:r>
          </w:p>
        </w:tc>
        <w:tc>
          <w:tcPr>
            <w:tcW w:w="4607" w:type="pct"/>
          </w:tcPr>
          <w:p w14:paraId="598F146A">
            <w:pPr>
              <w:pStyle w:val="2"/>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482" w:firstLineChars="200"/>
              <w:textAlignment w:val="auto"/>
              <w:rPr>
                <w:rFonts w:hint="default" w:ascii="Times New Roman" w:hAnsi="Times New Roman" w:eastAsia="宋体" w:cs="Times New Roman"/>
                <w:b/>
                <w:bCs/>
                <w:smallCaps w:val="0"/>
                <w:color w:val="auto"/>
                <w:spacing w:val="0"/>
                <w:kern w:val="2"/>
                <w:sz w:val="24"/>
                <w:szCs w:val="24"/>
                <w:highlight w:val="none"/>
                <w:shd w:val="clear" w:color="auto" w:fill="auto"/>
                <w:lang w:val="en-US" w:eastAsia="zh-CN" w:bidi="ar-SA"/>
              </w:rPr>
            </w:pPr>
            <w:r>
              <w:rPr>
                <w:rFonts w:hint="default" w:ascii="Times New Roman" w:hAnsi="Times New Roman" w:eastAsia="宋体" w:cs="Times New Roman"/>
                <w:b/>
                <w:bCs/>
                <w:smallCaps w:val="0"/>
                <w:color w:val="auto"/>
                <w:spacing w:val="0"/>
                <w:kern w:val="2"/>
                <w:sz w:val="24"/>
                <w:szCs w:val="24"/>
                <w:highlight w:val="none"/>
                <w:shd w:val="clear" w:color="auto" w:fill="auto"/>
                <w:lang w:val="en-US" w:eastAsia="zh-CN" w:bidi="ar-SA"/>
              </w:rPr>
              <w:t>5.排放口基本情况</w:t>
            </w:r>
          </w:p>
          <w:p w14:paraId="271C164B">
            <w:pPr>
              <w:pStyle w:val="2"/>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500" w:lineRule="exact"/>
              <w:ind w:left="0" w:right="0" w:rightChars="0" w:firstLine="480" w:firstLineChars="200"/>
              <w:textAlignment w:val="auto"/>
              <w:rPr>
                <w:rFonts w:hint="default" w:ascii="Times New Roman" w:hAnsi="Times New Roman" w:eastAsia="宋体" w:cs="Times New Roman"/>
                <w:smallCaps w:val="0"/>
                <w:color w:val="auto"/>
                <w:spacing w:val="0"/>
                <w:kern w:val="2"/>
                <w:sz w:val="24"/>
                <w:szCs w:val="24"/>
                <w:highlight w:val="none"/>
                <w:shd w:val="clear" w:color="auto" w:fill="auto"/>
                <w:lang w:val="en-US" w:eastAsia="zh-CN" w:bidi="ar-SA"/>
              </w:rPr>
            </w:pPr>
            <w:r>
              <w:rPr>
                <w:rFonts w:hint="default" w:ascii="Times New Roman" w:hAnsi="Times New Roman" w:eastAsia="宋体" w:cs="Times New Roman"/>
                <w:smallCaps w:val="0"/>
                <w:color w:val="auto"/>
                <w:spacing w:val="0"/>
                <w:kern w:val="2"/>
                <w:sz w:val="24"/>
                <w:szCs w:val="24"/>
                <w:highlight w:val="none"/>
                <w:shd w:val="clear" w:color="auto" w:fill="auto"/>
                <w:lang w:val="en-US" w:eastAsia="zh-CN" w:bidi="ar-SA"/>
              </w:rPr>
              <w:t>本项目废气排放基本情况如下：</w:t>
            </w:r>
          </w:p>
          <w:p w14:paraId="1FD5F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b/>
                <w:bCs w:val="0"/>
                <w:smallCaps w:val="0"/>
                <w:color w:val="auto"/>
                <w:spacing w:val="0"/>
                <w:kern w:val="0"/>
                <w:sz w:val="24"/>
                <w:szCs w:val="24"/>
                <w:highlight w:val="none"/>
                <w:shd w:val="clear" w:color="auto" w:fill="auto"/>
                <w:lang w:val="en-US" w:eastAsia="zh-CN" w:bidi="ar-SA"/>
              </w:rPr>
            </w:pPr>
            <w:r>
              <w:rPr>
                <w:rFonts w:hint="default" w:ascii="Times New Roman" w:hAnsi="Times New Roman" w:eastAsia="宋体" w:cs="Times New Roman"/>
                <w:b/>
                <w:bCs w:val="0"/>
                <w:smallCaps w:val="0"/>
                <w:color w:val="auto"/>
                <w:spacing w:val="0"/>
                <w:kern w:val="0"/>
                <w:sz w:val="24"/>
                <w:szCs w:val="24"/>
                <w:highlight w:val="none"/>
                <w:shd w:val="clear" w:color="auto" w:fill="auto"/>
                <w:lang w:val="en-US" w:eastAsia="zh-CN" w:bidi="ar-SA"/>
              </w:rPr>
              <w:t>表4-</w:t>
            </w:r>
            <w:r>
              <w:rPr>
                <w:rFonts w:hint="eastAsia" w:ascii="Times New Roman" w:hAnsi="Times New Roman" w:eastAsia="宋体" w:cs="Times New Roman"/>
                <w:b/>
                <w:bCs w:val="0"/>
                <w:smallCaps w:val="0"/>
                <w:color w:val="auto"/>
                <w:spacing w:val="0"/>
                <w:kern w:val="0"/>
                <w:sz w:val="24"/>
                <w:szCs w:val="24"/>
                <w:highlight w:val="none"/>
                <w:shd w:val="clear" w:color="auto" w:fill="auto"/>
                <w:lang w:val="en-US" w:eastAsia="zh-CN" w:bidi="ar-SA"/>
              </w:rPr>
              <w:t>10</w:t>
            </w:r>
            <w:r>
              <w:rPr>
                <w:rFonts w:hint="default" w:ascii="Times New Roman" w:hAnsi="Times New Roman" w:eastAsia="宋体" w:cs="Times New Roman"/>
                <w:b/>
                <w:bCs w:val="0"/>
                <w:smallCaps w:val="0"/>
                <w:color w:val="auto"/>
                <w:spacing w:val="0"/>
                <w:kern w:val="0"/>
                <w:sz w:val="24"/>
                <w:szCs w:val="24"/>
                <w:highlight w:val="none"/>
                <w:shd w:val="clear" w:color="auto" w:fill="auto"/>
                <w:lang w:val="en-US" w:eastAsia="zh-CN" w:bidi="ar-SA"/>
              </w:rPr>
              <w:t xml:space="preserve">  本项目废气排放口基本情况信息表</w:t>
            </w:r>
          </w:p>
          <w:tbl>
            <w:tblPr>
              <w:tblStyle w:val="27"/>
              <w:tblW w:w="4931" w:type="pct"/>
              <w:jc w:val="center"/>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Layout w:type="fixed"/>
              <w:tblCellMar>
                <w:top w:w="0" w:type="dxa"/>
                <w:left w:w="0" w:type="dxa"/>
                <w:bottom w:w="0" w:type="dxa"/>
                <w:right w:w="0" w:type="dxa"/>
              </w:tblCellMar>
            </w:tblPr>
            <w:tblGrid>
              <w:gridCol w:w="756"/>
              <w:gridCol w:w="1107"/>
              <w:gridCol w:w="1547"/>
              <w:gridCol w:w="1682"/>
              <w:gridCol w:w="890"/>
              <w:gridCol w:w="1075"/>
              <w:gridCol w:w="1106"/>
            </w:tblGrid>
            <w:tr w14:paraId="14EEDFD1">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restart"/>
                  <w:tcBorders>
                    <w:tl2br w:val="nil"/>
                    <w:tr2bl w:val="nil"/>
                  </w:tcBorders>
                  <w:noWrap w:val="0"/>
                  <w:tcMar>
                    <w:top w:w="0" w:type="dxa"/>
                    <w:left w:w="28" w:type="dxa"/>
                    <w:bottom w:w="0" w:type="dxa"/>
                    <w:right w:w="28" w:type="dxa"/>
                  </w:tcMar>
                  <w:vAlign w:val="center"/>
                </w:tcPr>
                <w:p w14:paraId="584913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编号</w:t>
                  </w:r>
                </w:p>
              </w:tc>
              <w:tc>
                <w:tcPr>
                  <w:tcW w:w="678" w:type="pct"/>
                  <w:vMerge w:val="restart"/>
                  <w:tcBorders>
                    <w:tl2br w:val="nil"/>
                    <w:tr2bl w:val="nil"/>
                  </w:tcBorders>
                  <w:noWrap w:val="0"/>
                  <w:tcMar>
                    <w:top w:w="0" w:type="dxa"/>
                    <w:left w:w="28" w:type="dxa"/>
                    <w:bottom w:w="0" w:type="dxa"/>
                    <w:right w:w="28" w:type="dxa"/>
                  </w:tcMar>
                  <w:vAlign w:val="center"/>
                </w:tcPr>
                <w:p w14:paraId="609CD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名称</w:t>
                  </w:r>
                </w:p>
              </w:tc>
              <w:tc>
                <w:tcPr>
                  <w:tcW w:w="1977" w:type="pct"/>
                  <w:gridSpan w:val="2"/>
                  <w:tcBorders>
                    <w:tl2br w:val="nil"/>
                    <w:tr2bl w:val="nil"/>
                  </w:tcBorders>
                  <w:noWrap w:val="0"/>
                  <w:tcMar>
                    <w:top w:w="0" w:type="dxa"/>
                    <w:left w:w="28" w:type="dxa"/>
                    <w:bottom w:w="0" w:type="dxa"/>
                    <w:right w:w="28" w:type="dxa"/>
                  </w:tcMar>
                  <w:vAlign w:val="center"/>
                </w:tcPr>
                <w:p w14:paraId="26E1F0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排气筒底部中心坐标/m</w:t>
                  </w:r>
                </w:p>
              </w:tc>
              <w:tc>
                <w:tcPr>
                  <w:tcW w:w="545" w:type="pct"/>
                  <w:vMerge w:val="restart"/>
                  <w:tcBorders>
                    <w:tl2br w:val="nil"/>
                    <w:tr2bl w:val="nil"/>
                  </w:tcBorders>
                  <w:noWrap w:val="0"/>
                  <w:tcMar>
                    <w:top w:w="0" w:type="dxa"/>
                    <w:left w:w="28" w:type="dxa"/>
                    <w:bottom w:w="0" w:type="dxa"/>
                    <w:right w:w="28" w:type="dxa"/>
                  </w:tcMar>
                  <w:vAlign w:val="center"/>
                </w:tcPr>
                <w:p w14:paraId="1B9C31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排气筒高度/m</w:t>
                  </w:r>
                </w:p>
              </w:tc>
              <w:tc>
                <w:tcPr>
                  <w:tcW w:w="658" w:type="pct"/>
                  <w:vMerge w:val="restart"/>
                  <w:tcBorders>
                    <w:tl2br w:val="nil"/>
                    <w:tr2bl w:val="nil"/>
                  </w:tcBorders>
                  <w:noWrap w:val="0"/>
                  <w:tcMar>
                    <w:top w:w="0" w:type="dxa"/>
                    <w:left w:w="28" w:type="dxa"/>
                    <w:bottom w:w="0" w:type="dxa"/>
                    <w:right w:w="28" w:type="dxa"/>
                  </w:tcMar>
                  <w:vAlign w:val="center"/>
                </w:tcPr>
                <w:p w14:paraId="393DE0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排气筒出口内径/m</w:t>
                  </w:r>
                </w:p>
              </w:tc>
              <w:tc>
                <w:tcPr>
                  <w:tcW w:w="677" w:type="pct"/>
                  <w:vMerge w:val="restart"/>
                  <w:tcBorders>
                    <w:tl2br w:val="nil"/>
                    <w:tr2bl w:val="nil"/>
                  </w:tcBorders>
                  <w:noWrap w:val="0"/>
                  <w:tcMar>
                    <w:top w:w="0" w:type="dxa"/>
                    <w:left w:w="28" w:type="dxa"/>
                    <w:bottom w:w="0" w:type="dxa"/>
                    <w:right w:w="28" w:type="dxa"/>
                  </w:tcMar>
                  <w:vAlign w:val="center"/>
                </w:tcPr>
                <w:p w14:paraId="199F88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烟气温度/℃</w:t>
                  </w:r>
                </w:p>
              </w:tc>
            </w:tr>
            <w:tr w14:paraId="772733F8">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continue"/>
                  <w:tcBorders>
                    <w:tl2br w:val="nil"/>
                    <w:tr2bl w:val="nil"/>
                  </w:tcBorders>
                  <w:noWrap w:val="0"/>
                  <w:vAlign w:val="center"/>
                </w:tcPr>
                <w:p w14:paraId="41D8F6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p>
              </w:tc>
              <w:tc>
                <w:tcPr>
                  <w:tcW w:w="678" w:type="pct"/>
                  <w:vMerge w:val="continue"/>
                  <w:tcBorders>
                    <w:tl2br w:val="nil"/>
                    <w:tr2bl w:val="nil"/>
                  </w:tcBorders>
                  <w:noWrap w:val="0"/>
                  <w:vAlign w:val="center"/>
                </w:tcPr>
                <w:p w14:paraId="7D8C5F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p>
              </w:tc>
              <w:tc>
                <w:tcPr>
                  <w:tcW w:w="947" w:type="pct"/>
                  <w:tcBorders>
                    <w:tl2br w:val="nil"/>
                    <w:tr2bl w:val="nil"/>
                  </w:tcBorders>
                  <w:noWrap w:val="0"/>
                  <w:tcMar>
                    <w:top w:w="0" w:type="dxa"/>
                    <w:left w:w="28" w:type="dxa"/>
                    <w:bottom w:w="0" w:type="dxa"/>
                    <w:right w:w="28" w:type="dxa"/>
                  </w:tcMar>
                  <w:vAlign w:val="center"/>
                </w:tcPr>
                <w:p w14:paraId="74AEDA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X</w:t>
                  </w:r>
                </w:p>
              </w:tc>
              <w:tc>
                <w:tcPr>
                  <w:tcW w:w="1030" w:type="pct"/>
                  <w:tcBorders>
                    <w:tl2br w:val="nil"/>
                    <w:tr2bl w:val="nil"/>
                  </w:tcBorders>
                  <w:noWrap w:val="0"/>
                  <w:tcMar>
                    <w:top w:w="0" w:type="dxa"/>
                    <w:left w:w="28" w:type="dxa"/>
                    <w:bottom w:w="0" w:type="dxa"/>
                    <w:right w:w="28" w:type="dxa"/>
                  </w:tcMar>
                  <w:vAlign w:val="center"/>
                </w:tcPr>
                <w:p w14:paraId="04C291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Y</w:t>
                  </w:r>
                </w:p>
              </w:tc>
              <w:tc>
                <w:tcPr>
                  <w:tcW w:w="545" w:type="pct"/>
                  <w:vMerge w:val="continue"/>
                  <w:tcBorders>
                    <w:tl2br w:val="nil"/>
                    <w:tr2bl w:val="nil"/>
                  </w:tcBorders>
                  <w:noWrap w:val="0"/>
                  <w:vAlign w:val="center"/>
                </w:tcPr>
                <w:p w14:paraId="6CA9B3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p>
              </w:tc>
              <w:tc>
                <w:tcPr>
                  <w:tcW w:w="658" w:type="pct"/>
                  <w:vMerge w:val="continue"/>
                  <w:tcBorders>
                    <w:tl2br w:val="nil"/>
                    <w:tr2bl w:val="nil"/>
                  </w:tcBorders>
                  <w:noWrap w:val="0"/>
                  <w:vAlign w:val="center"/>
                </w:tcPr>
                <w:p w14:paraId="30C908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p>
              </w:tc>
              <w:tc>
                <w:tcPr>
                  <w:tcW w:w="677" w:type="pct"/>
                  <w:vMerge w:val="continue"/>
                  <w:tcBorders>
                    <w:tl2br w:val="nil"/>
                    <w:tr2bl w:val="nil"/>
                  </w:tcBorders>
                  <w:noWrap w:val="0"/>
                  <w:vAlign w:val="center"/>
                </w:tcPr>
                <w:p w14:paraId="0BD4A6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pacing w:val="0"/>
                      <w:sz w:val="21"/>
                      <w:szCs w:val="21"/>
                      <w:highlight w:val="none"/>
                      <w:shd w:val="clear" w:color="auto" w:fill="auto"/>
                    </w:rPr>
                  </w:pPr>
                </w:p>
              </w:tc>
            </w:tr>
            <w:tr w14:paraId="5317478B">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tcBorders>
                    <w:tl2br w:val="nil"/>
                    <w:tr2bl w:val="nil"/>
                  </w:tcBorders>
                  <w:noWrap w:val="0"/>
                  <w:tcMar>
                    <w:top w:w="0" w:type="dxa"/>
                    <w:left w:w="28" w:type="dxa"/>
                    <w:bottom w:w="0" w:type="dxa"/>
                    <w:right w:w="28" w:type="dxa"/>
                  </w:tcMar>
                  <w:vAlign w:val="center"/>
                </w:tcPr>
                <w:p w14:paraId="4440AD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r>
                    <w:rPr>
                      <w:rFonts w:hint="default" w:ascii="Times New Roman" w:hAnsi="Times New Roman" w:eastAsia="宋体" w:cs="Times New Roman"/>
                      <w:smallCaps w:val="0"/>
                      <w:color w:val="auto"/>
                      <w:spacing w:val="0"/>
                      <w:sz w:val="21"/>
                      <w:szCs w:val="21"/>
                      <w:highlight w:val="none"/>
                      <w:shd w:val="clear" w:color="auto" w:fill="auto"/>
                    </w:rPr>
                    <w:t>1</w:t>
                  </w:r>
                </w:p>
              </w:tc>
              <w:tc>
                <w:tcPr>
                  <w:tcW w:w="678" w:type="pct"/>
                  <w:tcBorders>
                    <w:tl2br w:val="nil"/>
                    <w:tr2bl w:val="nil"/>
                  </w:tcBorders>
                  <w:noWrap w:val="0"/>
                  <w:tcMar>
                    <w:top w:w="0" w:type="dxa"/>
                    <w:left w:w="28" w:type="dxa"/>
                    <w:bottom w:w="0" w:type="dxa"/>
                    <w:right w:w="28" w:type="dxa"/>
                  </w:tcMar>
                  <w:vAlign w:val="center"/>
                </w:tcPr>
                <w:p w14:paraId="3F2035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947" w:type="pct"/>
                  <w:tcBorders>
                    <w:tl2br w:val="nil"/>
                    <w:tr2bl w:val="nil"/>
                  </w:tcBorders>
                  <w:noWrap w:val="0"/>
                  <w:tcMar>
                    <w:top w:w="0" w:type="dxa"/>
                    <w:left w:w="28" w:type="dxa"/>
                    <w:bottom w:w="0" w:type="dxa"/>
                    <w:right w:w="28" w:type="dxa"/>
                  </w:tcMar>
                  <w:vAlign w:val="center"/>
                </w:tcPr>
                <w:p w14:paraId="1BA2CB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119.</w:t>
                  </w:r>
                  <w:r>
                    <w:rPr>
                      <w:rFonts w:hint="eastAsia" w:ascii="Times New Roman" w:hAnsi="Times New Roman" w:eastAsia="宋体" w:cs="Times New Roman"/>
                      <w:smallCaps w:val="0"/>
                      <w:color w:val="auto"/>
                      <w:spacing w:val="0"/>
                      <w:sz w:val="21"/>
                      <w:szCs w:val="21"/>
                      <w:highlight w:val="none"/>
                      <w:shd w:val="clear" w:color="auto" w:fill="auto"/>
                      <w:lang w:val="en-US" w:eastAsia="zh-CN"/>
                    </w:rPr>
                    <w:t>612176</w:t>
                  </w:r>
                </w:p>
              </w:tc>
              <w:tc>
                <w:tcPr>
                  <w:tcW w:w="1030" w:type="pct"/>
                  <w:tcBorders>
                    <w:tl2br w:val="nil"/>
                    <w:tr2bl w:val="nil"/>
                  </w:tcBorders>
                  <w:noWrap w:val="0"/>
                  <w:tcMar>
                    <w:top w:w="0" w:type="dxa"/>
                    <w:left w:w="28" w:type="dxa"/>
                    <w:bottom w:w="0" w:type="dxa"/>
                    <w:right w:w="28" w:type="dxa"/>
                  </w:tcMar>
                  <w:vAlign w:val="center"/>
                </w:tcPr>
                <w:p w14:paraId="4B5A63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31.7</w:t>
                  </w:r>
                  <w:r>
                    <w:rPr>
                      <w:rFonts w:hint="eastAsia" w:ascii="Times New Roman" w:hAnsi="Times New Roman" w:eastAsia="宋体" w:cs="Times New Roman"/>
                      <w:smallCaps w:val="0"/>
                      <w:color w:val="auto"/>
                      <w:spacing w:val="0"/>
                      <w:sz w:val="21"/>
                      <w:szCs w:val="21"/>
                      <w:highlight w:val="none"/>
                      <w:shd w:val="clear" w:color="auto" w:fill="auto"/>
                      <w:lang w:val="en-US" w:eastAsia="zh-CN"/>
                    </w:rPr>
                    <w:t>56391</w:t>
                  </w:r>
                </w:p>
              </w:tc>
              <w:tc>
                <w:tcPr>
                  <w:tcW w:w="545" w:type="pct"/>
                  <w:tcBorders>
                    <w:tl2br w:val="nil"/>
                    <w:tr2bl w:val="nil"/>
                  </w:tcBorders>
                  <w:noWrap w:val="0"/>
                  <w:tcMar>
                    <w:top w:w="0" w:type="dxa"/>
                    <w:left w:w="28" w:type="dxa"/>
                    <w:bottom w:w="0" w:type="dxa"/>
                    <w:right w:w="28" w:type="dxa"/>
                  </w:tcMar>
                  <w:vAlign w:val="center"/>
                </w:tcPr>
                <w:p w14:paraId="3E252B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18</w:t>
                  </w:r>
                </w:p>
              </w:tc>
              <w:tc>
                <w:tcPr>
                  <w:tcW w:w="658" w:type="pct"/>
                  <w:tcBorders>
                    <w:tl2br w:val="nil"/>
                    <w:tr2bl w:val="nil"/>
                  </w:tcBorders>
                  <w:noWrap w:val="0"/>
                  <w:tcMar>
                    <w:top w:w="0" w:type="dxa"/>
                    <w:left w:w="28" w:type="dxa"/>
                    <w:bottom w:w="0" w:type="dxa"/>
                    <w:right w:w="28" w:type="dxa"/>
                  </w:tcMar>
                  <w:vAlign w:val="center"/>
                </w:tcPr>
                <w:p w14:paraId="34B42E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w:t>
                  </w:r>
                  <w:r>
                    <w:rPr>
                      <w:rFonts w:hint="eastAsia" w:ascii="Times New Roman" w:hAnsi="Times New Roman" w:eastAsia="宋体" w:cs="Times New Roman"/>
                      <w:color w:val="auto"/>
                      <w:sz w:val="21"/>
                      <w:szCs w:val="21"/>
                      <w:highlight w:val="none"/>
                      <w:shd w:val="clear" w:color="auto" w:fill="auto"/>
                      <w:lang w:val="en-US" w:eastAsia="zh-CN"/>
                    </w:rPr>
                    <w:t>7</w:t>
                  </w:r>
                </w:p>
              </w:tc>
              <w:tc>
                <w:tcPr>
                  <w:tcW w:w="677" w:type="pct"/>
                  <w:tcBorders>
                    <w:tl2br w:val="nil"/>
                    <w:tr2bl w:val="nil"/>
                  </w:tcBorders>
                  <w:noWrap w:val="0"/>
                  <w:tcMar>
                    <w:top w:w="0" w:type="dxa"/>
                    <w:left w:w="28" w:type="dxa"/>
                    <w:bottom w:w="0" w:type="dxa"/>
                    <w:right w:w="28" w:type="dxa"/>
                  </w:tcMar>
                  <w:vAlign w:val="center"/>
                </w:tcPr>
                <w:p w14:paraId="46A1DE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25</w:t>
                  </w:r>
                </w:p>
              </w:tc>
            </w:tr>
            <w:tr w14:paraId="78365970">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tcBorders>
                    <w:tl2br w:val="nil"/>
                    <w:tr2bl w:val="nil"/>
                  </w:tcBorders>
                  <w:noWrap w:val="0"/>
                  <w:tcMar>
                    <w:top w:w="0" w:type="dxa"/>
                    <w:left w:w="28" w:type="dxa"/>
                    <w:bottom w:w="0" w:type="dxa"/>
                    <w:right w:w="28" w:type="dxa"/>
                  </w:tcMar>
                  <w:vAlign w:val="center"/>
                </w:tcPr>
                <w:p w14:paraId="6000C4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2</w:t>
                  </w:r>
                </w:p>
              </w:tc>
              <w:tc>
                <w:tcPr>
                  <w:tcW w:w="678" w:type="pct"/>
                  <w:tcBorders>
                    <w:tl2br w:val="nil"/>
                    <w:tr2bl w:val="nil"/>
                  </w:tcBorders>
                  <w:shd w:val="clear" w:color="auto" w:fill="auto"/>
                  <w:noWrap w:val="0"/>
                  <w:tcMar>
                    <w:top w:w="0" w:type="dxa"/>
                    <w:left w:w="28" w:type="dxa"/>
                    <w:bottom w:w="0" w:type="dxa"/>
                    <w:right w:w="28" w:type="dxa"/>
                  </w:tcMar>
                  <w:vAlign w:val="center"/>
                </w:tcPr>
                <w:p w14:paraId="25805A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947" w:type="pct"/>
                  <w:tcBorders>
                    <w:tl2br w:val="nil"/>
                    <w:tr2bl w:val="nil"/>
                  </w:tcBorders>
                  <w:shd w:val="clear" w:color="auto" w:fill="auto"/>
                  <w:noWrap w:val="0"/>
                  <w:tcMar>
                    <w:top w:w="0" w:type="dxa"/>
                    <w:left w:w="28" w:type="dxa"/>
                    <w:bottom w:w="0" w:type="dxa"/>
                    <w:right w:w="28" w:type="dxa"/>
                  </w:tcMar>
                  <w:vAlign w:val="center"/>
                </w:tcPr>
                <w:p w14:paraId="1FE56E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119.</w:t>
                  </w:r>
                  <w:r>
                    <w:rPr>
                      <w:rFonts w:hint="eastAsia" w:ascii="Times New Roman" w:hAnsi="Times New Roman" w:eastAsia="宋体" w:cs="Times New Roman"/>
                      <w:smallCaps w:val="0"/>
                      <w:color w:val="auto"/>
                      <w:spacing w:val="0"/>
                      <w:sz w:val="21"/>
                      <w:szCs w:val="21"/>
                      <w:highlight w:val="none"/>
                      <w:shd w:val="clear" w:color="auto" w:fill="auto"/>
                      <w:lang w:val="en-US" w:eastAsia="zh-CN"/>
                    </w:rPr>
                    <w:t>612133</w:t>
                  </w:r>
                </w:p>
              </w:tc>
              <w:tc>
                <w:tcPr>
                  <w:tcW w:w="1030" w:type="pct"/>
                  <w:tcBorders>
                    <w:tl2br w:val="nil"/>
                    <w:tr2bl w:val="nil"/>
                  </w:tcBorders>
                  <w:shd w:val="clear" w:color="auto" w:fill="auto"/>
                  <w:noWrap w:val="0"/>
                  <w:tcMar>
                    <w:top w:w="0" w:type="dxa"/>
                    <w:left w:w="28" w:type="dxa"/>
                    <w:bottom w:w="0" w:type="dxa"/>
                    <w:right w:w="28" w:type="dxa"/>
                  </w:tcMar>
                  <w:vAlign w:val="center"/>
                </w:tcPr>
                <w:p w14:paraId="5D33FF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31.7</w:t>
                  </w:r>
                  <w:r>
                    <w:rPr>
                      <w:rFonts w:hint="eastAsia" w:ascii="Times New Roman" w:hAnsi="Times New Roman" w:eastAsia="宋体" w:cs="Times New Roman"/>
                      <w:smallCaps w:val="0"/>
                      <w:color w:val="auto"/>
                      <w:spacing w:val="0"/>
                      <w:sz w:val="21"/>
                      <w:szCs w:val="21"/>
                      <w:highlight w:val="none"/>
                      <w:shd w:val="clear" w:color="auto" w:fill="auto"/>
                      <w:lang w:val="en-US" w:eastAsia="zh-CN"/>
                    </w:rPr>
                    <w:t>52522</w:t>
                  </w:r>
                </w:p>
              </w:tc>
              <w:tc>
                <w:tcPr>
                  <w:tcW w:w="545" w:type="pct"/>
                  <w:tcBorders>
                    <w:tl2br w:val="nil"/>
                    <w:tr2bl w:val="nil"/>
                  </w:tcBorders>
                  <w:shd w:val="clear" w:color="auto" w:fill="auto"/>
                  <w:noWrap w:val="0"/>
                  <w:tcMar>
                    <w:top w:w="0" w:type="dxa"/>
                    <w:left w:w="28" w:type="dxa"/>
                    <w:bottom w:w="0" w:type="dxa"/>
                    <w:right w:w="28" w:type="dxa"/>
                  </w:tcMar>
                  <w:vAlign w:val="center"/>
                </w:tcPr>
                <w:p w14:paraId="67A871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18</w:t>
                  </w:r>
                </w:p>
              </w:tc>
              <w:tc>
                <w:tcPr>
                  <w:tcW w:w="658" w:type="pct"/>
                  <w:tcBorders>
                    <w:tl2br w:val="nil"/>
                    <w:tr2bl w:val="nil"/>
                  </w:tcBorders>
                  <w:shd w:val="clear" w:color="auto" w:fill="auto"/>
                  <w:noWrap w:val="0"/>
                  <w:tcMar>
                    <w:top w:w="0" w:type="dxa"/>
                    <w:left w:w="28" w:type="dxa"/>
                    <w:bottom w:w="0" w:type="dxa"/>
                    <w:right w:w="28" w:type="dxa"/>
                  </w:tcMar>
                  <w:vAlign w:val="center"/>
                </w:tcPr>
                <w:p w14:paraId="2A20A9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0.</w:t>
                  </w:r>
                  <w:r>
                    <w:rPr>
                      <w:rFonts w:hint="eastAsia" w:ascii="Times New Roman" w:hAnsi="Times New Roman" w:eastAsia="宋体" w:cs="Times New Roman"/>
                      <w:color w:val="auto"/>
                      <w:sz w:val="21"/>
                      <w:szCs w:val="21"/>
                      <w:highlight w:val="none"/>
                      <w:shd w:val="clear" w:color="auto" w:fill="auto"/>
                      <w:lang w:val="en-US" w:eastAsia="zh-CN"/>
                    </w:rPr>
                    <w:t>3</w:t>
                  </w:r>
                </w:p>
              </w:tc>
              <w:tc>
                <w:tcPr>
                  <w:tcW w:w="677" w:type="pct"/>
                  <w:tcBorders>
                    <w:tl2br w:val="nil"/>
                    <w:tr2bl w:val="nil"/>
                  </w:tcBorders>
                  <w:shd w:val="clear" w:color="auto" w:fill="auto"/>
                  <w:noWrap w:val="0"/>
                  <w:tcMar>
                    <w:top w:w="0" w:type="dxa"/>
                    <w:left w:w="28" w:type="dxa"/>
                    <w:bottom w:w="0" w:type="dxa"/>
                    <w:right w:w="28" w:type="dxa"/>
                  </w:tcMar>
                  <w:vAlign w:val="center"/>
                </w:tcPr>
                <w:p w14:paraId="1BAAD3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25</w:t>
                  </w:r>
                </w:p>
              </w:tc>
            </w:tr>
            <w:tr w14:paraId="439AED3B">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restart"/>
                  <w:tcBorders>
                    <w:tl2br w:val="nil"/>
                    <w:tr2bl w:val="nil"/>
                  </w:tcBorders>
                  <w:noWrap w:val="0"/>
                  <w:tcMar>
                    <w:top w:w="0" w:type="dxa"/>
                    <w:left w:w="28" w:type="dxa"/>
                    <w:bottom w:w="0" w:type="dxa"/>
                    <w:right w:w="28" w:type="dxa"/>
                  </w:tcMar>
                  <w:vAlign w:val="center"/>
                </w:tcPr>
                <w:p w14:paraId="1E0226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编号</w:t>
                  </w:r>
                </w:p>
              </w:tc>
              <w:tc>
                <w:tcPr>
                  <w:tcW w:w="678" w:type="pct"/>
                  <w:vMerge w:val="restart"/>
                  <w:tcBorders>
                    <w:tl2br w:val="nil"/>
                    <w:tr2bl w:val="nil"/>
                  </w:tcBorders>
                  <w:noWrap w:val="0"/>
                  <w:tcMar>
                    <w:top w:w="0" w:type="dxa"/>
                    <w:left w:w="28" w:type="dxa"/>
                    <w:bottom w:w="0" w:type="dxa"/>
                    <w:right w:w="28" w:type="dxa"/>
                  </w:tcMar>
                  <w:vAlign w:val="center"/>
                </w:tcPr>
                <w:p w14:paraId="0B6E50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名称</w:t>
                  </w:r>
                </w:p>
              </w:tc>
              <w:tc>
                <w:tcPr>
                  <w:tcW w:w="1977" w:type="pct"/>
                  <w:gridSpan w:val="2"/>
                  <w:tcBorders>
                    <w:tl2br w:val="nil"/>
                    <w:tr2bl w:val="nil"/>
                  </w:tcBorders>
                  <w:noWrap w:val="0"/>
                  <w:tcMar>
                    <w:top w:w="0" w:type="dxa"/>
                    <w:left w:w="28" w:type="dxa"/>
                    <w:bottom w:w="0" w:type="dxa"/>
                    <w:right w:w="28" w:type="dxa"/>
                  </w:tcMar>
                  <w:vAlign w:val="center"/>
                </w:tcPr>
                <w:p w14:paraId="2D4965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r>
                    <w:rPr>
                      <w:rFonts w:hint="default" w:ascii="Times New Roman" w:hAnsi="Times New Roman" w:eastAsia="宋体" w:cs="Times New Roman"/>
                      <w:smallCaps w:val="0"/>
                      <w:color w:val="auto"/>
                      <w:spacing w:val="0"/>
                      <w:sz w:val="21"/>
                      <w:szCs w:val="21"/>
                      <w:highlight w:val="none"/>
                      <w:shd w:val="clear" w:color="auto" w:fill="auto"/>
                    </w:rPr>
                    <w:t>面源起点坐标/m</w:t>
                  </w:r>
                </w:p>
              </w:tc>
              <w:tc>
                <w:tcPr>
                  <w:tcW w:w="545" w:type="pct"/>
                  <w:vMerge w:val="restart"/>
                  <w:tcBorders>
                    <w:tl2br w:val="nil"/>
                    <w:tr2bl w:val="nil"/>
                  </w:tcBorders>
                  <w:noWrap w:val="0"/>
                  <w:tcMar>
                    <w:top w:w="0" w:type="dxa"/>
                    <w:left w:w="28" w:type="dxa"/>
                    <w:bottom w:w="0" w:type="dxa"/>
                    <w:right w:w="28" w:type="dxa"/>
                  </w:tcMar>
                  <w:vAlign w:val="center"/>
                </w:tcPr>
                <w:p w14:paraId="3E1A27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面源长度/m</w:t>
                  </w:r>
                </w:p>
              </w:tc>
              <w:tc>
                <w:tcPr>
                  <w:tcW w:w="658" w:type="pct"/>
                  <w:vMerge w:val="restart"/>
                  <w:tcBorders>
                    <w:tl2br w:val="nil"/>
                    <w:tr2bl w:val="nil"/>
                  </w:tcBorders>
                  <w:noWrap w:val="0"/>
                  <w:tcMar>
                    <w:top w:w="0" w:type="dxa"/>
                    <w:left w:w="28" w:type="dxa"/>
                    <w:bottom w:w="0" w:type="dxa"/>
                    <w:right w:w="28" w:type="dxa"/>
                  </w:tcMar>
                  <w:vAlign w:val="center"/>
                </w:tcPr>
                <w:p w14:paraId="7B9D13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面源宽度/m</w:t>
                  </w:r>
                </w:p>
              </w:tc>
              <w:tc>
                <w:tcPr>
                  <w:tcW w:w="677" w:type="pct"/>
                  <w:vMerge w:val="restart"/>
                  <w:tcBorders>
                    <w:tl2br w:val="nil"/>
                    <w:tr2bl w:val="nil"/>
                  </w:tcBorders>
                  <w:noWrap w:val="0"/>
                  <w:tcMar>
                    <w:top w:w="0" w:type="dxa"/>
                    <w:left w:w="28" w:type="dxa"/>
                    <w:bottom w:w="0" w:type="dxa"/>
                    <w:right w:w="28" w:type="dxa"/>
                  </w:tcMar>
                  <w:vAlign w:val="center"/>
                </w:tcPr>
                <w:p w14:paraId="5A8F08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r>
                    <w:rPr>
                      <w:rFonts w:hint="default" w:ascii="Times New Roman" w:hAnsi="Times New Roman" w:eastAsia="宋体" w:cs="Times New Roman"/>
                      <w:b/>
                      <w:bCs/>
                      <w:smallCaps w:val="0"/>
                      <w:color w:val="auto"/>
                      <w:spacing w:val="0"/>
                      <w:sz w:val="21"/>
                      <w:szCs w:val="21"/>
                      <w:highlight w:val="none"/>
                      <w:shd w:val="clear" w:color="auto" w:fill="auto"/>
                    </w:rPr>
                    <w:t>面源有效排放高度/m</w:t>
                  </w:r>
                </w:p>
              </w:tc>
            </w:tr>
            <w:tr w14:paraId="1F5B2181">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vMerge w:val="continue"/>
                  <w:tcBorders>
                    <w:tl2br w:val="nil"/>
                    <w:tr2bl w:val="nil"/>
                  </w:tcBorders>
                  <w:noWrap w:val="0"/>
                  <w:vAlign w:val="center"/>
                </w:tcPr>
                <w:p w14:paraId="06CC3A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p>
              </w:tc>
              <w:tc>
                <w:tcPr>
                  <w:tcW w:w="678" w:type="pct"/>
                  <w:vMerge w:val="continue"/>
                  <w:tcBorders>
                    <w:tl2br w:val="nil"/>
                    <w:tr2bl w:val="nil"/>
                  </w:tcBorders>
                  <w:noWrap w:val="0"/>
                  <w:vAlign w:val="center"/>
                </w:tcPr>
                <w:p w14:paraId="21B0A5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p>
              </w:tc>
              <w:tc>
                <w:tcPr>
                  <w:tcW w:w="947" w:type="pct"/>
                  <w:tcBorders>
                    <w:tl2br w:val="nil"/>
                    <w:tr2bl w:val="nil"/>
                  </w:tcBorders>
                  <w:noWrap w:val="0"/>
                  <w:tcMar>
                    <w:top w:w="0" w:type="dxa"/>
                    <w:left w:w="28" w:type="dxa"/>
                    <w:bottom w:w="0" w:type="dxa"/>
                    <w:right w:w="28" w:type="dxa"/>
                  </w:tcMar>
                  <w:vAlign w:val="center"/>
                </w:tcPr>
                <w:p w14:paraId="0DED2B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r>
                    <w:rPr>
                      <w:rFonts w:hint="default" w:ascii="Times New Roman" w:hAnsi="Times New Roman" w:eastAsia="宋体" w:cs="Times New Roman"/>
                      <w:smallCaps w:val="0"/>
                      <w:color w:val="auto"/>
                      <w:spacing w:val="0"/>
                      <w:sz w:val="21"/>
                      <w:szCs w:val="21"/>
                      <w:highlight w:val="none"/>
                      <w:shd w:val="clear" w:color="auto" w:fill="auto"/>
                    </w:rPr>
                    <w:t>X</w:t>
                  </w:r>
                </w:p>
              </w:tc>
              <w:tc>
                <w:tcPr>
                  <w:tcW w:w="1030" w:type="pct"/>
                  <w:tcBorders>
                    <w:tl2br w:val="nil"/>
                    <w:tr2bl w:val="nil"/>
                  </w:tcBorders>
                  <w:noWrap w:val="0"/>
                  <w:tcMar>
                    <w:top w:w="0" w:type="dxa"/>
                    <w:left w:w="28" w:type="dxa"/>
                    <w:bottom w:w="0" w:type="dxa"/>
                    <w:right w:w="28" w:type="dxa"/>
                  </w:tcMar>
                  <w:vAlign w:val="center"/>
                </w:tcPr>
                <w:p w14:paraId="332D72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r>
                    <w:rPr>
                      <w:rFonts w:hint="default" w:ascii="Times New Roman" w:hAnsi="Times New Roman" w:eastAsia="宋体" w:cs="Times New Roman"/>
                      <w:smallCaps w:val="0"/>
                      <w:color w:val="auto"/>
                      <w:spacing w:val="0"/>
                      <w:sz w:val="21"/>
                      <w:szCs w:val="21"/>
                      <w:highlight w:val="none"/>
                      <w:shd w:val="clear" w:color="auto" w:fill="auto"/>
                    </w:rPr>
                    <w:t>Y</w:t>
                  </w:r>
                </w:p>
              </w:tc>
              <w:tc>
                <w:tcPr>
                  <w:tcW w:w="545" w:type="pct"/>
                  <w:vMerge w:val="continue"/>
                  <w:tcBorders>
                    <w:tl2br w:val="nil"/>
                    <w:tr2bl w:val="nil"/>
                  </w:tcBorders>
                  <w:noWrap w:val="0"/>
                  <w:vAlign w:val="center"/>
                </w:tcPr>
                <w:p w14:paraId="6ACF35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p>
              </w:tc>
              <w:tc>
                <w:tcPr>
                  <w:tcW w:w="658" w:type="pct"/>
                  <w:vMerge w:val="continue"/>
                  <w:tcBorders>
                    <w:tl2br w:val="nil"/>
                    <w:tr2bl w:val="nil"/>
                  </w:tcBorders>
                  <w:noWrap w:val="0"/>
                  <w:vAlign w:val="center"/>
                </w:tcPr>
                <w:p w14:paraId="025086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p>
              </w:tc>
              <w:tc>
                <w:tcPr>
                  <w:tcW w:w="677" w:type="pct"/>
                  <w:vMerge w:val="continue"/>
                  <w:tcBorders>
                    <w:tl2br w:val="nil"/>
                    <w:tr2bl w:val="nil"/>
                  </w:tcBorders>
                  <w:noWrap w:val="0"/>
                  <w:vAlign w:val="center"/>
                </w:tcPr>
                <w:p w14:paraId="54F5DC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p>
              </w:tc>
            </w:tr>
            <w:tr w14:paraId="29F47A44">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tcBorders>
                    <w:tl2br w:val="nil"/>
                    <w:tr2bl w:val="nil"/>
                  </w:tcBorders>
                  <w:noWrap w:val="0"/>
                  <w:tcMar>
                    <w:top w:w="0" w:type="dxa"/>
                    <w:left w:w="28" w:type="dxa"/>
                    <w:bottom w:w="0" w:type="dxa"/>
                    <w:right w:w="28" w:type="dxa"/>
                  </w:tcMar>
                  <w:vAlign w:val="center"/>
                </w:tcPr>
                <w:p w14:paraId="2657E4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rPr>
                  </w:pPr>
                  <w:r>
                    <w:rPr>
                      <w:rFonts w:hint="default" w:ascii="Times New Roman" w:hAnsi="Times New Roman" w:eastAsia="宋体" w:cs="Times New Roman"/>
                      <w:smallCaps w:val="0"/>
                      <w:color w:val="auto"/>
                      <w:spacing w:val="0"/>
                      <w:sz w:val="21"/>
                      <w:szCs w:val="21"/>
                      <w:highlight w:val="none"/>
                      <w:shd w:val="clear" w:color="auto" w:fill="auto"/>
                    </w:rPr>
                    <w:t>1</w:t>
                  </w:r>
                </w:p>
              </w:tc>
              <w:tc>
                <w:tcPr>
                  <w:tcW w:w="678" w:type="pct"/>
                  <w:tcBorders>
                    <w:tl2br w:val="nil"/>
                    <w:tr2bl w:val="nil"/>
                  </w:tcBorders>
                  <w:noWrap w:val="0"/>
                  <w:tcMar>
                    <w:top w:w="0" w:type="dxa"/>
                    <w:left w:w="28" w:type="dxa"/>
                    <w:bottom w:w="0" w:type="dxa"/>
                    <w:right w:w="28" w:type="dxa"/>
                  </w:tcMar>
                  <w:vAlign w:val="center"/>
                </w:tcPr>
                <w:p w14:paraId="70A438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洁净</w:t>
                  </w:r>
                  <w:r>
                    <w:rPr>
                      <w:rFonts w:hint="default" w:ascii="Times New Roman" w:hAnsi="Times New Roman" w:eastAsia="宋体" w:cs="Times New Roman"/>
                      <w:smallCaps w:val="0"/>
                      <w:color w:val="auto"/>
                      <w:spacing w:val="0"/>
                      <w:sz w:val="21"/>
                      <w:szCs w:val="21"/>
                      <w:highlight w:val="none"/>
                      <w:shd w:val="clear" w:color="auto" w:fill="auto"/>
                    </w:rPr>
                    <w:t>车间</w:t>
                  </w:r>
                  <w:r>
                    <w:rPr>
                      <w:rFonts w:hint="default" w:ascii="Times New Roman" w:hAnsi="Times New Roman" w:eastAsia="宋体" w:cs="Times New Roman"/>
                      <w:smallCaps w:val="0"/>
                      <w:color w:val="auto"/>
                      <w:spacing w:val="0"/>
                      <w:sz w:val="21"/>
                      <w:szCs w:val="21"/>
                      <w:highlight w:val="none"/>
                      <w:shd w:val="clear" w:color="auto" w:fill="auto"/>
                      <w:lang w:val="en-US" w:eastAsia="zh-CN"/>
                    </w:rPr>
                    <w:t>一</w:t>
                  </w:r>
                </w:p>
              </w:tc>
              <w:tc>
                <w:tcPr>
                  <w:tcW w:w="947" w:type="pct"/>
                  <w:tcBorders>
                    <w:tl2br w:val="nil"/>
                    <w:tr2bl w:val="nil"/>
                  </w:tcBorders>
                  <w:shd w:val="clear" w:color="auto" w:fill="auto"/>
                  <w:noWrap w:val="0"/>
                  <w:tcMar>
                    <w:top w:w="0" w:type="dxa"/>
                    <w:left w:w="28" w:type="dxa"/>
                    <w:bottom w:w="0" w:type="dxa"/>
                    <w:right w:w="28" w:type="dxa"/>
                  </w:tcMar>
                  <w:vAlign w:val="center"/>
                </w:tcPr>
                <w:p w14:paraId="0F7571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119.</w:t>
                  </w:r>
                  <w:r>
                    <w:rPr>
                      <w:rFonts w:hint="eastAsia" w:ascii="Times New Roman" w:hAnsi="Times New Roman" w:eastAsia="宋体" w:cs="Times New Roman"/>
                      <w:smallCaps w:val="0"/>
                      <w:color w:val="auto"/>
                      <w:spacing w:val="0"/>
                      <w:sz w:val="21"/>
                      <w:szCs w:val="21"/>
                      <w:highlight w:val="none"/>
                      <w:shd w:val="clear" w:color="auto" w:fill="auto"/>
                      <w:lang w:val="en-US" w:eastAsia="zh-CN"/>
                    </w:rPr>
                    <w:t>612239</w:t>
                  </w:r>
                </w:p>
              </w:tc>
              <w:tc>
                <w:tcPr>
                  <w:tcW w:w="1030" w:type="pct"/>
                  <w:tcBorders>
                    <w:tl2br w:val="nil"/>
                    <w:tr2bl w:val="nil"/>
                  </w:tcBorders>
                  <w:shd w:val="clear" w:color="auto" w:fill="auto"/>
                  <w:noWrap w:val="0"/>
                  <w:tcMar>
                    <w:top w:w="0" w:type="dxa"/>
                    <w:left w:w="28" w:type="dxa"/>
                    <w:bottom w:w="0" w:type="dxa"/>
                    <w:right w:w="28" w:type="dxa"/>
                  </w:tcMar>
                  <w:vAlign w:val="center"/>
                </w:tcPr>
                <w:p w14:paraId="0FD5DA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31.7</w:t>
                  </w:r>
                  <w:r>
                    <w:rPr>
                      <w:rFonts w:hint="eastAsia" w:ascii="Times New Roman" w:hAnsi="Times New Roman" w:eastAsia="宋体" w:cs="Times New Roman"/>
                      <w:smallCaps w:val="0"/>
                      <w:color w:val="auto"/>
                      <w:spacing w:val="0"/>
                      <w:sz w:val="21"/>
                      <w:szCs w:val="21"/>
                      <w:highlight w:val="none"/>
                      <w:shd w:val="clear" w:color="auto" w:fill="auto"/>
                      <w:lang w:val="en-US" w:eastAsia="zh-CN"/>
                    </w:rPr>
                    <w:t>54106</w:t>
                  </w:r>
                </w:p>
              </w:tc>
              <w:tc>
                <w:tcPr>
                  <w:tcW w:w="545" w:type="pct"/>
                  <w:tcBorders>
                    <w:tl2br w:val="nil"/>
                    <w:tr2bl w:val="nil"/>
                  </w:tcBorders>
                  <w:noWrap w:val="0"/>
                  <w:tcMar>
                    <w:top w:w="0" w:type="dxa"/>
                    <w:left w:w="28" w:type="dxa"/>
                    <w:bottom w:w="0" w:type="dxa"/>
                    <w:right w:w="28" w:type="dxa"/>
                  </w:tcMar>
                  <w:vAlign w:val="center"/>
                </w:tcPr>
                <w:p w14:paraId="4D2749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72</w:t>
                  </w:r>
                </w:p>
              </w:tc>
              <w:tc>
                <w:tcPr>
                  <w:tcW w:w="658" w:type="pct"/>
                  <w:tcBorders>
                    <w:tl2br w:val="nil"/>
                    <w:tr2bl w:val="nil"/>
                  </w:tcBorders>
                  <w:noWrap w:val="0"/>
                  <w:tcMar>
                    <w:top w:w="0" w:type="dxa"/>
                    <w:left w:w="28" w:type="dxa"/>
                    <w:bottom w:w="0" w:type="dxa"/>
                    <w:right w:w="28" w:type="dxa"/>
                  </w:tcMar>
                  <w:vAlign w:val="center"/>
                </w:tcPr>
                <w:p w14:paraId="11266B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12</w:t>
                  </w:r>
                </w:p>
              </w:tc>
              <w:tc>
                <w:tcPr>
                  <w:tcW w:w="677" w:type="pct"/>
                  <w:tcBorders>
                    <w:tl2br w:val="nil"/>
                    <w:tr2bl w:val="nil"/>
                  </w:tcBorders>
                  <w:noWrap w:val="0"/>
                  <w:tcMar>
                    <w:top w:w="0" w:type="dxa"/>
                    <w:left w:w="28" w:type="dxa"/>
                    <w:bottom w:w="0" w:type="dxa"/>
                    <w:right w:w="28" w:type="dxa"/>
                  </w:tcMar>
                  <w:vAlign w:val="center"/>
                </w:tcPr>
                <w:p w14:paraId="6DCB9D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4</w:t>
                  </w:r>
                </w:p>
              </w:tc>
            </w:tr>
            <w:tr w14:paraId="7ABD2A3A">
              <w:tblPrEx>
                <w:tblBorders>
                  <w:top w:val="single" w:color="auto" w:sz="12" w:space="0"/>
                  <w:left w:val="dotted" w:color="auto" w:sz="4" w:space="0"/>
                  <w:bottom w:val="single" w:color="auto" w:sz="12" w:space="0"/>
                  <w:right w:val="dotted" w:color="auto" w:sz="4"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463" w:type="pct"/>
                  <w:tcBorders>
                    <w:tl2br w:val="nil"/>
                    <w:tr2bl w:val="nil"/>
                  </w:tcBorders>
                  <w:noWrap w:val="0"/>
                  <w:tcMar>
                    <w:top w:w="0" w:type="dxa"/>
                    <w:left w:w="28" w:type="dxa"/>
                    <w:bottom w:w="0" w:type="dxa"/>
                    <w:right w:w="28" w:type="dxa"/>
                  </w:tcMar>
                  <w:vAlign w:val="center"/>
                </w:tcPr>
                <w:p w14:paraId="42DBC3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2</w:t>
                  </w:r>
                </w:p>
              </w:tc>
              <w:tc>
                <w:tcPr>
                  <w:tcW w:w="678" w:type="pct"/>
                  <w:tcBorders>
                    <w:tl2br w:val="nil"/>
                    <w:tr2bl w:val="nil"/>
                  </w:tcBorders>
                  <w:noWrap w:val="0"/>
                  <w:tcMar>
                    <w:top w:w="0" w:type="dxa"/>
                    <w:left w:w="28" w:type="dxa"/>
                    <w:bottom w:w="0" w:type="dxa"/>
                    <w:right w:w="28" w:type="dxa"/>
                  </w:tcMar>
                  <w:vAlign w:val="center"/>
                </w:tcPr>
                <w:p w14:paraId="37F01C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洁净</w:t>
                  </w:r>
                  <w:r>
                    <w:rPr>
                      <w:rFonts w:hint="default" w:ascii="Times New Roman" w:hAnsi="Times New Roman" w:eastAsia="宋体" w:cs="Times New Roman"/>
                      <w:smallCaps w:val="0"/>
                      <w:color w:val="auto"/>
                      <w:spacing w:val="0"/>
                      <w:sz w:val="21"/>
                      <w:szCs w:val="21"/>
                      <w:highlight w:val="none"/>
                      <w:shd w:val="clear" w:color="auto" w:fill="auto"/>
                    </w:rPr>
                    <w:t>车间</w:t>
                  </w:r>
                  <w:r>
                    <w:rPr>
                      <w:rFonts w:hint="eastAsia" w:ascii="Times New Roman" w:hAnsi="Times New Roman" w:eastAsia="宋体" w:cs="Times New Roman"/>
                      <w:smallCaps w:val="0"/>
                      <w:color w:val="auto"/>
                      <w:spacing w:val="0"/>
                      <w:sz w:val="21"/>
                      <w:szCs w:val="21"/>
                      <w:highlight w:val="none"/>
                      <w:shd w:val="clear" w:color="auto" w:fill="auto"/>
                      <w:lang w:val="en-US" w:eastAsia="zh-CN"/>
                    </w:rPr>
                    <w:t>二</w:t>
                  </w:r>
                </w:p>
              </w:tc>
              <w:tc>
                <w:tcPr>
                  <w:tcW w:w="947" w:type="pct"/>
                  <w:tcBorders>
                    <w:tl2br w:val="nil"/>
                    <w:tr2bl w:val="nil"/>
                  </w:tcBorders>
                  <w:shd w:val="clear" w:color="auto" w:fill="auto"/>
                  <w:noWrap w:val="0"/>
                  <w:tcMar>
                    <w:top w:w="0" w:type="dxa"/>
                    <w:left w:w="28" w:type="dxa"/>
                    <w:bottom w:w="0" w:type="dxa"/>
                    <w:right w:w="28" w:type="dxa"/>
                  </w:tcMar>
                  <w:vAlign w:val="center"/>
                </w:tcPr>
                <w:p w14:paraId="594FC0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119.612338</w:t>
                  </w:r>
                </w:p>
              </w:tc>
              <w:tc>
                <w:tcPr>
                  <w:tcW w:w="1030" w:type="pct"/>
                  <w:tcBorders>
                    <w:tl2br w:val="nil"/>
                    <w:tr2bl w:val="nil"/>
                  </w:tcBorders>
                  <w:shd w:val="clear" w:color="auto" w:fill="auto"/>
                  <w:noWrap w:val="0"/>
                  <w:tcMar>
                    <w:top w:w="0" w:type="dxa"/>
                    <w:left w:w="28" w:type="dxa"/>
                    <w:bottom w:w="0" w:type="dxa"/>
                    <w:right w:w="28" w:type="dxa"/>
                  </w:tcMar>
                  <w:vAlign w:val="center"/>
                </w:tcPr>
                <w:p w14:paraId="3E6AE9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31.754063</w:t>
                  </w:r>
                </w:p>
              </w:tc>
              <w:tc>
                <w:tcPr>
                  <w:tcW w:w="545" w:type="pct"/>
                  <w:tcBorders>
                    <w:tl2br w:val="nil"/>
                    <w:tr2bl w:val="nil"/>
                  </w:tcBorders>
                  <w:noWrap w:val="0"/>
                  <w:tcMar>
                    <w:top w:w="0" w:type="dxa"/>
                    <w:left w:w="28" w:type="dxa"/>
                    <w:bottom w:w="0" w:type="dxa"/>
                    <w:right w:w="28" w:type="dxa"/>
                  </w:tcMar>
                  <w:vAlign w:val="center"/>
                </w:tcPr>
                <w:p w14:paraId="1E7127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50</w:t>
                  </w:r>
                </w:p>
              </w:tc>
              <w:tc>
                <w:tcPr>
                  <w:tcW w:w="658" w:type="pct"/>
                  <w:tcBorders>
                    <w:tl2br w:val="nil"/>
                    <w:tr2bl w:val="nil"/>
                  </w:tcBorders>
                  <w:noWrap w:val="0"/>
                  <w:tcMar>
                    <w:top w:w="0" w:type="dxa"/>
                    <w:left w:w="28" w:type="dxa"/>
                    <w:bottom w:w="0" w:type="dxa"/>
                    <w:right w:w="28" w:type="dxa"/>
                  </w:tcMar>
                  <w:vAlign w:val="center"/>
                </w:tcPr>
                <w:p w14:paraId="072091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12</w:t>
                  </w:r>
                </w:p>
              </w:tc>
              <w:tc>
                <w:tcPr>
                  <w:tcW w:w="677" w:type="pct"/>
                  <w:tcBorders>
                    <w:tl2br w:val="nil"/>
                    <w:tr2bl w:val="nil"/>
                  </w:tcBorders>
                  <w:noWrap w:val="0"/>
                  <w:tcMar>
                    <w:top w:w="0" w:type="dxa"/>
                    <w:left w:w="28" w:type="dxa"/>
                    <w:bottom w:w="0" w:type="dxa"/>
                    <w:right w:w="28" w:type="dxa"/>
                  </w:tcMar>
                  <w:vAlign w:val="center"/>
                </w:tcPr>
                <w:p w14:paraId="45F054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pacing w:val="0"/>
                      <w:sz w:val="21"/>
                      <w:szCs w:val="21"/>
                      <w:highlight w:val="none"/>
                      <w:shd w:val="clear" w:color="auto" w:fill="auto"/>
                      <w:lang w:val="en-US" w:eastAsia="zh-CN"/>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4</w:t>
                  </w:r>
                </w:p>
              </w:tc>
            </w:tr>
          </w:tbl>
          <w:p w14:paraId="1DB81073">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highlight w:val="none"/>
                <w:shd w:val="clear" w:color="auto" w:fill="auto"/>
                <w:lang w:val="en-US" w:eastAsia="zh-CN"/>
              </w:rPr>
            </w:pPr>
            <w:r>
              <w:rPr>
                <w:rFonts w:hint="default" w:ascii="Times New Roman" w:hAnsi="Times New Roman" w:eastAsia="宋体" w:cs="Times New Roman"/>
                <w:b/>
                <w:bCs w:val="0"/>
                <w:color w:val="auto"/>
                <w:sz w:val="24"/>
                <w:highlight w:val="none"/>
                <w:shd w:val="clear" w:color="auto" w:fill="auto"/>
                <w:lang w:val="en-US" w:eastAsia="zh-CN"/>
              </w:rPr>
              <w:t>排气筒设置可行性分析</w:t>
            </w:r>
          </w:p>
          <w:p w14:paraId="641B60C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根据《大气污染物综合排放标准》（DB32/4041-2021）：其他排气筒高度不低于15m（因安全考虑或有特殊工艺要求的除外），具体高度以及与周围建筑物的相对高度关系应根据环境影响评价文件确定。</w:t>
            </w:r>
            <w:r>
              <w:rPr>
                <w:rFonts w:hint="eastAsia" w:ascii="Times New Roman" w:hAnsi="Times New Roman" w:eastAsia="宋体" w:cs="Times New Roman"/>
                <w:b w:val="0"/>
                <w:bCs/>
                <w:color w:val="auto"/>
                <w:sz w:val="24"/>
                <w:highlight w:val="none"/>
                <w:shd w:val="clear" w:color="auto" w:fill="auto"/>
                <w:lang w:val="en-US" w:eastAsia="zh-CN"/>
              </w:rPr>
              <w:t>根据《合成树脂工业污染物排放标准》（GB31572-2015，含2024年修改单）、《工业涂装工序大气污染物排放标准》（DB32_4439-2022）：排气筒高度不低于15 m（因安全考虑或有特殊工艺要求的，以及装置区污水池处理设施除外），具体高度以及与周围建筑物的相对高度关系应根据环境影响评价文件确定。本</w:t>
            </w:r>
            <w:r>
              <w:rPr>
                <w:rFonts w:hint="default" w:ascii="Times New Roman" w:hAnsi="Times New Roman" w:eastAsia="宋体" w:cs="Times New Roman"/>
                <w:b w:val="0"/>
                <w:bCs/>
                <w:color w:val="auto"/>
                <w:sz w:val="24"/>
                <w:highlight w:val="none"/>
                <w:shd w:val="clear" w:color="auto" w:fill="auto"/>
                <w:lang w:val="en-US" w:eastAsia="zh-CN"/>
              </w:rPr>
              <w:t>项目排气筒</w:t>
            </w:r>
            <w:r>
              <w:rPr>
                <w:rFonts w:hint="eastAsia" w:ascii="Times New Roman" w:hAnsi="Times New Roman" w:eastAsia="宋体" w:cs="Times New Roman"/>
                <w:b w:val="0"/>
                <w:bCs/>
                <w:color w:val="auto"/>
                <w:sz w:val="24"/>
                <w:highlight w:val="none"/>
                <w:shd w:val="clear" w:color="auto" w:fill="auto"/>
                <w:lang w:val="en-US" w:eastAsia="zh-CN"/>
              </w:rPr>
              <w:t>1#、2#</w:t>
            </w:r>
            <w:r>
              <w:rPr>
                <w:rFonts w:hint="default" w:ascii="Times New Roman" w:hAnsi="Times New Roman" w:eastAsia="宋体" w:cs="Times New Roman"/>
                <w:b w:val="0"/>
                <w:bCs/>
                <w:color w:val="auto"/>
                <w:sz w:val="24"/>
                <w:highlight w:val="none"/>
                <w:shd w:val="clear" w:color="auto" w:fill="auto"/>
                <w:lang w:val="en-US" w:eastAsia="zh-CN"/>
              </w:rPr>
              <w:t>为</w:t>
            </w:r>
            <w:r>
              <w:rPr>
                <w:rFonts w:hint="eastAsia" w:ascii="Times New Roman" w:hAnsi="Times New Roman" w:eastAsia="宋体" w:cs="Times New Roman"/>
                <w:b w:val="0"/>
                <w:bCs/>
                <w:color w:val="auto"/>
                <w:sz w:val="24"/>
                <w:highlight w:val="none"/>
                <w:shd w:val="clear" w:color="auto" w:fill="auto"/>
                <w:lang w:val="en-US" w:eastAsia="zh-CN"/>
              </w:rPr>
              <w:t>18</w:t>
            </w:r>
            <w:r>
              <w:rPr>
                <w:rFonts w:hint="default" w:ascii="Times New Roman" w:hAnsi="Times New Roman" w:eastAsia="宋体" w:cs="Times New Roman"/>
                <w:b w:val="0"/>
                <w:bCs/>
                <w:color w:val="auto"/>
                <w:sz w:val="24"/>
                <w:highlight w:val="none"/>
                <w:shd w:val="clear" w:color="auto" w:fill="auto"/>
                <w:lang w:val="en-US" w:eastAsia="zh-CN"/>
              </w:rPr>
              <w:t>m，</w:t>
            </w:r>
            <w:r>
              <w:rPr>
                <w:rFonts w:hint="eastAsia" w:ascii="Times New Roman" w:hAnsi="Times New Roman" w:eastAsia="宋体" w:cs="Times New Roman"/>
                <w:b w:val="0"/>
                <w:bCs/>
                <w:color w:val="auto"/>
                <w:sz w:val="24"/>
                <w:highlight w:val="none"/>
                <w:shd w:val="clear" w:color="auto" w:fill="auto"/>
                <w:lang w:val="en-US" w:eastAsia="zh-CN"/>
              </w:rPr>
              <w:t>设置符合</w:t>
            </w:r>
            <w:r>
              <w:rPr>
                <w:rFonts w:hint="default" w:ascii="Times New Roman" w:hAnsi="Times New Roman" w:eastAsia="宋体" w:cs="Times New Roman"/>
                <w:b w:val="0"/>
                <w:bCs/>
                <w:color w:val="auto"/>
                <w:sz w:val="24"/>
                <w:highlight w:val="none"/>
                <w:shd w:val="clear" w:color="auto" w:fill="auto"/>
                <w:lang w:val="en-US" w:eastAsia="zh-CN"/>
              </w:rPr>
              <w:t>要求。</w:t>
            </w:r>
          </w:p>
          <w:p w14:paraId="5B8B88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highlight w:val="none"/>
                <w:shd w:val="clear" w:color="auto" w:fill="auto"/>
              </w:rPr>
            </w:pPr>
            <w:r>
              <w:rPr>
                <w:rFonts w:hint="eastAsia" w:ascii="Times New Roman" w:hAnsi="Times New Roman" w:eastAsia="宋体" w:cs="Times New Roman"/>
                <w:b/>
                <w:bCs w:val="0"/>
                <w:color w:val="auto"/>
                <w:sz w:val="24"/>
                <w:highlight w:val="none"/>
                <w:shd w:val="clear" w:color="auto" w:fill="auto"/>
                <w:lang w:val="en-US" w:eastAsia="zh-CN"/>
              </w:rPr>
              <w:t>7.</w:t>
            </w:r>
            <w:r>
              <w:rPr>
                <w:rFonts w:hint="default" w:ascii="Times New Roman" w:hAnsi="Times New Roman" w:eastAsia="宋体" w:cs="Times New Roman"/>
                <w:b/>
                <w:bCs w:val="0"/>
                <w:color w:val="auto"/>
                <w:sz w:val="24"/>
                <w:highlight w:val="none"/>
                <w:shd w:val="clear" w:color="auto" w:fill="auto"/>
              </w:rPr>
              <w:t>监测计划</w:t>
            </w:r>
          </w:p>
          <w:p w14:paraId="0D4B4EA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auto"/>
                <w:sz w:val="28"/>
                <w:szCs w:val="28"/>
                <w:highlight w:val="none"/>
                <w:shd w:val="clear" w:color="auto" w:fill="auto"/>
              </w:rPr>
            </w:pPr>
            <w:r>
              <w:rPr>
                <w:rFonts w:hint="default" w:ascii="Times New Roman" w:hAnsi="Times New Roman" w:eastAsia="宋体" w:cs="Times New Roman"/>
                <w:color w:val="auto"/>
                <w:sz w:val="24"/>
                <w:highlight w:val="none"/>
                <w:shd w:val="clear" w:color="auto" w:fill="auto"/>
                <w:lang w:val="en-US" w:eastAsia="zh-CN"/>
              </w:rPr>
              <w:t>参照《排污单位自行监测技术指南总则》（HJ819-2017）</w:t>
            </w:r>
            <w:r>
              <w:rPr>
                <w:rFonts w:hint="default" w:ascii="Times New Roman" w:hAnsi="Times New Roman" w:eastAsia="宋体" w:cs="Times New Roman"/>
                <w:color w:val="auto"/>
                <w:sz w:val="24"/>
                <w:szCs w:val="24"/>
                <w:highlight w:val="none"/>
                <w:shd w:val="clear" w:color="auto" w:fill="auto"/>
                <w:lang w:val="en-US" w:eastAsia="zh-CN"/>
              </w:rPr>
              <w:t>、《排污许可证申请与核发技术规范 总则》（HJ 942-2018）</w:t>
            </w:r>
            <w:r>
              <w:rPr>
                <w:rFonts w:hint="default" w:ascii="Times New Roman" w:hAnsi="Times New Roman" w:eastAsia="宋体" w:cs="Times New Roman"/>
                <w:color w:val="auto"/>
                <w:sz w:val="24"/>
                <w:highlight w:val="none"/>
                <w:shd w:val="clear" w:color="auto" w:fill="auto"/>
                <w:lang w:val="en-US" w:eastAsia="zh-CN"/>
              </w:rPr>
              <w:t>中相关要求，项目废气自行监测方案见下表。</w:t>
            </w:r>
          </w:p>
          <w:p w14:paraId="190774BA">
            <w:pPr>
              <w:adjustRightInd w:val="0"/>
              <w:snapToGrid w:val="0"/>
              <w:jc w:val="center"/>
              <w:rPr>
                <w:rFonts w:hint="default" w:ascii="Times New Roman" w:hAnsi="Times New Roman" w:eastAsia="宋体" w:cs="Times New Roman"/>
                <w:b/>
                <w:bCs/>
                <w:color w:val="auto"/>
                <w:sz w:val="28"/>
                <w:szCs w:val="28"/>
                <w:highlight w:val="none"/>
                <w:shd w:val="clear" w:color="auto" w:fill="auto"/>
              </w:rPr>
            </w:pPr>
            <w:r>
              <w:rPr>
                <w:rFonts w:hint="default" w:ascii="Times New Roman" w:hAnsi="Times New Roman" w:eastAsia="宋体" w:cs="Times New Roman"/>
                <w:b/>
                <w:bCs/>
                <w:color w:val="auto"/>
                <w:sz w:val="24"/>
                <w:highlight w:val="none"/>
                <w:shd w:val="clear" w:color="auto" w:fill="auto"/>
              </w:rPr>
              <w:t>表4-</w:t>
            </w:r>
            <w:r>
              <w:rPr>
                <w:rFonts w:hint="eastAsia" w:ascii="Times New Roman" w:hAnsi="Times New Roman" w:eastAsia="宋体" w:cs="Times New Roman"/>
                <w:b/>
                <w:bCs/>
                <w:color w:val="auto"/>
                <w:sz w:val="24"/>
                <w:highlight w:val="none"/>
                <w:shd w:val="clear" w:color="auto" w:fill="auto"/>
                <w:lang w:val="en-US" w:eastAsia="zh-CN"/>
              </w:rPr>
              <w:t>11</w:t>
            </w:r>
            <w:r>
              <w:rPr>
                <w:rFonts w:hint="default" w:ascii="Times New Roman" w:hAnsi="Times New Roman" w:eastAsia="宋体" w:cs="Times New Roman"/>
                <w:b/>
                <w:bCs/>
                <w:color w:val="auto"/>
                <w:sz w:val="24"/>
                <w:highlight w:val="none"/>
                <w:shd w:val="clear" w:color="auto" w:fill="auto"/>
              </w:rPr>
              <w:t xml:space="preserve">  建设项目运营期废气监测计划表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37"/>
              <w:gridCol w:w="467"/>
              <w:gridCol w:w="1325"/>
              <w:gridCol w:w="1163"/>
              <w:gridCol w:w="889"/>
              <w:gridCol w:w="2030"/>
              <w:gridCol w:w="529"/>
              <w:gridCol w:w="1547"/>
            </w:tblGrid>
            <w:tr w14:paraId="1B8BBD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03" w:type="pct"/>
                  <w:tcBorders>
                    <w:tl2br w:val="nil"/>
                    <w:tr2bl w:val="nil"/>
                  </w:tcBorders>
                  <w:vAlign w:val="center"/>
                </w:tcPr>
                <w:p w14:paraId="3DB87E15">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时段</w:t>
                  </w:r>
                </w:p>
              </w:tc>
              <w:tc>
                <w:tcPr>
                  <w:tcW w:w="281" w:type="pct"/>
                  <w:tcBorders>
                    <w:tl2br w:val="nil"/>
                    <w:tr2bl w:val="nil"/>
                  </w:tcBorders>
                  <w:shd w:val="clear" w:color="auto" w:fill="auto"/>
                  <w:vAlign w:val="center"/>
                </w:tcPr>
                <w:p w14:paraId="5CBB4F77">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类别</w:t>
                  </w:r>
                </w:p>
              </w:tc>
              <w:tc>
                <w:tcPr>
                  <w:tcW w:w="799" w:type="pct"/>
                  <w:tcBorders>
                    <w:tl2br w:val="nil"/>
                    <w:tr2bl w:val="nil"/>
                  </w:tcBorders>
                  <w:shd w:val="clear" w:color="auto" w:fill="auto"/>
                  <w:vAlign w:val="center"/>
                </w:tcPr>
                <w:p w14:paraId="08020B58">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监测位置</w:t>
                  </w:r>
                </w:p>
              </w:tc>
              <w:tc>
                <w:tcPr>
                  <w:tcW w:w="701" w:type="pct"/>
                  <w:tcBorders>
                    <w:tl2br w:val="nil"/>
                    <w:tr2bl w:val="nil"/>
                  </w:tcBorders>
                  <w:shd w:val="clear" w:color="auto" w:fill="auto"/>
                  <w:vAlign w:val="center"/>
                </w:tcPr>
                <w:p w14:paraId="5D578EBB">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监测项目</w:t>
                  </w:r>
                </w:p>
              </w:tc>
              <w:tc>
                <w:tcPr>
                  <w:tcW w:w="536" w:type="pct"/>
                  <w:tcBorders>
                    <w:tl2br w:val="nil"/>
                    <w:tr2bl w:val="nil"/>
                  </w:tcBorders>
                  <w:shd w:val="clear" w:color="auto" w:fill="auto"/>
                  <w:vAlign w:val="center"/>
                </w:tcPr>
                <w:p w14:paraId="49C1C460">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监测频率</w:t>
                  </w:r>
                </w:p>
              </w:tc>
              <w:tc>
                <w:tcPr>
                  <w:tcW w:w="1224" w:type="pct"/>
                  <w:tcBorders>
                    <w:tl2br w:val="nil"/>
                    <w:tr2bl w:val="nil"/>
                  </w:tcBorders>
                  <w:vAlign w:val="center"/>
                </w:tcPr>
                <w:p w14:paraId="146060EA">
                  <w:pPr>
                    <w:spacing w:line="240" w:lineRule="exac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执行标准</w:t>
                  </w:r>
                </w:p>
              </w:tc>
              <w:tc>
                <w:tcPr>
                  <w:tcW w:w="319" w:type="pct"/>
                  <w:tcBorders>
                    <w:tl2br w:val="nil"/>
                    <w:tr2bl w:val="nil"/>
                  </w:tcBorders>
                  <w:shd w:val="clear" w:color="auto" w:fill="auto"/>
                  <w:vAlign w:val="center"/>
                </w:tcPr>
                <w:p w14:paraId="38F898B8">
                  <w:pPr>
                    <w:spacing w:line="240" w:lineRule="exac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监测方法</w:t>
                  </w:r>
                </w:p>
              </w:tc>
              <w:tc>
                <w:tcPr>
                  <w:tcW w:w="933" w:type="pct"/>
                  <w:tcBorders>
                    <w:tl2br w:val="nil"/>
                    <w:tr2bl w:val="nil"/>
                  </w:tcBorders>
                  <w:vAlign w:val="center"/>
                </w:tcPr>
                <w:p w14:paraId="35D14A96">
                  <w:pPr>
                    <w:spacing w:line="240" w:lineRule="exac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依据</w:t>
                  </w:r>
                </w:p>
              </w:tc>
            </w:tr>
            <w:tr w14:paraId="6155D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2" w:hRule="atLeast"/>
              </w:trPr>
              <w:tc>
                <w:tcPr>
                  <w:tcW w:w="203" w:type="pct"/>
                  <w:vMerge w:val="restart"/>
                  <w:tcBorders>
                    <w:tl2br w:val="nil"/>
                    <w:tr2bl w:val="nil"/>
                  </w:tcBorders>
                  <w:vAlign w:val="center"/>
                </w:tcPr>
                <w:p w14:paraId="10A2F261">
                  <w:pPr>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营运期</w:t>
                  </w:r>
                </w:p>
              </w:tc>
              <w:tc>
                <w:tcPr>
                  <w:tcW w:w="281" w:type="pct"/>
                  <w:vMerge w:val="restart"/>
                  <w:tcBorders>
                    <w:tl2br w:val="nil"/>
                    <w:tr2bl w:val="nil"/>
                  </w:tcBorders>
                  <w:shd w:val="clear" w:color="auto" w:fill="auto"/>
                  <w:vAlign w:val="center"/>
                </w:tcPr>
                <w:p w14:paraId="1BB09219">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废气</w:t>
                  </w:r>
                </w:p>
              </w:tc>
              <w:tc>
                <w:tcPr>
                  <w:tcW w:w="799" w:type="pct"/>
                  <w:vMerge w:val="restart"/>
                  <w:tcBorders>
                    <w:tl2br w:val="nil"/>
                    <w:tr2bl w:val="nil"/>
                  </w:tcBorders>
                  <w:shd w:val="clear" w:color="auto" w:fill="auto"/>
                  <w:vAlign w:val="center"/>
                </w:tcPr>
                <w:p w14:paraId="3D361AE1">
                  <w:pPr>
                    <w:jc w:val="center"/>
                    <w:rPr>
                      <w:rFonts w:hint="default" w:ascii="Times New Roman" w:hAnsi="Times New Roman" w:eastAsia="宋体" w:cs="Times New Roman"/>
                      <w:bCs/>
                      <w:color w:val="auto"/>
                      <w:sz w:val="21"/>
                      <w:szCs w:val="21"/>
                      <w:highlight w:val="none"/>
                      <w:shd w:val="clear" w:color="auto" w:fill="auto"/>
                    </w:rPr>
                  </w:pPr>
                  <w:r>
                    <w:rPr>
                      <w:rFonts w:hint="eastAsia" w:ascii="Times New Roman" w:hAnsi="Times New Roman" w:eastAsia="宋体" w:cs="Times New Roman"/>
                      <w:bCs/>
                      <w:color w:val="auto"/>
                      <w:sz w:val="21"/>
                      <w:szCs w:val="21"/>
                      <w:highlight w:val="none"/>
                      <w:shd w:val="clear" w:color="auto" w:fill="auto"/>
                      <w:lang w:val="en-US" w:eastAsia="zh-CN"/>
                    </w:rPr>
                    <w:t>1#</w:t>
                  </w:r>
                  <w:r>
                    <w:rPr>
                      <w:rFonts w:hint="default" w:ascii="Times New Roman" w:hAnsi="Times New Roman" w:eastAsia="宋体" w:cs="Times New Roman"/>
                      <w:bCs/>
                      <w:color w:val="auto"/>
                      <w:sz w:val="21"/>
                      <w:szCs w:val="21"/>
                      <w:highlight w:val="none"/>
                      <w:shd w:val="clear" w:color="auto" w:fill="auto"/>
                      <w:lang w:val="en-US" w:eastAsia="zh-CN"/>
                    </w:rPr>
                    <w:t>排气筒</w:t>
                  </w:r>
                </w:p>
              </w:tc>
              <w:tc>
                <w:tcPr>
                  <w:tcW w:w="701" w:type="pct"/>
                  <w:tcBorders>
                    <w:tl2br w:val="nil"/>
                    <w:tr2bl w:val="nil"/>
                  </w:tcBorders>
                  <w:shd w:val="clear" w:color="auto" w:fill="auto"/>
                  <w:vAlign w:val="center"/>
                </w:tcPr>
                <w:p w14:paraId="20016A7E">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非甲烷总烃</w:t>
                  </w:r>
                </w:p>
              </w:tc>
              <w:tc>
                <w:tcPr>
                  <w:tcW w:w="536" w:type="pct"/>
                  <w:vMerge w:val="restart"/>
                  <w:tcBorders>
                    <w:tl2br w:val="nil"/>
                    <w:tr2bl w:val="nil"/>
                  </w:tcBorders>
                  <w:shd w:val="clear" w:color="auto" w:fill="auto"/>
                  <w:vAlign w:val="center"/>
                </w:tcPr>
                <w:p w14:paraId="33C1E8A7">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1次/年</w:t>
                  </w:r>
                </w:p>
              </w:tc>
              <w:tc>
                <w:tcPr>
                  <w:tcW w:w="1224" w:type="pct"/>
                  <w:vMerge w:val="restart"/>
                  <w:tcBorders>
                    <w:tl2br w:val="nil"/>
                    <w:tr2bl w:val="nil"/>
                  </w:tcBorders>
                  <w:vAlign w:val="center"/>
                </w:tcPr>
                <w:p w14:paraId="06EC284A">
                  <w:pPr>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《印刷工业大气污染物排放标准》（DB32 4438-2022）</w:t>
                  </w:r>
                </w:p>
              </w:tc>
              <w:tc>
                <w:tcPr>
                  <w:tcW w:w="319" w:type="pct"/>
                  <w:vMerge w:val="restart"/>
                  <w:tcBorders>
                    <w:tl2br w:val="nil"/>
                    <w:tr2bl w:val="nil"/>
                  </w:tcBorders>
                  <w:shd w:val="clear" w:color="auto" w:fill="auto"/>
                  <w:vAlign w:val="center"/>
                </w:tcPr>
                <w:p w14:paraId="183ED536">
                  <w:pPr>
                    <w:spacing w:line="240" w:lineRule="exact"/>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采用国家规定最新监测方法与标准</w:t>
                  </w:r>
                </w:p>
              </w:tc>
              <w:tc>
                <w:tcPr>
                  <w:tcW w:w="933" w:type="pct"/>
                  <w:vMerge w:val="restart"/>
                  <w:tcBorders>
                    <w:tl2br w:val="nil"/>
                    <w:tr2bl w:val="nil"/>
                  </w:tcBorders>
                  <w:vAlign w:val="center"/>
                </w:tcPr>
                <w:p w14:paraId="0C0CBD1C">
                  <w:pPr>
                    <w:spacing w:line="240" w:lineRule="exact"/>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《排污单位自行监测技术指南总则》（HJ819-2017）</w:t>
                  </w:r>
                </w:p>
              </w:tc>
            </w:tr>
            <w:tr w14:paraId="0AD59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2" w:hRule="atLeast"/>
              </w:trPr>
              <w:tc>
                <w:tcPr>
                  <w:tcW w:w="203" w:type="pct"/>
                  <w:vMerge w:val="continue"/>
                  <w:tcBorders>
                    <w:tl2br w:val="nil"/>
                    <w:tr2bl w:val="nil"/>
                  </w:tcBorders>
                  <w:vAlign w:val="center"/>
                </w:tcPr>
                <w:p w14:paraId="12E8C82F">
                  <w:pPr>
                    <w:jc w:val="center"/>
                    <w:rPr>
                      <w:color w:val="auto"/>
                    </w:rPr>
                  </w:pPr>
                </w:p>
              </w:tc>
              <w:tc>
                <w:tcPr>
                  <w:tcW w:w="281" w:type="pct"/>
                  <w:vMerge w:val="continue"/>
                  <w:tcBorders>
                    <w:tl2br w:val="nil"/>
                    <w:tr2bl w:val="nil"/>
                  </w:tcBorders>
                  <w:shd w:val="clear" w:color="auto" w:fill="auto"/>
                  <w:vAlign w:val="center"/>
                </w:tcPr>
                <w:p w14:paraId="055E0C9D">
                  <w:pPr>
                    <w:jc w:val="center"/>
                    <w:rPr>
                      <w:color w:val="auto"/>
                    </w:rPr>
                  </w:pPr>
                </w:p>
              </w:tc>
              <w:tc>
                <w:tcPr>
                  <w:tcW w:w="799" w:type="pct"/>
                  <w:vMerge w:val="continue"/>
                  <w:tcBorders>
                    <w:tl2br w:val="nil"/>
                    <w:tr2bl w:val="nil"/>
                  </w:tcBorders>
                  <w:shd w:val="clear" w:color="auto" w:fill="auto"/>
                  <w:vAlign w:val="center"/>
                </w:tcPr>
                <w:p w14:paraId="7E492292">
                  <w:pPr>
                    <w:jc w:val="center"/>
                    <w:rPr>
                      <w:color w:val="auto"/>
                    </w:rPr>
                  </w:pPr>
                </w:p>
              </w:tc>
              <w:tc>
                <w:tcPr>
                  <w:tcW w:w="701" w:type="pct"/>
                  <w:tcBorders>
                    <w:tl2br w:val="nil"/>
                    <w:tr2bl w:val="nil"/>
                  </w:tcBorders>
                  <w:shd w:val="clear" w:color="auto" w:fill="auto"/>
                  <w:vAlign w:val="center"/>
                </w:tcPr>
                <w:p w14:paraId="5B6EF005">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TVOC</w:t>
                  </w:r>
                </w:p>
              </w:tc>
              <w:tc>
                <w:tcPr>
                  <w:tcW w:w="536" w:type="pct"/>
                  <w:vMerge w:val="continue"/>
                  <w:tcBorders>
                    <w:tl2br w:val="nil"/>
                    <w:tr2bl w:val="nil"/>
                  </w:tcBorders>
                  <w:shd w:val="clear" w:color="auto" w:fill="auto"/>
                  <w:vAlign w:val="center"/>
                </w:tcPr>
                <w:p w14:paraId="1CD2D2B0">
                  <w:pPr>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1224" w:type="pct"/>
                  <w:vMerge w:val="continue"/>
                  <w:tcBorders>
                    <w:tl2br w:val="nil"/>
                    <w:tr2bl w:val="nil"/>
                  </w:tcBorders>
                  <w:vAlign w:val="center"/>
                </w:tcPr>
                <w:p w14:paraId="7B072434">
                  <w:pPr>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319" w:type="pct"/>
                  <w:vMerge w:val="continue"/>
                  <w:tcBorders>
                    <w:tl2br w:val="nil"/>
                    <w:tr2bl w:val="nil"/>
                  </w:tcBorders>
                  <w:shd w:val="clear" w:color="auto" w:fill="auto"/>
                  <w:vAlign w:val="center"/>
                </w:tcPr>
                <w:p w14:paraId="588C6660">
                  <w:pPr>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933" w:type="pct"/>
                  <w:vMerge w:val="continue"/>
                  <w:tcBorders>
                    <w:tl2br w:val="nil"/>
                    <w:tr2bl w:val="nil"/>
                  </w:tcBorders>
                  <w:vAlign w:val="center"/>
                </w:tcPr>
                <w:p w14:paraId="386D303D">
                  <w:pPr>
                    <w:jc w:val="center"/>
                    <w:rPr>
                      <w:rFonts w:hint="default" w:ascii="Times New Roman" w:hAnsi="Times New Roman" w:eastAsia="宋体" w:cs="Times New Roman"/>
                      <w:color w:val="auto"/>
                      <w:sz w:val="21"/>
                      <w:szCs w:val="21"/>
                      <w:highlight w:val="none"/>
                      <w:shd w:val="clear" w:color="auto" w:fill="auto"/>
                      <w:lang w:val="en-US" w:eastAsia="zh-CN"/>
                    </w:rPr>
                  </w:pPr>
                </w:p>
              </w:tc>
            </w:tr>
            <w:tr w14:paraId="2ACF83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trPr>
              <w:tc>
                <w:tcPr>
                  <w:tcW w:w="203" w:type="pct"/>
                  <w:vMerge w:val="continue"/>
                  <w:tcBorders>
                    <w:tl2br w:val="nil"/>
                    <w:tr2bl w:val="nil"/>
                  </w:tcBorders>
                  <w:vAlign w:val="center"/>
                </w:tcPr>
                <w:p w14:paraId="7665CFFC">
                  <w:pPr>
                    <w:jc w:val="center"/>
                    <w:rPr>
                      <w:rFonts w:hint="default" w:ascii="Times New Roman" w:hAnsi="Times New Roman" w:eastAsia="宋体" w:cs="Times New Roman"/>
                      <w:bCs/>
                      <w:color w:val="auto"/>
                      <w:sz w:val="21"/>
                      <w:szCs w:val="21"/>
                      <w:highlight w:val="none"/>
                      <w:shd w:val="clear" w:color="auto" w:fill="auto"/>
                    </w:rPr>
                  </w:pPr>
                </w:p>
              </w:tc>
              <w:tc>
                <w:tcPr>
                  <w:tcW w:w="281" w:type="pct"/>
                  <w:vMerge w:val="continue"/>
                  <w:tcBorders>
                    <w:tl2br w:val="nil"/>
                    <w:tr2bl w:val="nil"/>
                  </w:tcBorders>
                  <w:shd w:val="clear" w:color="auto" w:fill="auto"/>
                  <w:vAlign w:val="center"/>
                </w:tcPr>
                <w:p w14:paraId="00924D5C">
                  <w:pPr>
                    <w:jc w:val="center"/>
                    <w:rPr>
                      <w:rFonts w:hint="default" w:ascii="Times New Roman" w:hAnsi="Times New Roman" w:eastAsia="宋体" w:cs="Times New Roman"/>
                      <w:color w:val="auto"/>
                      <w:sz w:val="21"/>
                      <w:szCs w:val="21"/>
                      <w:highlight w:val="none"/>
                      <w:shd w:val="clear" w:color="auto" w:fill="auto"/>
                    </w:rPr>
                  </w:pPr>
                </w:p>
              </w:tc>
              <w:tc>
                <w:tcPr>
                  <w:tcW w:w="799" w:type="pct"/>
                  <w:tcBorders>
                    <w:tl2br w:val="nil"/>
                    <w:tr2bl w:val="nil"/>
                  </w:tcBorders>
                  <w:shd w:val="clear" w:color="auto" w:fill="auto"/>
                  <w:vAlign w:val="center"/>
                </w:tcPr>
                <w:p w14:paraId="2051D52F">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eastAsia" w:ascii="Times New Roman" w:hAnsi="Times New Roman" w:eastAsia="宋体" w:cs="Times New Roman"/>
                      <w:bCs/>
                      <w:color w:val="auto"/>
                      <w:sz w:val="21"/>
                      <w:szCs w:val="21"/>
                      <w:highlight w:val="none"/>
                      <w:shd w:val="clear" w:color="auto" w:fill="auto"/>
                      <w:lang w:val="en-US" w:eastAsia="zh-CN"/>
                    </w:rPr>
                    <w:t>2#</w:t>
                  </w:r>
                  <w:r>
                    <w:rPr>
                      <w:rFonts w:hint="default" w:ascii="Times New Roman" w:hAnsi="Times New Roman" w:eastAsia="宋体" w:cs="Times New Roman"/>
                      <w:bCs/>
                      <w:color w:val="auto"/>
                      <w:sz w:val="21"/>
                      <w:szCs w:val="21"/>
                      <w:highlight w:val="none"/>
                      <w:shd w:val="clear" w:color="auto" w:fill="auto"/>
                      <w:lang w:val="en-US" w:eastAsia="zh-CN"/>
                    </w:rPr>
                    <w:t>排气筒</w:t>
                  </w:r>
                </w:p>
              </w:tc>
              <w:tc>
                <w:tcPr>
                  <w:tcW w:w="701" w:type="pct"/>
                  <w:tcBorders>
                    <w:tl2br w:val="nil"/>
                    <w:tr2bl w:val="nil"/>
                  </w:tcBorders>
                  <w:shd w:val="clear" w:color="auto" w:fill="auto"/>
                  <w:vAlign w:val="center"/>
                </w:tcPr>
                <w:p w14:paraId="2D794B08">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非甲烷总烃</w:t>
                  </w:r>
                </w:p>
              </w:tc>
              <w:tc>
                <w:tcPr>
                  <w:tcW w:w="536" w:type="pct"/>
                  <w:tcBorders>
                    <w:tl2br w:val="nil"/>
                    <w:tr2bl w:val="nil"/>
                  </w:tcBorders>
                  <w:shd w:val="clear" w:color="auto" w:fill="auto"/>
                  <w:vAlign w:val="center"/>
                </w:tcPr>
                <w:p w14:paraId="68E10FAC">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1次/年</w:t>
                  </w:r>
                </w:p>
              </w:tc>
              <w:tc>
                <w:tcPr>
                  <w:tcW w:w="1224" w:type="pct"/>
                  <w:tcBorders>
                    <w:tl2br w:val="nil"/>
                    <w:tr2bl w:val="nil"/>
                  </w:tcBorders>
                  <w:shd w:val="clear" w:color="auto" w:fill="auto"/>
                  <w:vAlign w:val="center"/>
                </w:tcPr>
                <w:p w14:paraId="2BC32CD6">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shd w:val="clear" w:color="auto" w:fill="auto"/>
                      <w:lang w:eastAsia="zh-CN"/>
                    </w:rPr>
                    <w:t>《合成树脂工业污染物排放标准》（GB 31572-2015，含2024年修改单）</w:t>
                  </w:r>
                </w:p>
              </w:tc>
              <w:tc>
                <w:tcPr>
                  <w:tcW w:w="319" w:type="pct"/>
                  <w:vMerge w:val="continue"/>
                  <w:tcBorders>
                    <w:tl2br w:val="nil"/>
                    <w:tr2bl w:val="nil"/>
                  </w:tcBorders>
                  <w:shd w:val="clear" w:color="auto" w:fill="auto"/>
                  <w:vAlign w:val="center"/>
                </w:tcPr>
                <w:p w14:paraId="58DF8D6C">
                  <w:pPr>
                    <w:spacing w:line="240" w:lineRule="exact"/>
                    <w:jc w:val="center"/>
                    <w:rPr>
                      <w:rFonts w:hint="default" w:ascii="Times New Roman" w:hAnsi="Times New Roman" w:eastAsia="宋体" w:cs="Times New Roman"/>
                      <w:bCs/>
                      <w:color w:val="auto"/>
                      <w:sz w:val="21"/>
                      <w:szCs w:val="21"/>
                      <w:highlight w:val="none"/>
                      <w:shd w:val="clear" w:color="auto" w:fill="auto"/>
                    </w:rPr>
                  </w:pPr>
                </w:p>
              </w:tc>
              <w:tc>
                <w:tcPr>
                  <w:tcW w:w="933" w:type="pct"/>
                  <w:vMerge w:val="continue"/>
                  <w:tcBorders>
                    <w:tl2br w:val="nil"/>
                    <w:tr2bl w:val="nil"/>
                  </w:tcBorders>
                  <w:vAlign w:val="center"/>
                </w:tcPr>
                <w:p w14:paraId="0F5DC21D">
                  <w:pPr>
                    <w:spacing w:line="240" w:lineRule="exact"/>
                    <w:jc w:val="center"/>
                    <w:rPr>
                      <w:rFonts w:hint="default" w:ascii="Times New Roman" w:hAnsi="Times New Roman" w:eastAsia="宋体" w:cs="Times New Roman"/>
                      <w:bCs/>
                      <w:color w:val="auto"/>
                      <w:sz w:val="21"/>
                      <w:szCs w:val="21"/>
                      <w:highlight w:val="none"/>
                      <w:shd w:val="clear" w:color="auto" w:fill="auto"/>
                    </w:rPr>
                  </w:pPr>
                </w:p>
              </w:tc>
            </w:tr>
            <w:tr w14:paraId="05D7D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trPr>
              <w:tc>
                <w:tcPr>
                  <w:tcW w:w="203" w:type="pct"/>
                  <w:vMerge w:val="continue"/>
                  <w:tcBorders>
                    <w:tl2br w:val="nil"/>
                    <w:tr2bl w:val="nil"/>
                  </w:tcBorders>
                  <w:vAlign w:val="center"/>
                </w:tcPr>
                <w:p w14:paraId="6AFE574B">
                  <w:pPr>
                    <w:jc w:val="center"/>
                    <w:rPr>
                      <w:rFonts w:hint="default" w:ascii="Times New Roman" w:hAnsi="Times New Roman" w:eastAsia="宋体" w:cs="Times New Roman"/>
                      <w:bCs/>
                      <w:color w:val="auto"/>
                      <w:sz w:val="21"/>
                      <w:szCs w:val="21"/>
                      <w:highlight w:val="none"/>
                      <w:shd w:val="clear" w:color="auto" w:fill="auto"/>
                    </w:rPr>
                  </w:pPr>
                </w:p>
              </w:tc>
              <w:tc>
                <w:tcPr>
                  <w:tcW w:w="281" w:type="pct"/>
                  <w:vMerge w:val="continue"/>
                  <w:tcBorders>
                    <w:tl2br w:val="nil"/>
                    <w:tr2bl w:val="nil"/>
                  </w:tcBorders>
                  <w:shd w:val="clear" w:color="auto" w:fill="auto"/>
                  <w:vAlign w:val="center"/>
                </w:tcPr>
                <w:p w14:paraId="2B710F03">
                  <w:pPr>
                    <w:jc w:val="center"/>
                    <w:rPr>
                      <w:rFonts w:hint="default" w:ascii="Times New Roman" w:hAnsi="Times New Roman" w:eastAsia="宋体" w:cs="Times New Roman"/>
                      <w:color w:val="auto"/>
                      <w:sz w:val="21"/>
                      <w:szCs w:val="21"/>
                      <w:highlight w:val="none"/>
                      <w:shd w:val="clear" w:color="auto" w:fill="auto"/>
                    </w:rPr>
                  </w:pPr>
                </w:p>
              </w:tc>
              <w:tc>
                <w:tcPr>
                  <w:tcW w:w="799" w:type="pct"/>
                  <w:vMerge w:val="restart"/>
                  <w:tcBorders>
                    <w:tl2br w:val="nil"/>
                    <w:tr2bl w:val="nil"/>
                  </w:tcBorders>
                  <w:shd w:val="clear" w:color="auto" w:fill="auto"/>
                  <w:vAlign w:val="center"/>
                </w:tcPr>
                <w:p w14:paraId="4E911C59">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厂界外1m范围内上风向1个点，下风向3个点</w:t>
                  </w:r>
                </w:p>
              </w:tc>
              <w:tc>
                <w:tcPr>
                  <w:tcW w:w="701" w:type="pct"/>
                  <w:tcBorders>
                    <w:tl2br w:val="nil"/>
                    <w:tr2bl w:val="nil"/>
                  </w:tcBorders>
                  <w:shd w:val="clear" w:color="auto" w:fill="auto"/>
                  <w:vAlign w:val="center"/>
                </w:tcPr>
                <w:p w14:paraId="6E8C5E0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非甲烷总烃</w:t>
                  </w:r>
                </w:p>
              </w:tc>
              <w:tc>
                <w:tcPr>
                  <w:tcW w:w="536" w:type="pct"/>
                  <w:tcBorders>
                    <w:tl2br w:val="nil"/>
                    <w:tr2bl w:val="nil"/>
                  </w:tcBorders>
                  <w:shd w:val="clear" w:color="auto" w:fill="auto"/>
                  <w:vAlign w:val="center"/>
                </w:tcPr>
                <w:p w14:paraId="1BA858F5">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1次/年</w:t>
                  </w:r>
                </w:p>
              </w:tc>
              <w:tc>
                <w:tcPr>
                  <w:tcW w:w="1224" w:type="pct"/>
                  <w:vMerge w:val="restart"/>
                  <w:tcBorders>
                    <w:tl2br w:val="nil"/>
                    <w:tr2bl w:val="nil"/>
                  </w:tcBorders>
                  <w:vAlign w:val="center"/>
                </w:tcPr>
                <w:p w14:paraId="729B8295">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shd w:val="clear" w:color="auto" w:fill="auto"/>
                      <w:lang w:eastAsia="zh-CN"/>
                    </w:rPr>
                    <w:t>《合成树脂工业污染物排放标准》（GB 31572-2015，含2024年修改单）</w:t>
                  </w:r>
                </w:p>
              </w:tc>
              <w:tc>
                <w:tcPr>
                  <w:tcW w:w="319" w:type="pct"/>
                  <w:vMerge w:val="continue"/>
                  <w:tcBorders>
                    <w:tl2br w:val="nil"/>
                    <w:tr2bl w:val="nil"/>
                  </w:tcBorders>
                  <w:shd w:val="clear" w:color="auto" w:fill="auto"/>
                  <w:vAlign w:val="center"/>
                </w:tcPr>
                <w:p w14:paraId="08B19429">
                  <w:pPr>
                    <w:spacing w:line="240" w:lineRule="exact"/>
                    <w:jc w:val="center"/>
                    <w:rPr>
                      <w:rFonts w:hint="default" w:ascii="Times New Roman" w:hAnsi="Times New Roman" w:eastAsia="宋体" w:cs="Times New Roman"/>
                      <w:bCs/>
                      <w:color w:val="auto"/>
                      <w:sz w:val="21"/>
                      <w:szCs w:val="21"/>
                      <w:highlight w:val="none"/>
                      <w:shd w:val="clear" w:color="auto" w:fill="auto"/>
                    </w:rPr>
                  </w:pPr>
                </w:p>
              </w:tc>
              <w:tc>
                <w:tcPr>
                  <w:tcW w:w="933" w:type="pct"/>
                  <w:vMerge w:val="continue"/>
                  <w:tcBorders>
                    <w:tl2br w:val="nil"/>
                    <w:tr2bl w:val="nil"/>
                  </w:tcBorders>
                  <w:vAlign w:val="center"/>
                </w:tcPr>
                <w:p w14:paraId="1D0E9525">
                  <w:pPr>
                    <w:spacing w:line="240" w:lineRule="exact"/>
                    <w:jc w:val="center"/>
                    <w:rPr>
                      <w:rFonts w:hint="default" w:ascii="Times New Roman" w:hAnsi="Times New Roman" w:eastAsia="宋体" w:cs="Times New Roman"/>
                      <w:bCs/>
                      <w:color w:val="auto"/>
                      <w:sz w:val="21"/>
                      <w:szCs w:val="21"/>
                      <w:highlight w:val="none"/>
                      <w:shd w:val="clear" w:color="auto" w:fill="auto"/>
                    </w:rPr>
                  </w:pPr>
                </w:p>
              </w:tc>
            </w:tr>
            <w:tr w14:paraId="272D42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7" w:hRule="atLeast"/>
              </w:trPr>
              <w:tc>
                <w:tcPr>
                  <w:tcW w:w="203" w:type="pct"/>
                  <w:vMerge w:val="continue"/>
                  <w:tcBorders>
                    <w:tl2br w:val="nil"/>
                    <w:tr2bl w:val="nil"/>
                  </w:tcBorders>
                  <w:vAlign w:val="center"/>
                </w:tcPr>
                <w:p w14:paraId="1DFDA94A">
                  <w:pPr>
                    <w:snapToGrid w:val="0"/>
                    <w:jc w:val="center"/>
                    <w:rPr>
                      <w:color w:val="auto"/>
                    </w:rPr>
                  </w:pPr>
                </w:p>
              </w:tc>
              <w:tc>
                <w:tcPr>
                  <w:tcW w:w="281" w:type="pct"/>
                  <w:vMerge w:val="continue"/>
                  <w:tcBorders>
                    <w:tl2br w:val="nil"/>
                    <w:tr2bl w:val="nil"/>
                  </w:tcBorders>
                  <w:shd w:val="clear" w:color="auto" w:fill="auto"/>
                  <w:vAlign w:val="center"/>
                </w:tcPr>
                <w:p w14:paraId="673D8DAD">
                  <w:pPr>
                    <w:snapToGrid w:val="0"/>
                    <w:jc w:val="center"/>
                    <w:rPr>
                      <w:color w:val="auto"/>
                    </w:rPr>
                  </w:pPr>
                </w:p>
              </w:tc>
              <w:tc>
                <w:tcPr>
                  <w:tcW w:w="799" w:type="pct"/>
                  <w:vMerge w:val="continue"/>
                  <w:tcBorders>
                    <w:tl2br w:val="nil"/>
                    <w:tr2bl w:val="nil"/>
                  </w:tcBorders>
                  <w:shd w:val="clear" w:color="auto" w:fill="auto"/>
                  <w:vAlign w:val="center"/>
                </w:tcPr>
                <w:p w14:paraId="64C0BD54">
                  <w:pPr>
                    <w:snapToGrid w:val="0"/>
                    <w:jc w:val="center"/>
                    <w:rPr>
                      <w:color w:val="auto"/>
                    </w:rPr>
                  </w:pPr>
                </w:p>
              </w:tc>
              <w:tc>
                <w:tcPr>
                  <w:tcW w:w="701" w:type="pct"/>
                  <w:tcBorders>
                    <w:tl2br w:val="nil"/>
                    <w:tr2bl w:val="nil"/>
                  </w:tcBorders>
                  <w:shd w:val="clear" w:color="auto" w:fill="auto"/>
                  <w:vAlign w:val="center"/>
                </w:tcPr>
                <w:p w14:paraId="6C92DA51">
                  <w:pPr>
                    <w:snapToGrid w:val="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颗粒物</w:t>
                  </w:r>
                </w:p>
              </w:tc>
              <w:tc>
                <w:tcPr>
                  <w:tcW w:w="536" w:type="pct"/>
                  <w:tcBorders>
                    <w:tl2br w:val="nil"/>
                    <w:tr2bl w:val="nil"/>
                  </w:tcBorders>
                  <w:shd w:val="clear" w:color="auto" w:fill="auto"/>
                  <w:vAlign w:val="center"/>
                </w:tcPr>
                <w:p w14:paraId="5E723885">
                  <w:pPr>
                    <w:snapToGrid w:val="0"/>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1次/年</w:t>
                  </w:r>
                </w:p>
              </w:tc>
              <w:tc>
                <w:tcPr>
                  <w:tcW w:w="1224" w:type="pct"/>
                  <w:vMerge w:val="continue"/>
                  <w:tcBorders>
                    <w:tl2br w:val="nil"/>
                    <w:tr2bl w:val="nil"/>
                  </w:tcBorders>
                  <w:vAlign w:val="center"/>
                </w:tcPr>
                <w:p w14:paraId="40C6E2C0">
                  <w:pPr>
                    <w:snapToGrid w:val="0"/>
                    <w:jc w:val="center"/>
                    <w:rPr>
                      <w:rFonts w:hint="default" w:ascii="Times New Roman" w:hAnsi="Times New Roman" w:eastAsia="宋体" w:cs="Times New Roman"/>
                      <w:color w:val="auto"/>
                      <w:sz w:val="21"/>
                      <w:szCs w:val="21"/>
                      <w:highlight w:val="none"/>
                      <w:shd w:val="clear" w:color="auto" w:fill="auto"/>
                    </w:rPr>
                  </w:pPr>
                </w:p>
              </w:tc>
              <w:tc>
                <w:tcPr>
                  <w:tcW w:w="319" w:type="pct"/>
                  <w:vMerge w:val="continue"/>
                  <w:tcBorders>
                    <w:tl2br w:val="nil"/>
                    <w:tr2bl w:val="nil"/>
                  </w:tcBorders>
                  <w:shd w:val="clear" w:color="auto" w:fill="auto"/>
                  <w:vAlign w:val="center"/>
                </w:tcPr>
                <w:p w14:paraId="1361DD00">
                  <w:pPr>
                    <w:snapToGrid w:val="0"/>
                    <w:jc w:val="center"/>
                    <w:rPr>
                      <w:rFonts w:hint="default" w:ascii="Times New Roman" w:hAnsi="Times New Roman" w:eastAsia="宋体" w:cs="Times New Roman"/>
                      <w:color w:val="auto"/>
                      <w:sz w:val="21"/>
                      <w:szCs w:val="21"/>
                      <w:highlight w:val="none"/>
                      <w:shd w:val="clear" w:color="auto" w:fill="auto"/>
                    </w:rPr>
                  </w:pPr>
                </w:p>
              </w:tc>
              <w:tc>
                <w:tcPr>
                  <w:tcW w:w="933" w:type="pct"/>
                  <w:vMerge w:val="continue"/>
                  <w:tcBorders>
                    <w:tl2br w:val="nil"/>
                    <w:tr2bl w:val="nil"/>
                  </w:tcBorders>
                  <w:vAlign w:val="center"/>
                </w:tcPr>
                <w:p w14:paraId="7CAB6DF7">
                  <w:pPr>
                    <w:snapToGrid w:val="0"/>
                    <w:jc w:val="center"/>
                    <w:rPr>
                      <w:rFonts w:hint="default" w:ascii="Times New Roman" w:hAnsi="Times New Roman" w:eastAsia="宋体" w:cs="Times New Roman"/>
                      <w:color w:val="auto"/>
                      <w:sz w:val="21"/>
                      <w:szCs w:val="21"/>
                      <w:highlight w:val="none"/>
                      <w:shd w:val="clear" w:color="auto" w:fill="auto"/>
                    </w:rPr>
                  </w:pPr>
                </w:p>
              </w:tc>
            </w:tr>
            <w:tr w14:paraId="59A29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3" w:hRule="atLeast"/>
              </w:trPr>
              <w:tc>
                <w:tcPr>
                  <w:tcW w:w="203" w:type="pct"/>
                  <w:vMerge w:val="continue"/>
                  <w:tcBorders>
                    <w:tl2br w:val="nil"/>
                    <w:tr2bl w:val="nil"/>
                  </w:tcBorders>
                  <w:vAlign w:val="center"/>
                </w:tcPr>
                <w:p w14:paraId="7482A0D4">
                  <w:pPr>
                    <w:jc w:val="center"/>
                    <w:rPr>
                      <w:rFonts w:hint="default" w:ascii="Times New Roman" w:hAnsi="Times New Roman" w:eastAsia="宋体" w:cs="Times New Roman"/>
                      <w:bCs/>
                      <w:color w:val="auto"/>
                      <w:sz w:val="21"/>
                      <w:szCs w:val="21"/>
                      <w:highlight w:val="none"/>
                      <w:shd w:val="clear" w:color="auto" w:fill="auto"/>
                    </w:rPr>
                  </w:pPr>
                </w:p>
              </w:tc>
              <w:tc>
                <w:tcPr>
                  <w:tcW w:w="281" w:type="pct"/>
                  <w:vMerge w:val="continue"/>
                  <w:tcBorders>
                    <w:tl2br w:val="nil"/>
                    <w:tr2bl w:val="nil"/>
                  </w:tcBorders>
                  <w:shd w:val="clear" w:color="auto" w:fill="auto"/>
                  <w:vAlign w:val="center"/>
                </w:tcPr>
                <w:p w14:paraId="6AF96867">
                  <w:pPr>
                    <w:jc w:val="center"/>
                    <w:rPr>
                      <w:rFonts w:hint="default" w:ascii="Times New Roman" w:hAnsi="Times New Roman" w:eastAsia="宋体" w:cs="Times New Roman"/>
                      <w:color w:val="auto"/>
                      <w:sz w:val="21"/>
                      <w:szCs w:val="21"/>
                      <w:highlight w:val="none"/>
                      <w:shd w:val="clear" w:color="auto" w:fill="auto"/>
                    </w:rPr>
                  </w:pPr>
                </w:p>
              </w:tc>
              <w:tc>
                <w:tcPr>
                  <w:tcW w:w="799" w:type="pct"/>
                  <w:tcBorders>
                    <w:tl2br w:val="nil"/>
                    <w:tr2bl w:val="nil"/>
                  </w:tcBorders>
                  <w:shd w:val="clear" w:color="auto" w:fill="auto"/>
                  <w:vAlign w:val="center"/>
                </w:tcPr>
                <w:p w14:paraId="2DDDBED5">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厂房外设置监控点</w:t>
                  </w:r>
                </w:p>
              </w:tc>
              <w:tc>
                <w:tcPr>
                  <w:tcW w:w="701" w:type="pct"/>
                  <w:tcBorders>
                    <w:tl2br w:val="nil"/>
                    <w:tr2bl w:val="nil"/>
                  </w:tcBorders>
                  <w:shd w:val="clear" w:color="auto" w:fill="auto"/>
                  <w:vAlign w:val="center"/>
                </w:tcPr>
                <w:p w14:paraId="0C86C7D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非甲烷总烃</w:t>
                  </w:r>
                </w:p>
              </w:tc>
              <w:tc>
                <w:tcPr>
                  <w:tcW w:w="536" w:type="pct"/>
                  <w:tcBorders>
                    <w:tl2br w:val="nil"/>
                    <w:tr2bl w:val="nil"/>
                  </w:tcBorders>
                  <w:shd w:val="clear" w:color="auto" w:fill="auto"/>
                  <w:vAlign w:val="center"/>
                </w:tcPr>
                <w:p w14:paraId="025F75AB">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1次/年</w:t>
                  </w:r>
                </w:p>
              </w:tc>
              <w:tc>
                <w:tcPr>
                  <w:tcW w:w="1224" w:type="pct"/>
                  <w:tcBorders>
                    <w:tl2br w:val="nil"/>
                    <w:tr2bl w:val="nil"/>
                  </w:tcBorders>
                  <w:vAlign w:val="center"/>
                </w:tcPr>
                <w:p w14:paraId="61210EA0">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lang w:val="en-US" w:eastAsia="zh-CN"/>
                    </w:rPr>
                    <w:t>《印刷工业大气污染物排放标准》（DB32 4438-2022）</w:t>
                  </w:r>
                </w:p>
              </w:tc>
              <w:tc>
                <w:tcPr>
                  <w:tcW w:w="319" w:type="pct"/>
                  <w:vMerge w:val="continue"/>
                  <w:tcBorders>
                    <w:tl2br w:val="nil"/>
                    <w:tr2bl w:val="nil"/>
                  </w:tcBorders>
                  <w:shd w:val="clear" w:color="auto" w:fill="auto"/>
                  <w:vAlign w:val="center"/>
                </w:tcPr>
                <w:p w14:paraId="083464F1">
                  <w:pPr>
                    <w:spacing w:line="240" w:lineRule="exact"/>
                    <w:jc w:val="center"/>
                    <w:rPr>
                      <w:rFonts w:hint="default" w:ascii="Times New Roman" w:hAnsi="Times New Roman" w:eastAsia="宋体" w:cs="Times New Roman"/>
                      <w:bCs/>
                      <w:color w:val="auto"/>
                      <w:sz w:val="21"/>
                      <w:szCs w:val="21"/>
                      <w:highlight w:val="none"/>
                      <w:shd w:val="clear" w:color="auto" w:fill="auto"/>
                    </w:rPr>
                  </w:pPr>
                </w:p>
              </w:tc>
              <w:tc>
                <w:tcPr>
                  <w:tcW w:w="933" w:type="pct"/>
                  <w:vMerge w:val="continue"/>
                  <w:tcBorders>
                    <w:tl2br w:val="nil"/>
                    <w:tr2bl w:val="nil"/>
                  </w:tcBorders>
                  <w:vAlign w:val="center"/>
                </w:tcPr>
                <w:p w14:paraId="14039DC9">
                  <w:pPr>
                    <w:spacing w:line="240" w:lineRule="exact"/>
                    <w:jc w:val="center"/>
                    <w:rPr>
                      <w:rFonts w:hint="default" w:ascii="Times New Roman" w:hAnsi="Times New Roman" w:eastAsia="宋体" w:cs="Times New Roman"/>
                      <w:bCs/>
                      <w:color w:val="auto"/>
                      <w:sz w:val="21"/>
                      <w:szCs w:val="21"/>
                      <w:highlight w:val="none"/>
                      <w:shd w:val="clear" w:color="auto" w:fill="auto"/>
                    </w:rPr>
                  </w:pPr>
                </w:p>
              </w:tc>
            </w:tr>
          </w:tbl>
          <w:p w14:paraId="6AE08743">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highlight w:val="none"/>
                <w:shd w:val="clear" w:color="auto" w:fill="auto"/>
              </w:rPr>
            </w:pPr>
            <w:r>
              <w:rPr>
                <w:rFonts w:hint="eastAsia" w:ascii="Times New Roman" w:hAnsi="Times New Roman" w:eastAsia="宋体" w:cs="Times New Roman"/>
                <w:b/>
                <w:bCs/>
                <w:color w:val="auto"/>
                <w:kern w:val="2"/>
                <w:sz w:val="24"/>
                <w:szCs w:val="24"/>
                <w:highlight w:val="none"/>
                <w:shd w:val="clear" w:color="auto" w:fill="auto"/>
                <w:lang w:val="en-US" w:eastAsia="zh-CN"/>
              </w:rPr>
              <w:t>8</w:t>
            </w:r>
            <w:r>
              <w:rPr>
                <w:rFonts w:hint="default" w:ascii="Times New Roman" w:hAnsi="Times New Roman" w:eastAsia="宋体" w:cs="Times New Roman"/>
                <w:b/>
                <w:bCs/>
                <w:color w:val="auto"/>
                <w:kern w:val="2"/>
                <w:sz w:val="24"/>
                <w:szCs w:val="24"/>
                <w:highlight w:val="none"/>
                <w:shd w:val="clear" w:color="auto" w:fill="auto"/>
                <w:lang w:val="en-US" w:eastAsia="zh-CN"/>
              </w:rPr>
              <w:t>.</w:t>
            </w:r>
            <w:r>
              <w:rPr>
                <w:rFonts w:hint="default" w:ascii="Times New Roman" w:hAnsi="Times New Roman" w:eastAsia="宋体" w:cs="Times New Roman"/>
                <w:b/>
                <w:bCs/>
                <w:color w:val="auto"/>
                <w:kern w:val="2"/>
                <w:sz w:val="24"/>
                <w:szCs w:val="24"/>
                <w:highlight w:val="none"/>
                <w:shd w:val="clear" w:color="auto" w:fill="auto"/>
              </w:rPr>
              <w:t>大气环境影响分析</w:t>
            </w:r>
          </w:p>
          <w:p w14:paraId="2DB96572">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highlight w:val="none"/>
                <w:shd w:val="clear" w:color="auto" w:fill="auto"/>
              </w:rPr>
            </w:pPr>
            <w:r>
              <w:rPr>
                <w:rFonts w:hint="default" w:ascii="Times New Roman" w:hAnsi="Times New Roman" w:eastAsia="宋体" w:cs="Times New Roman"/>
                <w:b/>
                <w:bCs/>
                <w:color w:val="auto"/>
                <w:kern w:val="2"/>
                <w:sz w:val="24"/>
                <w:szCs w:val="24"/>
                <w:highlight w:val="none"/>
                <w:shd w:val="clear" w:color="auto" w:fill="auto"/>
              </w:rPr>
              <w:t>①区域环境质量现状</w:t>
            </w:r>
          </w:p>
          <w:p w14:paraId="0B13FD2F">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根据《202</w:t>
            </w:r>
            <w:r>
              <w:rPr>
                <w:rFonts w:hint="eastAsia" w:ascii="Times New Roman" w:hAnsi="Times New Roman" w:eastAsia="宋体" w:cs="Times New Roman"/>
                <w:color w:val="auto"/>
                <w:sz w:val="24"/>
                <w:szCs w:val="24"/>
                <w:highlight w:val="none"/>
                <w:shd w:val="clear" w:color="auto" w:fill="auto"/>
                <w:lang w:val="en-US" w:eastAsia="zh-CN"/>
              </w:rPr>
              <w:t>4</w:t>
            </w:r>
            <w:r>
              <w:rPr>
                <w:rFonts w:hint="default" w:ascii="Times New Roman" w:hAnsi="Times New Roman" w:eastAsia="宋体" w:cs="Times New Roman"/>
                <w:color w:val="auto"/>
                <w:sz w:val="24"/>
                <w:szCs w:val="24"/>
                <w:highlight w:val="none"/>
                <w:shd w:val="clear" w:color="auto" w:fill="auto"/>
              </w:rPr>
              <w:t>年常州市生态环境质量报告》，本项目所在地属于非达标区，常州市人民政府制定了《202</w:t>
            </w:r>
            <w:r>
              <w:rPr>
                <w:rFonts w:hint="eastAsia" w:ascii="Times New Roman" w:hAnsi="Times New Roman" w:eastAsia="宋体" w:cs="Times New Roman"/>
                <w:color w:val="auto"/>
                <w:sz w:val="24"/>
                <w:szCs w:val="24"/>
                <w:highlight w:val="none"/>
                <w:shd w:val="clear" w:color="auto" w:fill="auto"/>
                <w:lang w:val="en-US" w:eastAsia="zh-CN"/>
              </w:rPr>
              <w:t>4</w:t>
            </w:r>
            <w:r>
              <w:rPr>
                <w:rFonts w:hint="default" w:ascii="Times New Roman" w:hAnsi="Times New Roman" w:eastAsia="宋体" w:cs="Times New Roman"/>
                <w:color w:val="auto"/>
                <w:sz w:val="24"/>
                <w:szCs w:val="24"/>
                <w:highlight w:val="none"/>
                <w:shd w:val="clear" w:color="auto" w:fill="auto"/>
              </w:rPr>
              <w:t xml:space="preserve">年常州市生态文明建设工作方案》，预期常州市大气环境空气质量将得到进一步改善。 </w:t>
            </w:r>
          </w:p>
          <w:p w14:paraId="07FED0D4">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 xml:space="preserve">本项目废气经处理后排放浓度、排放速率等均满足相关标准限值，对周围空 气环境影响较小。结合项目所在地环境质量现状特征因子补充监测报告，本项目 的建设符合大气环境质量底线要求。 </w:t>
            </w:r>
          </w:p>
          <w:p w14:paraId="529131AF">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t xml:space="preserve">②敏感保护目标 </w:t>
            </w:r>
          </w:p>
          <w:p w14:paraId="4369BC46">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snapToGrid w:val="0"/>
                <w:color w:val="auto"/>
                <w:spacing w:val="0"/>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项目周边500m范围内敏感点主要为</w:t>
            </w:r>
            <w:r>
              <w:rPr>
                <w:rFonts w:hint="eastAsia" w:ascii="Times New Roman" w:hAnsi="Times New Roman" w:eastAsia="宋体" w:cs="Times New Roman"/>
                <w:color w:val="auto"/>
                <w:sz w:val="24"/>
                <w:szCs w:val="24"/>
                <w:highlight w:val="none"/>
                <w:shd w:val="clear" w:color="auto" w:fill="auto"/>
                <w:lang w:val="en-US" w:eastAsia="zh-CN"/>
              </w:rPr>
              <w:t>东下塘</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NW</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335</w:t>
            </w:r>
            <w:r>
              <w:rPr>
                <w:rFonts w:hint="default" w:ascii="Times New Roman" w:hAnsi="Times New Roman" w:eastAsia="宋体" w:cs="Times New Roman"/>
                <w:color w:val="auto"/>
                <w:sz w:val="24"/>
                <w:szCs w:val="24"/>
                <w:highlight w:val="none"/>
                <w:shd w:val="clear" w:color="auto" w:fill="auto"/>
              </w:rPr>
              <w:t>m）</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东方三村</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W</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377</w:t>
            </w:r>
            <w:r>
              <w:rPr>
                <w:rFonts w:hint="default" w:ascii="Times New Roman" w:hAnsi="Times New Roman" w:eastAsia="宋体" w:cs="Times New Roman"/>
                <w:color w:val="auto"/>
                <w:sz w:val="24"/>
                <w:szCs w:val="24"/>
                <w:highlight w:val="none"/>
                <w:shd w:val="clear" w:color="auto" w:fill="auto"/>
              </w:rPr>
              <w:t>m）</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双墩</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E</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230</w:t>
            </w:r>
            <w:r>
              <w:rPr>
                <w:rFonts w:hint="default" w:ascii="Times New Roman" w:hAnsi="Times New Roman" w:eastAsia="宋体" w:cs="Times New Roman"/>
                <w:color w:val="auto"/>
                <w:sz w:val="24"/>
                <w:szCs w:val="24"/>
                <w:highlight w:val="none"/>
                <w:shd w:val="clear" w:color="auto" w:fill="auto"/>
              </w:rPr>
              <w:t>m）</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散户（SE，117m）、江南农耕园生态酒店（SE，160m）、</w:t>
            </w:r>
            <w:r>
              <w:rPr>
                <w:rFonts w:hint="eastAsia" w:ascii="Times New Roman" w:hAnsi="Times New Roman" w:eastAsia="宋体" w:cs="Times New Roman"/>
                <w:color w:val="auto"/>
                <w:sz w:val="24"/>
                <w:szCs w:val="24"/>
                <w:highlight w:val="none"/>
                <w:shd w:val="clear" w:color="auto" w:fill="auto"/>
                <w:lang w:eastAsia="zh-CN"/>
              </w:rPr>
              <w:t>金坛开发区城市管理大队（</w:t>
            </w:r>
            <w:r>
              <w:rPr>
                <w:rFonts w:hint="eastAsia" w:ascii="Times New Roman" w:hAnsi="Times New Roman" w:eastAsia="宋体" w:cs="Times New Roman"/>
                <w:color w:val="auto"/>
                <w:sz w:val="24"/>
                <w:szCs w:val="24"/>
                <w:highlight w:val="none"/>
                <w:shd w:val="clear" w:color="auto" w:fill="auto"/>
                <w:lang w:val="en-US" w:eastAsia="zh-CN"/>
              </w:rPr>
              <w:t>W，153m</w:t>
            </w:r>
            <w:r>
              <w:rPr>
                <w:rFonts w:hint="eastAsia" w:ascii="Times New Roman" w:hAnsi="Times New Roman" w:eastAsia="宋体" w:cs="Times New Roman"/>
                <w:color w:val="auto"/>
                <w:sz w:val="24"/>
                <w:szCs w:val="24"/>
                <w:highlight w:val="none"/>
                <w:shd w:val="clear" w:color="auto" w:fill="auto"/>
                <w:lang w:eastAsia="zh-CN"/>
              </w:rPr>
              <w:t>）、常州锦上大酒店</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E</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415</w:t>
            </w:r>
            <w:r>
              <w:rPr>
                <w:rFonts w:hint="default" w:ascii="Times New Roman" w:hAnsi="Times New Roman" w:eastAsia="宋体" w:cs="Times New Roman"/>
                <w:color w:val="auto"/>
                <w:sz w:val="24"/>
                <w:szCs w:val="24"/>
                <w:highlight w:val="none"/>
                <w:shd w:val="clear" w:color="auto" w:fill="auto"/>
              </w:rPr>
              <w:t>m）</w:t>
            </w:r>
            <w:r>
              <w:rPr>
                <w:rFonts w:hint="eastAsia" w:ascii="Times New Roman" w:hAnsi="Times New Roman" w:eastAsia="宋体" w:cs="Times New Roman"/>
                <w:color w:val="auto"/>
                <w:sz w:val="24"/>
                <w:szCs w:val="24"/>
                <w:highlight w:val="none"/>
                <w:shd w:val="clear" w:color="auto" w:fill="auto"/>
                <w:lang w:eastAsia="zh-CN"/>
              </w:rPr>
              <w:t>、紫荆苑（</w:t>
            </w:r>
            <w:r>
              <w:rPr>
                <w:rFonts w:hint="eastAsia" w:ascii="Times New Roman" w:hAnsi="Times New Roman" w:eastAsia="宋体" w:cs="Times New Roman"/>
                <w:color w:val="auto"/>
                <w:sz w:val="24"/>
                <w:szCs w:val="24"/>
                <w:highlight w:val="none"/>
                <w:shd w:val="clear" w:color="auto" w:fill="auto"/>
                <w:lang w:val="en-US" w:eastAsia="zh-CN"/>
              </w:rPr>
              <w:t>NE，492m</w:t>
            </w:r>
            <w:r>
              <w:rPr>
                <w:rFonts w:hint="eastAsia" w:ascii="Times New Roman" w:hAnsi="Times New Roman" w:eastAsia="宋体" w:cs="Times New Roman"/>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rPr>
              <w:t xml:space="preserve">。 </w:t>
            </w:r>
          </w:p>
          <w:p w14:paraId="482237CA">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auto"/>
                <w:sz w:val="24"/>
                <w:highlight w:val="none"/>
                <w:shd w:val="clear" w:color="auto" w:fill="auto"/>
              </w:rPr>
            </w:pPr>
            <w:r>
              <w:rPr>
                <w:rFonts w:hint="eastAsia" w:ascii="Times New Roman" w:hAnsi="Times New Roman" w:eastAsia="宋体" w:cs="Times New Roman"/>
                <w:b/>
                <w:bCs/>
                <w:color w:val="auto"/>
                <w:sz w:val="24"/>
                <w:highlight w:val="none"/>
                <w:shd w:val="clear" w:color="auto" w:fill="auto"/>
                <w:lang w:val="en-US" w:eastAsia="zh-CN"/>
              </w:rPr>
              <w:t>9</w:t>
            </w:r>
            <w:r>
              <w:rPr>
                <w:rFonts w:hint="default" w:ascii="Times New Roman" w:hAnsi="Times New Roman" w:eastAsia="宋体" w:cs="Times New Roman"/>
                <w:b/>
                <w:bCs/>
                <w:color w:val="auto"/>
                <w:sz w:val="24"/>
                <w:highlight w:val="none"/>
                <w:shd w:val="clear" w:color="auto" w:fill="auto"/>
                <w:lang w:val="en-US" w:eastAsia="zh-CN"/>
              </w:rPr>
              <w:t>.</w:t>
            </w:r>
            <w:r>
              <w:rPr>
                <w:rFonts w:hint="default" w:ascii="Times New Roman" w:hAnsi="Times New Roman" w:eastAsia="宋体" w:cs="Times New Roman"/>
                <w:b/>
                <w:bCs/>
                <w:color w:val="auto"/>
                <w:sz w:val="24"/>
                <w:highlight w:val="none"/>
                <w:shd w:val="clear" w:color="auto" w:fill="auto"/>
              </w:rPr>
              <w:t>卫生防护距离</w:t>
            </w:r>
          </w:p>
          <w:p w14:paraId="6FE20E6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根据《大气有害物质无组织排放卫生防护距离推导技术导则》（GB/T39499-2020）规定中制定的卫生防护距离制定方法，计算本项目卫生防护距离。卫生防护距离按下式计算：</w:t>
            </w:r>
          </w:p>
          <w:p w14:paraId="56BB529A">
            <w:pPr>
              <w:spacing w:line="360" w:lineRule="auto"/>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object>
                <v:shape id="_x0000_i1026" o:spt="75" type="#_x0000_t75" style="height:34.4pt;width:143.2pt;" o:ole="t" filled="f" o:preferrelative="t" stroked="f" coordsize="21600,21600">
                  <v:path/>
                  <v:fill on="f" focussize="0,0"/>
                  <v:stroke on="f"/>
                  <v:imagedata r:id="rId21" o:title=""/>
                  <o:lock v:ext="edit" aspectratio="t"/>
                  <w10:wrap type="none"/>
                  <w10:anchorlock/>
                </v:shape>
                <o:OLEObject Type="Embed" ProgID="Equation.2" ShapeID="_x0000_i1026" DrawAspect="Content" ObjectID="_1468075726" r:id="rId20">
                  <o:LockedField>false</o:LockedField>
                </o:OLEObject>
              </w:object>
            </w:r>
          </w:p>
          <w:p w14:paraId="6FD71BE5">
            <w:pPr>
              <w:spacing w:line="360" w:lineRule="auto"/>
              <w:ind w:firstLine="42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式中：Cm—环境一次浓度标准限值（mg/m</w:t>
            </w:r>
            <w:r>
              <w:rPr>
                <w:rFonts w:hint="default" w:ascii="Times New Roman" w:hAnsi="Times New Roman" w:eastAsia="宋体" w:cs="Times New Roman"/>
                <w:color w:val="auto"/>
                <w:sz w:val="24"/>
                <w:highlight w:val="none"/>
                <w:shd w:val="clear" w:color="auto" w:fill="auto"/>
                <w:vertAlign w:val="superscript"/>
              </w:rPr>
              <w:t>3</w:t>
            </w:r>
            <w:r>
              <w:rPr>
                <w:rFonts w:hint="default" w:ascii="Times New Roman" w:hAnsi="Times New Roman" w:eastAsia="宋体" w:cs="Times New Roman"/>
                <w:color w:val="auto"/>
                <w:sz w:val="24"/>
                <w:highlight w:val="none"/>
                <w:shd w:val="clear" w:color="auto" w:fill="auto"/>
              </w:rPr>
              <w:t>）；</w:t>
            </w:r>
          </w:p>
          <w:p w14:paraId="19C8CA55">
            <w:pPr>
              <w:spacing w:line="360" w:lineRule="auto"/>
              <w:ind w:firstLine="1200" w:firstLineChars="5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L—工业企业所需的防护距离（m）；</w:t>
            </w:r>
          </w:p>
          <w:p w14:paraId="688DA170">
            <w:pPr>
              <w:spacing w:line="360" w:lineRule="auto"/>
              <w:ind w:firstLine="1200" w:firstLineChars="5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Qc—有害气体无组织排放量可以达到的控制水平（kg/h）；</w:t>
            </w:r>
          </w:p>
          <w:p w14:paraId="58382977">
            <w:pPr>
              <w:spacing w:line="360" w:lineRule="auto"/>
              <w:ind w:firstLine="1200" w:firstLineChars="5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r—有害气体无组织排放源所在生产单元的等效半径（m）；根据生产单元的占地面积S</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m</w:t>
            </w:r>
            <w:r>
              <w:rPr>
                <w:rFonts w:hint="default" w:ascii="Times New Roman" w:hAnsi="Times New Roman" w:eastAsia="宋体" w:cs="Times New Roman"/>
                <w:color w:val="auto"/>
                <w:sz w:val="24"/>
                <w:highlight w:val="none"/>
                <w:shd w:val="clear" w:color="auto" w:fill="auto"/>
                <w:vertAlign w:val="superscript"/>
              </w:rPr>
              <w:t>2</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计算，r=</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S/</w:t>
            </w:r>
            <w:r>
              <w:rPr>
                <w:rFonts w:hint="default" w:ascii="Times New Roman" w:hAnsi="Times New Roman" w:eastAsia="宋体" w:cs="Times New Roman"/>
                <w:color w:val="auto"/>
                <w:sz w:val="24"/>
                <w:highlight w:val="none"/>
                <w:shd w:val="clear" w:color="auto" w:fill="auto"/>
                <w:lang w:val="en-US" w:eastAsia="zh-CN"/>
              </w:rPr>
              <w:t>Π</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vertAlign w:val="superscript"/>
              </w:rPr>
              <w:t>0.5</w:t>
            </w:r>
            <w:r>
              <w:rPr>
                <w:rFonts w:hint="default" w:ascii="Times New Roman" w:hAnsi="Times New Roman" w:eastAsia="宋体" w:cs="Times New Roman"/>
                <w:color w:val="auto"/>
                <w:sz w:val="24"/>
                <w:highlight w:val="none"/>
                <w:shd w:val="clear" w:color="auto" w:fill="auto"/>
              </w:rPr>
              <w:t>。</w:t>
            </w:r>
          </w:p>
          <w:p w14:paraId="701EC170">
            <w:pPr>
              <w:spacing w:line="360" w:lineRule="auto"/>
              <w:ind w:firstLine="1200" w:firstLineChars="5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A、B、C、D—卫生防护距离计算系数。</w:t>
            </w:r>
          </w:p>
          <w:p w14:paraId="67F1852F">
            <w:pPr>
              <w:jc w:val="center"/>
              <w:rPr>
                <w:rFonts w:hint="default" w:ascii="Times New Roman" w:hAnsi="Times New Roman" w:eastAsia="宋体" w:cs="Times New Roman"/>
                <w:b/>
                <w:bCs/>
                <w:color w:val="auto"/>
                <w:sz w:val="24"/>
                <w:highlight w:val="none"/>
                <w:shd w:val="clear" w:color="auto" w:fill="auto"/>
              </w:rPr>
            </w:pPr>
          </w:p>
          <w:p w14:paraId="0D0686E0">
            <w:pPr>
              <w:jc w:val="center"/>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表4-</w:t>
            </w:r>
            <w:r>
              <w:rPr>
                <w:rFonts w:hint="eastAsia" w:ascii="Times New Roman" w:hAnsi="Times New Roman" w:eastAsia="宋体" w:cs="Times New Roman"/>
                <w:b/>
                <w:bCs/>
                <w:color w:val="auto"/>
                <w:sz w:val="24"/>
                <w:highlight w:val="none"/>
                <w:shd w:val="clear" w:color="auto" w:fill="auto"/>
                <w:lang w:val="en-US" w:eastAsia="zh-CN"/>
              </w:rPr>
              <w:t>12</w:t>
            </w:r>
            <w:r>
              <w:rPr>
                <w:rFonts w:hint="default" w:ascii="Times New Roman" w:hAnsi="Times New Roman" w:eastAsia="宋体" w:cs="Times New Roman"/>
                <w:b/>
                <w:bCs/>
                <w:color w:val="auto"/>
                <w:sz w:val="24"/>
                <w:highlight w:val="none"/>
                <w:shd w:val="clear" w:color="auto" w:fill="auto"/>
              </w:rPr>
              <w:t xml:space="preserve">  卫生防护距离初值计算系数</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49"/>
              <w:gridCol w:w="1288"/>
              <w:gridCol w:w="626"/>
              <w:gridCol w:w="626"/>
              <w:gridCol w:w="630"/>
              <w:gridCol w:w="628"/>
              <w:gridCol w:w="628"/>
              <w:gridCol w:w="630"/>
              <w:gridCol w:w="628"/>
              <w:gridCol w:w="628"/>
              <w:gridCol w:w="626"/>
            </w:tblGrid>
            <w:tr w14:paraId="731743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12" w:space="0"/>
                    <w:left w:val="nil"/>
                    <w:bottom w:val="single" w:color="auto" w:sz="2" w:space="0"/>
                    <w:right w:val="single" w:color="auto" w:sz="2" w:space="0"/>
                  </w:tcBorders>
                  <w:vAlign w:val="center"/>
                </w:tcPr>
                <w:p w14:paraId="30D41EF5">
                  <w:pPr>
                    <w:jc w:val="center"/>
                    <w:rPr>
                      <w:rFonts w:hint="default" w:ascii="Times New Roman" w:hAnsi="Times New Roman" w:eastAsia="宋体" w:cs="Times New Roman"/>
                      <w:b/>
                      <w:bCs/>
                      <w:color w:val="auto"/>
                      <w:szCs w:val="21"/>
                      <w:highlight w:val="none"/>
                      <w:shd w:val="clear" w:color="auto" w:fill="auto"/>
                    </w:rPr>
                  </w:pPr>
                  <w:r>
                    <w:rPr>
                      <w:rFonts w:hint="default" w:ascii="Times New Roman" w:hAnsi="Times New Roman" w:eastAsia="宋体" w:cs="Times New Roman"/>
                      <w:b/>
                      <w:bCs/>
                      <w:color w:val="auto"/>
                      <w:highlight w:val="none"/>
                      <w:shd w:val="clear" w:color="auto" w:fill="auto"/>
                    </w:rPr>
                    <w:t>计算系数</w:t>
                  </w:r>
                </w:p>
              </w:tc>
              <w:tc>
                <w:tcPr>
                  <w:tcW w:w="777" w:type="pct"/>
                  <w:vMerge w:val="restart"/>
                  <w:tcBorders>
                    <w:top w:val="single" w:color="auto" w:sz="12" w:space="0"/>
                    <w:left w:val="single" w:color="auto" w:sz="2" w:space="0"/>
                    <w:bottom w:val="single" w:color="auto" w:sz="2" w:space="0"/>
                    <w:right w:val="single" w:color="auto" w:sz="2" w:space="0"/>
                  </w:tcBorders>
                  <w:vAlign w:val="center"/>
                </w:tcPr>
                <w:p w14:paraId="0D1B0CDB">
                  <w:pPr>
                    <w:jc w:val="center"/>
                    <w:rPr>
                      <w:rFonts w:hint="default" w:ascii="Times New Roman" w:hAnsi="Times New Roman" w:eastAsia="宋体" w:cs="Times New Roman"/>
                      <w:b/>
                      <w:bCs/>
                      <w:color w:val="auto"/>
                      <w:szCs w:val="21"/>
                      <w:highlight w:val="none"/>
                      <w:shd w:val="clear" w:color="auto" w:fill="auto"/>
                    </w:rPr>
                  </w:pPr>
                  <w:r>
                    <w:rPr>
                      <w:rFonts w:hint="default" w:ascii="Times New Roman" w:hAnsi="Times New Roman" w:eastAsia="宋体" w:cs="Times New Roman"/>
                      <w:b/>
                      <w:bCs/>
                      <w:color w:val="auto"/>
                      <w:highlight w:val="none"/>
                      <w:shd w:val="clear" w:color="auto" w:fill="auto"/>
                    </w:rPr>
                    <w:t>5年平均风速，m/s</w:t>
                  </w:r>
                </w:p>
              </w:tc>
              <w:tc>
                <w:tcPr>
                  <w:tcW w:w="3410" w:type="pct"/>
                  <w:gridSpan w:val="9"/>
                  <w:tcBorders>
                    <w:top w:val="single" w:color="auto" w:sz="12" w:space="0"/>
                    <w:left w:val="single" w:color="auto" w:sz="2" w:space="0"/>
                    <w:bottom w:val="single" w:color="auto" w:sz="2" w:space="0"/>
                    <w:right w:val="nil"/>
                  </w:tcBorders>
                  <w:vAlign w:val="center"/>
                </w:tcPr>
                <w:p w14:paraId="2ED3F459">
                  <w:pPr>
                    <w:jc w:val="center"/>
                    <w:rPr>
                      <w:rFonts w:hint="default" w:ascii="Times New Roman" w:hAnsi="Times New Roman" w:eastAsia="宋体" w:cs="Times New Roman"/>
                      <w:b/>
                      <w:bCs/>
                      <w:color w:val="auto"/>
                      <w:szCs w:val="21"/>
                      <w:highlight w:val="none"/>
                      <w:shd w:val="clear" w:color="auto" w:fill="auto"/>
                    </w:rPr>
                  </w:pPr>
                  <w:r>
                    <w:rPr>
                      <w:rFonts w:hint="default" w:ascii="Times New Roman" w:hAnsi="Times New Roman" w:eastAsia="宋体" w:cs="Times New Roman"/>
                      <w:b/>
                      <w:bCs/>
                      <w:color w:val="auto"/>
                      <w:highlight w:val="none"/>
                      <w:shd w:val="clear" w:color="auto" w:fill="auto"/>
                    </w:rPr>
                    <w:t>卫生防护距离L（m）</w:t>
                  </w:r>
                </w:p>
              </w:tc>
            </w:tr>
            <w:tr w14:paraId="284B6B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49EDE76E">
                  <w:pPr>
                    <w:rPr>
                      <w:rFonts w:hint="default" w:ascii="Times New Roman" w:hAnsi="Times New Roman" w:eastAsia="宋体" w:cs="Times New Roman"/>
                      <w:b/>
                      <w:bCs/>
                      <w:color w:val="auto"/>
                      <w:szCs w:val="21"/>
                      <w:highlight w:val="none"/>
                      <w:shd w:val="clear" w:color="auto" w:fill="auto"/>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3864BE60">
                  <w:pPr>
                    <w:rPr>
                      <w:rFonts w:hint="default" w:ascii="Times New Roman" w:hAnsi="Times New Roman" w:eastAsia="宋体" w:cs="Times New Roman"/>
                      <w:b/>
                      <w:bCs/>
                      <w:color w:val="auto"/>
                      <w:szCs w:val="21"/>
                      <w:highlight w:val="none"/>
                      <w:shd w:val="clear" w:color="auto" w:fill="auto"/>
                    </w:rPr>
                  </w:pP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1C522151">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L≤1000</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CE7247A">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1000＜L≤2000</w:t>
                  </w:r>
                </w:p>
              </w:tc>
              <w:tc>
                <w:tcPr>
                  <w:tcW w:w="1136" w:type="pct"/>
                  <w:gridSpan w:val="3"/>
                  <w:tcBorders>
                    <w:top w:val="single" w:color="auto" w:sz="2" w:space="0"/>
                    <w:left w:val="single" w:color="auto" w:sz="2" w:space="0"/>
                    <w:bottom w:val="single" w:color="auto" w:sz="2" w:space="0"/>
                    <w:right w:val="nil"/>
                  </w:tcBorders>
                  <w:vAlign w:val="center"/>
                </w:tcPr>
                <w:p w14:paraId="6CB01F7C">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L＞2000</w:t>
                  </w:r>
                </w:p>
              </w:tc>
            </w:tr>
            <w:tr w14:paraId="057193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784C63C3">
                  <w:pPr>
                    <w:rPr>
                      <w:rFonts w:hint="default" w:ascii="Times New Roman" w:hAnsi="Times New Roman" w:eastAsia="宋体" w:cs="Times New Roman"/>
                      <w:b/>
                      <w:bCs/>
                      <w:color w:val="auto"/>
                      <w:szCs w:val="21"/>
                      <w:highlight w:val="none"/>
                      <w:shd w:val="clear" w:color="auto" w:fill="auto"/>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2F22C78D">
                  <w:pPr>
                    <w:rPr>
                      <w:rFonts w:hint="default" w:ascii="Times New Roman" w:hAnsi="Times New Roman" w:eastAsia="宋体" w:cs="Times New Roman"/>
                      <w:b/>
                      <w:bCs/>
                      <w:color w:val="auto"/>
                      <w:szCs w:val="21"/>
                      <w:highlight w:val="none"/>
                      <w:shd w:val="clear" w:color="auto" w:fill="auto"/>
                    </w:rPr>
                  </w:pPr>
                </w:p>
              </w:tc>
              <w:tc>
                <w:tcPr>
                  <w:tcW w:w="3410" w:type="pct"/>
                  <w:gridSpan w:val="9"/>
                  <w:tcBorders>
                    <w:top w:val="single" w:color="auto" w:sz="2" w:space="0"/>
                    <w:left w:val="single" w:color="auto" w:sz="2" w:space="0"/>
                    <w:bottom w:val="single" w:color="auto" w:sz="2" w:space="0"/>
                    <w:right w:val="nil"/>
                  </w:tcBorders>
                  <w:vAlign w:val="center"/>
                </w:tcPr>
                <w:p w14:paraId="793AF4D3">
                  <w:pPr>
                    <w:jc w:val="center"/>
                    <w:rPr>
                      <w:rFonts w:hint="default" w:ascii="Times New Roman" w:hAnsi="Times New Roman" w:eastAsia="宋体" w:cs="Times New Roman"/>
                      <w:b/>
                      <w:bCs/>
                      <w:color w:val="auto"/>
                      <w:szCs w:val="21"/>
                      <w:highlight w:val="none"/>
                      <w:shd w:val="clear" w:color="auto" w:fill="auto"/>
                    </w:rPr>
                  </w:pPr>
                  <w:r>
                    <w:rPr>
                      <w:rFonts w:hint="default" w:ascii="Times New Roman" w:hAnsi="Times New Roman" w:eastAsia="宋体" w:cs="Times New Roman"/>
                      <w:b/>
                      <w:bCs/>
                      <w:color w:val="auto"/>
                      <w:highlight w:val="none"/>
                      <w:shd w:val="clear" w:color="auto" w:fill="auto"/>
                    </w:rPr>
                    <w:t>工业企业大气污染源构成类型</w:t>
                  </w:r>
                </w:p>
              </w:tc>
            </w:tr>
            <w:tr w14:paraId="1DAFAB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27044595">
                  <w:pPr>
                    <w:rPr>
                      <w:rFonts w:hint="default" w:ascii="Times New Roman" w:hAnsi="Times New Roman" w:eastAsia="宋体" w:cs="Times New Roman"/>
                      <w:b/>
                      <w:bCs/>
                      <w:color w:val="auto"/>
                      <w:szCs w:val="21"/>
                      <w:highlight w:val="none"/>
                      <w:shd w:val="clear" w:color="auto" w:fill="auto"/>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C844B49">
                  <w:pPr>
                    <w:rPr>
                      <w:rFonts w:hint="default" w:ascii="Times New Roman" w:hAnsi="Times New Roman" w:eastAsia="宋体" w:cs="Times New Roman"/>
                      <w:b/>
                      <w:bCs/>
                      <w:color w:val="auto"/>
                      <w:szCs w:val="21"/>
                      <w:highlight w:val="none"/>
                      <w:shd w:val="clear" w:color="auto" w:fill="auto"/>
                    </w:rPr>
                  </w:pPr>
                </w:p>
              </w:tc>
              <w:tc>
                <w:tcPr>
                  <w:tcW w:w="378" w:type="pct"/>
                  <w:tcBorders>
                    <w:top w:val="single" w:color="auto" w:sz="2" w:space="0"/>
                    <w:left w:val="single" w:color="auto" w:sz="2" w:space="0"/>
                    <w:bottom w:val="single" w:color="auto" w:sz="2" w:space="0"/>
                    <w:right w:val="single" w:color="auto" w:sz="2" w:space="0"/>
                  </w:tcBorders>
                  <w:vAlign w:val="center"/>
                </w:tcPr>
                <w:p w14:paraId="7D730445">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Ⅰ</w:t>
                  </w:r>
                </w:p>
              </w:tc>
              <w:tc>
                <w:tcPr>
                  <w:tcW w:w="378" w:type="pct"/>
                  <w:tcBorders>
                    <w:top w:val="single" w:color="auto" w:sz="2" w:space="0"/>
                    <w:left w:val="single" w:color="auto" w:sz="2" w:space="0"/>
                    <w:bottom w:val="single" w:color="auto" w:sz="2" w:space="0"/>
                    <w:right w:val="single" w:color="auto" w:sz="2" w:space="0"/>
                  </w:tcBorders>
                  <w:vAlign w:val="center"/>
                </w:tcPr>
                <w:p w14:paraId="22B9A7CE">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Ⅱ</w:t>
                  </w:r>
                </w:p>
              </w:tc>
              <w:tc>
                <w:tcPr>
                  <w:tcW w:w="380" w:type="pct"/>
                  <w:tcBorders>
                    <w:top w:val="single" w:color="auto" w:sz="2" w:space="0"/>
                    <w:left w:val="single" w:color="auto" w:sz="2" w:space="0"/>
                    <w:bottom w:val="single" w:color="auto" w:sz="2" w:space="0"/>
                    <w:right w:val="single" w:color="auto" w:sz="2" w:space="0"/>
                  </w:tcBorders>
                  <w:vAlign w:val="center"/>
                </w:tcPr>
                <w:p w14:paraId="2FAAAE93">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Ⅲ</w:t>
                  </w:r>
                </w:p>
              </w:tc>
              <w:tc>
                <w:tcPr>
                  <w:tcW w:w="379" w:type="pct"/>
                  <w:tcBorders>
                    <w:top w:val="single" w:color="auto" w:sz="2" w:space="0"/>
                    <w:left w:val="single" w:color="auto" w:sz="2" w:space="0"/>
                    <w:bottom w:val="single" w:color="auto" w:sz="2" w:space="0"/>
                    <w:right w:val="single" w:color="auto" w:sz="2" w:space="0"/>
                  </w:tcBorders>
                  <w:vAlign w:val="center"/>
                </w:tcPr>
                <w:p w14:paraId="375C462B">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Ⅰ</w:t>
                  </w:r>
                </w:p>
              </w:tc>
              <w:tc>
                <w:tcPr>
                  <w:tcW w:w="379" w:type="pct"/>
                  <w:tcBorders>
                    <w:top w:val="single" w:color="auto" w:sz="2" w:space="0"/>
                    <w:left w:val="single" w:color="auto" w:sz="2" w:space="0"/>
                    <w:bottom w:val="single" w:color="auto" w:sz="2" w:space="0"/>
                    <w:right w:val="single" w:color="auto" w:sz="2" w:space="0"/>
                  </w:tcBorders>
                  <w:vAlign w:val="center"/>
                </w:tcPr>
                <w:p w14:paraId="12A9979E">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Ⅱ</w:t>
                  </w:r>
                </w:p>
              </w:tc>
              <w:tc>
                <w:tcPr>
                  <w:tcW w:w="379" w:type="pct"/>
                  <w:tcBorders>
                    <w:top w:val="single" w:color="auto" w:sz="2" w:space="0"/>
                    <w:left w:val="single" w:color="auto" w:sz="2" w:space="0"/>
                    <w:bottom w:val="single" w:color="auto" w:sz="2" w:space="0"/>
                    <w:right w:val="single" w:color="auto" w:sz="2" w:space="0"/>
                  </w:tcBorders>
                  <w:vAlign w:val="center"/>
                </w:tcPr>
                <w:p w14:paraId="1BEF62DF">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Ⅲ</w:t>
                  </w:r>
                </w:p>
              </w:tc>
              <w:tc>
                <w:tcPr>
                  <w:tcW w:w="379" w:type="pct"/>
                  <w:tcBorders>
                    <w:top w:val="single" w:color="auto" w:sz="2" w:space="0"/>
                    <w:left w:val="single" w:color="auto" w:sz="2" w:space="0"/>
                    <w:bottom w:val="single" w:color="auto" w:sz="2" w:space="0"/>
                    <w:right w:val="single" w:color="auto" w:sz="2" w:space="0"/>
                  </w:tcBorders>
                  <w:vAlign w:val="center"/>
                </w:tcPr>
                <w:p w14:paraId="1D05CEF9">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Ⅰ</w:t>
                  </w:r>
                </w:p>
              </w:tc>
              <w:tc>
                <w:tcPr>
                  <w:tcW w:w="379" w:type="pct"/>
                  <w:tcBorders>
                    <w:top w:val="single" w:color="auto" w:sz="2" w:space="0"/>
                    <w:left w:val="single" w:color="auto" w:sz="2" w:space="0"/>
                    <w:bottom w:val="single" w:color="auto" w:sz="2" w:space="0"/>
                    <w:right w:val="single" w:color="auto" w:sz="2" w:space="0"/>
                  </w:tcBorders>
                  <w:vAlign w:val="center"/>
                </w:tcPr>
                <w:p w14:paraId="3515A756">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Ⅱ</w:t>
                  </w:r>
                </w:p>
              </w:tc>
              <w:tc>
                <w:tcPr>
                  <w:tcW w:w="378" w:type="pct"/>
                  <w:tcBorders>
                    <w:top w:val="single" w:color="auto" w:sz="2" w:space="0"/>
                    <w:left w:val="single" w:color="auto" w:sz="2" w:space="0"/>
                    <w:bottom w:val="single" w:color="auto" w:sz="2" w:space="0"/>
                    <w:right w:val="nil"/>
                  </w:tcBorders>
                  <w:vAlign w:val="center"/>
                </w:tcPr>
                <w:p w14:paraId="68CE06BF">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Ⅲ</w:t>
                  </w:r>
                </w:p>
              </w:tc>
            </w:tr>
            <w:tr w14:paraId="2EA9DE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1CEFC652">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A</w:t>
                  </w:r>
                </w:p>
              </w:tc>
              <w:tc>
                <w:tcPr>
                  <w:tcW w:w="777" w:type="pct"/>
                  <w:tcBorders>
                    <w:top w:val="single" w:color="auto" w:sz="2" w:space="0"/>
                    <w:left w:val="single" w:color="auto" w:sz="2" w:space="0"/>
                    <w:bottom w:val="single" w:color="auto" w:sz="2" w:space="0"/>
                    <w:right w:val="single" w:color="auto" w:sz="2" w:space="0"/>
                  </w:tcBorders>
                  <w:vAlign w:val="center"/>
                </w:tcPr>
                <w:p w14:paraId="0925ED2C">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&lt;2</w:t>
                  </w:r>
                </w:p>
              </w:tc>
              <w:tc>
                <w:tcPr>
                  <w:tcW w:w="378" w:type="pct"/>
                  <w:tcBorders>
                    <w:top w:val="single" w:color="auto" w:sz="2" w:space="0"/>
                    <w:left w:val="single" w:color="auto" w:sz="2" w:space="0"/>
                    <w:bottom w:val="single" w:color="auto" w:sz="2" w:space="0"/>
                    <w:right w:val="single" w:color="auto" w:sz="2" w:space="0"/>
                  </w:tcBorders>
                  <w:vAlign w:val="center"/>
                </w:tcPr>
                <w:p w14:paraId="28A61531">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400</w:t>
                  </w:r>
                </w:p>
              </w:tc>
              <w:tc>
                <w:tcPr>
                  <w:tcW w:w="378" w:type="pct"/>
                  <w:tcBorders>
                    <w:top w:val="single" w:color="auto" w:sz="2" w:space="0"/>
                    <w:left w:val="single" w:color="auto" w:sz="2" w:space="0"/>
                    <w:bottom w:val="single" w:color="auto" w:sz="2" w:space="0"/>
                    <w:right w:val="single" w:color="auto" w:sz="2" w:space="0"/>
                  </w:tcBorders>
                  <w:vAlign w:val="center"/>
                </w:tcPr>
                <w:p w14:paraId="2CB402FE">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400</w:t>
                  </w:r>
                </w:p>
              </w:tc>
              <w:tc>
                <w:tcPr>
                  <w:tcW w:w="380" w:type="pct"/>
                  <w:tcBorders>
                    <w:top w:val="single" w:color="auto" w:sz="2" w:space="0"/>
                    <w:left w:val="single" w:color="auto" w:sz="2" w:space="0"/>
                    <w:bottom w:val="single" w:color="auto" w:sz="2" w:space="0"/>
                    <w:right w:val="single" w:color="auto" w:sz="2" w:space="0"/>
                  </w:tcBorders>
                  <w:vAlign w:val="center"/>
                </w:tcPr>
                <w:p w14:paraId="109797DF">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5AF8EDA9">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4EAB88E2">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7D9D4235">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0294C948">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80</w:t>
                  </w:r>
                </w:p>
              </w:tc>
              <w:tc>
                <w:tcPr>
                  <w:tcW w:w="379" w:type="pct"/>
                  <w:tcBorders>
                    <w:top w:val="single" w:color="auto" w:sz="2" w:space="0"/>
                    <w:left w:val="single" w:color="auto" w:sz="2" w:space="0"/>
                    <w:bottom w:val="single" w:color="auto" w:sz="2" w:space="0"/>
                    <w:right w:val="single" w:color="auto" w:sz="2" w:space="0"/>
                  </w:tcBorders>
                  <w:vAlign w:val="center"/>
                </w:tcPr>
                <w:p w14:paraId="3D10E076">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80</w:t>
                  </w:r>
                </w:p>
              </w:tc>
              <w:tc>
                <w:tcPr>
                  <w:tcW w:w="378" w:type="pct"/>
                  <w:tcBorders>
                    <w:top w:val="single" w:color="auto" w:sz="2" w:space="0"/>
                    <w:left w:val="single" w:color="auto" w:sz="2" w:space="0"/>
                    <w:bottom w:val="single" w:color="auto" w:sz="2" w:space="0"/>
                    <w:right w:val="nil"/>
                  </w:tcBorders>
                  <w:vAlign w:val="center"/>
                </w:tcPr>
                <w:p w14:paraId="00B0AD25">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80</w:t>
                  </w:r>
                </w:p>
              </w:tc>
            </w:tr>
            <w:tr w14:paraId="146AA9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16C0EBC2">
                  <w:pPr>
                    <w:rPr>
                      <w:rFonts w:hint="default" w:ascii="Times New Roman" w:hAnsi="Times New Roman" w:eastAsia="宋体" w:cs="Times New Roman"/>
                      <w:color w:val="auto"/>
                      <w:szCs w:val="21"/>
                      <w:highlight w:val="none"/>
                      <w:shd w:val="clear" w:color="auto" w:fill="auto"/>
                    </w:rPr>
                  </w:pPr>
                </w:p>
              </w:tc>
              <w:tc>
                <w:tcPr>
                  <w:tcW w:w="777" w:type="pct"/>
                  <w:tcBorders>
                    <w:top w:val="single" w:color="auto" w:sz="2" w:space="0"/>
                    <w:left w:val="single" w:color="auto" w:sz="2" w:space="0"/>
                    <w:bottom w:val="single" w:color="auto" w:sz="2" w:space="0"/>
                    <w:right w:val="single" w:color="auto" w:sz="2" w:space="0"/>
                  </w:tcBorders>
                  <w:vAlign w:val="center"/>
                </w:tcPr>
                <w:p w14:paraId="0CF4A9F0">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2-4</w:t>
                  </w:r>
                </w:p>
              </w:tc>
              <w:tc>
                <w:tcPr>
                  <w:tcW w:w="378" w:type="pct"/>
                  <w:tcBorders>
                    <w:top w:val="single" w:color="auto" w:sz="2" w:space="0"/>
                    <w:left w:val="single" w:color="auto" w:sz="2" w:space="0"/>
                    <w:bottom w:val="single" w:color="auto" w:sz="2" w:space="0"/>
                    <w:right w:val="single" w:color="auto" w:sz="2" w:space="0"/>
                  </w:tcBorders>
                  <w:vAlign w:val="center"/>
                </w:tcPr>
                <w:p w14:paraId="41843EAA">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vAlign w:val="center"/>
                </w:tcPr>
                <w:p w14:paraId="617A9F7F">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470</w:t>
                  </w:r>
                </w:p>
              </w:tc>
              <w:tc>
                <w:tcPr>
                  <w:tcW w:w="380" w:type="pct"/>
                  <w:tcBorders>
                    <w:top w:val="single" w:color="auto" w:sz="2" w:space="0"/>
                    <w:left w:val="single" w:color="auto" w:sz="2" w:space="0"/>
                    <w:bottom w:val="single" w:color="auto" w:sz="2" w:space="0"/>
                    <w:right w:val="single" w:color="auto" w:sz="2" w:space="0"/>
                  </w:tcBorders>
                  <w:vAlign w:val="center"/>
                </w:tcPr>
                <w:p w14:paraId="1B0AB132">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4BABC482">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700</w:t>
                  </w:r>
                </w:p>
              </w:tc>
              <w:tc>
                <w:tcPr>
                  <w:tcW w:w="379" w:type="pct"/>
                  <w:tcBorders>
                    <w:top w:val="single" w:color="auto" w:sz="2" w:space="0"/>
                    <w:left w:val="single" w:color="auto" w:sz="2" w:space="0"/>
                    <w:bottom w:val="single" w:color="auto" w:sz="2" w:space="0"/>
                    <w:right w:val="single" w:color="auto" w:sz="2" w:space="0"/>
                  </w:tcBorders>
                  <w:vAlign w:val="center"/>
                </w:tcPr>
                <w:p w14:paraId="0AB402DE">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470</w:t>
                  </w:r>
                </w:p>
              </w:tc>
              <w:tc>
                <w:tcPr>
                  <w:tcW w:w="379" w:type="pct"/>
                  <w:tcBorders>
                    <w:top w:val="single" w:color="auto" w:sz="2" w:space="0"/>
                    <w:left w:val="single" w:color="auto" w:sz="2" w:space="0"/>
                    <w:bottom w:val="single" w:color="auto" w:sz="2" w:space="0"/>
                    <w:right w:val="single" w:color="auto" w:sz="2" w:space="0"/>
                  </w:tcBorders>
                  <w:vAlign w:val="center"/>
                </w:tcPr>
                <w:p w14:paraId="3217C1C1">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996523A">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380</w:t>
                  </w:r>
                </w:p>
              </w:tc>
              <w:tc>
                <w:tcPr>
                  <w:tcW w:w="379" w:type="pct"/>
                  <w:tcBorders>
                    <w:top w:val="single" w:color="auto" w:sz="2" w:space="0"/>
                    <w:left w:val="single" w:color="auto" w:sz="2" w:space="0"/>
                    <w:bottom w:val="single" w:color="auto" w:sz="2" w:space="0"/>
                    <w:right w:val="single" w:color="auto" w:sz="2" w:space="0"/>
                  </w:tcBorders>
                  <w:vAlign w:val="center"/>
                </w:tcPr>
                <w:p w14:paraId="2C9E901E">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250</w:t>
                  </w:r>
                </w:p>
              </w:tc>
              <w:tc>
                <w:tcPr>
                  <w:tcW w:w="378" w:type="pct"/>
                  <w:tcBorders>
                    <w:top w:val="single" w:color="auto" w:sz="2" w:space="0"/>
                    <w:left w:val="single" w:color="auto" w:sz="2" w:space="0"/>
                    <w:bottom w:val="single" w:color="auto" w:sz="2" w:space="0"/>
                    <w:right w:val="nil"/>
                  </w:tcBorders>
                  <w:vAlign w:val="center"/>
                </w:tcPr>
                <w:p w14:paraId="4C9206C9">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190</w:t>
                  </w:r>
                </w:p>
              </w:tc>
            </w:tr>
            <w:tr w14:paraId="4B37EF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6EC428B6">
                  <w:pPr>
                    <w:rPr>
                      <w:rFonts w:hint="default" w:ascii="Times New Roman" w:hAnsi="Times New Roman" w:eastAsia="宋体" w:cs="Times New Roman"/>
                      <w:color w:val="auto"/>
                      <w:szCs w:val="21"/>
                      <w:highlight w:val="none"/>
                      <w:shd w:val="clear" w:color="auto" w:fill="auto"/>
                    </w:rPr>
                  </w:pPr>
                </w:p>
              </w:tc>
              <w:tc>
                <w:tcPr>
                  <w:tcW w:w="777" w:type="pct"/>
                  <w:tcBorders>
                    <w:top w:val="single" w:color="auto" w:sz="2" w:space="0"/>
                    <w:left w:val="single" w:color="auto" w:sz="2" w:space="0"/>
                    <w:bottom w:val="single" w:color="auto" w:sz="2" w:space="0"/>
                    <w:right w:val="single" w:color="auto" w:sz="2" w:space="0"/>
                  </w:tcBorders>
                  <w:vAlign w:val="center"/>
                </w:tcPr>
                <w:p w14:paraId="542BC29F">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&gt;4</w:t>
                  </w:r>
                </w:p>
              </w:tc>
              <w:tc>
                <w:tcPr>
                  <w:tcW w:w="378" w:type="pct"/>
                  <w:tcBorders>
                    <w:top w:val="single" w:color="auto" w:sz="2" w:space="0"/>
                    <w:left w:val="single" w:color="auto" w:sz="2" w:space="0"/>
                    <w:bottom w:val="single" w:color="auto" w:sz="2" w:space="0"/>
                    <w:right w:val="single" w:color="auto" w:sz="2" w:space="0"/>
                  </w:tcBorders>
                  <w:vAlign w:val="center"/>
                </w:tcPr>
                <w:p w14:paraId="3A0E962E">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530</w:t>
                  </w:r>
                </w:p>
              </w:tc>
              <w:tc>
                <w:tcPr>
                  <w:tcW w:w="378" w:type="pct"/>
                  <w:tcBorders>
                    <w:top w:val="single" w:color="auto" w:sz="2" w:space="0"/>
                    <w:left w:val="single" w:color="auto" w:sz="2" w:space="0"/>
                    <w:bottom w:val="single" w:color="auto" w:sz="2" w:space="0"/>
                    <w:right w:val="single" w:color="auto" w:sz="2" w:space="0"/>
                  </w:tcBorders>
                  <w:vAlign w:val="center"/>
                </w:tcPr>
                <w:p w14:paraId="09ACCFFF">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350</w:t>
                  </w:r>
                </w:p>
              </w:tc>
              <w:tc>
                <w:tcPr>
                  <w:tcW w:w="380" w:type="pct"/>
                  <w:tcBorders>
                    <w:top w:val="single" w:color="auto" w:sz="2" w:space="0"/>
                    <w:left w:val="single" w:color="auto" w:sz="2" w:space="0"/>
                    <w:bottom w:val="single" w:color="auto" w:sz="2" w:space="0"/>
                    <w:right w:val="single" w:color="auto" w:sz="2" w:space="0"/>
                  </w:tcBorders>
                  <w:vAlign w:val="center"/>
                </w:tcPr>
                <w:p w14:paraId="7FF3DAFE">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260</w:t>
                  </w:r>
                </w:p>
              </w:tc>
              <w:tc>
                <w:tcPr>
                  <w:tcW w:w="379" w:type="pct"/>
                  <w:tcBorders>
                    <w:top w:val="single" w:color="auto" w:sz="2" w:space="0"/>
                    <w:left w:val="single" w:color="auto" w:sz="2" w:space="0"/>
                    <w:bottom w:val="single" w:color="auto" w:sz="2" w:space="0"/>
                    <w:right w:val="single" w:color="auto" w:sz="2" w:space="0"/>
                  </w:tcBorders>
                  <w:vAlign w:val="center"/>
                </w:tcPr>
                <w:p w14:paraId="5DD47435">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530</w:t>
                  </w:r>
                </w:p>
              </w:tc>
              <w:tc>
                <w:tcPr>
                  <w:tcW w:w="379" w:type="pct"/>
                  <w:tcBorders>
                    <w:top w:val="single" w:color="auto" w:sz="2" w:space="0"/>
                    <w:left w:val="single" w:color="auto" w:sz="2" w:space="0"/>
                    <w:bottom w:val="single" w:color="auto" w:sz="2" w:space="0"/>
                    <w:right w:val="single" w:color="auto" w:sz="2" w:space="0"/>
                  </w:tcBorders>
                  <w:vAlign w:val="center"/>
                </w:tcPr>
                <w:p w14:paraId="04BA427B">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6CA8E56">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260</w:t>
                  </w:r>
                </w:p>
              </w:tc>
              <w:tc>
                <w:tcPr>
                  <w:tcW w:w="379" w:type="pct"/>
                  <w:tcBorders>
                    <w:top w:val="single" w:color="auto" w:sz="2" w:space="0"/>
                    <w:left w:val="single" w:color="auto" w:sz="2" w:space="0"/>
                    <w:bottom w:val="single" w:color="auto" w:sz="2" w:space="0"/>
                    <w:right w:val="single" w:color="auto" w:sz="2" w:space="0"/>
                  </w:tcBorders>
                  <w:vAlign w:val="center"/>
                </w:tcPr>
                <w:p w14:paraId="14360555">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290</w:t>
                  </w:r>
                </w:p>
              </w:tc>
              <w:tc>
                <w:tcPr>
                  <w:tcW w:w="379" w:type="pct"/>
                  <w:tcBorders>
                    <w:top w:val="single" w:color="auto" w:sz="2" w:space="0"/>
                    <w:left w:val="single" w:color="auto" w:sz="2" w:space="0"/>
                    <w:bottom w:val="single" w:color="auto" w:sz="2" w:space="0"/>
                    <w:right w:val="single" w:color="auto" w:sz="2" w:space="0"/>
                  </w:tcBorders>
                  <w:vAlign w:val="center"/>
                </w:tcPr>
                <w:p w14:paraId="4B9E961A">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190</w:t>
                  </w:r>
                </w:p>
              </w:tc>
              <w:tc>
                <w:tcPr>
                  <w:tcW w:w="378" w:type="pct"/>
                  <w:tcBorders>
                    <w:top w:val="single" w:color="auto" w:sz="2" w:space="0"/>
                    <w:left w:val="single" w:color="auto" w:sz="2" w:space="0"/>
                    <w:bottom w:val="single" w:color="auto" w:sz="2" w:space="0"/>
                    <w:right w:val="nil"/>
                  </w:tcBorders>
                  <w:vAlign w:val="center"/>
                </w:tcPr>
                <w:p w14:paraId="0D646884">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140</w:t>
                  </w:r>
                </w:p>
              </w:tc>
            </w:tr>
            <w:tr w14:paraId="511CF2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40779EF7">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B</w:t>
                  </w:r>
                </w:p>
              </w:tc>
              <w:tc>
                <w:tcPr>
                  <w:tcW w:w="777" w:type="pct"/>
                  <w:tcBorders>
                    <w:top w:val="single" w:color="auto" w:sz="2" w:space="0"/>
                    <w:left w:val="single" w:color="auto" w:sz="2" w:space="0"/>
                    <w:bottom w:val="single" w:color="auto" w:sz="2" w:space="0"/>
                    <w:right w:val="single" w:color="auto" w:sz="2" w:space="0"/>
                  </w:tcBorders>
                  <w:vAlign w:val="center"/>
                </w:tcPr>
                <w:p w14:paraId="00627FB8">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182FEE86">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0.01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6D212E20">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0.015</w:t>
                  </w:r>
                </w:p>
              </w:tc>
              <w:tc>
                <w:tcPr>
                  <w:tcW w:w="1136" w:type="pct"/>
                  <w:gridSpan w:val="3"/>
                  <w:tcBorders>
                    <w:top w:val="single" w:color="auto" w:sz="2" w:space="0"/>
                    <w:left w:val="single" w:color="auto" w:sz="2" w:space="0"/>
                    <w:bottom w:val="single" w:color="auto" w:sz="2" w:space="0"/>
                    <w:right w:val="nil"/>
                  </w:tcBorders>
                  <w:vAlign w:val="center"/>
                </w:tcPr>
                <w:p w14:paraId="02BEF387">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0.015</w:t>
                  </w:r>
                </w:p>
              </w:tc>
            </w:tr>
            <w:tr w14:paraId="30E88A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492D5813">
                  <w:pPr>
                    <w:rPr>
                      <w:rFonts w:hint="default" w:ascii="Times New Roman" w:hAnsi="Times New Roman" w:eastAsia="宋体" w:cs="Times New Roman"/>
                      <w:color w:val="auto"/>
                      <w:szCs w:val="21"/>
                      <w:highlight w:val="none"/>
                      <w:shd w:val="clear" w:color="auto" w:fill="auto"/>
                    </w:rPr>
                  </w:pPr>
                </w:p>
              </w:tc>
              <w:tc>
                <w:tcPr>
                  <w:tcW w:w="777" w:type="pct"/>
                  <w:tcBorders>
                    <w:top w:val="single" w:color="auto" w:sz="2" w:space="0"/>
                    <w:left w:val="single" w:color="auto" w:sz="2" w:space="0"/>
                    <w:bottom w:val="single" w:color="auto" w:sz="2" w:space="0"/>
                    <w:right w:val="single" w:color="auto" w:sz="2" w:space="0"/>
                  </w:tcBorders>
                  <w:vAlign w:val="center"/>
                </w:tcPr>
                <w:p w14:paraId="23ED8D44">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0556908E">
                  <w:pPr>
                    <w:jc w:val="center"/>
                    <w:rPr>
                      <w:rFonts w:hint="default" w:ascii="Times New Roman" w:hAnsi="Times New Roman" w:eastAsia="宋体" w:cs="Times New Roman"/>
                      <w:color w:val="auto"/>
                      <w:szCs w:val="21"/>
                      <w:highlight w:val="none"/>
                      <w:shd w:val="clear" w:color="auto" w:fill="auto"/>
                      <w:lang w:eastAsia="zh-CN"/>
                    </w:rPr>
                  </w:pPr>
                  <w:r>
                    <w:rPr>
                      <w:rFonts w:hint="default" w:ascii="Times New Roman" w:hAnsi="Times New Roman" w:eastAsia="宋体" w:cs="Times New Roman"/>
                      <w:color w:val="auto"/>
                      <w:highlight w:val="none"/>
                      <w:shd w:val="clear" w:color="auto" w:fill="auto"/>
                      <w:lang w:eastAsia="zh-CN"/>
                    </w:rPr>
                    <w:t>0.018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5C7326C1">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0.036</w:t>
                  </w:r>
                </w:p>
              </w:tc>
              <w:tc>
                <w:tcPr>
                  <w:tcW w:w="1136" w:type="pct"/>
                  <w:gridSpan w:val="3"/>
                  <w:tcBorders>
                    <w:top w:val="single" w:color="auto" w:sz="2" w:space="0"/>
                    <w:left w:val="single" w:color="auto" w:sz="2" w:space="0"/>
                    <w:bottom w:val="single" w:color="auto" w:sz="2" w:space="0"/>
                    <w:right w:val="nil"/>
                  </w:tcBorders>
                  <w:vAlign w:val="center"/>
                </w:tcPr>
                <w:p w14:paraId="66A822AC">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0.036</w:t>
                  </w:r>
                </w:p>
              </w:tc>
            </w:tr>
            <w:tr w14:paraId="3D58F8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69521C25">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C</w:t>
                  </w:r>
                </w:p>
              </w:tc>
              <w:tc>
                <w:tcPr>
                  <w:tcW w:w="777" w:type="pct"/>
                  <w:tcBorders>
                    <w:top w:val="single" w:color="auto" w:sz="2" w:space="0"/>
                    <w:left w:val="single" w:color="auto" w:sz="2" w:space="0"/>
                    <w:bottom w:val="single" w:color="auto" w:sz="2" w:space="0"/>
                    <w:right w:val="single" w:color="auto" w:sz="2" w:space="0"/>
                  </w:tcBorders>
                  <w:vAlign w:val="center"/>
                </w:tcPr>
                <w:p w14:paraId="6135A60C">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1EC5AC37">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2CF352E4">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1.79</w:t>
                  </w:r>
                </w:p>
              </w:tc>
              <w:tc>
                <w:tcPr>
                  <w:tcW w:w="1136" w:type="pct"/>
                  <w:gridSpan w:val="3"/>
                  <w:tcBorders>
                    <w:top w:val="single" w:color="auto" w:sz="2" w:space="0"/>
                    <w:left w:val="single" w:color="auto" w:sz="2" w:space="0"/>
                    <w:bottom w:val="single" w:color="auto" w:sz="2" w:space="0"/>
                    <w:right w:val="nil"/>
                  </w:tcBorders>
                  <w:vAlign w:val="center"/>
                </w:tcPr>
                <w:p w14:paraId="37A9FCEA">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1.79</w:t>
                  </w:r>
                </w:p>
              </w:tc>
            </w:tr>
            <w:tr w14:paraId="0929AF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5A84FF75">
                  <w:pPr>
                    <w:rPr>
                      <w:rFonts w:hint="default" w:ascii="Times New Roman" w:hAnsi="Times New Roman" w:eastAsia="宋体" w:cs="Times New Roman"/>
                      <w:color w:val="auto"/>
                      <w:szCs w:val="21"/>
                      <w:highlight w:val="none"/>
                      <w:shd w:val="clear" w:color="auto" w:fill="auto"/>
                    </w:rPr>
                  </w:pPr>
                </w:p>
              </w:tc>
              <w:tc>
                <w:tcPr>
                  <w:tcW w:w="777" w:type="pct"/>
                  <w:tcBorders>
                    <w:top w:val="single" w:color="auto" w:sz="2" w:space="0"/>
                    <w:left w:val="single" w:color="auto" w:sz="2" w:space="0"/>
                    <w:bottom w:val="single" w:color="auto" w:sz="2" w:space="0"/>
                    <w:right w:val="single" w:color="auto" w:sz="2" w:space="0"/>
                  </w:tcBorders>
                  <w:vAlign w:val="center"/>
                </w:tcPr>
                <w:p w14:paraId="62F92E8B">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44B96410">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2D665C7">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1.77</w:t>
                  </w:r>
                </w:p>
              </w:tc>
              <w:tc>
                <w:tcPr>
                  <w:tcW w:w="1136" w:type="pct"/>
                  <w:gridSpan w:val="3"/>
                  <w:tcBorders>
                    <w:top w:val="single" w:color="auto" w:sz="2" w:space="0"/>
                    <w:left w:val="single" w:color="auto" w:sz="2" w:space="0"/>
                    <w:bottom w:val="single" w:color="auto" w:sz="2" w:space="0"/>
                    <w:right w:val="nil"/>
                  </w:tcBorders>
                  <w:vAlign w:val="center"/>
                </w:tcPr>
                <w:p w14:paraId="52777AB3">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1.77</w:t>
                  </w:r>
                </w:p>
              </w:tc>
            </w:tr>
            <w:tr w14:paraId="38A2B3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3450DF46">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D</w:t>
                  </w:r>
                </w:p>
              </w:tc>
              <w:tc>
                <w:tcPr>
                  <w:tcW w:w="777" w:type="pct"/>
                  <w:tcBorders>
                    <w:top w:val="single" w:color="auto" w:sz="2" w:space="0"/>
                    <w:left w:val="single" w:color="auto" w:sz="2" w:space="0"/>
                    <w:bottom w:val="single" w:color="auto" w:sz="2" w:space="0"/>
                    <w:right w:val="single" w:color="auto" w:sz="2" w:space="0"/>
                  </w:tcBorders>
                  <w:vAlign w:val="center"/>
                </w:tcPr>
                <w:p w14:paraId="44D1C836">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79708C22">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0.78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2B835BC">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0.78</w:t>
                  </w:r>
                </w:p>
              </w:tc>
              <w:tc>
                <w:tcPr>
                  <w:tcW w:w="1136" w:type="pct"/>
                  <w:gridSpan w:val="3"/>
                  <w:tcBorders>
                    <w:top w:val="single" w:color="auto" w:sz="2" w:space="0"/>
                    <w:left w:val="single" w:color="auto" w:sz="2" w:space="0"/>
                    <w:bottom w:val="single" w:color="auto" w:sz="2" w:space="0"/>
                    <w:right w:val="nil"/>
                  </w:tcBorders>
                  <w:vAlign w:val="center"/>
                </w:tcPr>
                <w:p w14:paraId="17A257E6">
                  <w:pPr>
                    <w:jc w:val="center"/>
                    <w:rPr>
                      <w:rFonts w:hint="default" w:ascii="Times New Roman" w:hAnsi="Times New Roman" w:eastAsia="宋体" w:cs="Times New Roman"/>
                      <w:color w:val="auto"/>
                      <w:szCs w:val="21"/>
                      <w:highlight w:val="none"/>
                      <w:shd w:val="clear" w:color="auto" w:fill="auto"/>
                      <w:lang w:eastAsia="zh-CN"/>
                    </w:rPr>
                  </w:pPr>
                  <w:r>
                    <w:rPr>
                      <w:rFonts w:hint="default" w:ascii="Times New Roman" w:hAnsi="Times New Roman" w:eastAsia="宋体" w:cs="Times New Roman"/>
                      <w:color w:val="auto"/>
                      <w:highlight w:val="none"/>
                      <w:shd w:val="clear" w:color="auto" w:fill="auto"/>
                    </w:rPr>
                    <w:t>0.57</w:t>
                  </w:r>
                </w:p>
              </w:tc>
            </w:tr>
            <w:tr w14:paraId="5DE36E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0011BE2C">
                  <w:pPr>
                    <w:rPr>
                      <w:rFonts w:hint="default" w:ascii="Times New Roman" w:hAnsi="Times New Roman" w:eastAsia="宋体" w:cs="Times New Roman"/>
                      <w:color w:val="auto"/>
                      <w:szCs w:val="21"/>
                      <w:highlight w:val="none"/>
                      <w:shd w:val="clear" w:color="auto" w:fill="auto"/>
                    </w:rPr>
                  </w:pPr>
                </w:p>
              </w:tc>
              <w:tc>
                <w:tcPr>
                  <w:tcW w:w="777" w:type="pct"/>
                  <w:tcBorders>
                    <w:top w:val="single" w:color="auto" w:sz="2" w:space="0"/>
                    <w:left w:val="single" w:color="auto" w:sz="2" w:space="0"/>
                    <w:bottom w:val="single" w:color="auto" w:sz="2" w:space="0"/>
                    <w:right w:val="single" w:color="auto" w:sz="2" w:space="0"/>
                  </w:tcBorders>
                  <w:vAlign w:val="center"/>
                </w:tcPr>
                <w:p w14:paraId="43659956">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15630A77">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0.84</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6A7DB470">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0.84</w:t>
                  </w:r>
                </w:p>
              </w:tc>
              <w:tc>
                <w:tcPr>
                  <w:tcW w:w="1136" w:type="pct"/>
                  <w:gridSpan w:val="3"/>
                  <w:tcBorders>
                    <w:top w:val="single" w:color="auto" w:sz="2" w:space="0"/>
                    <w:left w:val="single" w:color="auto" w:sz="2" w:space="0"/>
                    <w:bottom w:val="single" w:color="auto" w:sz="2" w:space="0"/>
                    <w:right w:val="nil"/>
                  </w:tcBorders>
                  <w:vAlign w:val="center"/>
                </w:tcPr>
                <w:p w14:paraId="6874805C">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0.76</w:t>
                  </w:r>
                </w:p>
              </w:tc>
            </w:tr>
            <w:tr w14:paraId="359B15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5000" w:type="pct"/>
                  <w:gridSpan w:val="11"/>
                  <w:tcBorders>
                    <w:top w:val="single" w:color="auto" w:sz="2" w:space="0"/>
                    <w:left w:val="nil"/>
                    <w:bottom w:val="single" w:color="auto" w:sz="12" w:space="0"/>
                    <w:right w:val="single" w:color="auto" w:sz="2" w:space="0"/>
                  </w:tcBorders>
                  <w:vAlign w:val="center"/>
                </w:tcPr>
                <w:p w14:paraId="2079F5B5">
                  <w:pPr>
                    <w:jc w:val="lef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b/>
                      <w:bCs/>
                      <w:color w:val="auto"/>
                      <w:sz w:val="18"/>
                      <w:szCs w:val="18"/>
                      <w:highlight w:val="none"/>
                      <w:shd w:val="clear" w:color="auto" w:fill="auto"/>
                    </w:rPr>
                    <w:t>注：</w:t>
                  </w:r>
                  <w:r>
                    <w:rPr>
                      <w:rFonts w:hint="default" w:ascii="Times New Roman" w:hAnsi="Times New Roman" w:eastAsia="宋体" w:cs="Times New Roman"/>
                      <w:color w:val="auto"/>
                      <w:sz w:val="18"/>
                      <w:szCs w:val="18"/>
                      <w:highlight w:val="none"/>
                      <w:shd w:val="clear" w:color="auto" w:fill="auto"/>
                    </w:rPr>
                    <w:t>Ⅰ类：与无组织排放源共存的排放同种有害气体的排气筒的排放量，大于或等于标准规定的允许排放量的1/3者。</w:t>
                  </w:r>
                </w:p>
                <w:p w14:paraId="5E4A39EA">
                  <w:pPr>
                    <w:jc w:val="lef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Ⅱ类：与无组织排放源共存的排放同种有害气体的排气筒的排放量，小于规准规定的允许排放量的1/3，或虽无排放同种大气污染物之排气筒共存，但无组织排放的有害物质的容许浓度指标是按急性反应指标确定者。</w:t>
                  </w:r>
                </w:p>
                <w:p w14:paraId="56B8CF84">
                  <w:pPr>
                    <w:jc w:val="left"/>
                    <w:rPr>
                      <w:rFonts w:hint="default" w:ascii="Times New Roman" w:hAnsi="Times New Roman" w:eastAsia="宋体" w:cs="Times New Roman"/>
                      <w:b/>
                      <w:bCs/>
                      <w:color w:val="auto"/>
                      <w:highlight w:val="none"/>
                      <w:shd w:val="clear" w:color="auto" w:fill="auto"/>
                    </w:rPr>
                  </w:pPr>
                  <w:r>
                    <w:rPr>
                      <w:rFonts w:hint="default" w:ascii="Times New Roman" w:hAnsi="Times New Roman" w:eastAsia="宋体" w:cs="Times New Roman"/>
                      <w:color w:val="auto"/>
                      <w:sz w:val="18"/>
                      <w:szCs w:val="18"/>
                      <w:highlight w:val="none"/>
                      <w:shd w:val="clear" w:color="auto" w:fill="auto"/>
                    </w:rPr>
                    <w:t>Ⅲ类：无排放同种有害物质的排气筒与无组织排放源共存，但无组织排放的有害物质的容许浓度是按慢性反应指标确定者。</w:t>
                  </w:r>
                </w:p>
              </w:tc>
            </w:tr>
          </w:tbl>
          <w:p w14:paraId="4BA42783">
            <w:pPr>
              <w:adjustRightInd w:val="0"/>
              <w:snapToGrid w:val="0"/>
              <w:spacing w:line="500" w:lineRule="exact"/>
              <w:ind w:firstLine="480" w:firstLineChars="200"/>
              <w:jc w:val="left"/>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407DB6CD">
            <w:pPr>
              <w:spacing w:line="360" w:lineRule="auto"/>
              <w:ind w:firstLine="480" w:firstLineChars="200"/>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经计算，本项目卫生防护距离计算结果见表4-</w:t>
            </w:r>
            <w:r>
              <w:rPr>
                <w:rFonts w:hint="default" w:ascii="Times New Roman" w:hAnsi="Times New Roman" w:eastAsia="宋体" w:cs="Times New Roman"/>
                <w:color w:val="auto"/>
                <w:sz w:val="24"/>
                <w:highlight w:val="none"/>
                <w:shd w:val="clear" w:color="auto" w:fill="auto"/>
                <w:lang w:val="en-US" w:eastAsia="zh-CN"/>
              </w:rPr>
              <w:t>1</w:t>
            </w:r>
            <w:r>
              <w:rPr>
                <w:rFonts w:hint="eastAsia" w:ascii="Times New Roman" w:hAnsi="Times New Roman" w:eastAsia="宋体" w:cs="Times New Roman"/>
                <w:color w:val="auto"/>
                <w:sz w:val="24"/>
                <w:highlight w:val="none"/>
                <w:shd w:val="clear" w:color="auto" w:fill="auto"/>
                <w:lang w:val="en-US" w:eastAsia="zh-CN"/>
              </w:rPr>
              <w:t>3</w:t>
            </w:r>
            <w:r>
              <w:rPr>
                <w:rFonts w:hint="default" w:ascii="Times New Roman" w:hAnsi="Times New Roman" w:eastAsia="宋体" w:cs="Times New Roman"/>
                <w:color w:val="auto"/>
                <w:sz w:val="24"/>
                <w:highlight w:val="none"/>
                <w:shd w:val="clear" w:color="auto" w:fill="auto"/>
              </w:rPr>
              <w:t>。</w:t>
            </w:r>
          </w:p>
          <w:p w14:paraId="20F6CCB8">
            <w:pPr>
              <w:jc w:val="center"/>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表4-</w:t>
            </w:r>
            <w:r>
              <w:rPr>
                <w:rFonts w:hint="default" w:ascii="Times New Roman" w:hAnsi="Times New Roman" w:eastAsia="宋体" w:cs="Times New Roman"/>
                <w:b/>
                <w:bCs/>
                <w:color w:val="auto"/>
                <w:sz w:val="24"/>
                <w:highlight w:val="none"/>
                <w:shd w:val="clear" w:color="auto" w:fill="auto"/>
                <w:lang w:val="en-US" w:eastAsia="zh-CN"/>
              </w:rPr>
              <w:t>1</w:t>
            </w:r>
            <w:r>
              <w:rPr>
                <w:rFonts w:hint="eastAsia" w:ascii="Times New Roman" w:hAnsi="Times New Roman" w:eastAsia="宋体" w:cs="Times New Roman"/>
                <w:b/>
                <w:bCs/>
                <w:color w:val="auto"/>
                <w:sz w:val="24"/>
                <w:highlight w:val="none"/>
                <w:shd w:val="clear" w:color="auto" w:fill="auto"/>
                <w:lang w:val="en-US" w:eastAsia="zh-CN"/>
              </w:rPr>
              <w:t>3</w:t>
            </w:r>
            <w:r>
              <w:rPr>
                <w:rFonts w:hint="default" w:ascii="Times New Roman" w:hAnsi="Times New Roman" w:eastAsia="宋体" w:cs="Times New Roman"/>
                <w:b/>
                <w:bCs/>
                <w:color w:val="auto"/>
                <w:sz w:val="24"/>
                <w:highlight w:val="none"/>
                <w:shd w:val="clear" w:color="auto" w:fill="auto"/>
              </w:rPr>
              <w:t xml:space="preserve">  卫生防护距离计算结果表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3"/>
              <w:gridCol w:w="1887"/>
              <w:gridCol w:w="1888"/>
              <w:gridCol w:w="1888"/>
            </w:tblGrid>
            <w:tr w14:paraId="2544E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582" w:type="pct"/>
                  <w:vMerge w:val="restart"/>
                  <w:noWrap w:val="0"/>
                  <w:vAlign w:val="center"/>
                </w:tcPr>
                <w:p w14:paraId="5E2D0F8B">
                  <w:pPr>
                    <w:adjustRightInd w:val="0"/>
                    <w:snapToGrid w:val="0"/>
                    <w:spacing w:line="240" w:lineRule="auto"/>
                    <w:ind w:firstLine="0" w:firstLineChars="0"/>
                    <w:jc w:val="center"/>
                    <w:rPr>
                      <w:rFonts w:hint="default" w:ascii="Times New Roman" w:hAnsi="Times New Roman" w:eastAsia="宋体" w:cs="Times New Roman"/>
                      <w:b/>
                      <w:bCs/>
                      <w:snapToGrid w:val="0"/>
                      <w:color w:val="auto"/>
                      <w:kern w:val="0"/>
                      <w:sz w:val="21"/>
                      <w:szCs w:val="21"/>
                      <w:shd w:val="clear" w:color="auto" w:fill="auto"/>
                    </w:rPr>
                  </w:pPr>
                  <w:r>
                    <w:rPr>
                      <w:rFonts w:hint="default" w:ascii="Times New Roman" w:hAnsi="Times New Roman" w:eastAsia="宋体" w:cs="Times New Roman"/>
                      <w:b/>
                      <w:bCs/>
                      <w:snapToGrid w:val="0"/>
                      <w:color w:val="auto"/>
                      <w:kern w:val="0"/>
                      <w:sz w:val="21"/>
                      <w:szCs w:val="21"/>
                      <w:shd w:val="clear" w:color="auto" w:fill="auto"/>
                    </w:rPr>
                    <w:t>污染源</w:t>
                  </w:r>
                </w:p>
              </w:tc>
              <w:tc>
                <w:tcPr>
                  <w:tcW w:w="2277" w:type="pct"/>
                  <w:gridSpan w:val="2"/>
                  <w:noWrap w:val="0"/>
                  <w:vAlign w:val="center"/>
                </w:tcPr>
                <w:p w14:paraId="5DEC0EF7">
                  <w:pPr>
                    <w:widowControl/>
                    <w:adjustRightInd w:val="0"/>
                    <w:snapToGrid w:val="0"/>
                    <w:spacing w:line="240" w:lineRule="auto"/>
                    <w:ind w:firstLine="0" w:firstLineChars="0"/>
                    <w:jc w:val="center"/>
                    <w:rPr>
                      <w:rFonts w:hint="default" w:ascii="Times New Roman" w:hAnsi="Times New Roman" w:eastAsia="宋体" w:cs="Times New Roman"/>
                      <w:b/>
                      <w:bCs/>
                      <w:snapToGrid w:val="0"/>
                      <w:color w:val="auto"/>
                      <w:kern w:val="0"/>
                      <w:sz w:val="21"/>
                      <w:szCs w:val="21"/>
                      <w:highlight w:val="none"/>
                      <w:shd w:val="clear" w:color="auto" w:fill="auto"/>
                      <w:lang w:val="en-US" w:eastAsia="zh-CN"/>
                    </w:rPr>
                  </w:pPr>
                  <w:r>
                    <w:rPr>
                      <w:rFonts w:hint="eastAsia" w:ascii="Times New Roman" w:hAnsi="Times New Roman" w:eastAsia="宋体" w:cs="Times New Roman"/>
                      <w:b/>
                      <w:bCs/>
                      <w:snapToGrid w:val="0"/>
                      <w:color w:val="auto"/>
                      <w:kern w:val="0"/>
                      <w:sz w:val="21"/>
                      <w:szCs w:val="21"/>
                      <w:highlight w:val="none"/>
                      <w:shd w:val="clear" w:color="auto" w:fill="auto"/>
                      <w:lang w:val="en-US" w:eastAsia="zh-CN"/>
                    </w:rPr>
                    <w:t>洁净车间一</w:t>
                  </w:r>
                </w:p>
              </w:tc>
              <w:tc>
                <w:tcPr>
                  <w:tcW w:w="1139" w:type="pct"/>
                  <w:noWrap w:val="0"/>
                  <w:vAlign w:val="center"/>
                </w:tcPr>
                <w:p w14:paraId="2D23AF8F">
                  <w:pPr>
                    <w:widowControl/>
                    <w:adjustRightInd w:val="0"/>
                    <w:snapToGrid w:val="0"/>
                    <w:spacing w:line="240" w:lineRule="auto"/>
                    <w:ind w:firstLine="0" w:firstLineChars="0"/>
                    <w:jc w:val="center"/>
                    <w:rPr>
                      <w:rFonts w:hint="default" w:ascii="Times New Roman" w:hAnsi="Times New Roman" w:eastAsia="宋体" w:cs="Times New Roman"/>
                      <w:b/>
                      <w:bCs/>
                      <w:snapToGrid w:val="0"/>
                      <w:color w:val="auto"/>
                      <w:kern w:val="0"/>
                      <w:sz w:val="21"/>
                      <w:szCs w:val="21"/>
                      <w:highlight w:val="none"/>
                      <w:shd w:val="clear" w:color="auto" w:fill="auto"/>
                      <w:lang w:val="en-US" w:eastAsia="zh-CN"/>
                    </w:rPr>
                  </w:pPr>
                  <w:r>
                    <w:rPr>
                      <w:rFonts w:hint="eastAsia" w:ascii="Times New Roman" w:hAnsi="Times New Roman" w:eastAsia="宋体" w:cs="Times New Roman"/>
                      <w:b/>
                      <w:bCs/>
                      <w:snapToGrid w:val="0"/>
                      <w:color w:val="auto"/>
                      <w:kern w:val="0"/>
                      <w:sz w:val="21"/>
                      <w:szCs w:val="21"/>
                      <w:highlight w:val="none"/>
                      <w:shd w:val="clear" w:color="auto" w:fill="auto"/>
                      <w:lang w:val="en-US" w:eastAsia="zh-CN"/>
                    </w:rPr>
                    <w:t>洁净车间二</w:t>
                  </w:r>
                </w:p>
              </w:tc>
            </w:tr>
            <w:tr w14:paraId="4A7B2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582" w:type="pct"/>
                  <w:vMerge w:val="continue"/>
                  <w:noWrap w:val="0"/>
                  <w:vAlign w:val="center"/>
                </w:tcPr>
                <w:p w14:paraId="7D375288">
                  <w:pPr>
                    <w:widowControl/>
                    <w:adjustRightInd w:val="0"/>
                    <w:snapToGrid w:val="0"/>
                    <w:spacing w:line="240" w:lineRule="auto"/>
                    <w:ind w:firstLine="0" w:firstLineChars="0"/>
                    <w:jc w:val="center"/>
                    <w:rPr>
                      <w:color w:val="auto"/>
                    </w:rPr>
                  </w:pPr>
                </w:p>
              </w:tc>
              <w:tc>
                <w:tcPr>
                  <w:tcW w:w="1138" w:type="pct"/>
                  <w:shd w:val="clear" w:color="auto" w:fill="auto"/>
                  <w:noWrap w:val="0"/>
                  <w:vAlign w:val="center"/>
                </w:tcPr>
                <w:p w14:paraId="7E904B2D">
                  <w:pPr>
                    <w:widowControl/>
                    <w:adjustRightInd w:val="0"/>
                    <w:snapToGrid w:val="0"/>
                    <w:spacing w:line="240" w:lineRule="auto"/>
                    <w:ind w:firstLine="0" w:firstLineChars="0"/>
                    <w:jc w:val="center"/>
                    <w:rPr>
                      <w:rFonts w:hint="default" w:ascii="Times New Roman" w:hAnsi="Times New Roman" w:eastAsia="宋体" w:cs="Times New Roman"/>
                      <w:b/>
                      <w:bCs/>
                      <w:snapToGrid w:val="0"/>
                      <w:color w:val="auto"/>
                      <w:kern w:val="0"/>
                      <w:sz w:val="21"/>
                      <w:szCs w:val="21"/>
                      <w:highlight w:val="none"/>
                      <w:shd w:val="clear" w:color="auto" w:fill="auto"/>
                      <w:lang w:val="en-US" w:eastAsia="zh-CN" w:bidi="ar-SA"/>
                    </w:rPr>
                  </w:pPr>
                  <w:r>
                    <w:rPr>
                      <w:rFonts w:hint="default" w:ascii="Times New Roman" w:hAnsi="Times New Roman" w:eastAsia="宋体" w:cs="Times New Roman"/>
                      <w:b/>
                      <w:bCs/>
                      <w:snapToGrid w:val="0"/>
                      <w:color w:val="auto"/>
                      <w:kern w:val="0"/>
                      <w:sz w:val="21"/>
                      <w:szCs w:val="21"/>
                      <w:highlight w:val="none"/>
                      <w:shd w:val="clear" w:color="auto" w:fill="auto"/>
                    </w:rPr>
                    <w:t>非甲烷总烃</w:t>
                  </w:r>
                </w:p>
              </w:tc>
              <w:tc>
                <w:tcPr>
                  <w:tcW w:w="1139" w:type="pct"/>
                  <w:shd w:val="clear" w:color="auto" w:fill="auto"/>
                  <w:noWrap w:val="0"/>
                  <w:vAlign w:val="center"/>
                </w:tcPr>
                <w:p w14:paraId="256D5FCC">
                  <w:pPr>
                    <w:widowControl/>
                    <w:adjustRightInd w:val="0"/>
                    <w:snapToGrid w:val="0"/>
                    <w:spacing w:line="240" w:lineRule="auto"/>
                    <w:ind w:firstLine="0" w:firstLineChars="0"/>
                    <w:jc w:val="center"/>
                    <w:rPr>
                      <w:rFonts w:hint="default" w:ascii="Times New Roman" w:hAnsi="Times New Roman" w:eastAsia="宋体" w:cs="Times New Roman"/>
                      <w:b/>
                      <w:bCs/>
                      <w:snapToGrid w:val="0"/>
                      <w:color w:val="auto"/>
                      <w:kern w:val="0"/>
                      <w:sz w:val="21"/>
                      <w:szCs w:val="21"/>
                      <w:highlight w:val="none"/>
                      <w:shd w:val="clear" w:color="auto" w:fill="auto"/>
                      <w:lang w:val="en-US" w:eastAsia="zh-CN" w:bidi="ar-SA"/>
                    </w:rPr>
                  </w:pPr>
                  <w:r>
                    <w:rPr>
                      <w:rFonts w:hint="eastAsia" w:ascii="Times New Roman" w:hAnsi="Times New Roman" w:eastAsia="宋体" w:cs="Times New Roman"/>
                      <w:b/>
                      <w:bCs/>
                      <w:snapToGrid w:val="0"/>
                      <w:color w:val="auto"/>
                      <w:kern w:val="0"/>
                      <w:sz w:val="21"/>
                      <w:szCs w:val="21"/>
                      <w:highlight w:val="none"/>
                      <w:shd w:val="clear" w:color="auto" w:fill="auto"/>
                      <w:lang w:val="en-US" w:eastAsia="zh-CN"/>
                    </w:rPr>
                    <w:t>TVOC</w:t>
                  </w:r>
                </w:p>
              </w:tc>
              <w:tc>
                <w:tcPr>
                  <w:tcW w:w="1888" w:type="dxa"/>
                  <w:noWrap w:val="0"/>
                  <w:vAlign w:val="center"/>
                </w:tcPr>
                <w:p w14:paraId="22C7058E">
                  <w:pPr>
                    <w:widowControl/>
                    <w:adjustRightInd w:val="0"/>
                    <w:snapToGrid w:val="0"/>
                    <w:spacing w:line="240" w:lineRule="auto"/>
                    <w:ind w:firstLine="0" w:firstLineChars="0"/>
                    <w:jc w:val="center"/>
                    <w:rPr>
                      <w:rFonts w:hint="default" w:ascii="Times New Roman" w:hAnsi="Times New Roman" w:eastAsia="宋体" w:cs="Times New Roman"/>
                      <w:b/>
                      <w:bCs/>
                      <w:snapToGrid w:val="0"/>
                      <w:color w:val="auto"/>
                      <w:kern w:val="0"/>
                      <w:sz w:val="21"/>
                      <w:szCs w:val="21"/>
                      <w:highlight w:val="none"/>
                      <w:shd w:val="clear" w:color="auto" w:fill="auto"/>
                    </w:rPr>
                  </w:pPr>
                  <w:r>
                    <w:rPr>
                      <w:rFonts w:hint="default" w:ascii="Times New Roman" w:hAnsi="Times New Roman" w:eastAsia="宋体" w:cs="Times New Roman"/>
                      <w:b/>
                      <w:bCs/>
                      <w:snapToGrid w:val="0"/>
                      <w:color w:val="auto"/>
                      <w:kern w:val="0"/>
                      <w:sz w:val="21"/>
                      <w:szCs w:val="21"/>
                      <w:highlight w:val="none"/>
                      <w:shd w:val="clear" w:color="auto" w:fill="auto"/>
                    </w:rPr>
                    <w:t>非甲烷总烃</w:t>
                  </w:r>
                </w:p>
              </w:tc>
            </w:tr>
            <w:tr w14:paraId="2E473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2" w:type="pct"/>
                  <w:noWrap w:val="0"/>
                  <w:vAlign w:val="center"/>
                </w:tcPr>
                <w:p w14:paraId="390623B9">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shd w:val="clear" w:color="auto" w:fill="auto"/>
                    </w:rPr>
                  </w:pPr>
                  <w:r>
                    <w:rPr>
                      <w:rFonts w:hint="default" w:ascii="Times New Roman" w:hAnsi="Times New Roman" w:eastAsia="宋体" w:cs="Times New Roman"/>
                      <w:bCs/>
                      <w:snapToGrid w:val="0"/>
                      <w:color w:val="auto"/>
                      <w:kern w:val="0"/>
                      <w:sz w:val="21"/>
                      <w:szCs w:val="21"/>
                      <w:shd w:val="clear" w:color="auto" w:fill="auto"/>
                    </w:rPr>
                    <w:t>计算值（m）</w:t>
                  </w:r>
                </w:p>
              </w:tc>
              <w:tc>
                <w:tcPr>
                  <w:tcW w:w="1138" w:type="pct"/>
                  <w:noWrap w:val="0"/>
                  <w:vAlign w:val="center"/>
                </w:tcPr>
                <w:p w14:paraId="27661CB8">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shd w:val="clear" w:color="auto" w:fill="auto"/>
                      <w:lang w:val="en-US" w:eastAsia="zh-CN"/>
                    </w:rPr>
                  </w:pPr>
                  <w:r>
                    <w:rPr>
                      <w:rFonts w:hint="default" w:ascii="Times New Roman" w:hAnsi="Times New Roman" w:eastAsia="宋体" w:cs="Times New Roman"/>
                      <w:bCs/>
                      <w:snapToGrid w:val="0"/>
                      <w:color w:val="auto"/>
                      <w:kern w:val="0"/>
                      <w:sz w:val="21"/>
                      <w:szCs w:val="21"/>
                      <w:highlight w:val="none"/>
                      <w:shd w:val="clear" w:color="auto" w:fill="auto"/>
                      <w:lang w:val="en-US" w:eastAsia="zh-CN"/>
                    </w:rPr>
                    <w:t>0.</w:t>
                  </w:r>
                  <w:r>
                    <w:rPr>
                      <w:rFonts w:hint="eastAsia" w:ascii="Times New Roman" w:hAnsi="Times New Roman" w:eastAsia="宋体" w:cs="Times New Roman"/>
                      <w:bCs/>
                      <w:snapToGrid w:val="0"/>
                      <w:color w:val="auto"/>
                      <w:kern w:val="0"/>
                      <w:sz w:val="21"/>
                      <w:szCs w:val="21"/>
                      <w:highlight w:val="none"/>
                      <w:shd w:val="clear" w:color="auto" w:fill="auto"/>
                      <w:lang w:val="en-US" w:eastAsia="zh-CN"/>
                    </w:rPr>
                    <w:t>52</w:t>
                  </w:r>
                </w:p>
              </w:tc>
              <w:tc>
                <w:tcPr>
                  <w:tcW w:w="1139" w:type="pct"/>
                  <w:noWrap w:val="0"/>
                  <w:vAlign w:val="center"/>
                </w:tcPr>
                <w:p w14:paraId="06A2F76D">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shd w:val="clear" w:color="auto" w:fill="auto"/>
                      <w:lang w:val="en-US" w:eastAsia="zh-CN"/>
                    </w:rPr>
                  </w:pPr>
                  <w:r>
                    <w:rPr>
                      <w:rFonts w:hint="eastAsia" w:ascii="Times New Roman" w:hAnsi="Times New Roman" w:eastAsia="宋体" w:cs="Times New Roman"/>
                      <w:bCs/>
                      <w:snapToGrid w:val="0"/>
                      <w:color w:val="auto"/>
                      <w:kern w:val="0"/>
                      <w:sz w:val="21"/>
                      <w:szCs w:val="21"/>
                      <w:highlight w:val="none"/>
                      <w:shd w:val="clear" w:color="auto" w:fill="auto"/>
                      <w:lang w:val="en-US" w:eastAsia="zh-CN"/>
                    </w:rPr>
                    <w:t>0.92</w:t>
                  </w:r>
                </w:p>
              </w:tc>
              <w:tc>
                <w:tcPr>
                  <w:tcW w:w="1888" w:type="dxa"/>
                  <w:noWrap w:val="0"/>
                  <w:vAlign w:val="center"/>
                </w:tcPr>
                <w:p w14:paraId="00613903">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shd w:val="clear" w:color="auto" w:fill="auto"/>
                      <w:lang w:val="en-US" w:eastAsia="zh-CN"/>
                    </w:rPr>
                  </w:pPr>
                  <w:r>
                    <w:rPr>
                      <w:rFonts w:hint="default" w:ascii="Times New Roman" w:hAnsi="Times New Roman" w:eastAsia="宋体" w:cs="Times New Roman"/>
                      <w:bCs/>
                      <w:snapToGrid w:val="0"/>
                      <w:color w:val="auto"/>
                      <w:kern w:val="0"/>
                      <w:sz w:val="21"/>
                      <w:szCs w:val="21"/>
                      <w:highlight w:val="none"/>
                      <w:shd w:val="clear" w:color="auto" w:fill="auto"/>
                      <w:lang w:val="en-US" w:eastAsia="zh-CN"/>
                    </w:rPr>
                    <w:t>0.</w:t>
                  </w:r>
                  <w:r>
                    <w:rPr>
                      <w:rFonts w:hint="eastAsia" w:ascii="Times New Roman" w:hAnsi="Times New Roman" w:eastAsia="宋体" w:cs="Times New Roman"/>
                      <w:bCs/>
                      <w:snapToGrid w:val="0"/>
                      <w:color w:val="auto"/>
                      <w:kern w:val="0"/>
                      <w:sz w:val="21"/>
                      <w:szCs w:val="21"/>
                      <w:highlight w:val="none"/>
                      <w:shd w:val="clear" w:color="auto" w:fill="auto"/>
                      <w:lang w:val="en-US" w:eastAsia="zh-CN"/>
                    </w:rPr>
                    <w:t>11</w:t>
                  </w:r>
                </w:p>
              </w:tc>
            </w:tr>
            <w:tr w14:paraId="78A26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2" w:type="pct"/>
                  <w:noWrap w:val="0"/>
                  <w:vAlign w:val="center"/>
                </w:tcPr>
                <w:p w14:paraId="1200CECA">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shd w:val="clear" w:color="auto" w:fill="auto"/>
                    </w:rPr>
                  </w:pPr>
                  <w:r>
                    <w:rPr>
                      <w:rFonts w:hint="default" w:ascii="Times New Roman" w:hAnsi="Times New Roman" w:eastAsia="宋体" w:cs="Times New Roman"/>
                      <w:bCs/>
                      <w:snapToGrid w:val="0"/>
                      <w:color w:val="auto"/>
                      <w:kern w:val="0"/>
                      <w:sz w:val="21"/>
                      <w:szCs w:val="21"/>
                      <w:shd w:val="clear" w:color="auto" w:fill="auto"/>
                    </w:rPr>
                    <w:t>卫生防护距离(m)</w:t>
                  </w:r>
                </w:p>
              </w:tc>
              <w:tc>
                <w:tcPr>
                  <w:tcW w:w="2277" w:type="pct"/>
                  <w:gridSpan w:val="2"/>
                  <w:noWrap w:val="0"/>
                  <w:vAlign w:val="center"/>
                </w:tcPr>
                <w:p w14:paraId="2889C067">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shd w:val="clear" w:color="auto" w:fill="auto"/>
                      <w:lang w:val="en-US" w:eastAsia="zh-CN"/>
                    </w:rPr>
                  </w:pPr>
                  <w:r>
                    <w:rPr>
                      <w:rFonts w:hint="eastAsia" w:ascii="Times New Roman" w:hAnsi="Times New Roman" w:eastAsia="宋体" w:cs="Times New Roman"/>
                      <w:bCs/>
                      <w:snapToGrid w:val="0"/>
                      <w:color w:val="auto"/>
                      <w:kern w:val="0"/>
                      <w:sz w:val="21"/>
                      <w:szCs w:val="21"/>
                      <w:shd w:val="clear" w:color="auto" w:fill="auto"/>
                      <w:lang w:val="en-US" w:eastAsia="zh-CN"/>
                    </w:rPr>
                    <w:t>100</w:t>
                  </w:r>
                </w:p>
              </w:tc>
              <w:tc>
                <w:tcPr>
                  <w:tcW w:w="1139" w:type="pct"/>
                  <w:noWrap w:val="0"/>
                  <w:vAlign w:val="center"/>
                </w:tcPr>
                <w:p w14:paraId="49395415">
                  <w:pPr>
                    <w:adjustRightInd w:val="0"/>
                    <w:snapToGrid w:val="0"/>
                    <w:spacing w:line="240" w:lineRule="auto"/>
                    <w:ind w:firstLine="0" w:firstLineChars="0"/>
                    <w:jc w:val="center"/>
                    <w:rPr>
                      <w:rFonts w:hint="default" w:ascii="Times New Roman" w:hAnsi="Times New Roman" w:eastAsia="宋体" w:cs="Times New Roman"/>
                      <w:bCs/>
                      <w:snapToGrid w:val="0"/>
                      <w:color w:val="auto"/>
                      <w:kern w:val="0"/>
                      <w:sz w:val="21"/>
                      <w:szCs w:val="21"/>
                      <w:shd w:val="clear" w:color="auto" w:fill="auto"/>
                      <w:lang w:val="en-US" w:eastAsia="zh-CN"/>
                    </w:rPr>
                  </w:pPr>
                  <w:r>
                    <w:rPr>
                      <w:rFonts w:hint="eastAsia" w:ascii="Times New Roman" w:hAnsi="Times New Roman" w:eastAsia="宋体" w:cs="Times New Roman"/>
                      <w:bCs/>
                      <w:snapToGrid w:val="0"/>
                      <w:color w:val="auto"/>
                      <w:kern w:val="0"/>
                      <w:sz w:val="21"/>
                      <w:szCs w:val="21"/>
                      <w:shd w:val="clear" w:color="auto" w:fill="auto"/>
                      <w:lang w:val="en-US" w:eastAsia="zh-CN"/>
                    </w:rPr>
                    <w:t>50</w:t>
                  </w:r>
                </w:p>
              </w:tc>
            </w:tr>
          </w:tbl>
          <w:p w14:paraId="1F65F1C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根据《大气有害物质无组织排放卫生防护距离推导技术导则》（GB/T 39499-2020）确定本项目卫生防护距离是</w:t>
            </w:r>
            <w:r>
              <w:rPr>
                <w:rFonts w:hint="eastAsia" w:ascii="Times New Roman" w:hAnsi="Times New Roman" w:eastAsia="宋体" w:cs="Times New Roman"/>
                <w:color w:val="auto"/>
                <w:sz w:val="24"/>
                <w:highlight w:val="none"/>
                <w:shd w:val="clear" w:color="auto" w:fill="auto"/>
                <w:lang w:val="en-US" w:eastAsia="zh-CN"/>
              </w:rPr>
              <w:t>洁净</w:t>
            </w:r>
            <w:r>
              <w:rPr>
                <w:rFonts w:hint="default" w:ascii="Times New Roman" w:hAnsi="Times New Roman" w:eastAsia="宋体" w:cs="Times New Roman"/>
                <w:color w:val="auto"/>
                <w:sz w:val="24"/>
                <w:highlight w:val="none"/>
                <w:shd w:val="clear" w:color="auto" w:fill="auto"/>
              </w:rPr>
              <w:t>车间</w:t>
            </w:r>
            <w:r>
              <w:rPr>
                <w:rFonts w:hint="eastAsia" w:ascii="Times New Roman" w:hAnsi="Times New Roman" w:eastAsia="宋体" w:cs="Times New Roman"/>
                <w:color w:val="auto"/>
                <w:sz w:val="24"/>
                <w:highlight w:val="none"/>
                <w:shd w:val="clear" w:color="auto" w:fill="auto"/>
                <w:lang w:val="en-US" w:eastAsia="zh-CN"/>
              </w:rPr>
              <w:t>一</w:t>
            </w:r>
            <w:r>
              <w:rPr>
                <w:rFonts w:hint="default" w:ascii="Times New Roman" w:hAnsi="Times New Roman" w:eastAsia="宋体" w:cs="Times New Roman"/>
                <w:color w:val="auto"/>
                <w:sz w:val="24"/>
                <w:highlight w:val="none"/>
                <w:shd w:val="clear" w:color="auto" w:fill="auto"/>
              </w:rPr>
              <w:t>外扩</w:t>
            </w:r>
            <w:r>
              <w:rPr>
                <w:rFonts w:hint="eastAsia" w:ascii="Times New Roman" w:hAnsi="Times New Roman" w:eastAsia="宋体" w:cs="Times New Roman"/>
                <w:color w:val="auto"/>
                <w:sz w:val="24"/>
                <w:highlight w:val="none"/>
                <w:shd w:val="clear" w:color="auto" w:fill="auto"/>
                <w:lang w:val="en-US" w:eastAsia="zh-CN"/>
              </w:rPr>
              <w:t>10</w:t>
            </w:r>
            <w:r>
              <w:rPr>
                <w:rFonts w:hint="default" w:ascii="Times New Roman" w:hAnsi="Times New Roman" w:eastAsia="宋体" w:cs="Times New Roman"/>
                <w:color w:val="auto"/>
                <w:sz w:val="24"/>
                <w:highlight w:val="none"/>
                <w:shd w:val="clear" w:color="auto" w:fill="auto"/>
              </w:rPr>
              <w:t>0m</w:t>
            </w:r>
            <w:r>
              <w:rPr>
                <w:rFonts w:hint="eastAsia" w:ascii="Times New Roman" w:hAnsi="Times New Roman" w:eastAsia="宋体" w:cs="Times New Roman"/>
                <w:color w:val="auto"/>
                <w:sz w:val="24"/>
                <w:highlight w:val="none"/>
                <w:shd w:val="clear" w:color="auto" w:fill="auto"/>
                <w:lang w:eastAsia="zh-CN"/>
              </w:rPr>
              <w:t>，</w:t>
            </w:r>
            <w:r>
              <w:rPr>
                <w:rFonts w:hint="eastAsia" w:ascii="Times New Roman" w:hAnsi="Times New Roman" w:eastAsia="宋体" w:cs="Times New Roman"/>
                <w:color w:val="auto"/>
                <w:sz w:val="24"/>
                <w:highlight w:val="none"/>
                <w:shd w:val="clear" w:color="auto" w:fill="auto"/>
                <w:lang w:val="en-US" w:eastAsia="zh-CN"/>
              </w:rPr>
              <w:t>洁净车间二外扩50m范围</w:t>
            </w:r>
            <w:r>
              <w:rPr>
                <w:rFonts w:hint="default" w:ascii="Times New Roman" w:hAnsi="Times New Roman" w:eastAsia="宋体" w:cs="Times New Roman"/>
                <w:color w:val="auto"/>
                <w:sz w:val="24"/>
                <w:highlight w:val="none"/>
                <w:shd w:val="clear" w:color="auto" w:fill="auto"/>
              </w:rPr>
              <w:t>设置卫生防护距离（具体范围见图2）</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经实地勘察，项目卫生防护距离内目前无居住、医院、学校等环境敏感点，将来也不得建设环境敏感点，</w:t>
            </w:r>
          </w:p>
          <w:p w14:paraId="25A59A6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p>
          <w:p w14:paraId="113051A8">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以避免环境纠纷。</w:t>
            </w:r>
          </w:p>
          <w:p w14:paraId="019BDA9C">
            <w:pPr>
              <w:pStyle w:val="10"/>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kern w:val="0"/>
                <w:sz w:val="24"/>
                <w:szCs w:val="24"/>
                <w:highlight w:val="none"/>
                <w:shd w:val="clear" w:color="auto" w:fill="auto"/>
                <w:lang w:val="en-US" w:eastAsia="zh-CN"/>
              </w:rPr>
            </w:pPr>
            <w:r>
              <w:rPr>
                <w:rFonts w:hint="eastAsia" w:ascii="Times New Roman" w:hAnsi="Times New Roman" w:eastAsia="宋体" w:cs="Times New Roman"/>
                <w:b/>
                <w:bCs/>
                <w:color w:val="auto"/>
                <w:sz w:val="24"/>
                <w:szCs w:val="24"/>
                <w:highlight w:val="none"/>
                <w:shd w:val="clear" w:color="auto" w:fill="auto"/>
                <w:lang w:val="en-US" w:eastAsia="zh-CN"/>
              </w:rPr>
              <w:t>10</w:t>
            </w:r>
            <w:r>
              <w:rPr>
                <w:rFonts w:hint="default" w:ascii="Times New Roman" w:hAnsi="Times New Roman" w:eastAsia="宋体" w:cs="Times New Roman"/>
                <w:b/>
                <w:bCs/>
                <w:color w:val="auto"/>
                <w:sz w:val="24"/>
                <w:szCs w:val="24"/>
                <w:highlight w:val="none"/>
                <w:shd w:val="clear" w:color="auto" w:fill="auto"/>
                <w:lang w:val="en-US" w:eastAsia="zh-CN"/>
              </w:rPr>
              <w:t>.</w:t>
            </w:r>
            <w:r>
              <w:rPr>
                <w:rFonts w:hint="default" w:ascii="Times New Roman" w:hAnsi="Times New Roman" w:eastAsia="宋体" w:cs="Times New Roman"/>
                <w:b/>
                <w:color w:val="auto"/>
                <w:kern w:val="0"/>
                <w:sz w:val="24"/>
                <w:szCs w:val="24"/>
                <w:highlight w:val="none"/>
                <w:shd w:val="clear" w:color="auto" w:fill="auto"/>
                <w:lang w:val="en-US" w:eastAsia="zh-CN"/>
              </w:rPr>
              <w:t>异味影响分析</w:t>
            </w:r>
          </w:p>
          <w:p w14:paraId="7C1B446C">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刺激性气味气体，其主要危害为：</w:t>
            </w:r>
          </w:p>
          <w:p w14:paraId="76F57DCF">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①危害呼吸系统。人们突然闻到异味，就会产生反射性的抑制吸气，是呼吸次数减少，深度变浅，甚至会暂时停止呼吸，妨碍正常呼吸功能。</w:t>
            </w:r>
          </w:p>
          <w:p w14:paraId="4217A32C">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②危害循环系统。随着呼吸的变化，会出现脉搏和血压的变化。</w:t>
            </w:r>
          </w:p>
          <w:p w14:paraId="6954700B">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③危害消化系统。经常接触异味，会使人厌食，恶心，甚至呕吐，进而发展为消化功能减退。</w:t>
            </w:r>
          </w:p>
          <w:p w14:paraId="5DB068DF">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④危害内分泌系统。经常受异味刺激，会使内分泌系统的分泌功能紊乱，影响机体的代谢活动。</w:t>
            </w:r>
          </w:p>
          <w:p w14:paraId="5D2293AB">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⑤危害神经系统。长期受到一种或几种低浓度异味物质的刺激，会引起嗅觉脱失、嗅觉疲劳等障碍。“久闻而不知其臭”，使嗅觉丧失了第一道防御功能，但脑神经仍不断</w:t>
            </w:r>
            <w:r>
              <w:rPr>
                <w:rFonts w:hint="default" w:ascii="Times New Roman" w:hAnsi="Times New Roman" w:eastAsia="宋体" w:cs="Times New Roman"/>
                <w:color w:val="auto"/>
                <w:kern w:val="0"/>
                <w:sz w:val="24"/>
                <w:szCs w:val="24"/>
                <w:highlight w:val="none"/>
                <w:shd w:val="clear" w:color="auto" w:fill="auto"/>
                <w:lang w:val="en-US" w:eastAsia="zh-CN"/>
              </w:rPr>
              <w:t>受到</w:t>
            </w:r>
            <w:r>
              <w:rPr>
                <w:rFonts w:hint="default" w:ascii="Times New Roman" w:hAnsi="Times New Roman" w:eastAsia="宋体" w:cs="Times New Roman"/>
                <w:color w:val="auto"/>
                <w:kern w:val="0"/>
                <w:sz w:val="24"/>
                <w:szCs w:val="24"/>
                <w:highlight w:val="none"/>
                <w:shd w:val="clear" w:color="auto" w:fill="auto"/>
              </w:rPr>
              <w:t>刺激和损伤，最后导致大脑皮层兴奋和抑制的调节失调。</w:t>
            </w:r>
          </w:p>
          <w:p w14:paraId="6AEB5B87">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b w:val="0"/>
                <w:bCs/>
                <w:color w:val="auto"/>
                <w:kern w:val="0"/>
                <w:sz w:val="24"/>
                <w:szCs w:val="24"/>
                <w:highlight w:val="none"/>
                <w:shd w:val="clear" w:color="auto" w:fill="auto"/>
              </w:rPr>
              <w:t>为了减小异味对周边环境的影响，本项目需加强厂房排气，增加空气流通，并且</w:t>
            </w:r>
            <w:r>
              <w:rPr>
                <w:rFonts w:hint="default" w:ascii="Times New Roman" w:hAnsi="Times New Roman" w:eastAsia="宋体" w:cs="Times New Roman"/>
                <w:color w:val="auto"/>
                <w:kern w:val="0"/>
                <w:sz w:val="24"/>
                <w:szCs w:val="24"/>
                <w:highlight w:val="none"/>
                <w:shd w:val="clear" w:color="auto" w:fill="auto"/>
              </w:rPr>
              <w:t>通过厂区周边绿化树木的吸收，确保异味对周边环境的影响较小。</w:t>
            </w:r>
          </w:p>
          <w:p w14:paraId="5D9642A5">
            <w:pPr>
              <w:pStyle w:val="10"/>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b/>
                <w:bCs/>
                <w:color w:val="auto"/>
                <w:kern w:val="0"/>
                <w:sz w:val="24"/>
                <w:szCs w:val="24"/>
                <w:highlight w:val="none"/>
                <w:shd w:val="clear" w:color="auto" w:fill="auto"/>
                <w:lang w:val="en-US" w:eastAsia="zh-CN"/>
              </w:rPr>
            </w:pPr>
            <w:r>
              <w:rPr>
                <w:rFonts w:hint="eastAsia" w:ascii="Times New Roman" w:hAnsi="Times New Roman" w:eastAsia="宋体" w:cs="Times New Roman"/>
                <w:b/>
                <w:bCs/>
                <w:color w:val="auto"/>
                <w:kern w:val="0"/>
                <w:sz w:val="24"/>
                <w:szCs w:val="24"/>
                <w:highlight w:val="none"/>
                <w:shd w:val="clear" w:color="auto" w:fill="auto"/>
                <w:lang w:val="en-US" w:eastAsia="zh-CN"/>
              </w:rPr>
              <w:t>恶臭环境影响分析</w:t>
            </w:r>
          </w:p>
          <w:p w14:paraId="1BF10610">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依据《恶臭污染物排放标准》（GB14554-93），恶臭污染物系指一切刺激嗅觉器官引起人们不愉快及损害生活环境的气体物质。</w:t>
            </w:r>
          </w:p>
          <w:p w14:paraId="473C0B7F">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恶臭物质的质量浓度，用化学分析法测度，以毫克/升表示；而臭气浓度则以稀释倍数法测度，为嗅阈值，无量纲。可见，臭气是有气味的混合气体，即</w:t>
            </w:r>
            <w:r>
              <w:rPr>
                <w:rFonts w:hint="eastAsia" w:ascii="Times New Roman" w:hAnsi="Times New Roman" w:eastAsia="宋体" w:cs="Times New Roman"/>
                <w:color w:val="auto"/>
                <w:kern w:val="0"/>
                <w:sz w:val="24"/>
                <w:szCs w:val="24"/>
                <w:highlight w:val="none"/>
                <w:shd w:val="clear" w:color="auto" w:fill="auto"/>
              </w:rPr>
              <w:t>恶臭包括了“臭”和“香”，为</w:t>
            </w:r>
            <w:r>
              <w:rPr>
                <w:rFonts w:hint="default" w:ascii="Times New Roman" w:hAnsi="Times New Roman" w:eastAsia="宋体" w:cs="Times New Roman"/>
                <w:color w:val="auto"/>
                <w:kern w:val="0"/>
                <w:sz w:val="24"/>
                <w:szCs w:val="24"/>
                <w:highlight w:val="none"/>
                <w:shd w:val="clear" w:color="auto" w:fill="auto"/>
              </w:rPr>
              <w:t>人们日常生活中感觉的各种异常的气味。各种气味间，既有协同作用又有拮抗作用。臭气浓度受监测人或感知人的嗅阈——检知阈和认知阈制约，统一检测定量，很困难，认为因素过大。本次评价拟采用臭气强度作评价辅助指标。</w:t>
            </w:r>
          </w:p>
          <w:p w14:paraId="60C1DAF7">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根据本项目工程分析可知，</w:t>
            </w:r>
            <w:r>
              <w:rPr>
                <w:rFonts w:hint="eastAsia" w:ascii="Times New Roman" w:hAnsi="Times New Roman" w:eastAsia="宋体" w:cs="Times New Roman"/>
                <w:color w:val="auto"/>
                <w:kern w:val="0"/>
                <w:sz w:val="24"/>
                <w:szCs w:val="24"/>
                <w:highlight w:val="none"/>
                <w:shd w:val="clear" w:color="auto" w:fill="auto"/>
                <w:lang w:val="en-US" w:eastAsia="zh-CN"/>
              </w:rPr>
              <w:t>异丙醇、乙酸乙酯</w:t>
            </w:r>
            <w:r>
              <w:rPr>
                <w:rFonts w:hint="eastAsia" w:ascii="Times New Roman" w:hAnsi="Times New Roman" w:eastAsia="宋体" w:cs="Times New Roman"/>
                <w:color w:val="auto"/>
                <w:kern w:val="0"/>
                <w:sz w:val="24"/>
                <w:szCs w:val="24"/>
                <w:highlight w:val="none"/>
                <w:shd w:val="clear" w:color="auto" w:fill="auto"/>
              </w:rPr>
              <w:t>具有一定的异味</w:t>
            </w:r>
            <w:r>
              <w:rPr>
                <w:rFonts w:hint="default" w:ascii="Times New Roman" w:hAnsi="Times New Roman" w:eastAsia="宋体" w:cs="Times New Roman"/>
                <w:color w:val="auto"/>
                <w:kern w:val="0"/>
                <w:sz w:val="24"/>
                <w:szCs w:val="24"/>
                <w:highlight w:val="none"/>
                <w:shd w:val="clear" w:color="auto" w:fill="auto"/>
              </w:rPr>
              <w:t>。</w:t>
            </w:r>
          </w:p>
          <w:p w14:paraId="0E3D53E9">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rPr>
            </w:pPr>
            <w:r>
              <w:rPr>
                <w:rFonts w:hint="default" w:ascii="Times New Roman" w:hAnsi="Times New Roman" w:eastAsia="宋体" w:cs="Times New Roman"/>
                <w:color w:val="auto"/>
                <w:kern w:val="0"/>
                <w:sz w:val="24"/>
                <w:szCs w:val="24"/>
                <w:highlight w:val="none"/>
                <w:shd w:val="clear" w:color="auto" w:fill="auto"/>
              </w:rPr>
              <w:t>嗅觉是人的一种感观体验，不是严格的科学特性，嗅味概念的定量尚难做到。恶臭学科还处于试验科学阶段，难以用模式计算办法来制定标准。国家环境保护科技标准司编制的《大气环境标准手册》（1996.7）</w:t>
            </w:r>
            <w:r>
              <w:rPr>
                <w:rFonts w:hint="eastAsia" w:ascii="Times New Roman" w:hAnsi="Times New Roman" w:eastAsia="宋体" w:cs="Times New Roman"/>
                <w:color w:val="auto"/>
                <w:kern w:val="0"/>
                <w:sz w:val="24"/>
                <w:szCs w:val="24"/>
                <w:highlight w:val="none"/>
                <w:shd w:val="clear" w:color="auto" w:fill="auto"/>
              </w:rPr>
              <w:t>“恶臭污染物排放标准编制说明”中推荐臭气</w:t>
            </w:r>
            <w:r>
              <w:rPr>
                <w:rFonts w:hint="default" w:ascii="Times New Roman" w:hAnsi="Times New Roman" w:eastAsia="宋体" w:cs="Times New Roman"/>
                <w:color w:val="auto"/>
                <w:kern w:val="0"/>
                <w:sz w:val="24"/>
                <w:szCs w:val="24"/>
                <w:highlight w:val="none"/>
                <w:shd w:val="clear" w:color="auto" w:fill="auto"/>
              </w:rPr>
              <w:t>强度6级，分级标准如表</w:t>
            </w:r>
            <w:r>
              <w:rPr>
                <w:rFonts w:hint="eastAsia" w:ascii="Times New Roman" w:hAnsi="Times New Roman" w:eastAsia="宋体" w:cs="Times New Roman"/>
                <w:color w:val="auto"/>
                <w:kern w:val="0"/>
                <w:sz w:val="24"/>
                <w:szCs w:val="24"/>
                <w:highlight w:val="none"/>
                <w:shd w:val="clear" w:color="auto" w:fill="auto"/>
              </w:rPr>
              <w:t>4-</w:t>
            </w:r>
            <w:r>
              <w:rPr>
                <w:rFonts w:hint="eastAsia" w:ascii="Times New Roman" w:hAnsi="Times New Roman" w:eastAsia="宋体" w:cs="Times New Roman"/>
                <w:color w:val="auto"/>
                <w:kern w:val="0"/>
                <w:sz w:val="24"/>
                <w:szCs w:val="24"/>
                <w:highlight w:val="none"/>
                <w:shd w:val="clear" w:color="auto" w:fill="auto"/>
                <w:lang w:val="en-US" w:eastAsia="zh-CN"/>
              </w:rPr>
              <w:t>14</w:t>
            </w:r>
            <w:r>
              <w:rPr>
                <w:rFonts w:hint="default" w:ascii="Times New Roman" w:hAnsi="Times New Roman" w:eastAsia="宋体" w:cs="Times New Roman"/>
                <w:color w:val="auto"/>
                <w:kern w:val="0"/>
                <w:sz w:val="24"/>
                <w:szCs w:val="24"/>
                <w:highlight w:val="none"/>
                <w:shd w:val="clear" w:color="auto" w:fill="auto"/>
              </w:rPr>
              <w:t>。</w:t>
            </w:r>
          </w:p>
          <w:p w14:paraId="71C35DDC">
            <w:pPr>
              <w:pStyle w:val="85"/>
              <w:rPr>
                <w:color w:val="auto"/>
              </w:rPr>
            </w:pPr>
            <w:r>
              <w:rPr>
                <w:rFonts w:hint="eastAsia"/>
                <w:color w:val="auto"/>
              </w:rPr>
              <w:t>表4-</w:t>
            </w:r>
            <w:r>
              <w:rPr>
                <w:rFonts w:hint="eastAsia"/>
                <w:color w:val="auto"/>
                <w:lang w:val="en-US" w:eastAsia="zh-CN"/>
              </w:rPr>
              <w:t>14</w:t>
            </w:r>
            <w:r>
              <w:rPr>
                <w:rFonts w:hint="eastAsia" w:ascii="宋体" w:hAnsi="宋体" w:cs="宋体"/>
                <w:color w:val="auto"/>
              </w:rPr>
              <w:t xml:space="preserve">  </w:t>
            </w:r>
            <w:r>
              <w:rPr>
                <w:rFonts w:hint="eastAsia"/>
                <w:color w:val="auto"/>
              </w:rPr>
              <w:t>臭气强度六级分级法</w:t>
            </w:r>
          </w:p>
          <w:tbl>
            <w:tblPr>
              <w:tblStyle w:val="27"/>
              <w:tblW w:w="5000" w:type="pct"/>
              <w:jc w:val="center"/>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
            <w:tblGrid>
              <w:gridCol w:w="1672"/>
              <w:gridCol w:w="6614"/>
            </w:tblGrid>
            <w:tr w14:paraId="0B4C4294">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12" w:space="0"/>
                    <w:left w:val="nil"/>
                    <w:bottom w:val="single" w:color="000000" w:sz="4" w:space="0"/>
                    <w:right w:val="single" w:color="000000" w:sz="4" w:space="0"/>
                  </w:tcBorders>
                  <w:noWrap w:val="0"/>
                  <w:vAlign w:val="center"/>
                </w:tcPr>
                <w:p w14:paraId="6FD0478B">
                  <w:pPr>
                    <w:pStyle w:val="79"/>
                    <w:rPr>
                      <w:b/>
                      <w:bCs/>
                      <w:color w:val="auto"/>
                      <w:sz w:val="21"/>
                      <w:szCs w:val="21"/>
                    </w:rPr>
                  </w:pPr>
                  <w:r>
                    <w:rPr>
                      <w:rFonts w:hint="eastAsia"/>
                      <w:b/>
                      <w:bCs/>
                      <w:color w:val="auto"/>
                      <w:sz w:val="21"/>
                      <w:szCs w:val="21"/>
                    </w:rPr>
                    <w:t>强度等级</w:t>
                  </w:r>
                </w:p>
              </w:tc>
              <w:tc>
                <w:tcPr>
                  <w:tcW w:w="3989" w:type="pct"/>
                  <w:tcBorders>
                    <w:top w:val="single" w:color="000000" w:sz="12" w:space="0"/>
                    <w:left w:val="single" w:color="000000" w:sz="4" w:space="0"/>
                    <w:bottom w:val="single" w:color="000000" w:sz="4" w:space="0"/>
                    <w:right w:val="nil"/>
                  </w:tcBorders>
                  <w:noWrap w:val="0"/>
                  <w:vAlign w:val="center"/>
                </w:tcPr>
                <w:p w14:paraId="7D8F13AC">
                  <w:pPr>
                    <w:pStyle w:val="79"/>
                    <w:rPr>
                      <w:b/>
                      <w:bCs/>
                      <w:color w:val="auto"/>
                      <w:sz w:val="21"/>
                      <w:szCs w:val="21"/>
                    </w:rPr>
                  </w:pPr>
                  <w:r>
                    <w:rPr>
                      <w:rFonts w:hint="eastAsia"/>
                      <w:b/>
                      <w:bCs/>
                      <w:color w:val="auto"/>
                      <w:sz w:val="21"/>
                      <w:szCs w:val="21"/>
                    </w:rPr>
                    <w:t>嗅觉判别标准</w:t>
                  </w:r>
                </w:p>
              </w:tc>
            </w:tr>
            <w:tr w14:paraId="40C3BCD5">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000000" w:sz="4" w:space="0"/>
                    <w:right w:val="single" w:color="000000" w:sz="4" w:space="0"/>
                  </w:tcBorders>
                  <w:noWrap w:val="0"/>
                  <w:vAlign w:val="center"/>
                </w:tcPr>
                <w:p w14:paraId="48AE9D11">
                  <w:pPr>
                    <w:pStyle w:val="79"/>
                    <w:rPr>
                      <w:color w:val="auto"/>
                      <w:sz w:val="21"/>
                      <w:szCs w:val="21"/>
                    </w:rPr>
                  </w:pPr>
                  <w:r>
                    <w:rPr>
                      <w:color w:val="auto"/>
                      <w:sz w:val="21"/>
                      <w:szCs w:val="21"/>
                    </w:rPr>
                    <w:t>0</w:t>
                  </w:r>
                </w:p>
              </w:tc>
              <w:tc>
                <w:tcPr>
                  <w:tcW w:w="3989" w:type="pct"/>
                  <w:tcBorders>
                    <w:top w:val="single" w:color="000000" w:sz="4" w:space="0"/>
                    <w:left w:val="single" w:color="000000" w:sz="4" w:space="0"/>
                    <w:bottom w:val="single" w:color="000000" w:sz="4" w:space="0"/>
                    <w:right w:val="nil"/>
                  </w:tcBorders>
                  <w:noWrap w:val="0"/>
                  <w:vAlign w:val="center"/>
                </w:tcPr>
                <w:p w14:paraId="0460A3FF">
                  <w:pPr>
                    <w:pStyle w:val="79"/>
                    <w:rPr>
                      <w:color w:val="auto"/>
                      <w:sz w:val="21"/>
                      <w:szCs w:val="21"/>
                    </w:rPr>
                  </w:pPr>
                  <w:r>
                    <w:rPr>
                      <w:rFonts w:hint="eastAsia"/>
                      <w:color w:val="auto"/>
                      <w:sz w:val="21"/>
                      <w:szCs w:val="21"/>
                    </w:rPr>
                    <w:t>无臭</w:t>
                  </w:r>
                </w:p>
              </w:tc>
            </w:tr>
            <w:tr w14:paraId="2F3A553D">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000000" w:sz="4" w:space="0"/>
                    <w:right w:val="single" w:color="000000" w:sz="4" w:space="0"/>
                  </w:tcBorders>
                  <w:noWrap w:val="0"/>
                  <w:vAlign w:val="center"/>
                </w:tcPr>
                <w:p w14:paraId="1D939AB5">
                  <w:pPr>
                    <w:pStyle w:val="79"/>
                    <w:rPr>
                      <w:color w:val="auto"/>
                      <w:sz w:val="21"/>
                      <w:szCs w:val="21"/>
                    </w:rPr>
                  </w:pPr>
                  <w:r>
                    <w:rPr>
                      <w:color w:val="auto"/>
                      <w:sz w:val="21"/>
                      <w:szCs w:val="21"/>
                    </w:rPr>
                    <w:t>1</w:t>
                  </w:r>
                </w:p>
              </w:tc>
              <w:tc>
                <w:tcPr>
                  <w:tcW w:w="3989" w:type="pct"/>
                  <w:tcBorders>
                    <w:top w:val="single" w:color="000000" w:sz="4" w:space="0"/>
                    <w:left w:val="single" w:color="000000" w:sz="4" w:space="0"/>
                    <w:bottom w:val="single" w:color="000000" w:sz="4" w:space="0"/>
                    <w:right w:val="nil"/>
                  </w:tcBorders>
                  <w:noWrap w:val="0"/>
                  <w:vAlign w:val="center"/>
                </w:tcPr>
                <w:p w14:paraId="2881DC4F">
                  <w:pPr>
                    <w:pStyle w:val="79"/>
                    <w:rPr>
                      <w:color w:val="auto"/>
                      <w:sz w:val="21"/>
                      <w:szCs w:val="21"/>
                    </w:rPr>
                  </w:pPr>
                  <w:r>
                    <w:rPr>
                      <w:rFonts w:hint="eastAsia"/>
                      <w:color w:val="auto"/>
                      <w:sz w:val="21"/>
                      <w:szCs w:val="21"/>
                    </w:rPr>
                    <w:t>勉强可以感到轻微臭味</w:t>
                  </w:r>
                  <w:r>
                    <w:rPr>
                      <w:color w:val="auto"/>
                      <w:sz w:val="21"/>
                      <w:szCs w:val="21"/>
                    </w:rPr>
                    <w:t>(</w:t>
                  </w:r>
                  <w:r>
                    <w:rPr>
                      <w:rFonts w:hint="eastAsia"/>
                      <w:color w:val="auto"/>
                      <w:sz w:val="21"/>
                      <w:szCs w:val="21"/>
                    </w:rPr>
                    <w:t>检知阀值浓度</w:t>
                  </w:r>
                  <w:r>
                    <w:rPr>
                      <w:color w:val="auto"/>
                      <w:sz w:val="21"/>
                      <w:szCs w:val="21"/>
                    </w:rPr>
                    <w:t>)</w:t>
                  </w:r>
                </w:p>
              </w:tc>
            </w:tr>
            <w:tr w14:paraId="111CCA53">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000000" w:sz="4" w:space="0"/>
                    <w:right w:val="single" w:color="000000" w:sz="4" w:space="0"/>
                  </w:tcBorders>
                  <w:noWrap w:val="0"/>
                  <w:vAlign w:val="center"/>
                </w:tcPr>
                <w:p w14:paraId="78DF459B">
                  <w:pPr>
                    <w:pStyle w:val="79"/>
                    <w:rPr>
                      <w:color w:val="auto"/>
                      <w:sz w:val="21"/>
                      <w:szCs w:val="21"/>
                    </w:rPr>
                  </w:pPr>
                  <w:r>
                    <w:rPr>
                      <w:color w:val="auto"/>
                      <w:sz w:val="21"/>
                      <w:szCs w:val="21"/>
                    </w:rPr>
                    <w:t>2</w:t>
                  </w:r>
                </w:p>
              </w:tc>
              <w:tc>
                <w:tcPr>
                  <w:tcW w:w="3989" w:type="pct"/>
                  <w:tcBorders>
                    <w:top w:val="single" w:color="000000" w:sz="4" w:space="0"/>
                    <w:left w:val="single" w:color="000000" w:sz="4" w:space="0"/>
                    <w:bottom w:val="single" w:color="000000" w:sz="4" w:space="0"/>
                    <w:right w:val="nil"/>
                  </w:tcBorders>
                  <w:noWrap w:val="0"/>
                  <w:vAlign w:val="center"/>
                </w:tcPr>
                <w:p w14:paraId="4D449606">
                  <w:pPr>
                    <w:pStyle w:val="79"/>
                    <w:rPr>
                      <w:color w:val="auto"/>
                      <w:sz w:val="21"/>
                      <w:szCs w:val="21"/>
                    </w:rPr>
                  </w:pPr>
                  <w:r>
                    <w:rPr>
                      <w:rFonts w:hint="eastAsia"/>
                      <w:color w:val="auto"/>
                      <w:sz w:val="21"/>
                      <w:szCs w:val="21"/>
                    </w:rPr>
                    <w:t>容易感到轻微臭味</w:t>
                  </w:r>
                  <w:r>
                    <w:rPr>
                      <w:color w:val="auto"/>
                      <w:sz w:val="21"/>
                      <w:szCs w:val="21"/>
                    </w:rPr>
                    <w:t>(</w:t>
                  </w:r>
                  <w:r>
                    <w:rPr>
                      <w:rFonts w:hint="eastAsia"/>
                      <w:color w:val="auto"/>
                      <w:sz w:val="21"/>
                      <w:szCs w:val="21"/>
                    </w:rPr>
                    <w:t>认知阀值浓度</w:t>
                  </w:r>
                  <w:r>
                    <w:rPr>
                      <w:color w:val="auto"/>
                      <w:sz w:val="21"/>
                      <w:szCs w:val="21"/>
                    </w:rPr>
                    <w:t>)</w:t>
                  </w:r>
                </w:p>
              </w:tc>
            </w:tr>
            <w:tr w14:paraId="773FC878">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000000" w:sz="4" w:space="0"/>
                    <w:right w:val="single" w:color="000000" w:sz="4" w:space="0"/>
                  </w:tcBorders>
                  <w:noWrap w:val="0"/>
                  <w:vAlign w:val="center"/>
                </w:tcPr>
                <w:p w14:paraId="6843775A">
                  <w:pPr>
                    <w:pStyle w:val="79"/>
                    <w:rPr>
                      <w:color w:val="auto"/>
                      <w:sz w:val="21"/>
                      <w:szCs w:val="21"/>
                    </w:rPr>
                  </w:pPr>
                  <w:r>
                    <w:rPr>
                      <w:color w:val="auto"/>
                      <w:sz w:val="21"/>
                      <w:szCs w:val="21"/>
                    </w:rPr>
                    <w:t>3</w:t>
                  </w:r>
                </w:p>
              </w:tc>
              <w:tc>
                <w:tcPr>
                  <w:tcW w:w="3989" w:type="pct"/>
                  <w:tcBorders>
                    <w:top w:val="single" w:color="000000" w:sz="4" w:space="0"/>
                    <w:left w:val="single" w:color="000000" w:sz="4" w:space="0"/>
                    <w:bottom w:val="single" w:color="000000" w:sz="4" w:space="0"/>
                    <w:right w:val="nil"/>
                  </w:tcBorders>
                  <w:noWrap w:val="0"/>
                  <w:vAlign w:val="center"/>
                </w:tcPr>
                <w:p w14:paraId="7F19538A">
                  <w:pPr>
                    <w:pStyle w:val="79"/>
                    <w:rPr>
                      <w:color w:val="auto"/>
                      <w:sz w:val="21"/>
                      <w:szCs w:val="21"/>
                    </w:rPr>
                  </w:pPr>
                  <w:r>
                    <w:rPr>
                      <w:rFonts w:hint="eastAsia"/>
                      <w:color w:val="auto"/>
                      <w:sz w:val="21"/>
                      <w:szCs w:val="21"/>
                    </w:rPr>
                    <w:t>明显感到臭味</w:t>
                  </w:r>
                  <w:r>
                    <w:rPr>
                      <w:color w:val="auto"/>
                      <w:sz w:val="21"/>
                      <w:szCs w:val="21"/>
                    </w:rPr>
                    <w:t>(</w:t>
                  </w:r>
                  <w:r>
                    <w:rPr>
                      <w:rFonts w:hint="eastAsia"/>
                      <w:color w:val="auto"/>
                      <w:sz w:val="21"/>
                      <w:szCs w:val="21"/>
                    </w:rPr>
                    <w:t>可嗅出臭气种类</w:t>
                  </w:r>
                  <w:r>
                    <w:rPr>
                      <w:color w:val="auto"/>
                      <w:sz w:val="21"/>
                      <w:szCs w:val="21"/>
                    </w:rPr>
                    <w:t>)</w:t>
                  </w:r>
                </w:p>
              </w:tc>
            </w:tr>
            <w:tr w14:paraId="16308D16">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000000" w:sz="4" w:space="0"/>
                    <w:right w:val="single" w:color="000000" w:sz="4" w:space="0"/>
                  </w:tcBorders>
                  <w:noWrap w:val="0"/>
                  <w:vAlign w:val="center"/>
                </w:tcPr>
                <w:p w14:paraId="079DCEBE">
                  <w:pPr>
                    <w:pStyle w:val="79"/>
                    <w:rPr>
                      <w:color w:val="auto"/>
                      <w:sz w:val="21"/>
                      <w:szCs w:val="21"/>
                    </w:rPr>
                  </w:pPr>
                  <w:r>
                    <w:rPr>
                      <w:color w:val="auto"/>
                      <w:sz w:val="21"/>
                      <w:szCs w:val="21"/>
                    </w:rPr>
                    <w:t>4</w:t>
                  </w:r>
                </w:p>
              </w:tc>
              <w:tc>
                <w:tcPr>
                  <w:tcW w:w="3989" w:type="pct"/>
                  <w:tcBorders>
                    <w:top w:val="single" w:color="000000" w:sz="4" w:space="0"/>
                    <w:left w:val="single" w:color="000000" w:sz="4" w:space="0"/>
                    <w:bottom w:val="single" w:color="000000" w:sz="4" w:space="0"/>
                    <w:right w:val="nil"/>
                  </w:tcBorders>
                  <w:noWrap w:val="0"/>
                  <w:vAlign w:val="center"/>
                </w:tcPr>
                <w:p w14:paraId="0AD1D65D">
                  <w:pPr>
                    <w:pStyle w:val="79"/>
                    <w:rPr>
                      <w:color w:val="auto"/>
                      <w:sz w:val="21"/>
                      <w:szCs w:val="21"/>
                    </w:rPr>
                  </w:pPr>
                  <w:r>
                    <w:rPr>
                      <w:rFonts w:hint="eastAsia"/>
                      <w:color w:val="auto"/>
                      <w:sz w:val="21"/>
                      <w:szCs w:val="21"/>
                    </w:rPr>
                    <w:t>强烈臭味</w:t>
                  </w:r>
                </w:p>
              </w:tc>
            </w:tr>
            <w:tr w14:paraId="5B749111">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000000" w:sz="12" w:space="0"/>
                    <w:right w:val="single" w:color="000000" w:sz="4" w:space="0"/>
                  </w:tcBorders>
                  <w:noWrap w:val="0"/>
                  <w:vAlign w:val="center"/>
                </w:tcPr>
                <w:p w14:paraId="3EF0DB72">
                  <w:pPr>
                    <w:pStyle w:val="79"/>
                    <w:rPr>
                      <w:color w:val="auto"/>
                      <w:sz w:val="21"/>
                      <w:szCs w:val="21"/>
                    </w:rPr>
                  </w:pPr>
                  <w:r>
                    <w:rPr>
                      <w:color w:val="auto"/>
                      <w:sz w:val="21"/>
                      <w:szCs w:val="21"/>
                    </w:rPr>
                    <w:t>5</w:t>
                  </w:r>
                </w:p>
              </w:tc>
              <w:tc>
                <w:tcPr>
                  <w:tcW w:w="3989" w:type="pct"/>
                  <w:tcBorders>
                    <w:top w:val="single" w:color="000000" w:sz="4" w:space="0"/>
                    <w:left w:val="single" w:color="000000" w:sz="4" w:space="0"/>
                    <w:bottom w:val="single" w:color="000000" w:sz="12" w:space="0"/>
                    <w:right w:val="nil"/>
                  </w:tcBorders>
                  <w:noWrap w:val="0"/>
                  <w:vAlign w:val="center"/>
                </w:tcPr>
                <w:p w14:paraId="22D63807">
                  <w:pPr>
                    <w:pStyle w:val="79"/>
                    <w:rPr>
                      <w:color w:val="auto"/>
                      <w:sz w:val="21"/>
                      <w:szCs w:val="21"/>
                    </w:rPr>
                  </w:pPr>
                  <w:r>
                    <w:rPr>
                      <w:rFonts w:hint="eastAsia"/>
                      <w:color w:val="auto"/>
                      <w:sz w:val="21"/>
                      <w:szCs w:val="21"/>
                    </w:rPr>
                    <w:t>无法忍受的强烈臭味</w:t>
                  </w:r>
                </w:p>
              </w:tc>
            </w:tr>
          </w:tbl>
          <w:p w14:paraId="4A48F9C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rPr>
            </w:pPr>
            <w:r>
              <w:rPr>
                <w:rFonts w:hint="eastAsia" w:ascii="Times New Roman" w:hAnsi="Times New Roman" w:eastAsia="宋体" w:cs="Times New Roman"/>
                <w:color w:val="auto"/>
                <w:kern w:val="0"/>
                <w:sz w:val="24"/>
                <w:szCs w:val="24"/>
                <w:highlight w:val="none"/>
                <w:shd w:val="clear" w:color="auto" w:fill="auto"/>
                <w:lang w:val="en-US" w:eastAsia="zh-CN" w:bidi="ar-SA"/>
              </w:rPr>
              <w:t>类比同类塑料袋生产企业，其厂边界的臭气强度主要集中在1级（勉强感觉到气味）和2级（感觉到微弱气味）。因此，对于生产过程中产生的异味，对周边环境影响较小。</w:t>
            </w:r>
          </w:p>
          <w:p w14:paraId="17BDC2E2">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lang w:val="en-US" w:eastAsia="zh-CN"/>
              </w:rPr>
              <w:t>1</w:t>
            </w:r>
            <w:r>
              <w:rPr>
                <w:rFonts w:hint="eastAsia" w:ascii="Times New Roman" w:hAnsi="Times New Roman" w:eastAsia="宋体" w:cs="Times New Roman"/>
                <w:b/>
                <w:bCs/>
                <w:color w:val="auto"/>
                <w:sz w:val="24"/>
                <w:highlight w:val="none"/>
                <w:shd w:val="clear" w:color="auto" w:fill="auto"/>
                <w:lang w:val="en-US" w:eastAsia="zh-CN"/>
              </w:rPr>
              <w:t>1</w:t>
            </w:r>
            <w:r>
              <w:rPr>
                <w:rFonts w:hint="default" w:ascii="Times New Roman" w:hAnsi="Times New Roman" w:eastAsia="宋体" w:cs="Times New Roman"/>
                <w:b/>
                <w:bCs/>
                <w:color w:val="auto"/>
                <w:sz w:val="24"/>
                <w:highlight w:val="none"/>
                <w:shd w:val="clear" w:color="auto" w:fill="auto"/>
                <w:lang w:val="en-US" w:eastAsia="zh-CN"/>
              </w:rPr>
              <w:t>.</w:t>
            </w:r>
            <w:r>
              <w:rPr>
                <w:rFonts w:hint="default" w:ascii="Times New Roman" w:hAnsi="Times New Roman" w:eastAsia="宋体" w:cs="Times New Roman"/>
                <w:b/>
                <w:bCs/>
                <w:color w:val="auto"/>
                <w:sz w:val="24"/>
                <w:highlight w:val="none"/>
                <w:shd w:val="clear" w:color="auto" w:fill="auto"/>
              </w:rPr>
              <w:t>大气环境影响评价结论</w:t>
            </w:r>
          </w:p>
          <w:p w14:paraId="58EFB0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bCs/>
                <w:color w:val="auto"/>
                <w:sz w:val="24"/>
                <w:highlight w:val="none"/>
                <w:shd w:val="clear" w:color="auto" w:fill="auto"/>
              </w:rPr>
              <w:t>本项目位于环境空气质量非达标区，企业卫生防护距离范围内不涉及居民、学校等环境敏感保护目标。本项目产生的各类大气污染物经采取有效的污染防治措施治理后排放，各大气污染物排放强度较低，对大气环境影响较小，周边大气环境可基本维持现状，但仍要加强污染控制管理，减少非正常排放情况的发生</w:t>
            </w:r>
            <w:r>
              <w:rPr>
                <w:rFonts w:hint="default" w:ascii="Times New Roman" w:hAnsi="Times New Roman" w:eastAsia="宋体" w:cs="Times New Roman"/>
                <w:color w:val="auto"/>
                <w:sz w:val="24"/>
                <w:highlight w:val="none"/>
                <w:shd w:val="clear" w:color="auto" w:fill="auto"/>
              </w:rPr>
              <w:t>。</w:t>
            </w:r>
          </w:p>
          <w:p w14:paraId="4DE4FA85">
            <w:pPr>
              <w:spacing w:line="360" w:lineRule="auto"/>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二、废水</w:t>
            </w:r>
          </w:p>
          <w:p w14:paraId="04FD390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b/>
                <w:bCs w:val="0"/>
                <w:color w:val="auto"/>
                <w:sz w:val="24"/>
                <w:highlight w:val="none"/>
                <w:shd w:val="clear" w:color="auto" w:fill="auto"/>
                <w:lang w:val="en-US" w:eastAsia="zh-CN"/>
              </w:rPr>
              <w:t>1.废水</w:t>
            </w:r>
            <w:r>
              <w:rPr>
                <w:rFonts w:hint="default" w:ascii="Times New Roman" w:hAnsi="Times New Roman" w:eastAsia="宋体" w:cs="Times New Roman"/>
                <w:b/>
                <w:bCs w:val="0"/>
                <w:color w:val="auto"/>
                <w:sz w:val="24"/>
                <w:highlight w:val="none"/>
                <w:shd w:val="clear" w:color="auto" w:fill="auto"/>
              </w:rPr>
              <w:t>产</w:t>
            </w:r>
            <w:r>
              <w:rPr>
                <w:rFonts w:hint="default" w:ascii="Times New Roman" w:hAnsi="Times New Roman" w:eastAsia="宋体" w:cs="Times New Roman"/>
                <w:b/>
                <w:bCs w:val="0"/>
                <w:color w:val="auto"/>
                <w:sz w:val="24"/>
                <w:highlight w:val="none"/>
                <w:shd w:val="clear" w:color="auto" w:fill="auto"/>
                <w:lang w:val="en-US" w:eastAsia="zh-CN"/>
              </w:rPr>
              <w:t>生</w:t>
            </w:r>
            <w:r>
              <w:rPr>
                <w:rFonts w:hint="default" w:ascii="Times New Roman" w:hAnsi="Times New Roman" w:eastAsia="宋体" w:cs="Times New Roman"/>
                <w:b/>
                <w:bCs w:val="0"/>
                <w:color w:val="auto"/>
                <w:sz w:val="24"/>
                <w:highlight w:val="none"/>
                <w:shd w:val="clear" w:color="auto" w:fill="auto"/>
              </w:rPr>
              <w:t>情况</w:t>
            </w:r>
          </w:p>
          <w:p w14:paraId="392A57E6">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2" w:firstLineChars="200"/>
              <w:textAlignment w:val="auto"/>
              <w:rPr>
                <w:rFonts w:hint="default" w:ascii="Times New Roman" w:hAnsi="Times New Roman" w:eastAsia="宋体" w:cs="Times New Roman"/>
                <w:b/>
                <w:bCs/>
                <w:color w:val="auto"/>
                <w:sz w:val="24"/>
                <w:szCs w:val="24"/>
                <w:highlight w:val="none"/>
                <w:shd w:val="clear" w:color="auto" w:fill="auto"/>
                <w:lang w:eastAsia="zh-CN"/>
              </w:rPr>
            </w:pPr>
            <w:r>
              <w:rPr>
                <w:rFonts w:hint="default" w:ascii="Times New Roman" w:hAnsi="Times New Roman" w:eastAsia="宋体" w:cs="Times New Roman"/>
                <w:b/>
                <w:bCs/>
                <w:color w:val="auto"/>
                <w:sz w:val="24"/>
                <w:szCs w:val="24"/>
                <w:highlight w:val="none"/>
                <w:shd w:val="clear" w:color="auto" w:fill="auto"/>
              </w:rPr>
              <w:t>生活</w:t>
            </w:r>
            <w:r>
              <w:rPr>
                <w:rFonts w:hint="default" w:ascii="Times New Roman" w:hAnsi="Times New Roman" w:eastAsia="宋体" w:cs="Times New Roman"/>
                <w:b/>
                <w:bCs/>
                <w:color w:val="auto"/>
                <w:sz w:val="24"/>
                <w:szCs w:val="24"/>
                <w:highlight w:val="none"/>
                <w:shd w:val="clear" w:color="auto" w:fill="auto"/>
                <w:lang w:val="en-US" w:eastAsia="zh-CN"/>
              </w:rPr>
              <w:t>废</w:t>
            </w:r>
            <w:r>
              <w:rPr>
                <w:rFonts w:hint="default" w:ascii="Times New Roman" w:hAnsi="Times New Roman" w:eastAsia="宋体" w:cs="Times New Roman"/>
                <w:b/>
                <w:bCs/>
                <w:color w:val="auto"/>
                <w:sz w:val="24"/>
                <w:szCs w:val="24"/>
                <w:highlight w:val="none"/>
                <w:shd w:val="clear" w:color="auto" w:fill="auto"/>
              </w:rPr>
              <w:t>水</w:t>
            </w:r>
            <w:r>
              <w:rPr>
                <w:rFonts w:hint="default" w:ascii="Times New Roman" w:hAnsi="Times New Roman" w:eastAsia="宋体" w:cs="Times New Roman"/>
                <w:b/>
                <w:bCs/>
                <w:color w:val="auto"/>
                <w:sz w:val="24"/>
                <w:szCs w:val="24"/>
                <w:highlight w:val="none"/>
                <w:shd w:val="clear" w:color="auto" w:fill="auto"/>
                <w:lang w:eastAsia="zh-CN"/>
              </w:rPr>
              <w:t>：</w:t>
            </w:r>
          </w:p>
          <w:p w14:paraId="18313DE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bCs/>
                <w:color w:val="auto"/>
                <w:szCs w:val="21"/>
                <w:highlight w:val="none"/>
                <w:shd w:val="clear" w:color="auto" w:fill="auto"/>
              </w:rPr>
            </w:pPr>
            <w:r>
              <w:rPr>
                <w:rFonts w:hint="default" w:ascii="Times New Roman" w:hAnsi="Times New Roman" w:eastAsia="宋体" w:cs="Times New Roman"/>
                <w:color w:val="auto"/>
                <w:sz w:val="24"/>
                <w:highlight w:val="none"/>
                <w:shd w:val="clear" w:color="auto" w:fill="auto"/>
              </w:rPr>
              <w:t>本项目</w:t>
            </w:r>
            <w:r>
              <w:rPr>
                <w:rFonts w:hint="default" w:ascii="Times New Roman" w:hAnsi="Times New Roman" w:eastAsia="宋体" w:cs="Times New Roman"/>
                <w:color w:val="auto"/>
                <w:sz w:val="24"/>
                <w:highlight w:val="none"/>
                <w:shd w:val="clear" w:color="auto" w:fill="auto"/>
                <w:lang w:val="en-US" w:eastAsia="zh-CN"/>
              </w:rPr>
              <w:t>劳动定员</w:t>
            </w:r>
            <w:r>
              <w:rPr>
                <w:rFonts w:hint="eastAsia" w:ascii="Times New Roman" w:hAnsi="Times New Roman" w:eastAsia="宋体" w:cs="Times New Roman"/>
                <w:color w:val="auto"/>
                <w:sz w:val="24"/>
                <w:highlight w:val="none"/>
                <w:shd w:val="clear" w:color="auto" w:fill="auto"/>
                <w:lang w:val="en-US" w:eastAsia="zh-CN"/>
              </w:rPr>
              <w:t>2</w:t>
            </w:r>
            <w:r>
              <w:rPr>
                <w:rFonts w:hint="default" w:ascii="Times New Roman" w:hAnsi="Times New Roman" w:eastAsia="宋体" w:cs="Times New Roman"/>
                <w:color w:val="auto"/>
                <w:sz w:val="24"/>
                <w:highlight w:val="none"/>
                <w:shd w:val="clear" w:color="auto" w:fill="auto"/>
                <w:lang w:val="en-US" w:eastAsia="zh-CN"/>
              </w:rPr>
              <w:t>0</w:t>
            </w:r>
            <w:r>
              <w:rPr>
                <w:rFonts w:hint="default" w:ascii="Times New Roman" w:hAnsi="Times New Roman" w:eastAsia="宋体" w:cs="Times New Roman"/>
                <w:color w:val="auto"/>
                <w:sz w:val="24"/>
                <w:highlight w:val="none"/>
                <w:shd w:val="clear" w:color="auto" w:fill="auto"/>
              </w:rPr>
              <w:t>人，年工作3</w:t>
            </w:r>
            <w:r>
              <w:rPr>
                <w:rFonts w:hint="default" w:ascii="Times New Roman" w:hAnsi="Times New Roman" w:eastAsia="宋体" w:cs="Times New Roman"/>
                <w:color w:val="auto"/>
                <w:sz w:val="24"/>
                <w:highlight w:val="none"/>
                <w:shd w:val="clear" w:color="auto" w:fill="auto"/>
                <w:lang w:val="en-US" w:eastAsia="zh-CN"/>
              </w:rPr>
              <w:t>0</w:t>
            </w:r>
            <w:r>
              <w:rPr>
                <w:rFonts w:hint="default" w:ascii="Times New Roman" w:hAnsi="Times New Roman" w:eastAsia="宋体" w:cs="Times New Roman"/>
                <w:color w:val="auto"/>
                <w:sz w:val="24"/>
                <w:highlight w:val="none"/>
                <w:shd w:val="clear" w:color="auto" w:fill="auto"/>
              </w:rPr>
              <w:t>0天，不设食堂、宿舍和浴室。根据《常州市工业、服务业和生活用水定额》（2016年修订），人均生活用水定额按</w:t>
            </w:r>
            <w:r>
              <w:rPr>
                <w:rFonts w:hint="default" w:ascii="Times New Roman" w:hAnsi="Times New Roman" w:eastAsia="宋体" w:cs="Times New Roman"/>
                <w:color w:val="auto"/>
                <w:sz w:val="24"/>
                <w:highlight w:val="none"/>
                <w:shd w:val="clear" w:color="auto" w:fill="auto"/>
                <w:lang w:val="en-US" w:eastAsia="zh-CN"/>
              </w:rPr>
              <w:t>10</w:t>
            </w:r>
            <w:r>
              <w:rPr>
                <w:rFonts w:hint="default" w:ascii="Times New Roman" w:hAnsi="Times New Roman" w:eastAsia="宋体" w:cs="Times New Roman"/>
                <w:color w:val="auto"/>
                <w:sz w:val="24"/>
                <w:highlight w:val="none"/>
                <w:shd w:val="clear" w:color="auto" w:fill="auto"/>
              </w:rPr>
              <w:t>0L/（人·天）计，则生活用水量为</w:t>
            </w:r>
            <w:r>
              <w:rPr>
                <w:rFonts w:hint="eastAsia" w:ascii="Times New Roman" w:hAnsi="Times New Roman" w:eastAsia="宋体" w:cs="Times New Roman"/>
                <w:color w:val="auto"/>
                <w:sz w:val="24"/>
                <w:highlight w:val="none"/>
                <w:shd w:val="clear" w:color="auto" w:fill="auto"/>
                <w:lang w:val="en-US" w:eastAsia="zh-CN"/>
              </w:rPr>
              <w:t>60</w:t>
            </w:r>
            <w:r>
              <w:rPr>
                <w:rFonts w:hint="default" w:ascii="Times New Roman" w:hAnsi="Times New Roman" w:eastAsia="宋体" w:cs="Times New Roman"/>
                <w:color w:val="auto"/>
                <w:sz w:val="24"/>
                <w:highlight w:val="none"/>
                <w:shd w:val="clear" w:color="auto" w:fill="auto"/>
              </w:rPr>
              <w:t>0t/a，排污系数为0.8，则生活污水排放量为</w:t>
            </w:r>
            <w:r>
              <w:rPr>
                <w:rFonts w:hint="eastAsia" w:ascii="Times New Roman" w:hAnsi="Times New Roman" w:eastAsia="宋体" w:cs="Times New Roman"/>
                <w:color w:val="auto"/>
                <w:sz w:val="24"/>
                <w:highlight w:val="none"/>
                <w:shd w:val="clear" w:color="auto" w:fill="auto"/>
                <w:lang w:val="en-US" w:eastAsia="zh-CN"/>
              </w:rPr>
              <w:t>48</w:t>
            </w:r>
            <w:r>
              <w:rPr>
                <w:rFonts w:hint="default" w:ascii="Times New Roman" w:hAnsi="Times New Roman" w:eastAsia="宋体" w:cs="Times New Roman"/>
                <w:color w:val="auto"/>
                <w:sz w:val="24"/>
                <w:highlight w:val="none"/>
                <w:shd w:val="clear" w:color="auto" w:fill="auto"/>
                <w:lang w:val="en-US" w:eastAsia="zh-CN"/>
              </w:rPr>
              <w:t>0</w:t>
            </w:r>
            <w:r>
              <w:rPr>
                <w:rFonts w:hint="default" w:ascii="Times New Roman" w:hAnsi="Times New Roman" w:eastAsia="宋体" w:cs="Times New Roman"/>
                <w:color w:val="auto"/>
                <w:sz w:val="24"/>
                <w:highlight w:val="none"/>
                <w:shd w:val="clear" w:color="auto" w:fill="auto"/>
              </w:rPr>
              <w:t>t/a，主要污染物为：COD、SS、氨氮、TN、TP产生浓度分别为400mg/L、2</w:t>
            </w:r>
            <w:r>
              <w:rPr>
                <w:rFonts w:hint="default" w:ascii="Times New Roman" w:hAnsi="Times New Roman" w:eastAsia="宋体" w:cs="Times New Roman"/>
                <w:color w:val="auto"/>
                <w:sz w:val="24"/>
                <w:highlight w:val="none"/>
                <w:shd w:val="clear" w:color="auto" w:fill="auto"/>
                <w:lang w:val="en-US" w:eastAsia="zh-CN"/>
              </w:rPr>
              <w:t>0</w:t>
            </w:r>
            <w:r>
              <w:rPr>
                <w:rFonts w:hint="default" w:ascii="Times New Roman" w:hAnsi="Times New Roman" w:eastAsia="宋体" w:cs="Times New Roman"/>
                <w:color w:val="auto"/>
                <w:sz w:val="24"/>
                <w:highlight w:val="none"/>
                <w:shd w:val="clear" w:color="auto" w:fill="auto"/>
              </w:rPr>
              <w:t>0mg/L、</w:t>
            </w:r>
            <w:r>
              <w:rPr>
                <w:rFonts w:hint="default" w:ascii="Times New Roman" w:hAnsi="Times New Roman" w:eastAsia="宋体" w:cs="Times New Roman"/>
                <w:color w:val="auto"/>
                <w:sz w:val="24"/>
                <w:highlight w:val="none"/>
                <w:shd w:val="clear" w:color="auto" w:fill="auto"/>
                <w:lang w:val="en-US" w:eastAsia="zh-CN"/>
              </w:rPr>
              <w:t>25</w:t>
            </w:r>
            <w:r>
              <w:rPr>
                <w:rFonts w:hint="default" w:ascii="Times New Roman" w:hAnsi="Times New Roman" w:eastAsia="宋体" w:cs="Times New Roman"/>
                <w:color w:val="auto"/>
                <w:sz w:val="24"/>
                <w:highlight w:val="none"/>
                <w:shd w:val="clear" w:color="auto" w:fill="auto"/>
              </w:rPr>
              <w:t>mg/L、</w:t>
            </w:r>
            <w:r>
              <w:rPr>
                <w:rFonts w:hint="default" w:ascii="Times New Roman" w:hAnsi="Times New Roman" w:eastAsia="宋体" w:cs="Times New Roman"/>
                <w:color w:val="auto"/>
                <w:sz w:val="24"/>
                <w:highlight w:val="none"/>
                <w:shd w:val="clear" w:color="auto" w:fill="auto"/>
                <w:lang w:val="en-US" w:eastAsia="zh-CN"/>
              </w:rPr>
              <w:t>35</w:t>
            </w:r>
            <w:r>
              <w:rPr>
                <w:rFonts w:hint="default" w:ascii="Times New Roman" w:hAnsi="Times New Roman" w:eastAsia="宋体" w:cs="Times New Roman"/>
                <w:color w:val="auto"/>
                <w:sz w:val="24"/>
                <w:highlight w:val="none"/>
                <w:shd w:val="clear" w:color="auto" w:fill="auto"/>
              </w:rPr>
              <w:t>mg/L、</w:t>
            </w:r>
            <w:r>
              <w:rPr>
                <w:rFonts w:hint="default" w:ascii="Times New Roman" w:hAnsi="Times New Roman" w:eastAsia="宋体" w:cs="Times New Roman"/>
                <w:color w:val="auto"/>
                <w:sz w:val="24"/>
                <w:highlight w:val="none"/>
                <w:shd w:val="clear" w:color="auto" w:fill="auto"/>
                <w:lang w:val="en-US" w:eastAsia="zh-CN"/>
              </w:rPr>
              <w:t>2.5</w:t>
            </w:r>
            <w:r>
              <w:rPr>
                <w:rFonts w:hint="default" w:ascii="Times New Roman" w:hAnsi="Times New Roman" w:eastAsia="宋体" w:cs="Times New Roman"/>
                <w:color w:val="auto"/>
                <w:sz w:val="24"/>
                <w:highlight w:val="none"/>
                <w:shd w:val="clear" w:color="auto" w:fill="auto"/>
              </w:rPr>
              <w:t>mg/L。</w:t>
            </w:r>
          </w:p>
          <w:p w14:paraId="0AF00CE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color w:val="auto"/>
                <w:sz w:val="24"/>
                <w:szCs w:val="24"/>
                <w:lang w:val="en-US" w:eastAsia="zh-CN"/>
              </w:rPr>
              <w:t>本项目使用</w:t>
            </w:r>
            <w:r>
              <w:rPr>
                <w:rFonts w:hint="eastAsia" w:ascii="Times New Roman" w:hAnsi="Times New Roman" w:eastAsia="宋体" w:cs="Times New Roman"/>
                <w:b/>
                <w:color w:val="auto"/>
                <w:sz w:val="24"/>
                <w:szCs w:val="24"/>
                <w:lang w:val="en-US" w:eastAsia="zh-CN"/>
              </w:rPr>
              <w:t>乙酸乙酯</w:t>
            </w:r>
            <w:r>
              <w:rPr>
                <w:rFonts w:hint="default" w:ascii="Times New Roman" w:hAnsi="Times New Roman" w:eastAsia="宋体" w:cs="Times New Roman"/>
                <w:b/>
                <w:color w:val="auto"/>
                <w:sz w:val="24"/>
                <w:szCs w:val="24"/>
                <w:lang w:val="en-US" w:eastAsia="zh-CN"/>
              </w:rPr>
              <w:t>清洗剂对</w:t>
            </w:r>
            <w:r>
              <w:rPr>
                <w:rFonts w:hint="eastAsia" w:ascii="Times New Roman" w:hAnsi="Times New Roman" w:eastAsia="宋体" w:cs="Times New Roman"/>
                <w:b/>
                <w:color w:val="auto"/>
                <w:sz w:val="24"/>
                <w:szCs w:val="24"/>
                <w:lang w:val="en-US" w:eastAsia="zh-CN"/>
              </w:rPr>
              <w:t>印刷、复合</w:t>
            </w:r>
            <w:r>
              <w:rPr>
                <w:rFonts w:hint="default" w:ascii="Times New Roman" w:hAnsi="Times New Roman" w:eastAsia="宋体" w:cs="Times New Roman"/>
                <w:b/>
                <w:color w:val="auto"/>
                <w:sz w:val="24"/>
                <w:szCs w:val="24"/>
                <w:lang w:val="en-US" w:eastAsia="zh-CN"/>
              </w:rPr>
              <w:t>设备进行</w:t>
            </w:r>
            <w:r>
              <w:rPr>
                <w:rFonts w:hint="eastAsia" w:ascii="Times New Roman" w:hAnsi="Times New Roman" w:eastAsia="宋体" w:cs="Times New Roman"/>
                <w:b/>
                <w:color w:val="auto"/>
                <w:sz w:val="24"/>
                <w:szCs w:val="24"/>
                <w:lang w:val="en-US" w:eastAsia="zh-CN"/>
              </w:rPr>
              <w:t>擦拭清洁</w:t>
            </w:r>
            <w:r>
              <w:rPr>
                <w:rFonts w:hint="default" w:ascii="Times New Roman" w:hAnsi="Times New Roman" w:eastAsia="宋体" w:cs="Times New Roman"/>
                <w:b/>
                <w:color w:val="auto"/>
                <w:sz w:val="24"/>
                <w:szCs w:val="24"/>
                <w:lang w:val="en-US" w:eastAsia="zh-CN"/>
              </w:rPr>
              <w:t>，产生废</w:t>
            </w:r>
            <w:r>
              <w:rPr>
                <w:rFonts w:hint="eastAsia" w:ascii="Times New Roman" w:hAnsi="Times New Roman" w:eastAsia="宋体" w:cs="Times New Roman"/>
                <w:b/>
                <w:color w:val="auto"/>
                <w:sz w:val="24"/>
                <w:szCs w:val="24"/>
                <w:lang w:val="en-US" w:eastAsia="zh-CN"/>
              </w:rPr>
              <w:t>抹布</w:t>
            </w:r>
            <w:r>
              <w:rPr>
                <w:rFonts w:hint="default" w:ascii="Times New Roman" w:hAnsi="Times New Roman" w:eastAsia="宋体" w:cs="Times New Roman"/>
                <w:b/>
                <w:color w:val="auto"/>
                <w:sz w:val="24"/>
                <w:szCs w:val="24"/>
                <w:lang w:val="en-US" w:eastAsia="zh-CN"/>
              </w:rPr>
              <w:t>，作为危废处理，不产生清洗废水。</w:t>
            </w:r>
            <w:r>
              <w:rPr>
                <w:rFonts w:hint="default" w:ascii="Times New Roman" w:hAnsi="Times New Roman" w:eastAsia="宋体" w:cs="Times New Roman"/>
                <w:b/>
                <w:bCs w:val="0"/>
                <w:color w:val="auto"/>
                <w:sz w:val="24"/>
                <w:szCs w:val="24"/>
                <w:highlight w:val="none"/>
                <w:lang w:val="en-US" w:eastAsia="zh-CN"/>
              </w:rPr>
              <w:t>厂房生产过程中，地面基本保持清洁，仅进行定期的扫地，不需地面清洗，不产生地面清洗废水。</w:t>
            </w:r>
          </w:p>
          <w:p w14:paraId="1A833D5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lang w:val="en-US" w:eastAsia="zh-CN"/>
              </w:rPr>
              <w:t>2.</w:t>
            </w:r>
            <w:r>
              <w:rPr>
                <w:rFonts w:hint="default" w:ascii="Times New Roman" w:hAnsi="Times New Roman" w:eastAsia="宋体" w:cs="Times New Roman"/>
                <w:b/>
                <w:bCs/>
                <w:color w:val="auto"/>
                <w:sz w:val="24"/>
                <w:highlight w:val="none"/>
                <w:shd w:val="clear" w:color="auto" w:fill="auto"/>
              </w:rPr>
              <w:t>污染防治措施</w:t>
            </w:r>
          </w:p>
          <w:p w14:paraId="59987504">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eastAsia" w:ascii="Times New Roman" w:hAnsi="Times New Roman" w:eastAsia="宋体" w:cs="Times New Roman"/>
                <w:b/>
                <w:bCs/>
                <w:color w:val="auto"/>
                <w:sz w:val="24"/>
                <w:highlight w:val="none"/>
                <w:shd w:val="clear" w:color="auto" w:fill="auto"/>
                <w:lang w:eastAsia="zh-CN"/>
              </w:rPr>
            </w:pPr>
            <w:r>
              <w:rPr>
                <w:rFonts w:hint="default" w:ascii="Times New Roman" w:hAnsi="Times New Roman" w:eastAsia="宋体" w:cs="Times New Roman"/>
                <w:b/>
                <w:bCs/>
                <w:color w:val="auto"/>
                <w:sz w:val="24"/>
                <w:highlight w:val="none"/>
                <w:shd w:val="clear" w:color="auto" w:fill="auto"/>
              </w:rPr>
              <w:t>生活</w:t>
            </w:r>
            <w:r>
              <w:rPr>
                <w:rFonts w:hint="eastAsia" w:ascii="Times New Roman" w:hAnsi="Times New Roman" w:eastAsia="宋体" w:cs="Times New Roman"/>
                <w:b/>
                <w:bCs/>
                <w:color w:val="auto"/>
                <w:sz w:val="24"/>
                <w:highlight w:val="none"/>
                <w:shd w:val="clear" w:color="auto" w:fill="auto"/>
                <w:lang w:val="en-US" w:eastAsia="zh-CN"/>
              </w:rPr>
              <w:t>废</w:t>
            </w:r>
            <w:r>
              <w:rPr>
                <w:rFonts w:hint="default" w:ascii="Times New Roman" w:hAnsi="Times New Roman" w:eastAsia="宋体" w:cs="Times New Roman"/>
                <w:b/>
                <w:bCs/>
                <w:color w:val="auto"/>
                <w:sz w:val="24"/>
                <w:highlight w:val="none"/>
                <w:shd w:val="clear" w:color="auto" w:fill="auto"/>
              </w:rPr>
              <w:t>水</w:t>
            </w:r>
            <w:r>
              <w:rPr>
                <w:rFonts w:hint="eastAsia" w:ascii="Times New Roman" w:hAnsi="Times New Roman" w:eastAsia="宋体" w:cs="Times New Roman"/>
                <w:b/>
                <w:bCs/>
                <w:color w:val="auto"/>
                <w:sz w:val="24"/>
                <w:highlight w:val="none"/>
                <w:shd w:val="clear" w:color="auto" w:fill="auto"/>
                <w:lang w:eastAsia="zh-CN"/>
              </w:rPr>
              <w:t>：</w:t>
            </w:r>
          </w:p>
          <w:p w14:paraId="2495158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其水质较为简单，主要污染物为COD、SS、NH</w:t>
            </w:r>
            <w:r>
              <w:rPr>
                <w:rFonts w:hint="default" w:ascii="Times New Roman" w:hAnsi="Times New Roman" w:eastAsia="宋体" w:cs="Times New Roman"/>
                <w:color w:val="auto"/>
                <w:sz w:val="24"/>
                <w:highlight w:val="none"/>
                <w:shd w:val="clear" w:color="auto" w:fill="auto"/>
                <w:vertAlign w:val="subscript"/>
              </w:rPr>
              <w:t>3</w:t>
            </w:r>
            <w:r>
              <w:rPr>
                <w:rFonts w:hint="default" w:ascii="Times New Roman" w:hAnsi="Times New Roman" w:eastAsia="宋体" w:cs="Times New Roman"/>
                <w:color w:val="auto"/>
                <w:sz w:val="24"/>
                <w:highlight w:val="none"/>
                <w:shd w:val="clear" w:color="auto" w:fill="auto"/>
              </w:rPr>
              <w:t>-N、TP、TN。生活污水排放量约为</w:t>
            </w:r>
            <w:r>
              <w:rPr>
                <w:rFonts w:hint="eastAsia" w:ascii="Times New Roman" w:hAnsi="Times New Roman" w:eastAsia="宋体" w:cs="Times New Roman"/>
                <w:color w:val="auto"/>
                <w:sz w:val="24"/>
                <w:highlight w:val="none"/>
                <w:shd w:val="clear" w:color="auto" w:fill="auto"/>
                <w:lang w:val="en-US" w:eastAsia="zh-CN"/>
              </w:rPr>
              <w:t>48</w:t>
            </w:r>
            <w:r>
              <w:rPr>
                <w:rFonts w:hint="default" w:ascii="Times New Roman" w:hAnsi="Times New Roman" w:eastAsia="宋体" w:cs="Times New Roman"/>
                <w:color w:val="auto"/>
                <w:sz w:val="24"/>
                <w:highlight w:val="none"/>
                <w:shd w:val="clear" w:color="auto" w:fill="auto"/>
                <w:lang w:val="en-US" w:eastAsia="zh-CN"/>
              </w:rPr>
              <w:t>0</w:t>
            </w:r>
            <w:r>
              <w:rPr>
                <w:rFonts w:hint="default" w:ascii="Times New Roman" w:hAnsi="Times New Roman" w:eastAsia="宋体" w:cs="Times New Roman"/>
                <w:color w:val="auto"/>
                <w:sz w:val="24"/>
                <w:highlight w:val="none"/>
                <w:shd w:val="clear" w:color="auto" w:fill="auto"/>
              </w:rPr>
              <w:t>t/a，接管进金坛第二污水处理厂集中处理，达标排放，尾水排入尧塘河。</w:t>
            </w:r>
          </w:p>
          <w:p w14:paraId="2C8649B6">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lang w:val="en-US" w:eastAsia="zh-CN"/>
              </w:rPr>
              <w:t>3.接管可行性分析</w:t>
            </w:r>
          </w:p>
          <w:p w14:paraId="136AAC01">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highlight w:val="none"/>
                <w:shd w:val="clear" w:color="auto" w:fill="auto"/>
              </w:rPr>
            </w:pPr>
            <w:r>
              <w:rPr>
                <w:rFonts w:hint="default" w:ascii="Times New Roman" w:hAnsi="Times New Roman" w:eastAsia="宋体" w:cs="Times New Roman"/>
                <w:color w:val="auto"/>
                <w:kern w:val="0"/>
                <w:sz w:val="24"/>
                <w:highlight w:val="none"/>
                <w:shd w:val="clear" w:color="auto" w:fill="auto"/>
                <w:lang w:eastAsia="zh-CN"/>
              </w:rPr>
              <w:t>（</w:t>
            </w:r>
            <w:r>
              <w:rPr>
                <w:rFonts w:hint="default" w:ascii="Times New Roman" w:hAnsi="Times New Roman" w:eastAsia="宋体" w:cs="Times New Roman"/>
                <w:color w:val="auto"/>
                <w:kern w:val="0"/>
                <w:sz w:val="24"/>
                <w:highlight w:val="none"/>
                <w:shd w:val="clear" w:color="auto" w:fill="auto"/>
                <w:lang w:val="en-US" w:eastAsia="zh-CN"/>
              </w:rPr>
              <w:t>1</w:t>
            </w:r>
            <w:r>
              <w:rPr>
                <w:rFonts w:hint="default" w:ascii="Times New Roman" w:hAnsi="Times New Roman" w:eastAsia="宋体" w:cs="Times New Roman"/>
                <w:color w:val="auto"/>
                <w:kern w:val="0"/>
                <w:sz w:val="24"/>
                <w:highlight w:val="none"/>
                <w:shd w:val="clear" w:color="auto" w:fill="auto"/>
                <w:lang w:eastAsia="zh-CN"/>
              </w:rPr>
              <w:t>）</w:t>
            </w:r>
            <w:r>
              <w:rPr>
                <w:rFonts w:hint="default" w:ascii="Times New Roman" w:hAnsi="Times New Roman" w:eastAsia="宋体" w:cs="Times New Roman"/>
                <w:color w:val="auto"/>
                <w:kern w:val="0"/>
                <w:sz w:val="24"/>
                <w:highlight w:val="none"/>
                <w:shd w:val="clear" w:color="auto" w:fill="auto"/>
              </w:rPr>
              <w:t>管网建设情况</w:t>
            </w:r>
          </w:p>
          <w:p w14:paraId="29A2ECE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highlight w:val="none"/>
                <w:shd w:val="clear" w:color="auto" w:fill="auto"/>
              </w:rPr>
            </w:pPr>
            <w:r>
              <w:rPr>
                <w:rFonts w:hint="default" w:ascii="Times New Roman" w:hAnsi="Times New Roman" w:eastAsia="宋体" w:cs="Times New Roman"/>
                <w:color w:val="auto"/>
                <w:kern w:val="0"/>
                <w:sz w:val="24"/>
                <w:highlight w:val="none"/>
                <w:shd w:val="clear" w:color="auto" w:fill="auto"/>
                <w:lang w:eastAsia="zh-CN"/>
              </w:rPr>
              <w:t>金坛第二污水处理厂</w:t>
            </w:r>
            <w:r>
              <w:rPr>
                <w:rFonts w:hint="default" w:ascii="Times New Roman" w:hAnsi="Times New Roman" w:eastAsia="宋体" w:cs="Times New Roman"/>
                <w:color w:val="auto"/>
                <w:kern w:val="0"/>
                <w:sz w:val="24"/>
                <w:highlight w:val="none"/>
                <w:shd w:val="clear" w:color="auto" w:fill="auto"/>
              </w:rPr>
              <w:t>的服务范围为金坛东环二路以东市区范围区域，包括金坛经济开发区控制性详细规划中的主要建设区域（东至省道203，南至站前路，西至金湖路和丹金溧漕河，北至开发区行政界线）和河东居住区部分范围，总面积约为70.9km</w:t>
            </w:r>
            <w:r>
              <w:rPr>
                <w:rFonts w:hint="default" w:ascii="Times New Roman" w:hAnsi="Times New Roman" w:eastAsia="宋体" w:cs="Times New Roman"/>
                <w:color w:val="auto"/>
                <w:kern w:val="0"/>
                <w:sz w:val="24"/>
                <w:highlight w:val="none"/>
                <w:shd w:val="clear" w:color="auto" w:fill="auto"/>
                <w:vertAlign w:val="superscript"/>
              </w:rPr>
              <w:t>2</w:t>
            </w:r>
            <w:r>
              <w:rPr>
                <w:rFonts w:hint="default" w:ascii="Times New Roman" w:hAnsi="Times New Roman" w:eastAsia="宋体" w:cs="Times New Roman"/>
                <w:color w:val="auto"/>
                <w:kern w:val="0"/>
                <w:sz w:val="24"/>
                <w:highlight w:val="none"/>
                <w:shd w:val="clear" w:color="auto" w:fill="auto"/>
              </w:rPr>
              <w:t>。根据区域规划，本项目在</w:t>
            </w:r>
            <w:r>
              <w:rPr>
                <w:rFonts w:hint="default" w:ascii="Times New Roman" w:hAnsi="Times New Roman" w:eastAsia="宋体" w:cs="Times New Roman"/>
                <w:color w:val="auto"/>
                <w:kern w:val="0"/>
                <w:sz w:val="24"/>
                <w:highlight w:val="none"/>
                <w:shd w:val="clear" w:color="auto" w:fill="auto"/>
                <w:lang w:eastAsia="zh-CN"/>
              </w:rPr>
              <w:t>金坛第二污水处理厂</w:t>
            </w:r>
            <w:r>
              <w:rPr>
                <w:rFonts w:hint="default" w:ascii="Times New Roman" w:hAnsi="Times New Roman" w:eastAsia="宋体" w:cs="Times New Roman"/>
                <w:color w:val="auto"/>
                <w:kern w:val="0"/>
                <w:sz w:val="24"/>
                <w:highlight w:val="none"/>
                <w:shd w:val="clear" w:color="auto" w:fill="auto"/>
              </w:rPr>
              <w:t>接收范围之内。</w:t>
            </w:r>
          </w:p>
          <w:p w14:paraId="2C15774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highlight w:val="none"/>
                <w:shd w:val="clear" w:color="auto" w:fill="auto"/>
              </w:rPr>
            </w:pPr>
            <w:r>
              <w:rPr>
                <w:rFonts w:hint="default" w:ascii="Times New Roman" w:hAnsi="Times New Roman" w:eastAsia="宋体" w:cs="Times New Roman"/>
                <w:color w:val="auto"/>
                <w:kern w:val="0"/>
                <w:sz w:val="24"/>
                <w:highlight w:val="none"/>
                <w:shd w:val="clear" w:color="auto" w:fill="auto"/>
                <w:lang w:eastAsia="zh-CN"/>
              </w:rPr>
              <w:t>（</w:t>
            </w:r>
            <w:r>
              <w:rPr>
                <w:rFonts w:hint="default" w:ascii="Times New Roman" w:hAnsi="Times New Roman" w:eastAsia="宋体" w:cs="Times New Roman"/>
                <w:color w:val="auto"/>
                <w:kern w:val="0"/>
                <w:sz w:val="24"/>
                <w:highlight w:val="none"/>
                <w:shd w:val="clear" w:color="auto" w:fill="auto"/>
                <w:lang w:val="en-US" w:eastAsia="zh-CN"/>
              </w:rPr>
              <w:t>2</w:t>
            </w:r>
            <w:r>
              <w:rPr>
                <w:rFonts w:hint="default" w:ascii="Times New Roman" w:hAnsi="Times New Roman" w:eastAsia="宋体" w:cs="Times New Roman"/>
                <w:color w:val="auto"/>
                <w:kern w:val="0"/>
                <w:sz w:val="24"/>
                <w:highlight w:val="none"/>
                <w:shd w:val="clear" w:color="auto" w:fill="auto"/>
                <w:lang w:eastAsia="zh-CN"/>
              </w:rPr>
              <w:t>）</w:t>
            </w:r>
            <w:r>
              <w:rPr>
                <w:rFonts w:hint="default" w:ascii="Times New Roman" w:hAnsi="Times New Roman" w:eastAsia="宋体" w:cs="Times New Roman"/>
                <w:color w:val="auto"/>
                <w:kern w:val="0"/>
                <w:sz w:val="24"/>
                <w:highlight w:val="none"/>
                <w:shd w:val="clear" w:color="auto" w:fill="auto"/>
              </w:rPr>
              <w:t>污水处理厂简介</w:t>
            </w:r>
          </w:p>
          <w:p w14:paraId="2B656F3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highlight w:val="none"/>
                <w:shd w:val="clear" w:color="auto" w:fill="auto"/>
              </w:rPr>
            </w:pPr>
            <w:r>
              <w:rPr>
                <w:rFonts w:hint="default" w:ascii="Times New Roman" w:hAnsi="Times New Roman" w:eastAsia="宋体" w:cs="Times New Roman"/>
                <w:color w:val="auto"/>
                <w:kern w:val="0"/>
                <w:sz w:val="24"/>
                <w:highlight w:val="none"/>
                <w:shd w:val="clear" w:color="auto" w:fill="auto"/>
                <w:lang w:eastAsia="zh-CN"/>
              </w:rPr>
              <w:t>金坛第二污水处理厂</w:t>
            </w:r>
            <w:r>
              <w:rPr>
                <w:rFonts w:hint="default" w:ascii="Times New Roman" w:hAnsi="Times New Roman" w:eastAsia="宋体" w:cs="Times New Roman"/>
                <w:color w:val="auto"/>
                <w:kern w:val="0"/>
                <w:sz w:val="24"/>
                <w:highlight w:val="none"/>
                <w:shd w:val="clear" w:color="auto" w:fill="auto"/>
              </w:rPr>
              <w:t>位于江苏省金坛经济开发区内，华城东路与新常金公路交汇处以北100m。2013年年平均处理水量约为3.1万m</w:t>
            </w:r>
            <w:r>
              <w:rPr>
                <w:rFonts w:hint="default" w:ascii="Times New Roman" w:hAnsi="Times New Roman" w:eastAsia="宋体" w:cs="Times New Roman"/>
                <w:color w:val="auto"/>
                <w:kern w:val="0"/>
                <w:sz w:val="24"/>
                <w:highlight w:val="none"/>
                <w:shd w:val="clear" w:color="auto" w:fill="auto"/>
                <w:vertAlign w:val="superscript"/>
              </w:rPr>
              <w:t>3</w:t>
            </w:r>
            <w:r>
              <w:rPr>
                <w:rFonts w:hint="default" w:ascii="Times New Roman" w:hAnsi="Times New Roman" w:eastAsia="宋体" w:cs="Times New Roman"/>
                <w:color w:val="auto"/>
                <w:kern w:val="0"/>
                <w:sz w:val="24"/>
                <w:highlight w:val="none"/>
                <w:shd w:val="clear" w:color="auto" w:fill="auto"/>
              </w:rPr>
              <w:t>/d（处理负荷为77.5%），接管工业废水约1.57万t/d，接管生活污水约1.53万t/d，二污厂现状工业废水与生活污水之比约为1</w:t>
            </w:r>
            <w:r>
              <w:rPr>
                <w:rFonts w:hint="default" w:ascii="Times New Roman" w:hAnsi="Times New Roman" w:eastAsia="宋体" w:cs="Times New Roman"/>
                <w:color w:val="auto"/>
                <w:kern w:val="0"/>
                <w:sz w:val="24"/>
                <w:highlight w:val="none"/>
                <w:shd w:val="clear" w:color="auto" w:fill="auto"/>
                <w:lang w:eastAsia="zh-CN"/>
              </w:rPr>
              <w:t>：</w:t>
            </w:r>
            <w:r>
              <w:rPr>
                <w:rFonts w:hint="default" w:ascii="Times New Roman" w:hAnsi="Times New Roman" w:eastAsia="宋体" w:cs="Times New Roman"/>
                <w:color w:val="auto"/>
                <w:kern w:val="0"/>
                <w:sz w:val="24"/>
                <w:highlight w:val="none"/>
                <w:shd w:val="clear" w:color="auto" w:fill="auto"/>
              </w:rPr>
              <w:t>1。2014年4月8日《金坛市</w:t>
            </w:r>
            <w:r>
              <w:rPr>
                <w:rFonts w:hint="default" w:ascii="Times New Roman" w:hAnsi="Times New Roman" w:eastAsia="宋体" w:cs="Times New Roman"/>
                <w:color w:val="auto"/>
                <w:kern w:val="0"/>
                <w:sz w:val="24"/>
                <w:highlight w:val="none"/>
                <w:shd w:val="clear" w:color="auto" w:fill="auto"/>
                <w:lang w:eastAsia="zh-CN"/>
              </w:rPr>
              <w:t>第二污水处理有限公司</w:t>
            </w:r>
            <w:r>
              <w:rPr>
                <w:rFonts w:hint="default" w:ascii="Times New Roman" w:hAnsi="Times New Roman" w:eastAsia="宋体" w:cs="Times New Roman"/>
                <w:color w:val="auto"/>
                <w:kern w:val="0"/>
                <w:sz w:val="24"/>
                <w:highlight w:val="none"/>
                <w:shd w:val="clear" w:color="auto" w:fill="auto"/>
              </w:rPr>
              <w:t>扩建工程项目环境影响报告书》通过</w:t>
            </w:r>
            <w:r>
              <w:rPr>
                <w:rFonts w:hint="default" w:ascii="Times New Roman" w:hAnsi="Times New Roman" w:eastAsia="宋体" w:cs="Times New Roman"/>
                <w:color w:val="auto"/>
                <w:kern w:val="0"/>
                <w:sz w:val="24"/>
                <w:highlight w:val="none"/>
                <w:shd w:val="clear" w:color="auto" w:fill="auto"/>
                <w:lang w:val="en-US" w:eastAsia="zh-CN"/>
              </w:rPr>
              <w:t>原</w:t>
            </w:r>
            <w:r>
              <w:rPr>
                <w:rFonts w:hint="default" w:ascii="Times New Roman" w:hAnsi="Times New Roman" w:eastAsia="宋体" w:cs="Times New Roman"/>
                <w:color w:val="auto"/>
                <w:kern w:val="0"/>
                <w:sz w:val="24"/>
                <w:highlight w:val="none"/>
                <w:shd w:val="clear" w:color="auto" w:fill="auto"/>
              </w:rPr>
              <w:t>金坛市环境保护局审批，规划扩建工程规模为2.0万m</w:t>
            </w:r>
            <w:r>
              <w:rPr>
                <w:rFonts w:hint="default" w:ascii="Times New Roman" w:hAnsi="Times New Roman" w:eastAsia="宋体" w:cs="Times New Roman"/>
                <w:color w:val="auto"/>
                <w:kern w:val="0"/>
                <w:sz w:val="24"/>
                <w:highlight w:val="none"/>
                <w:shd w:val="clear" w:color="auto" w:fill="auto"/>
                <w:vertAlign w:val="superscript"/>
              </w:rPr>
              <w:t>3</w:t>
            </w:r>
            <w:r>
              <w:rPr>
                <w:rFonts w:hint="default" w:ascii="Times New Roman" w:hAnsi="Times New Roman" w:eastAsia="宋体" w:cs="Times New Roman"/>
                <w:color w:val="auto"/>
                <w:kern w:val="0"/>
                <w:sz w:val="24"/>
                <w:highlight w:val="none"/>
                <w:shd w:val="clear" w:color="auto" w:fill="auto"/>
              </w:rPr>
              <w:t>/d，远期规划规模达16万m</w:t>
            </w:r>
            <w:r>
              <w:rPr>
                <w:rFonts w:hint="default" w:ascii="Times New Roman" w:hAnsi="Times New Roman" w:eastAsia="宋体" w:cs="Times New Roman"/>
                <w:color w:val="auto"/>
                <w:kern w:val="0"/>
                <w:sz w:val="24"/>
                <w:highlight w:val="none"/>
                <w:shd w:val="clear" w:color="auto" w:fill="auto"/>
                <w:vertAlign w:val="superscript"/>
              </w:rPr>
              <w:t>3</w:t>
            </w:r>
            <w:r>
              <w:rPr>
                <w:rFonts w:hint="default" w:ascii="Times New Roman" w:hAnsi="Times New Roman" w:eastAsia="宋体" w:cs="Times New Roman"/>
                <w:color w:val="auto"/>
                <w:kern w:val="0"/>
                <w:sz w:val="24"/>
                <w:highlight w:val="none"/>
                <w:shd w:val="clear" w:color="auto" w:fill="auto"/>
              </w:rPr>
              <w:t>/d，该项目已于2017年1月3日通过</w:t>
            </w:r>
            <w:r>
              <w:rPr>
                <w:rFonts w:hint="default" w:ascii="Times New Roman" w:hAnsi="Times New Roman" w:eastAsia="宋体" w:cs="Times New Roman"/>
                <w:color w:val="auto"/>
                <w:kern w:val="0"/>
                <w:sz w:val="24"/>
                <w:highlight w:val="none"/>
                <w:shd w:val="clear" w:color="auto" w:fill="auto"/>
                <w:lang w:val="en-US" w:eastAsia="zh-CN"/>
              </w:rPr>
              <w:t>原</w:t>
            </w:r>
            <w:r>
              <w:rPr>
                <w:rFonts w:hint="default" w:ascii="Times New Roman" w:hAnsi="Times New Roman" w:eastAsia="宋体" w:cs="Times New Roman"/>
                <w:color w:val="auto"/>
                <w:kern w:val="0"/>
                <w:sz w:val="24"/>
                <w:highlight w:val="none"/>
                <w:shd w:val="clear" w:color="auto" w:fill="auto"/>
              </w:rPr>
              <w:t>常州市金坛区环境保护局验收，并正式投入运营。</w:t>
            </w:r>
          </w:p>
          <w:p w14:paraId="23853D7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shd w:val="clear" w:color="auto" w:fill="auto"/>
                <w:lang w:val="en-US" w:eastAsia="zh-CN"/>
              </w:rPr>
            </w:pPr>
            <w:r>
              <w:rPr>
                <w:rFonts w:hint="default" w:ascii="Times New Roman" w:hAnsi="Times New Roman" w:eastAsia="宋体" w:cs="Times New Roman"/>
                <w:bCs/>
                <w:color w:val="auto"/>
                <w:sz w:val="24"/>
                <w:highlight w:val="none"/>
                <w:shd w:val="clear" w:color="auto" w:fill="auto"/>
                <w:lang w:val="en-US" w:eastAsia="zh-CN"/>
              </w:rPr>
              <w:t>（3）接管水量可行性</w:t>
            </w:r>
          </w:p>
          <w:p w14:paraId="558E92B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shd w:val="clear" w:color="auto" w:fill="auto"/>
                <w:lang w:val="en-US" w:eastAsia="zh-CN"/>
              </w:rPr>
            </w:pPr>
            <w:r>
              <w:rPr>
                <w:rFonts w:hint="default" w:ascii="Times New Roman" w:hAnsi="Times New Roman" w:eastAsia="宋体" w:cs="Times New Roman"/>
                <w:bCs/>
                <w:color w:val="auto"/>
                <w:sz w:val="24"/>
                <w:highlight w:val="none"/>
                <w:shd w:val="clear" w:color="auto" w:fill="auto"/>
                <w:lang w:val="en-US" w:eastAsia="zh-CN"/>
              </w:rPr>
              <w:t>金坛第二污水处理厂目前实际处理量约5.8万吨/日，还有余量0.2万吨/日。本项目废水排放总量约为</w:t>
            </w:r>
            <w:r>
              <w:rPr>
                <w:rFonts w:hint="eastAsia" w:ascii="Times New Roman" w:hAnsi="Times New Roman" w:eastAsia="宋体" w:cs="Times New Roman"/>
                <w:bCs/>
                <w:color w:val="auto"/>
                <w:sz w:val="24"/>
                <w:highlight w:val="none"/>
                <w:shd w:val="clear" w:color="auto" w:fill="auto"/>
                <w:lang w:val="en-US" w:eastAsia="zh-CN"/>
              </w:rPr>
              <w:t>4</w:t>
            </w:r>
            <w:r>
              <w:rPr>
                <w:rFonts w:hint="default" w:ascii="Times New Roman" w:hAnsi="Times New Roman" w:eastAsia="宋体" w:cs="Times New Roman"/>
                <w:bCs/>
                <w:color w:val="auto"/>
                <w:sz w:val="24"/>
                <w:highlight w:val="none"/>
                <w:shd w:val="clear" w:color="auto" w:fill="auto"/>
                <w:lang w:val="en-US" w:eastAsia="zh-CN"/>
              </w:rPr>
              <w:t>80t/a（</w:t>
            </w:r>
            <w:r>
              <w:rPr>
                <w:rFonts w:hint="eastAsia" w:ascii="Times New Roman" w:hAnsi="Times New Roman" w:eastAsia="宋体" w:cs="Times New Roman"/>
                <w:bCs/>
                <w:color w:val="auto"/>
                <w:sz w:val="24"/>
                <w:highlight w:val="none"/>
                <w:shd w:val="clear" w:color="auto" w:fill="auto"/>
                <w:lang w:val="en-US" w:eastAsia="zh-CN"/>
              </w:rPr>
              <w:t>1.6</w:t>
            </w:r>
            <w:r>
              <w:rPr>
                <w:rFonts w:hint="default" w:ascii="Times New Roman" w:hAnsi="Times New Roman" w:eastAsia="宋体" w:cs="Times New Roman"/>
                <w:bCs/>
                <w:color w:val="auto"/>
                <w:sz w:val="24"/>
                <w:highlight w:val="none"/>
                <w:shd w:val="clear" w:color="auto" w:fill="auto"/>
                <w:lang w:val="en-US" w:eastAsia="zh-CN"/>
              </w:rPr>
              <w:t>t/d），占金坛第二污水处理厂日处理余量的比例极小，金坛第二污水处理厂完全有能力接纳本项目污水。</w:t>
            </w:r>
          </w:p>
          <w:p w14:paraId="104DF7E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shd w:val="clear" w:color="auto" w:fill="auto"/>
                <w:lang w:val="en-US" w:eastAsia="zh-CN"/>
              </w:rPr>
            </w:pPr>
            <w:r>
              <w:rPr>
                <w:rFonts w:hint="default" w:ascii="Times New Roman" w:hAnsi="Times New Roman" w:eastAsia="宋体" w:cs="Times New Roman"/>
                <w:bCs/>
                <w:color w:val="auto"/>
                <w:sz w:val="24"/>
                <w:highlight w:val="none"/>
                <w:shd w:val="clear" w:color="auto" w:fill="auto"/>
                <w:lang w:val="en-US" w:eastAsia="zh-CN"/>
              </w:rPr>
              <w:t>（4）接管水质可行性</w:t>
            </w:r>
          </w:p>
          <w:p w14:paraId="13432E8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shd w:val="clear" w:color="auto" w:fill="auto"/>
                <w:lang w:val="en-US" w:eastAsia="zh-CN"/>
              </w:rPr>
            </w:pPr>
            <w:r>
              <w:rPr>
                <w:rFonts w:hint="default" w:ascii="Times New Roman" w:hAnsi="Times New Roman" w:eastAsia="宋体" w:cs="Times New Roman"/>
                <w:bCs/>
                <w:color w:val="auto"/>
                <w:sz w:val="24"/>
                <w:highlight w:val="none"/>
                <w:shd w:val="clear" w:color="auto" w:fill="auto"/>
                <w:lang w:val="en-US" w:eastAsia="zh-CN"/>
              </w:rPr>
              <w:t>本项目建成后接管废水为生活污水，废水排放浓度低、水量小、水质简单，不会对污水处理厂运行产生冲击负荷，不影响污水处理厂出水水质。</w:t>
            </w:r>
          </w:p>
          <w:p w14:paraId="3165408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shd w:val="clear" w:color="auto" w:fill="auto"/>
                <w:lang w:val="en-US" w:eastAsia="zh-CN"/>
              </w:rPr>
            </w:pPr>
            <w:r>
              <w:rPr>
                <w:rFonts w:hint="default" w:ascii="Times New Roman" w:hAnsi="Times New Roman" w:eastAsia="宋体" w:cs="Times New Roman"/>
                <w:bCs/>
                <w:color w:val="auto"/>
                <w:sz w:val="24"/>
                <w:highlight w:val="none"/>
                <w:shd w:val="clear" w:color="auto" w:fill="auto"/>
                <w:lang w:val="en-US" w:eastAsia="zh-CN"/>
              </w:rPr>
              <w:t>综上所述，本项目污水管网均已铺设完毕，从接管时间、服务范围、处理工艺以及水量水质来看，本项目运营后污水接入</w:t>
            </w:r>
            <w:r>
              <w:rPr>
                <w:rFonts w:hint="default" w:ascii="Times New Roman" w:hAnsi="Times New Roman" w:eastAsia="宋体" w:cs="Times New Roman"/>
                <w:color w:val="auto"/>
                <w:kern w:val="0"/>
                <w:sz w:val="24"/>
                <w:highlight w:val="none"/>
                <w:shd w:val="clear" w:color="auto" w:fill="auto"/>
                <w:lang w:eastAsia="zh-CN"/>
              </w:rPr>
              <w:t>金坛第二污水处理厂</w:t>
            </w:r>
            <w:r>
              <w:rPr>
                <w:rFonts w:hint="default" w:ascii="Times New Roman" w:hAnsi="Times New Roman" w:eastAsia="宋体" w:cs="Times New Roman"/>
                <w:bCs/>
                <w:color w:val="auto"/>
                <w:sz w:val="24"/>
                <w:highlight w:val="none"/>
                <w:shd w:val="clear" w:color="auto" w:fill="auto"/>
                <w:lang w:val="en-US" w:eastAsia="zh-CN"/>
              </w:rPr>
              <w:t>处理是可行的。</w:t>
            </w:r>
          </w:p>
          <w:p w14:paraId="6057DBA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auto"/>
                <w:sz w:val="24"/>
                <w:highlight w:val="none"/>
                <w:shd w:val="clear" w:color="auto" w:fill="auto"/>
                <w:lang w:val="en-US" w:eastAsia="zh-CN"/>
              </w:rPr>
            </w:pPr>
            <w:r>
              <w:rPr>
                <w:rFonts w:hint="default" w:ascii="Times New Roman" w:hAnsi="Times New Roman" w:eastAsia="宋体" w:cs="Times New Roman"/>
                <w:b/>
                <w:bCs w:val="0"/>
                <w:color w:val="auto"/>
                <w:sz w:val="24"/>
                <w:highlight w:val="none"/>
                <w:shd w:val="clear" w:color="auto" w:fill="auto"/>
                <w:lang w:val="en-US" w:eastAsia="zh-CN"/>
              </w:rPr>
              <w:t>4.废水排放情况</w:t>
            </w:r>
          </w:p>
          <w:p w14:paraId="1571F20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shd w:val="clear" w:color="auto" w:fill="auto"/>
                <w:lang w:val="en-US" w:eastAsia="zh-CN"/>
              </w:rPr>
            </w:pPr>
            <w:r>
              <w:rPr>
                <w:rFonts w:hint="default" w:ascii="Times New Roman" w:hAnsi="Times New Roman" w:eastAsia="宋体" w:cs="Times New Roman"/>
                <w:bCs/>
                <w:color w:val="auto"/>
                <w:sz w:val="24"/>
                <w:highlight w:val="none"/>
                <w:shd w:val="clear" w:color="auto" w:fill="auto"/>
                <w:lang w:val="en-US" w:eastAsia="zh-CN"/>
              </w:rPr>
              <w:t>（1）废水排放情况汇总</w:t>
            </w:r>
          </w:p>
          <w:p w14:paraId="00A69FA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shd w:val="clear" w:color="auto" w:fill="auto"/>
                <w:lang w:val="en-US" w:eastAsia="zh-CN"/>
              </w:rPr>
            </w:pPr>
            <w:r>
              <w:rPr>
                <w:rFonts w:hint="default" w:ascii="Times New Roman" w:hAnsi="Times New Roman" w:eastAsia="宋体" w:cs="Times New Roman"/>
                <w:bCs/>
                <w:color w:val="auto"/>
                <w:sz w:val="24"/>
                <w:highlight w:val="none"/>
                <w:shd w:val="clear" w:color="auto" w:fill="auto"/>
                <w:lang w:val="en-US" w:eastAsia="zh-CN"/>
              </w:rPr>
              <w:t>本项目生活污水经市政污水管网接至</w:t>
            </w:r>
            <w:r>
              <w:rPr>
                <w:rFonts w:hint="default" w:ascii="Times New Roman" w:hAnsi="Times New Roman" w:eastAsia="宋体" w:cs="Times New Roman"/>
                <w:color w:val="auto"/>
                <w:kern w:val="0"/>
                <w:sz w:val="24"/>
                <w:highlight w:val="none"/>
                <w:shd w:val="clear" w:color="auto" w:fill="auto"/>
                <w:lang w:eastAsia="zh-CN"/>
              </w:rPr>
              <w:t>金坛第二污水处理厂</w:t>
            </w:r>
            <w:r>
              <w:rPr>
                <w:rFonts w:hint="default" w:ascii="Times New Roman" w:hAnsi="Times New Roman" w:eastAsia="宋体" w:cs="Times New Roman"/>
                <w:bCs/>
                <w:color w:val="auto"/>
                <w:sz w:val="24"/>
                <w:highlight w:val="none"/>
                <w:shd w:val="clear" w:color="auto" w:fill="auto"/>
                <w:lang w:val="en-US" w:eastAsia="zh-CN"/>
              </w:rPr>
              <w:t>集中处理，废水产生及排放情况见下表。</w:t>
            </w:r>
          </w:p>
          <w:p w14:paraId="121248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shd w:val="clear" w:color="auto" w:fill="auto"/>
              </w:rPr>
            </w:pPr>
          </w:p>
          <w:p w14:paraId="01083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t>表4-</w:t>
            </w:r>
            <w:r>
              <w:rPr>
                <w:rFonts w:hint="eastAsia" w:ascii="Times New Roman" w:hAnsi="Times New Roman" w:eastAsia="宋体" w:cs="Times New Roman"/>
                <w:b/>
                <w:bCs/>
                <w:color w:val="auto"/>
                <w:sz w:val="24"/>
                <w:szCs w:val="24"/>
                <w:highlight w:val="none"/>
                <w:shd w:val="clear" w:color="auto" w:fill="auto"/>
                <w:lang w:val="en-US" w:eastAsia="zh-CN"/>
              </w:rPr>
              <w:t>15</w:t>
            </w:r>
            <w:r>
              <w:rPr>
                <w:rFonts w:hint="default" w:ascii="Times New Roman" w:hAnsi="Times New Roman" w:eastAsia="宋体" w:cs="Times New Roman"/>
                <w:b/>
                <w:bCs/>
                <w:color w:val="auto"/>
                <w:sz w:val="24"/>
                <w:szCs w:val="24"/>
                <w:highlight w:val="none"/>
                <w:shd w:val="clear" w:color="auto" w:fill="auto"/>
                <w:lang w:val="en-US" w:eastAsia="zh-CN"/>
              </w:rPr>
              <w:t xml:space="preserve">  </w:t>
            </w:r>
            <w:r>
              <w:rPr>
                <w:rFonts w:hint="default" w:ascii="Times New Roman" w:hAnsi="Times New Roman" w:eastAsia="宋体" w:cs="Times New Roman"/>
                <w:b/>
                <w:bCs/>
                <w:color w:val="auto"/>
                <w:sz w:val="24"/>
                <w:szCs w:val="24"/>
                <w:highlight w:val="none"/>
                <w:shd w:val="clear" w:color="auto" w:fill="auto"/>
              </w:rPr>
              <w:t>本项目废水污染物排放情况表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6"/>
              <w:gridCol w:w="845"/>
              <w:gridCol w:w="845"/>
              <w:gridCol w:w="852"/>
              <w:gridCol w:w="1114"/>
              <w:gridCol w:w="721"/>
              <w:gridCol w:w="721"/>
              <w:gridCol w:w="789"/>
              <w:gridCol w:w="796"/>
              <w:gridCol w:w="913"/>
            </w:tblGrid>
            <w:tr w14:paraId="211F9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restart"/>
                  <w:tcBorders>
                    <w:tl2br w:val="nil"/>
                    <w:tr2bl w:val="nil"/>
                  </w:tcBorders>
                  <w:vAlign w:val="center"/>
                </w:tcPr>
                <w:p w14:paraId="4A2CBF64">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废水产生源</w:t>
                  </w:r>
                </w:p>
              </w:tc>
              <w:tc>
                <w:tcPr>
                  <w:tcW w:w="1534" w:type="pct"/>
                  <w:gridSpan w:val="3"/>
                  <w:tcBorders>
                    <w:tl2br w:val="nil"/>
                    <w:tr2bl w:val="nil"/>
                  </w:tcBorders>
                  <w:vAlign w:val="center"/>
                </w:tcPr>
                <w:p w14:paraId="3BF05BF4">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污染物产生情况</w:t>
                  </w:r>
                </w:p>
              </w:tc>
              <w:tc>
                <w:tcPr>
                  <w:tcW w:w="672" w:type="pct"/>
                  <w:vMerge w:val="restart"/>
                  <w:tcBorders>
                    <w:tl2br w:val="nil"/>
                    <w:tr2bl w:val="nil"/>
                  </w:tcBorders>
                  <w:vAlign w:val="center"/>
                </w:tcPr>
                <w:p w14:paraId="1F654B47">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拟采取</w:t>
                  </w:r>
                </w:p>
                <w:p w14:paraId="291FA4C2">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措施</w:t>
                  </w:r>
                </w:p>
              </w:tc>
              <w:tc>
                <w:tcPr>
                  <w:tcW w:w="1346" w:type="pct"/>
                  <w:gridSpan w:val="3"/>
                  <w:tcBorders>
                    <w:tl2br w:val="nil"/>
                    <w:tr2bl w:val="nil"/>
                  </w:tcBorders>
                  <w:vAlign w:val="center"/>
                </w:tcPr>
                <w:p w14:paraId="787F658E">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污染物排放情况</w:t>
                  </w:r>
                </w:p>
              </w:tc>
              <w:tc>
                <w:tcPr>
                  <w:tcW w:w="480" w:type="pct"/>
                  <w:vMerge w:val="restart"/>
                  <w:tcBorders>
                    <w:tl2br w:val="nil"/>
                    <w:tr2bl w:val="nil"/>
                  </w:tcBorders>
                  <w:vAlign w:val="center"/>
                </w:tcPr>
                <w:p w14:paraId="34018F4D">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浓度</w:t>
                  </w:r>
                </w:p>
                <w:p w14:paraId="7DB5C559">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lang w:eastAsia="zh-CN"/>
                    </w:rPr>
                  </w:pPr>
                  <w:r>
                    <w:rPr>
                      <w:rFonts w:hint="default" w:ascii="Times New Roman" w:hAnsi="Times New Roman" w:eastAsia="宋体" w:cs="Times New Roman"/>
                      <w:b/>
                      <w:bCs/>
                      <w:color w:val="auto"/>
                      <w:sz w:val="21"/>
                      <w:szCs w:val="21"/>
                      <w:highlight w:val="none"/>
                      <w:shd w:val="clear" w:color="auto" w:fill="auto"/>
                    </w:rPr>
                    <w:t>标准</w:t>
                  </w:r>
                  <w:r>
                    <w:rPr>
                      <w:rFonts w:hint="default" w:ascii="Times New Roman" w:hAnsi="Times New Roman" w:eastAsia="宋体" w:cs="Times New Roman"/>
                      <w:b/>
                      <w:bCs/>
                      <w:color w:val="auto"/>
                      <w:sz w:val="21"/>
                      <w:szCs w:val="21"/>
                      <w:highlight w:val="none"/>
                      <w:shd w:val="clear" w:color="auto" w:fill="auto"/>
                      <w:lang w:eastAsia="zh-CN"/>
                    </w:rPr>
                    <w:t>（</w:t>
                  </w:r>
                  <w:r>
                    <w:rPr>
                      <w:rFonts w:hint="default" w:ascii="Times New Roman" w:hAnsi="Times New Roman" w:eastAsia="宋体" w:cs="Times New Roman"/>
                      <w:b/>
                      <w:bCs/>
                      <w:color w:val="auto"/>
                      <w:sz w:val="21"/>
                      <w:szCs w:val="21"/>
                      <w:highlight w:val="none"/>
                      <w:shd w:val="clear" w:color="auto" w:fill="auto"/>
                    </w:rPr>
                    <w:t>mg/L</w:t>
                  </w:r>
                  <w:r>
                    <w:rPr>
                      <w:rFonts w:hint="default" w:ascii="Times New Roman" w:hAnsi="Times New Roman" w:eastAsia="宋体" w:cs="Times New Roman"/>
                      <w:b/>
                      <w:bCs/>
                      <w:color w:val="auto"/>
                      <w:sz w:val="21"/>
                      <w:szCs w:val="21"/>
                      <w:highlight w:val="none"/>
                      <w:shd w:val="clear" w:color="auto" w:fill="auto"/>
                      <w:lang w:eastAsia="zh-CN"/>
                    </w:rPr>
                    <w:t>）</w:t>
                  </w:r>
                </w:p>
              </w:tc>
              <w:tc>
                <w:tcPr>
                  <w:tcW w:w="551" w:type="pct"/>
                  <w:vMerge w:val="restart"/>
                  <w:tcBorders>
                    <w:tl2br w:val="nil"/>
                    <w:tr2bl w:val="nil"/>
                  </w:tcBorders>
                  <w:vAlign w:val="center"/>
                </w:tcPr>
                <w:p w14:paraId="74079381">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排放方式与去向</w:t>
                  </w:r>
                </w:p>
              </w:tc>
            </w:tr>
            <w:tr w14:paraId="32B92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Merge w:val="continue"/>
                  <w:tcBorders>
                    <w:tl2br w:val="nil"/>
                    <w:tr2bl w:val="nil"/>
                  </w:tcBorders>
                  <w:vAlign w:val="center"/>
                </w:tcPr>
                <w:p w14:paraId="5161E9BD">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p>
              </w:tc>
              <w:tc>
                <w:tcPr>
                  <w:tcW w:w="510" w:type="pct"/>
                  <w:tcBorders>
                    <w:tl2br w:val="nil"/>
                    <w:tr2bl w:val="nil"/>
                  </w:tcBorders>
                  <w:vAlign w:val="center"/>
                </w:tcPr>
                <w:p w14:paraId="0E99257A">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污染物</w:t>
                  </w:r>
                </w:p>
                <w:p w14:paraId="26B809DB">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名称</w:t>
                  </w:r>
                </w:p>
              </w:tc>
              <w:tc>
                <w:tcPr>
                  <w:tcW w:w="510" w:type="pct"/>
                  <w:tcBorders>
                    <w:tl2br w:val="nil"/>
                    <w:tr2bl w:val="nil"/>
                  </w:tcBorders>
                  <w:vAlign w:val="center"/>
                </w:tcPr>
                <w:p w14:paraId="521384A6">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浓度</w:t>
                  </w:r>
                </w:p>
                <w:p w14:paraId="35AA97DF">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mg/L</w:t>
                  </w:r>
                </w:p>
              </w:tc>
              <w:tc>
                <w:tcPr>
                  <w:tcW w:w="514" w:type="pct"/>
                  <w:tcBorders>
                    <w:tl2br w:val="nil"/>
                    <w:tr2bl w:val="nil"/>
                  </w:tcBorders>
                  <w:vAlign w:val="center"/>
                </w:tcPr>
                <w:p w14:paraId="40406182">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产生量</w:t>
                  </w:r>
                </w:p>
                <w:p w14:paraId="3522CC02">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t/a</w:t>
                  </w:r>
                </w:p>
              </w:tc>
              <w:tc>
                <w:tcPr>
                  <w:tcW w:w="672" w:type="pct"/>
                  <w:vMerge w:val="continue"/>
                  <w:tcBorders>
                    <w:tl2br w:val="nil"/>
                    <w:tr2bl w:val="nil"/>
                  </w:tcBorders>
                  <w:vAlign w:val="center"/>
                </w:tcPr>
                <w:p w14:paraId="5F62D3AE">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p>
              </w:tc>
              <w:tc>
                <w:tcPr>
                  <w:tcW w:w="435" w:type="pct"/>
                  <w:tcBorders>
                    <w:tl2br w:val="nil"/>
                    <w:tr2bl w:val="nil"/>
                  </w:tcBorders>
                  <w:vAlign w:val="center"/>
                </w:tcPr>
                <w:p w14:paraId="755C6996">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污染物</w:t>
                  </w:r>
                </w:p>
                <w:p w14:paraId="1EB8DC99">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名称</w:t>
                  </w:r>
                </w:p>
              </w:tc>
              <w:tc>
                <w:tcPr>
                  <w:tcW w:w="435" w:type="pct"/>
                  <w:tcBorders>
                    <w:tl2br w:val="nil"/>
                    <w:tr2bl w:val="nil"/>
                  </w:tcBorders>
                  <w:vAlign w:val="center"/>
                </w:tcPr>
                <w:p w14:paraId="5757691C">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浓度</w:t>
                  </w:r>
                </w:p>
                <w:p w14:paraId="3E3FED00">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mg/L</w:t>
                  </w:r>
                </w:p>
              </w:tc>
              <w:tc>
                <w:tcPr>
                  <w:tcW w:w="476" w:type="pct"/>
                  <w:tcBorders>
                    <w:tl2br w:val="nil"/>
                    <w:tr2bl w:val="nil"/>
                  </w:tcBorders>
                  <w:vAlign w:val="center"/>
                </w:tcPr>
                <w:p w14:paraId="248FE083">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排放量</w:t>
                  </w:r>
                </w:p>
                <w:p w14:paraId="3062BCA7">
                  <w:pPr>
                    <w:tabs>
                      <w:tab w:val="left" w:pos="6840"/>
                    </w:tabs>
                    <w:spacing w:line="270" w:lineRule="exact"/>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t/a</w:t>
                  </w:r>
                </w:p>
              </w:tc>
              <w:tc>
                <w:tcPr>
                  <w:tcW w:w="480" w:type="pct"/>
                  <w:vMerge w:val="continue"/>
                  <w:tcBorders>
                    <w:tl2br w:val="nil"/>
                    <w:tr2bl w:val="nil"/>
                  </w:tcBorders>
                  <w:vAlign w:val="center"/>
                </w:tcPr>
                <w:p w14:paraId="3AF52B42">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c>
                <w:tcPr>
                  <w:tcW w:w="551" w:type="pct"/>
                  <w:vMerge w:val="continue"/>
                  <w:tcBorders>
                    <w:tl2br w:val="nil"/>
                    <w:tr2bl w:val="nil"/>
                  </w:tcBorders>
                  <w:vAlign w:val="center"/>
                </w:tcPr>
                <w:p w14:paraId="1498F0D5">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r>
            <w:tr w14:paraId="18811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restart"/>
                  <w:tcBorders>
                    <w:tl2br w:val="nil"/>
                    <w:tr2bl w:val="nil"/>
                  </w:tcBorders>
                  <w:vAlign w:val="center"/>
                </w:tcPr>
                <w:p w14:paraId="09C43892">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生活污水</w:t>
                  </w:r>
                </w:p>
                <w:p w14:paraId="0E038FCC">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48</w:t>
                  </w:r>
                  <w:r>
                    <w:rPr>
                      <w:rFonts w:hint="default" w:ascii="Times New Roman" w:hAnsi="Times New Roman" w:eastAsia="宋体" w:cs="Times New Roman"/>
                      <w:color w:val="auto"/>
                      <w:sz w:val="21"/>
                      <w:szCs w:val="21"/>
                      <w:highlight w:val="none"/>
                      <w:shd w:val="clear" w:color="auto" w:fill="auto"/>
                      <w:lang w:val="en-US" w:eastAsia="zh-CN"/>
                    </w:rPr>
                    <w:t>0</w:t>
                  </w:r>
                </w:p>
                <w:p w14:paraId="1EB1558C">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t/a</w:t>
                  </w:r>
                </w:p>
              </w:tc>
              <w:tc>
                <w:tcPr>
                  <w:tcW w:w="510" w:type="pct"/>
                  <w:tcBorders>
                    <w:tl2br w:val="nil"/>
                    <w:tr2bl w:val="nil"/>
                  </w:tcBorders>
                  <w:vAlign w:val="center"/>
                </w:tcPr>
                <w:p w14:paraId="25EB5642">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COD</w:t>
                  </w:r>
                </w:p>
              </w:tc>
              <w:tc>
                <w:tcPr>
                  <w:tcW w:w="510" w:type="pct"/>
                  <w:tcBorders>
                    <w:tl2br w:val="nil"/>
                    <w:tr2bl w:val="nil"/>
                  </w:tcBorders>
                  <w:vAlign w:val="center"/>
                </w:tcPr>
                <w:p w14:paraId="3EB3EEF3">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400</w:t>
                  </w:r>
                </w:p>
              </w:tc>
              <w:tc>
                <w:tcPr>
                  <w:tcW w:w="852" w:type="dxa"/>
                  <w:tcBorders>
                    <w:tl2br w:val="nil"/>
                    <w:tr2bl w:val="nil"/>
                  </w:tcBorders>
                  <w:vAlign w:val="center"/>
                </w:tcPr>
                <w:p w14:paraId="28A9621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0.192</w:t>
                  </w:r>
                </w:p>
              </w:tc>
              <w:tc>
                <w:tcPr>
                  <w:tcW w:w="672" w:type="pct"/>
                  <w:vMerge w:val="restart"/>
                  <w:tcBorders>
                    <w:tl2br w:val="nil"/>
                    <w:tr2bl w:val="nil"/>
                  </w:tcBorders>
                  <w:vAlign w:val="center"/>
                </w:tcPr>
                <w:p w14:paraId="4B0E42AE">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435" w:type="pct"/>
                  <w:tcBorders>
                    <w:tl2br w:val="nil"/>
                    <w:tr2bl w:val="nil"/>
                  </w:tcBorders>
                  <w:vAlign w:val="center"/>
                </w:tcPr>
                <w:p w14:paraId="42B30914">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COD</w:t>
                  </w:r>
                </w:p>
              </w:tc>
              <w:tc>
                <w:tcPr>
                  <w:tcW w:w="435" w:type="pct"/>
                  <w:tcBorders>
                    <w:tl2br w:val="nil"/>
                    <w:tr2bl w:val="nil"/>
                  </w:tcBorders>
                  <w:shd w:val="clear" w:color="auto" w:fill="auto"/>
                  <w:vAlign w:val="center"/>
                </w:tcPr>
                <w:p w14:paraId="78D7D01C">
                  <w:pPr>
                    <w:tabs>
                      <w:tab w:val="left" w:pos="6840"/>
                    </w:tabs>
                    <w:spacing w:line="27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400</w:t>
                  </w:r>
                </w:p>
              </w:tc>
              <w:tc>
                <w:tcPr>
                  <w:tcW w:w="789" w:type="dxa"/>
                  <w:tcBorders>
                    <w:tl2br w:val="nil"/>
                    <w:tr2bl w:val="nil"/>
                  </w:tcBorders>
                  <w:shd w:val="clear" w:color="auto" w:fill="auto"/>
                  <w:vAlign w:val="center"/>
                </w:tcPr>
                <w:p w14:paraId="5513053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0.192</w:t>
                  </w:r>
                </w:p>
              </w:tc>
              <w:tc>
                <w:tcPr>
                  <w:tcW w:w="480" w:type="pct"/>
                  <w:tcBorders>
                    <w:tl2br w:val="nil"/>
                    <w:tr2bl w:val="nil"/>
                  </w:tcBorders>
                  <w:vAlign w:val="center"/>
                </w:tcPr>
                <w:p w14:paraId="082A7F22">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500</w:t>
                  </w:r>
                </w:p>
              </w:tc>
              <w:tc>
                <w:tcPr>
                  <w:tcW w:w="551" w:type="pct"/>
                  <w:vMerge w:val="restart"/>
                  <w:tcBorders>
                    <w:tl2br w:val="nil"/>
                    <w:tr2bl w:val="nil"/>
                  </w:tcBorders>
                  <w:vAlign w:val="center"/>
                </w:tcPr>
                <w:p w14:paraId="04381BD4">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val="en-US" w:eastAsia="zh-CN"/>
                    </w:rPr>
                    <w:t>接管至金坛第二污水处理厂</w:t>
                  </w:r>
                </w:p>
              </w:tc>
            </w:tr>
            <w:tr w14:paraId="29B75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2D6C1E48">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c>
                <w:tcPr>
                  <w:tcW w:w="510" w:type="pct"/>
                  <w:tcBorders>
                    <w:tl2br w:val="nil"/>
                    <w:tr2bl w:val="nil"/>
                  </w:tcBorders>
                  <w:vAlign w:val="center"/>
                </w:tcPr>
                <w:p w14:paraId="5BA02047">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SS</w:t>
                  </w:r>
                </w:p>
              </w:tc>
              <w:tc>
                <w:tcPr>
                  <w:tcW w:w="510" w:type="pct"/>
                  <w:tcBorders>
                    <w:tl2br w:val="nil"/>
                    <w:tr2bl w:val="nil"/>
                  </w:tcBorders>
                  <w:vAlign w:val="center"/>
                </w:tcPr>
                <w:p w14:paraId="20287344">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w:t>
                  </w:r>
                  <w:r>
                    <w:rPr>
                      <w:rFonts w:hint="default" w:ascii="Times New Roman" w:hAnsi="Times New Roman" w:eastAsia="宋体" w:cs="Times New Roman"/>
                      <w:color w:val="auto"/>
                      <w:sz w:val="21"/>
                      <w:szCs w:val="21"/>
                      <w:highlight w:val="none"/>
                      <w:shd w:val="clear" w:color="auto" w:fill="auto"/>
                      <w:lang w:val="en-US" w:eastAsia="zh-CN"/>
                    </w:rPr>
                    <w:t>0</w:t>
                  </w:r>
                  <w:r>
                    <w:rPr>
                      <w:rFonts w:hint="default" w:ascii="Times New Roman" w:hAnsi="Times New Roman" w:eastAsia="宋体" w:cs="Times New Roman"/>
                      <w:color w:val="auto"/>
                      <w:sz w:val="21"/>
                      <w:szCs w:val="21"/>
                      <w:highlight w:val="none"/>
                      <w:shd w:val="clear" w:color="auto" w:fill="auto"/>
                    </w:rPr>
                    <w:t>0</w:t>
                  </w:r>
                </w:p>
              </w:tc>
              <w:tc>
                <w:tcPr>
                  <w:tcW w:w="852" w:type="dxa"/>
                  <w:tcBorders>
                    <w:tl2br w:val="nil"/>
                    <w:tr2bl w:val="nil"/>
                  </w:tcBorders>
                  <w:vAlign w:val="center"/>
                </w:tcPr>
                <w:p w14:paraId="3EFE77D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0.096</w:t>
                  </w:r>
                </w:p>
              </w:tc>
              <w:tc>
                <w:tcPr>
                  <w:tcW w:w="672" w:type="pct"/>
                  <w:vMerge w:val="continue"/>
                  <w:tcBorders>
                    <w:tl2br w:val="nil"/>
                    <w:tr2bl w:val="nil"/>
                  </w:tcBorders>
                  <w:vAlign w:val="center"/>
                </w:tcPr>
                <w:p w14:paraId="7DAC6C0C">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c>
                <w:tcPr>
                  <w:tcW w:w="435" w:type="pct"/>
                  <w:tcBorders>
                    <w:tl2br w:val="nil"/>
                    <w:tr2bl w:val="nil"/>
                  </w:tcBorders>
                  <w:vAlign w:val="center"/>
                </w:tcPr>
                <w:p w14:paraId="16A9E5E8">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SS</w:t>
                  </w:r>
                </w:p>
              </w:tc>
              <w:tc>
                <w:tcPr>
                  <w:tcW w:w="435" w:type="pct"/>
                  <w:tcBorders>
                    <w:tl2br w:val="nil"/>
                    <w:tr2bl w:val="nil"/>
                  </w:tcBorders>
                  <w:shd w:val="clear" w:color="auto" w:fill="auto"/>
                  <w:vAlign w:val="center"/>
                </w:tcPr>
                <w:p w14:paraId="3E29BA8A">
                  <w:pPr>
                    <w:tabs>
                      <w:tab w:val="left" w:pos="6840"/>
                    </w:tabs>
                    <w:spacing w:line="27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2</w:t>
                  </w:r>
                  <w:r>
                    <w:rPr>
                      <w:rFonts w:hint="default" w:ascii="Times New Roman" w:hAnsi="Times New Roman" w:eastAsia="宋体" w:cs="Times New Roman"/>
                      <w:color w:val="auto"/>
                      <w:sz w:val="21"/>
                      <w:szCs w:val="21"/>
                      <w:highlight w:val="none"/>
                      <w:shd w:val="clear" w:color="auto" w:fill="auto"/>
                      <w:lang w:val="en-US" w:eastAsia="zh-CN"/>
                    </w:rPr>
                    <w:t>0</w:t>
                  </w:r>
                  <w:r>
                    <w:rPr>
                      <w:rFonts w:hint="default" w:ascii="Times New Roman" w:hAnsi="Times New Roman" w:eastAsia="宋体" w:cs="Times New Roman"/>
                      <w:color w:val="auto"/>
                      <w:sz w:val="21"/>
                      <w:szCs w:val="21"/>
                      <w:highlight w:val="none"/>
                      <w:shd w:val="clear" w:color="auto" w:fill="auto"/>
                    </w:rPr>
                    <w:t>0</w:t>
                  </w:r>
                </w:p>
              </w:tc>
              <w:tc>
                <w:tcPr>
                  <w:tcW w:w="789" w:type="dxa"/>
                  <w:tcBorders>
                    <w:tl2br w:val="nil"/>
                    <w:tr2bl w:val="nil"/>
                  </w:tcBorders>
                  <w:shd w:val="clear" w:color="auto" w:fill="auto"/>
                  <w:vAlign w:val="center"/>
                </w:tcPr>
                <w:p w14:paraId="2D6736C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0.096</w:t>
                  </w:r>
                </w:p>
              </w:tc>
              <w:tc>
                <w:tcPr>
                  <w:tcW w:w="480" w:type="pct"/>
                  <w:tcBorders>
                    <w:tl2br w:val="nil"/>
                    <w:tr2bl w:val="nil"/>
                  </w:tcBorders>
                  <w:vAlign w:val="center"/>
                </w:tcPr>
                <w:p w14:paraId="5A8AB3A6">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250</w:t>
                  </w:r>
                </w:p>
              </w:tc>
              <w:tc>
                <w:tcPr>
                  <w:tcW w:w="551" w:type="pct"/>
                  <w:vMerge w:val="continue"/>
                  <w:tcBorders>
                    <w:tl2br w:val="nil"/>
                    <w:tr2bl w:val="nil"/>
                  </w:tcBorders>
                  <w:vAlign w:val="center"/>
                </w:tcPr>
                <w:p w14:paraId="5A79985E">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r>
            <w:tr w14:paraId="53095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3A8DC07A">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c>
                <w:tcPr>
                  <w:tcW w:w="510" w:type="pct"/>
                  <w:tcBorders>
                    <w:tl2br w:val="nil"/>
                    <w:tr2bl w:val="nil"/>
                  </w:tcBorders>
                  <w:vAlign w:val="center"/>
                </w:tcPr>
                <w:p w14:paraId="6AF06618">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NH</w:t>
                  </w:r>
                  <w:r>
                    <w:rPr>
                      <w:rFonts w:hint="default" w:ascii="Times New Roman" w:hAnsi="Times New Roman" w:eastAsia="宋体" w:cs="Times New Roman"/>
                      <w:color w:val="auto"/>
                      <w:sz w:val="21"/>
                      <w:szCs w:val="21"/>
                      <w:highlight w:val="none"/>
                      <w:shd w:val="clear" w:color="auto" w:fill="auto"/>
                      <w:vertAlign w:val="subscript"/>
                    </w:rPr>
                    <w:t>3</w:t>
                  </w:r>
                  <w:r>
                    <w:rPr>
                      <w:rFonts w:hint="default" w:ascii="Times New Roman" w:hAnsi="Times New Roman" w:eastAsia="宋体" w:cs="Times New Roman"/>
                      <w:color w:val="auto"/>
                      <w:sz w:val="21"/>
                      <w:szCs w:val="21"/>
                      <w:highlight w:val="none"/>
                      <w:shd w:val="clear" w:color="auto" w:fill="auto"/>
                    </w:rPr>
                    <w:t>-N</w:t>
                  </w:r>
                </w:p>
              </w:tc>
              <w:tc>
                <w:tcPr>
                  <w:tcW w:w="510" w:type="pct"/>
                  <w:tcBorders>
                    <w:tl2br w:val="nil"/>
                    <w:tr2bl w:val="nil"/>
                  </w:tcBorders>
                  <w:vAlign w:val="center"/>
                </w:tcPr>
                <w:p w14:paraId="6ED81298">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25</w:t>
                  </w:r>
                </w:p>
              </w:tc>
              <w:tc>
                <w:tcPr>
                  <w:tcW w:w="852" w:type="dxa"/>
                  <w:tcBorders>
                    <w:tl2br w:val="nil"/>
                    <w:tr2bl w:val="nil"/>
                  </w:tcBorders>
                  <w:vAlign w:val="center"/>
                </w:tcPr>
                <w:p w14:paraId="10A9CB3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0.012</w:t>
                  </w:r>
                </w:p>
              </w:tc>
              <w:tc>
                <w:tcPr>
                  <w:tcW w:w="672" w:type="pct"/>
                  <w:vMerge w:val="continue"/>
                  <w:tcBorders>
                    <w:tl2br w:val="nil"/>
                    <w:tr2bl w:val="nil"/>
                  </w:tcBorders>
                  <w:vAlign w:val="center"/>
                </w:tcPr>
                <w:p w14:paraId="2A014204">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c>
                <w:tcPr>
                  <w:tcW w:w="435" w:type="pct"/>
                  <w:tcBorders>
                    <w:tl2br w:val="nil"/>
                    <w:tr2bl w:val="nil"/>
                  </w:tcBorders>
                  <w:vAlign w:val="center"/>
                </w:tcPr>
                <w:p w14:paraId="712BDB8E">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NH</w:t>
                  </w:r>
                  <w:r>
                    <w:rPr>
                      <w:rFonts w:hint="default" w:ascii="Times New Roman" w:hAnsi="Times New Roman" w:eastAsia="宋体" w:cs="Times New Roman"/>
                      <w:color w:val="auto"/>
                      <w:sz w:val="21"/>
                      <w:szCs w:val="21"/>
                      <w:highlight w:val="none"/>
                      <w:shd w:val="clear" w:color="auto" w:fill="auto"/>
                      <w:vertAlign w:val="subscript"/>
                    </w:rPr>
                    <w:t>3</w:t>
                  </w:r>
                  <w:r>
                    <w:rPr>
                      <w:rFonts w:hint="default" w:ascii="Times New Roman" w:hAnsi="Times New Roman" w:eastAsia="宋体" w:cs="Times New Roman"/>
                      <w:color w:val="auto"/>
                      <w:sz w:val="21"/>
                      <w:szCs w:val="21"/>
                      <w:highlight w:val="none"/>
                      <w:shd w:val="clear" w:color="auto" w:fill="auto"/>
                    </w:rPr>
                    <w:t>-N</w:t>
                  </w:r>
                </w:p>
              </w:tc>
              <w:tc>
                <w:tcPr>
                  <w:tcW w:w="435" w:type="pct"/>
                  <w:tcBorders>
                    <w:tl2br w:val="nil"/>
                    <w:tr2bl w:val="nil"/>
                  </w:tcBorders>
                  <w:shd w:val="clear" w:color="auto" w:fill="auto"/>
                  <w:vAlign w:val="center"/>
                </w:tcPr>
                <w:p w14:paraId="3C799C25">
                  <w:pPr>
                    <w:tabs>
                      <w:tab w:val="left" w:pos="6840"/>
                    </w:tabs>
                    <w:spacing w:line="27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25</w:t>
                  </w:r>
                </w:p>
              </w:tc>
              <w:tc>
                <w:tcPr>
                  <w:tcW w:w="789" w:type="dxa"/>
                  <w:tcBorders>
                    <w:tl2br w:val="nil"/>
                    <w:tr2bl w:val="nil"/>
                  </w:tcBorders>
                  <w:shd w:val="clear" w:color="auto" w:fill="auto"/>
                  <w:vAlign w:val="center"/>
                </w:tcPr>
                <w:p w14:paraId="3BE3F15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0.012</w:t>
                  </w:r>
                </w:p>
              </w:tc>
              <w:tc>
                <w:tcPr>
                  <w:tcW w:w="480" w:type="pct"/>
                  <w:tcBorders>
                    <w:tl2br w:val="nil"/>
                    <w:tr2bl w:val="nil"/>
                  </w:tcBorders>
                  <w:vAlign w:val="center"/>
                </w:tcPr>
                <w:p w14:paraId="582772C7">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35</w:t>
                  </w:r>
                </w:p>
              </w:tc>
              <w:tc>
                <w:tcPr>
                  <w:tcW w:w="551" w:type="pct"/>
                  <w:vMerge w:val="continue"/>
                  <w:tcBorders>
                    <w:tl2br w:val="nil"/>
                    <w:tr2bl w:val="nil"/>
                  </w:tcBorders>
                  <w:vAlign w:val="center"/>
                </w:tcPr>
                <w:p w14:paraId="644F64C2">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r>
            <w:tr w14:paraId="7F2E2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656576E2">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c>
                <w:tcPr>
                  <w:tcW w:w="510" w:type="pct"/>
                  <w:tcBorders>
                    <w:tl2br w:val="nil"/>
                    <w:tr2bl w:val="nil"/>
                  </w:tcBorders>
                  <w:vAlign w:val="center"/>
                </w:tcPr>
                <w:p w14:paraId="72674A64">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TN</w:t>
                  </w:r>
                </w:p>
              </w:tc>
              <w:tc>
                <w:tcPr>
                  <w:tcW w:w="510" w:type="pct"/>
                  <w:tcBorders>
                    <w:tl2br w:val="nil"/>
                    <w:tr2bl w:val="nil"/>
                  </w:tcBorders>
                  <w:vAlign w:val="center"/>
                </w:tcPr>
                <w:p w14:paraId="76386DD5">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35</w:t>
                  </w:r>
                </w:p>
              </w:tc>
              <w:tc>
                <w:tcPr>
                  <w:tcW w:w="852" w:type="dxa"/>
                  <w:tcBorders>
                    <w:tl2br w:val="nil"/>
                    <w:tr2bl w:val="nil"/>
                  </w:tcBorders>
                  <w:vAlign w:val="center"/>
                </w:tcPr>
                <w:p w14:paraId="04A468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0.01</w:t>
                  </w:r>
                  <w:r>
                    <w:rPr>
                      <w:rFonts w:hint="eastAsia" w:ascii="Times New Roman" w:hAnsi="Times New Roman" w:eastAsia="宋体" w:cs="Times New Roman"/>
                      <w:i w:val="0"/>
                      <w:iCs w:val="0"/>
                      <w:color w:val="auto"/>
                      <w:kern w:val="0"/>
                      <w:sz w:val="22"/>
                      <w:szCs w:val="22"/>
                      <w:u w:val="none"/>
                      <w:lang w:val="en-US" w:eastAsia="zh-CN" w:bidi="ar"/>
                    </w:rPr>
                    <w:t>7</w:t>
                  </w:r>
                </w:p>
              </w:tc>
              <w:tc>
                <w:tcPr>
                  <w:tcW w:w="672" w:type="pct"/>
                  <w:vMerge w:val="continue"/>
                  <w:tcBorders>
                    <w:tl2br w:val="nil"/>
                    <w:tr2bl w:val="nil"/>
                  </w:tcBorders>
                  <w:vAlign w:val="center"/>
                </w:tcPr>
                <w:p w14:paraId="2352BE1E">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c>
                <w:tcPr>
                  <w:tcW w:w="435" w:type="pct"/>
                  <w:tcBorders>
                    <w:tl2br w:val="nil"/>
                    <w:tr2bl w:val="nil"/>
                  </w:tcBorders>
                  <w:vAlign w:val="center"/>
                </w:tcPr>
                <w:p w14:paraId="7E4D4ECF">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TN</w:t>
                  </w:r>
                </w:p>
              </w:tc>
              <w:tc>
                <w:tcPr>
                  <w:tcW w:w="435" w:type="pct"/>
                  <w:tcBorders>
                    <w:tl2br w:val="nil"/>
                    <w:tr2bl w:val="nil"/>
                  </w:tcBorders>
                  <w:shd w:val="clear" w:color="auto" w:fill="auto"/>
                  <w:vAlign w:val="center"/>
                </w:tcPr>
                <w:p w14:paraId="3B98F214">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35</w:t>
                  </w:r>
                </w:p>
              </w:tc>
              <w:tc>
                <w:tcPr>
                  <w:tcW w:w="789" w:type="dxa"/>
                  <w:tcBorders>
                    <w:tl2br w:val="nil"/>
                    <w:tr2bl w:val="nil"/>
                  </w:tcBorders>
                  <w:shd w:val="clear" w:color="auto" w:fill="auto"/>
                  <w:vAlign w:val="center"/>
                </w:tcPr>
                <w:p w14:paraId="034442E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0.01</w:t>
                  </w:r>
                  <w:r>
                    <w:rPr>
                      <w:rFonts w:hint="eastAsia" w:ascii="Times New Roman" w:hAnsi="Times New Roman" w:eastAsia="宋体" w:cs="Times New Roman"/>
                      <w:i w:val="0"/>
                      <w:iCs w:val="0"/>
                      <w:color w:val="auto"/>
                      <w:kern w:val="0"/>
                      <w:sz w:val="22"/>
                      <w:szCs w:val="22"/>
                      <w:u w:val="none"/>
                      <w:lang w:val="en-US" w:eastAsia="zh-CN" w:bidi="ar"/>
                    </w:rPr>
                    <w:t>7</w:t>
                  </w:r>
                </w:p>
              </w:tc>
              <w:tc>
                <w:tcPr>
                  <w:tcW w:w="480" w:type="pct"/>
                  <w:tcBorders>
                    <w:tl2br w:val="nil"/>
                    <w:tr2bl w:val="nil"/>
                  </w:tcBorders>
                  <w:vAlign w:val="center"/>
                </w:tcPr>
                <w:p w14:paraId="3E55E95F">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50</w:t>
                  </w:r>
                </w:p>
              </w:tc>
              <w:tc>
                <w:tcPr>
                  <w:tcW w:w="551" w:type="pct"/>
                  <w:vMerge w:val="continue"/>
                  <w:tcBorders>
                    <w:tl2br w:val="nil"/>
                    <w:tr2bl w:val="nil"/>
                  </w:tcBorders>
                  <w:vAlign w:val="center"/>
                </w:tcPr>
                <w:p w14:paraId="5C487100">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r>
            <w:tr w14:paraId="3776D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4" w:type="pct"/>
                  <w:vMerge w:val="continue"/>
                  <w:tcBorders>
                    <w:tl2br w:val="nil"/>
                    <w:tr2bl w:val="nil"/>
                  </w:tcBorders>
                  <w:vAlign w:val="center"/>
                </w:tcPr>
                <w:p w14:paraId="5E329BFF">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c>
                <w:tcPr>
                  <w:tcW w:w="510" w:type="pct"/>
                  <w:tcBorders>
                    <w:tl2br w:val="nil"/>
                    <w:tr2bl w:val="nil"/>
                  </w:tcBorders>
                  <w:vAlign w:val="center"/>
                </w:tcPr>
                <w:p w14:paraId="78FDB561">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TP</w:t>
                  </w:r>
                </w:p>
              </w:tc>
              <w:tc>
                <w:tcPr>
                  <w:tcW w:w="510" w:type="pct"/>
                  <w:tcBorders>
                    <w:tl2br w:val="nil"/>
                    <w:tr2bl w:val="nil"/>
                  </w:tcBorders>
                  <w:vAlign w:val="center"/>
                </w:tcPr>
                <w:p w14:paraId="65277C40">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2.5</w:t>
                  </w:r>
                </w:p>
              </w:tc>
              <w:tc>
                <w:tcPr>
                  <w:tcW w:w="852" w:type="dxa"/>
                  <w:tcBorders>
                    <w:tl2br w:val="nil"/>
                    <w:tr2bl w:val="nil"/>
                  </w:tcBorders>
                  <w:vAlign w:val="center"/>
                </w:tcPr>
                <w:p w14:paraId="233DA1A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0.001</w:t>
                  </w:r>
                </w:p>
              </w:tc>
              <w:tc>
                <w:tcPr>
                  <w:tcW w:w="672" w:type="pct"/>
                  <w:vMerge w:val="continue"/>
                  <w:tcBorders>
                    <w:tl2br w:val="nil"/>
                    <w:tr2bl w:val="nil"/>
                  </w:tcBorders>
                  <w:vAlign w:val="center"/>
                </w:tcPr>
                <w:p w14:paraId="65E9F342">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c>
                <w:tcPr>
                  <w:tcW w:w="435" w:type="pct"/>
                  <w:tcBorders>
                    <w:tl2br w:val="nil"/>
                    <w:tr2bl w:val="nil"/>
                  </w:tcBorders>
                  <w:vAlign w:val="center"/>
                </w:tcPr>
                <w:p w14:paraId="640F806C">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TP</w:t>
                  </w:r>
                </w:p>
              </w:tc>
              <w:tc>
                <w:tcPr>
                  <w:tcW w:w="435" w:type="pct"/>
                  <w:tcBorders>
                    <w:tl2br w:val="nil"/>
                    <w:tr2bl w:val="nil"/>
                  </w:tcBorders>
                  <w:shd w:val="clear" w:color="auto" w:fill="auto"/>
                  <w:vAlign w:val="center"/>
                </w:tcPr>
                <w:p w14:paraId="1DCF1C9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2.5</w:t>
                  </w:r>
                </w:p>
              </w:tc>
              <w:tc>
                <w:tcPr>
                  <w:tcW w:w="789" w:type="dxa"/>
                  <w:tcBorders>
                    <w:tl2br w:val="nil"/>
                    <w:tr2bl w:val="nil"/>
                  </w:tcBorders>
                  <w:shd w:val="clear" w:color="auto" w:fill="auto"/>
                  <w:vAlign w:val="center"/>
                </w:tcPr>
                <w:p w14:paraId="7B433B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0.001</w:t>
                  </w:r>
                </w:p>
              </w:tc>
              <w:tc>
                <w:tcPr>
                  <w:tcW w:w="480" w:type="pct"/>
                  <w:tcBorders>
                    <w:tl2br w:val="nil"/>
                    <w:tr2bl w:val="nil"/>
                  </w:tcBorders>
                  <w:vAlign w:val="center"/>
                </w:tcPr>
                <w:p w14:paraId="20769BB0">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3</w:t>
                  </w:r>
                </w:p>
              </w:tc>
              <w:tc>
                <w:tcPr>
                  <w:tcW w:w="551" w:type="pct"/>
                  <w:vMerge w:val="continue"/>
                  <w:tcBorders>
                    <w:tl2br w:val="nil"/>
                    <w:tr2bl w:val="nil"/>
                  </w:tcBorders>
                  <w:vAlign w:val="center"/>
                </w:tcPr>
                <w:p w14:paraId="377AA064">
                  <w:pPr>
                    <w:tabs>
                      <w:tab w:val="left" w:pos="6840"/>
                    </w:tabs>
                    <w:spacing w:line="270" w:lineRule="exact"/>
                    <w:jc w:val="center"/>
                    <w:rPr>
                      <w:rFonts w:hint="default" w:ascii="Times New Roman" w:hAnsi="Times New Roman" w:eastAsia="宋体" w:cs="Times New Roman"/>
                      <w:color w:val="auto"/>
                      <w:sz w:val="21"/>
                      <w:szCs w:val="21"/>
                      <w:highlight w:val="none"/>
                      <w:shd w:val="clear" w:color="auto" w:fill="auto"/>
                    </w:rPr>
                  </w:pPr>
                </w:p>
              </w:tc>
            </w:tr>
          </w:tbl>
          <w:p w14:paraId="231F6381">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Cs/>
                <w:color w:val="auto"/>
                <w:sz w:val="24"/>
                <w:highlight w:val="none"/>
                <w:shd w:val="clear" w:color="auto" w:fill="auto"/>
                <w:lang w:val="en-US" w:eastAsia="zh-CN"/>
              </w:rPr>
            </w:pPr>
            <w:r>
              <w:rPr>
                <w:rFonts w:hint="default" w:ascii="Times New Roman" w:hAnsi="Times New Roman" w:eastAsia="宋体" w:cs="Times New Roman"/>
                <w:bCs/>
                <w:color w:val="auto"/>
                <w:sz w:val="24"/>
                <w:highlight w:val="none"/>
                <w:shd w:val="clear" w:color="auto" w:fill="auto"/>
                <w:lang w:val="en-US" w:eastAsia="zh-CN"/>
              </w:rPr>
              <w:t>（2）排放口基本信息</w:t>
            </w:r>
          </w:p>
          <w:p w14:paraId="164039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shd w:val="clear" w:color="auto" w:fill="auto"/>
                <w:lang w:val="en-US" w:eastAsia="zh-CN" w:bidi="ar-SA"/>
              </w:rPr>
            </w:pPr>
            <w:r>
              <w:rPr>
                <w:rFonts w:hint="default" w:ascii="Times New Roman" w:hAnsi="Times New Roman" w:eastAsia="宋体" w:cs="Times New Roman"/>
                <w:b w:val="0"/>
                <w:bCs w:val="0"/>
                <w:color w:val="auto"/>
                <w:sz w:val="24"/>
                <w:szCs w:val="24"/>
                <w:highlight w:val="none"/>
                <w:shd w:val="clear" w:color="auto" w:fill="auto"/>
                <w:lang w:val="en-US" w:eastAsia="zh-CN"/>
              </w:rPr>
              <w:t>本</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项目生活污水</w:t>
            </w:r>
            <w:r>
              <w:rPr>
                <w:rFonts w:hint="default" w:ascii="Times New Roman" w:hAnsi="Times New Roman" w:eastAsia="宋体" w:cs="Times New Roman"/>
                <w:bCs/>
                <w:color w:val="auto"/>
                <w:sz w:val="24"/>
                <w:highlight w:val="none"/>
                <w:shd w:val="clear" w:color="auto" w:fill="auto"/>
                <w:lang w:val="en-US" w:eastAsia="zh-CN"/>
              </w:rPr>
              <w:t>经市政污水管网接至</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金坛第二污水处理厂，排放口信息如下。</w:t>
            </w:r>
          </w:p>
          <w:p w14:paraId="19B65618">
            <w:pPr>
              <w:pStyle w:val="77"/>
              <w:spacing w:line="240" w:lineRule="auto"/>
              <w:ind w:firstLine="0" w:firstLineChars="0"/>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lang w:val="en-US" w:eastAsia="zh-CN" w:bidi="ar-SA"/>
              </w:rPr>
              <w:t>表4-</w:t>
            </w:r>
            <w:r>
              <w:rPr>
                <w:rFonts w:hint="eastAsia" w:eastAsia="宋体" w:cs="Times New Roman"/>
                <w:b/>
                <w:bCs/>
                <w:color w:val="auto"/>
                <w:kern w:val="0"/>
                <w:sz w:val="24"/>
                <w:szCs w:val="24"/>
                <w:highlight w:val="none"/>
                <w:shd w:val="clear" w:color="auto" w:fill="auto"/>
                <w:lang w:val="en-US" w:eastAsia="zh-CN" w:bidi="ar-SA"/>
              </w:rPr>
              <w:t>16</w:t>
            </w:r>
            <w:r>
              <w:rPr>
                <w:rFonts w:hint="default" w:ascii="Times New Roman" w:hAnsi="Times New Roman" w:eastAsia="宋体" w:cs="Times New Roman"/>
                <w:b/>
                <w:bCs/>
                <w:color w:val="auto"/>
                <w:kern w:val="0"/>
                <w:sz w:val="24"/>
                <w:szCs w:val="24"/>
                <w:highlight w:val="none"/>
                <w:shd w:val="clear" w:color="auto" w:fill="auto"/>
                <w:lang w:val="en-US" w:eastAsia="zh-CN" w:bidi="ar-SA"/>
              </w:rPr>
              <w:t xml:space="preserve">  本项目废水间接排放口基本情况表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42"/>
              <w:gridCol w:w="762"/>
              <w:gridCol w:w="692"/>
              <w:gridCol w:w="693"/>
              <w:gridCol w:w="793"/>
              <w:gridCol w:w="630"/>
              <w:gridCol w:w="1130"/>
              <w:gridCol w:w="603"/>
              <w:gridCol w:w="715"/>
              <w:gridCol w:w="644"/>
              <w:gridCol w:w="1279"/>
            </w:tblGrid>
            <w:tr w14:paraId="4B44D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2" w:type="dxa"/>
                  <w:vMerge w:val="restart"/>
                  <w:tcBorders>
                    <w:tl2br w:val="nil"/>
                    <w:tr2bl w:val="nil"/>
                  </w:tcBorders>
                  <w:noWrap w:val="0"/>
                  <w:vAlign w:val="center"/>
                </w:tcPr>
                <w:p w14:paraId="67EE4190">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序号</w:t>
                  </w:r>
                </w:p>
              </w:tc>
              <w:tc>
                <w:tcPr>
                  <w:tcW w:w="762" w:type="dxa"/>
                  <w:vMerge w:val="restart"/>
                  <w:tcBorders>
                    <w:tl2br w:val="nil"/>
                    <w:tr2bl w:val="nil"/>
                  </w:tcBorders>
                  <w:noWrap w:val="0"/>
                  <w:vAlign w:val="center"/>
                </w:tcPr>
                <w:p w14:paraId="4E4ADB3A">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排放口编号</w:t>
                  </w:r>
                </w:p>
              </w:tc>
              <w:tc>
                <w:tcPr>
                  <w:tcW w:w="1385" w:type="dxa"/>
                  <w:gridSpan w:val="2"/>
                  <w:tcBorders>
                    <w:tl2br w:val="nil"/>
                    <w:tr2bl w:val="nil"/>
                  </w:tcBorders>
                  <w:noWrap w:val="0"/>
                  <w:vAlign w:val="center"/>
                </w:tcPr>
                <w:p w14:paraId="6DE4E83B">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地理坐标</w:t>
                  </w:r>
                </w:p>
              </w:tc>
              <w:tc>
                <w:tcPr>
                  <w:tcW w:w="793" w:type="dxa"/>
                  <w:vMerge w:val="restart"/>
                  <w:tcBorders>
                    <w:tl2br w:val="nil"/>
                    <w:tr2bl w:val="nil"/>
                  </w:tcBorders>
                  <w:noWrap w:val="0"/>
                  <w:vAlign w:val="center"/>
                </w:tcPr>
                <w:p w14:paraId="3A2A1FB2">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废水排放量（万m</w:t>
                  </w:r>
                  <w:r>
                    <w:rPr>
                      <w:rFonts w:hint="default" w:ascii="Times New Roman" w:hAnsi="Times New Roman" w:eastAsia="宋体" w:cs="Times New Roman"/>
                      <w:b/>
                      <w:color w:val="auto"/>
                      <w:highlight w:val="none"/>
                      <w:shd w:val="clear" w:color="auto" w:fill="auto"/>
                      <w:vertAlign w:val="superscript"/>
                    </w:rPr>
                    <w:t>3</w:t>
                  </w:r>
                  <w:r>
                    <w:rPr>
                      <w:rFonts w:hint="default" w:ascii="Times New Roman" w:hAnsi="Times New Roman" w:eastAsia="宋体" w:cs="Times New Roman"/>
                      <w:b/>
                      <w:color w:val="auto"/>
                      <w:highlight w:val="none"/>
                      <w:shd w:val="clear" w:color="auto" w:fill="auto"/>
                    </w:rPr>
                    <w:t>/a）</w:t>
                  </w:r>
                </w:p>
              </w:tc>
              <w:tc>
                <w:tcPr>
                  <w:tcW w:w="630" w:type="dxa"/>
                  <w:vMerge w:val="restart"/>
                  <w:tcBorders>
                    <w:tl2br w:val="nil"/>
                    <w:tr2bl w:val="nil"/>
                  </w:tcBorders>
                  <w:noWrap w:val="0"/>
                  <w:vAlign w:val="center"/>
                </w:tcPr>
                <w:p w14:paraId="6CFD4891">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排放去向</w:t>
                  </w:r>
                </w:p>
              </w:tc>
              <w:tc>
                <w:tcPr>
                  <w:tcW w:w="1130" w:type="dxa"/>
                  <w:vMerge w:val="restart"/>
                  <w:tcBorders>
                    <w:tl2br w:val="nil"/>
                    <w:tr2bl w:val="nil"/>
                  </w:tcBorders>
                  <w:noWrap w:val="0"/>
                  <w:vAlign w:val="center"/>
                </w:tcPr>
                <w:p w14:paraId="198BA572">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排放规律</w:t>
                  </w:r>
                </w:p>
              </w:tc>
              <w:tc>
                <w:tcPr>
                  <w:tcW w:w="603" w:type="dxa"/>
                  <w:vMerge w:val="restart"/>
                  <w:tcBorders>
                    <w:tl2br w:val="nil"/>
                    <w:tr2bl w:val="nil"/>
                  </w:tcBorders>
                  <w:noWrap w:val="0"/>
                  <w:vAlign w:val="center"/>
                </w:tcPr>
                <w:p w14:paraId="727146D3">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间歇排放时段</w:t>
                  </w:r>
                </w:p>
              </w:tc>
              <w:tc>
                <w:tcPr>
                  <w:tcW w:w="2638" w:type="dxa"/>
                  <w:gridSpan w:val="3"/>
                  <w:tcBorders>
                    <w:tl2br w:val="nil"/>
                    <w:tr2bl w:val="nil"/>
                  </w:tcBorders>
                  <w:noWrap w:val="0"/>
                  <w:vAlign w:val="center"/>
                </w:tcPr>
                <w:p w14:paraId="1FE63CDB">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受纳污水处理厂信息</w:t>
                  </w:r>
                </w:p>
              </w:tc>
            </w:tr>
            <w:tr w14:paraId="35E2E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2" w:type="dxa"/>
                  <w:vMerge w:val="continue"/>
                  <w:tcBorders>
                    <w:tl2br w:val="nil"/>
                    <w:tr2bl w:val="nil"/>
                  </w:tcBorders>
                  <w:noWrap w:val="0"/>
                  <w:vAlign w:val="center"/>
                </w:tcPr>
                <w:p w14:paraId="0445AC15">
                  <w:pPr>
                    <w:pStyle w:val="78"/>
                    <w:rPr>
                      <w:rFonts w:hint="default" w:ascii="Times New Roman" w:hAnsi="Times New Roman" w:eastAsia="宋体" w:cs="Times New Roman"/>
                      <w:b/>
                      <w:color w:val="auto"/>
                      <w:highlight w:val="none"/>
                      <w:shd w:val="clear" w:color="auto" w:fill="auto"/>
                    </w:rPr>
                  </w:pPr>
                </w:p>
              </w:tc>
              <w:tc>
                <w:tcPr>
                  <w:tcW w:w="762" w:type="dxa"/>
                  <w:vMerge w:val="continue"/>
                  <w:tcBorders>
                    <w:tl2br w:val="nil"/>
                    <w:tr2bl w:val="nil"/>
                  </w:tcBorders>
                  <w:noWrap w:val="0"/>
                  <w:vAlign w:val="center"/>
                </w:tcPr>
                <w:p w14:paraId="1250FF24">
                  <w:pPr>
                    <w:pStyle w:val="78"/>
                    <w:rPr>
                      <w:rFonts w:hint="default" w:ascii="Times New Roman" w:hAnsi="Times New Roman" w:eastAsia="宋体" w:cs="Times New Roman"/>
                      <w:b/>
                      <w:color w:val="auto"/>
                      <w:highlight w:val="none"/>
                      <w:shd w:val="clear" w:color="auto" w:fill="auto"/>
                    </w:rPr>
                  </w:pPr>
                </w:p>
              </w:tc>
              <w:tc>
                <w:tcPr>
                  <w:tcW w:w="692" w:type="dxa"/>
                  <w:tcBorders>
                    <w:tl2br w:val="nil"/>
                    <w:tr2bl w:val="nil"/>
                  </w:tcBorders>
                  <w:noWrap w:val="0"/>
                  <w:vAlign w:val="center"/>
                </w:tcPr>
                <w:p w14:paraId="37E27A53">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经度</w:t>
                  </w:r>
                </w:p>
              </w:tc>
              <w:tc>
                <w:tcPr>
                  <w:tcW w:w="693" w:type="dxa"/>
                  <w:tcBorders>
                    <w:tl2br w:val="nil"/>
                    <w:tr2bl w:val="nil"/>
                  </w:tcBorders>
                  <w:noWrap w:val="0"/>
                  <w:vAlign w:val="center"/>
                </w:tcPr>
                <w:p w14:paraId="61CE173B">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纬度</w:t>
                  </w:r>
                </w:p>
              </w:tc>
              <w:tc>
                <w:tcPr>
                  <w:tcW w:w="793" w:type="dxa"/>
                  <w:vMerge w:val="continue"/>
                  <w:tcBorders>
                    <w:tl2br w:val="nil"/>
                    <w:tr2bl w:val="nil"/>
                  </w:tcBorders>
                  <w:noWrap w:val="0"/>
                  <w:vAlign w:val="center"/>
                </w:tcPr>
                <w:p w14:paraId="3B04CD53">
                  <w:pPr>
                    <w:pStyle w:val="78"/>
                    <w:rPr>
                      <w:rFonts w:hint="default" w:ascii="Times New Roman" w:hAnsi="Times New Roman" w:eastAsia="宋体" w:cs="Times New Roman"/>
                      <w:b/>
                      <w:color w:val="auto"/>
                      <w:highlight w:val="none"/>
                      <w:shd w:val="clear" w:color="auto" w:fill="auto"/>
                    </w:rPr>
                  </w:pPr>
                </w:p>
              </w:tc>
              <w:tc>
                <w:tcPr>
                  <w:tcW w:w="630" w:type="dxa"/>
                  <w:vMerge w:val="continue"/>
                  <w:tcBorders>
                    <w:tl2br w:val="nil"/>
                    <w:tr2bl w:val="nil"/>
                  </w:tcBorders>
                  <w:noWrap w:val="0"/>
                  <w:vAlign w:val="center"/>
                </w:tcPr>
                <w:p w14:paraId="727EB1D9">
                  <w:pPr>
                    <w:pStyle w:val="78"/>
                    <w:rPr>
                      <w:rFonts w:hint="default" w:ascii="Times New Roman" w:hAnsi="Times New Roman" w:eastAsia="宋体" w:cs="Times New Roman"/>
                      <w:b/>
                      <w:color w:val="auto"/>
                      <w:highlight w:val="none"/>
                      <w:shd w:val="clear" w:color="auto" w:fill="auto"/>
                    </w:rPr>
                  </w:pPr>
                </w:p>
              </w:tc>
              <w:tc>
                <w:tcPr>
                  <w:tcW w:w="1130" w:type="dxa"/>
                  <w:vMerge w:val="continue"/>
                  <w:tcBorders>
                    <w:tl2br w:val="nil"/>
                    <w:tr2bl w:val="nil"/>
                  </w:tcBorders>
                  <w:noWrap w:val="0"/>
                  <w:vAlign w:val="center"/>
                </w:tcPr>
                <w:p w14:paraId="2029F97C">
                  <w:pPr>
                    <w:pStyle w:val="78"/>
                    <w:rPr>
                      <w:rFonts w:hint="default" w:ascii="Times New Roman" w:hAnsi="Times New Roman" w:eastAsia="宋体" w:cs="Times New Roman"/>
                      <w:b/>
                      <w:color w:val="auto"/>
                      <w:highlight w:val="none"/>
                      <w:shd w:val="clear" w:color="auto" w:fill="auto"/>
                    </w:rPr>
                  </w:pPr>
                </w:p>
              </w:tc>
              <w:tc>
                <w:tcPr>
                  <w:tcW w:w="603" w:type="dxa"/>
                  <w:vMerge w:val="continue"/>
                  <w:tcBorders>
                    <w:tl2br w:val="nil"/>
                    <w:tr2bl w:val="nil"/>
                  </w:tcBorders>
                  <w:noWrap w:val="0"/>
                  <w:vAlign w:val="center"/>
                </w:tcPr>
                <w:p w14:paraId="02899A29">
                  <w:pPr>
                    <w:pStyle w:val="78"/>
                    <w:rPr>
                      <w:rFonts w:hint="default" w:ascii="Times New Roman" w:hAnsi="Times New Roman" w:eastAsia="宋体" w:cs="Times New Roman"/>
                      <w:b/>
                      <w:color w:val="auto"/>
                      <w:highlight w:val="none"/>
                      <w:shd w:val="clear" w:color="auto" w:fill="auto"/>
                    </w:rPr>
                  </w:pPr>
                </w:p>
              </w:tc>
              <w:tc>
                <w:tcPr>
                  <w:tcW w:w="715" w:type="dxa"/>
                  <w:tcBorders>
                    <w:tl2br w:val="nil"/>
                    <w:tr2bl w:val="nil"/>
                  </w:tcBorders>
                  <w:noWrap w:val="0"/>
                  <w:vAlign w:val="center"/>
                </w:tcPr>
                <w:p w14:paraId="05F89451">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名称</w:t>
                  </w:r>
                </w:p>
              </w:tc>
              <w:tc>
                <w:tcPr>
                  <w:tcW w:w="644" w:type="dxa"/>
                  <w:tcBorders>
                    <w:tl2br w:val="nil"/>
                    <w:tr2bl w:val="nil"/>
                  </w:tcBorders>
                  <w:noWrap w:val="0"/>
                  <w:vAlign w:val="center"/>
                </w:tcPr>
                <w:p w14:paraId="2586F612">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污染物种类</w:t>
                  </w:r>
                </w:p>
              </w:tc>
              <w:tc>
                <w:tcPr>
                  <w:tcW w:w="1279" w:type="dxa"/>
                  <w:tcBorders>
                    <w:tl2br w:val="nil"/>
                    <w:tr2bl w:val="nil"/>
                  </w:tcBorders>
                  <w:noWrap w:val="0"/>
                  <w:vAlign w:val="center"/>
                </w:tcPr>
                <w:p w14:paraId="1621BCC0">
                  <w:pPr>
                    <w:pStyle w:val="78"/>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国家或地方污染物排放标准浓度限值(mg/L)</w:t>
                  </w:r>
                </w:p>
              </w:tc>
            </w:tr>
            <w:tr w14:paraId="652A5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2" w:type="dxa"/>
                  <w:vMerge w:val="restart"/>
                  <w:tcBorders>
                    <w:tl2br w:val="nil"/>
                    <w:tr2bl w:val="nil"/>
                  </w:tcBorders>
                  <w:noWrap w:val="0"/>
                  <w:vAlign w:val="center"/>
                </w:tcPr>
                <w:p w14:paraId="5D45417A">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762" w:type="dxa"/>
                  <w:vMerge w:val="restart"/>
                  <w:tcBorders>
                    <w:tl2br w:val="nil"/>
                    <w:tr2bl w:val="nil"/>
                  </w:tcBorders>
                  <w:noWrap w:val="0"/>
                  <w:vAlign w:val="center"/>
                </w:tcPr>
                <w:p w14:paraId="04D935EF">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DW001</w:t>
                  </w:r>
                </w:p>
              </w:tc>
              <w:tc>
                <w:tcPr>
                  <w:tcW w:w="692" w:type="dxa"/>
                  <w:vMerge w:val="restart"/>
                  <w:tcBorders>
                    <w:tl2br w:val="nil"/>
                    <w:tr2bl w:val="nil"/>
                  </w:tcBorders>
                  <w:noWrap w:val="0"/>
                  <w:vAlign w:val="center"/>
                </w:tcPr>
                <w:p w14:paraId="5537BDDB">
                  <w:pPr>
                    <w:pStyle w:val="78"/>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rPr>
                    <w:t>119.</w:t>
                  </w:r>
                  <w:r>
                    <w:rPr>
                      <w:rFonts w:hint="default" w:ascii="Times New Roman" w:hAnsi="Times New Roman" w:eastAsia="宋体" w:cs="Times New Roman"/>
                      <w:color w:val="auto"/>
                      <w:highlight w:val="none"/>
                      <w:shd w:val="clear" w:color="auto" w:fill="auto"/>
                      <w:lang w:val="en-US" w:eastAsia="zh-CN"/>
                    </w:rPr>
                    <w:t>6</w:t>
                  </w:r>
                  <w:r>
                    <w:rPr>
                      <w:rFonts w:hint="eastAsia" w:ascii="Times New Roman" w:hAnsi="Times New Roman" w:eastAsia="宋体" w:cs="Times New Roman"/>
                      <w:color w:val="auto"/>
                      <w:highlight w:val="none"/>
                      <w:shd w:val="clear" w:color="auto" w:fill="auto"/>
                      <w:lang w:val="en-US" w:eastAsia="zh-CN"/>
                    </w:rPr>
                    <w:t>12615</w:t>
                  </w:r>
                </w:p>
              </w:tc>
              <w:tc>
                <w:tcPr>
                  <w:tcW w:w="693" w:type="dxa"/>
                  <w:vMerge w:val="restart"/>
                  <w:tcBorders>
                    <w:tl2br w:val="nil"/>
                    <w:tr2bl w:val="nil"/>
                  </w:tcBorders>
                  <w:noWrap w:val="0"/>
                  <w:vAlign w:val="center"/>
                </w:tcPr>
                <w:p w14:paraId="0A1A1FA4">
                  <w:pPr>
                    <w:pStyle w:val="78"/>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rPr>
                    <w:t>31.7</w:t>
                  </w:r>
                  <w:r>
                    <w:rPr>
                      <w:rFonts w:hint="eastAsia" w:ascii="Times New Roman" w:hAnsi="Times New Roman" w:eastAsia="宋体" w:cs="Times New Roman"/>
                      <w:color w:val="auto"/>
                      <w:highlight w:val="none"/>
                      <w:shd w:val="clear" w:color="auto" w:fill="auto"/>
                      <w:lang w:val="en-US" w:eastAsia="zh-CN"/>
                    </w:rPr>
                    <w:t>55709</w:t>
                  </w:r>
                </w:p>
              </w:tc>
              <w:tc>
                <w:tcPr>
                  <w:tcW w:w="793" w:type="dxa"/>
                  <w:vMerge w:val="restart"/>
                  <w:tcBorders>
                    <w:tl2br w:val="nil"/>
                    <w:tr2bl w:val="nil"/>
                  </w:tcBorders>
                  <w:noWrap w:val="0"/>
                  <w:vAlign w:val="center"/>
                </w:tcPr>
                <w:p w14:paraId="00723B1B">
                  <w:pPr>
                    <w:pStyle w:val="78"/>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rPr>
                    <w:t>0.</w:t>
                  </w:r>
                  <w:r>
                    <w:rPr>
                      <w:rFonts w:hint="eastAsia" w:ascii="Times New Roman" w:hAnsi="Times New Roman" w:eastAsia="宋体" w:cs="Times New Roman"/>
                      <w:color w:val="auto"/>
                      <w:highlight w:val="none"/>
                      <w:shd w:val="clear" w:color="auto" w:fill="auto"/>
                      <w:lang w:val="en-US" w:eastAsia="zh-CN"/>
                    </w:rPr>
                    <w:t>048</w:t>
                  </w:r>
                </w:p>
              </w:tc>
              <w:tc>
                <w:tcPr>
                  <w:tcW w:w="630" w:type="dxa"/>
                  <w:vMerge w:val="restart"/>
                  <w:tcBorders>
                    <w:tl2br w:val="nil"/>
                    <w:tr2bl w:val="nil"/>
                  </w:tcBorders>
                  <w:noWrap w:val="0"/>
                  <w:vAlign w:val="center"/>
                </w:tcPr>
                <w:p w14:paraId="498C9D00">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金坛第二污水处理厂</w:t>
                  </w:r>
                </w:p>
              </w:tc>
              <w:tc>
                <w:tcPr>
                  <w:tcW w:w="1130" w:type="dxa"/>
                  <w:vMerge w:val="restart"/>
                  <w:tcBorders>
                    <w:tl2br w:val="nil"/>
                    <w:tr2bl w:val="nil"/>
                  </w:tcBorders>
                  <w:noWrap w:val="0"/>
                  <w:vAlign w:val="center"/>
                </w:tcPr>
                <w:p w14:paraId="3DE6275A">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间断排放，排放期间流量不稳定且无规律，但不属于冲击型排放</w:t>
                  </w:r>
                </w:p>
              </w:tc>
              <w:tc>
                <w:tcPr>
                  <w:tcW w:w="603" w:type="dxa"/>
                  <w:vMerge w:val="restart"/>
                  <w:tcBorders>
                    <w:tl2br w:val="nil"/>
                    <w:tr2bl w:val="nil"/>
                  </w:tcBorders>
                  <w:noWrap w:val="0"/>
                  <w:vAlign w:val="center"/>
                </w:tcPr>
                <w:p w14:paraId="2BDE2307">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c>
                <w:tcPr>
                  <w:tcW w:w="715" w:type="dxa"/>
                  <w:vMerge w:val="restart"/>
                  <w:tcBorders>
                    <w:tl2br w:val="nil"/>
                    <w:tr2bl w:val="nil"/>
                  </w:tcBorders>
                  <w:noWrap w:val="0"/>
                  <w:vAlign w:val="center"/>
                </w:tcPr>
                <w:p w14:paraId="4992E9E8">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金坛第二污水处理厂</w:t>
                  </w:r>
                </w:p>
              </w:tc>
              <w:tc>
                <w:tcPr>
                  <w:tcW w:w="644" w:type="dxa"/>
                  <w:tcBorders>
                    <w:tl2br w:val="nil"/>
                    <w:tr2bl w:val="nil"/>
                  </w:tcBorders>
                  <w:noWrap w:val="0"/>
                  <w:vAlign w:val="center"/>
                </w:tcPr>
                <w:p w14:paraId="5A4F0B61">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pH值</w:t>
                  </w:r>
                </w:p>
              </w:tc>
              <w:tc>
                <w:tcPr>
                  <w:tcW w:w="1279" w:type="dxa"/>
                  <w:tcBorders>
                    <w:tl2br w:val="nil"/>
                    <w:tr2bl w:val="nil"/>
                  </w:tcBorders>
                  <w:noWrap w:val="0"/>
                  <w:vAlign w:val="center"/>
                </w:tcPr>
                <w:p w14:paraId="1492BBF4">
                  <w:pPr>
                    <w:pStyle w:val="78"/>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rPr>
                    <w:t>6-9</w:t>
                  </w:r>
                  <w:r>
                    <w:rPr>
                      <w:rFonts w:hint="default" w:ascii="Times New Roman" w:hAnsi="Times New Roman" w:eastAsia="宋体"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lang w:val="en-US" w:eastAsia="zh-CN"/>
                    </w:rPr>
                    <w:t>无量纲</w:t>
                  </w:r>
                  <w:r>
                    <w:rPr>
                      <w:rFonts w:hint="default" w:ascii="Times New Roman" w:hAnsi="Times New Roman" w:eastAsia="宋体" w:cs="Times New Roman"/>
                      <w:color w:val="auto"/>
                      <w:highlight w:val="none"/>
                      <w:shd w:val="clear" w:color="auto" w:fill="auto"/>
                      <w:lang w:eastAsia="zh-CN"/>
                    </w:rPr>
                    <w:t>）</w:t>
                  </w:r>
                </w:p>
              </w:tc>
            </w:tr>
            <w:tr w14:paraId="0FF0A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2" w:type="dxa"/>
                  <w:vMerge w:val="continue"/>
                  <w:tcBorders>
                    <w:tl2br w:val="nil"/>
                    <w:tr2bl w:val="nil"/>
                  </w:tcBorders>
                  <w:noWrap w:val="0"/>
                  <w:vAlign w:val="center"/>
                </w:tcPr>
                <w:p w14:paraId="6691E5AC">
                  <w:pPr>
                    <w:pStyle w:val="78"/>
                    <w:rPr>
                      <w:rFonts w:hint="default" w:ascii="Times New Roman" w:hAnsi="Times New Roman" w:eastAsia="宋体" w:cs="Times New Roman"/>
                      <w:color w:val="auto"/>
                      <w:highlight w:val="none"/>
                      <w:shd w:val="clear" w:color="auto" w:fill="auto"/>
                    </w:rPr>
                  </w:pPr>
                </w:p>
              </w:tc>
              <w:tc>
                <w:tcPr>
                  <w:tcW w:w="762" w:type="dxa"/>
                  <w:vMerge w:val="continue"/>
                  <w:tcBorders>
                    <w:tl2br w:val="nil"/>
                    <w:tr2bl w:val="nil"/>
                  </w:tcBorders>
                  <w:noWrap w:val="0"/>
                  <w:vAlign w:val="center"/>
                </w:tcPr>
                <w:p w14:paraId="2232BA98">
                  <w:pPr>
                    <w:pStyle w:val="78"/>
                    <w:rPr>
                      <w:rFonts w:hint="default" w:ascii="Times New Roman" w:hAnsi="Times New Roman" w:eastAsia="宋体" w:cs="Times New Roman"/>
                      <w:color w:val="auto"/>
                      <w:highlight w:val="none"/>
                      <w:shd w:val="clear" w:color="auto" w:fill="auto"/>
                    </w:rPr>
                  </w:pPr>
                </w:p>
              </w:tc>
              <w:tc>
                <w:tcPr>
                  <w:tcW w:w="692" w:type="dxa"/>
                  <w:vMerge w:val="continue"/>
                  <w:tcBorders>
                    <w:tl2br w:val="nil"/>
                    <w:tr2bl w:val="nil"/>
                  </w:tcBorders>
                  <w:noWrap w:val="0"/>
                  <w:vAlign w:val="center"/>
                </w:tcPr>
                <w:p w14:paraId="0738FFC0">
                  <w:pPr>
                    <w:pStyle w:val="78"/>
                    <w:rPr>
                      <w:rFonts w:hint="default" w:ascii="Times New Roman" w:hAnsi="Times New Roman" w:eastAsia="宋体" w:cs="Times New Roman"/>
                      <w:color w:val="auto"/>
                      <w:highlight w:val="none"/>
                      <w:shd w:val="clear" w:color="auto" w:fill="auto"/>
                    </w:rPr>
                  </w:pPr>
                </w:p>
              </w:tc>
              <w:tc>
                <w:tcPr>
                  <w:tcW w:w="693" w:type="dxa"/>
                  <w:vMerge w:val="continue"/>
                  <w:tcBorders>
                    <w:tl2br w:val="nil"/>
                    <w:tr2bl w:val="nil"/>
                  </w:tcBorders>
                  <w:noWrap w:val="0"/>
                  <w:vAlign w:val="center"/>
                </w:tcPr>
                <w:p w14:paraId="52288389">
                  <w:pPr>
                    <w:pStyle w:val="78"/>
                    <w:rPr>
                      <w:rFonts w:hint="default" w:ascii="Times New Roman" w:hAnsi="Times New Roman" w:eastAsia="宋体" w:cs="Times New Roman"/>
                      <w:color w:val="auto"/>
                      <w:highlight w:val="none"/>
                      <w:shd w:val="clear" w:color="auto" w:fill="auto"/>
                    </w:rPr>
                  </w:pPr>
                </w:p>
              </w:tc>
              <w:tc>
                <w:tcPr>
                  <w:tcW w:w="793" w:type="dxa"/>
                  <w:vMerge w:val="continue"/>
                  <w:tcBorders>
                    <w:tl2br w:val="nil"/>
                    <w:tr2bl w:val="nil"/>
                  </w:tcBorders>
                  <w:noWrap w:val="0"/>
                  <w:vAlign w:val="center"/>
                </w:tcPr>
                <w:p w14:paraId="256A2730">
                  <w:pPr>
                    <w:pStyle w:val="78"/>
                    <w:rPr>
                      <w:rFonts w:hint="default" w:ascii="Times New Roman" w:hAnsi="Times New Roman" w:eastAsia="宋体" w:cs="Times New Roman"/>
                      <w:color w:val="auto"/>
                      <w:highlight w:val="none"/>
                      <w:shd w:val="clear" w:color="auto" w:fill="auto"/>
                    </w:rPr>
                  </w:pPr>
                </w:p>
              </w:tc>
              <w:tc>
                <w:tcPr>
                  <w:tcW w:w="630" w:type="dxa"/>
                  <w:vMerge w:val="continue"/>
                  <w:tcBorders>
                    <w:tl2br w:val="nil"/>
                    <w:tr2bl w:val="nil"/>
                  </w:tcBorders>
                  <w:noWrap w:val="0"/>
                  <w:vAlign w:val="center"/>
                </w:tcPr>
                <w:p w14:paraId="0C33CA9D">
                  <w:pPr>
                    <w:pStyle w:val="78"/>
                    <w:rPr>
                      <w:rFonts w:hint="default" w:ascii="Times New Roman" w:hAnsi="Times New Roman" w:eastAsia="宋体" w:cs="Times New Roman"/>
                      <w:color w:val="auto"/>
                      <w:highlight w:val="none"/>
                      <w:shd w:val="clear" w:color="auto" w:fill="auto"/>
                    </w:rPr>
                  </w:pPr>
                </w:p>
              </w:tc>
              <w:tc>
                <w:tcPr>
                  <w:tcW w:w="1130" w:type="dxa"/>
                  <w:vMerge w:val="continue"/>
                  <w:tcBorders>
                    <w:tl2br w:val="nil"/>
                    <w:tr2bl w:val="nil"/>
                  </w:tcBorders>
                  <w:noWrap w:val="0"/>
                  <w:vAlign w:val="center"/>
                </w:tcPr>
                <w:p w14:paraId="05AAFBCE">
                  <w:pPr>
                    <w:pStyle w:val="78"/>
                    <w:rPr>
                      <w:rFonts w:hint="default" w:ascii="Times New Roman" w:hAnsi="Times New Roman" w:eastAsia="宋体" w:cs="Times New Roman"/>
                      <w:color w:val="auto"/>
                      <w:highlight w:val="none"/>
                      <w:shd w:val="clear" w:color="auto" w:fill="auto"/>
                    </w:rPr>
                  </w:pPr>
                </w:p>
              </w:tc>
              <w:tc>
                <w:tcPr>
                  <w:tcW w:w="603" w:type="dxa"/>
                  <w:vMerge w:val="continue"/>
                  <w:tcBorders>
                    <w:tl2br w:val="nil"/>
                    <w:tr2bl w:val="nil"/>
                  </w:tcBorders>
                  <w:noWrap w:val="0"/>
                  <w:vAlign w:val="center"/>
                </w:tcPr>
                <w:p w14:paraId="414490E1">
                  <w:pPr>
                    <w:pStyle w:val="78"/>
                    <w:rPr>
                      <w:rFonts w:hint="default" w:ascii="Times New Roman" w:hAnsi="Times New Roman" w:eastAsia="宋体" w:cs="Times New Roman"/>
                      <w:color w:val="auto"/>
                      <w:highlight w:val="none"/>
                      <w:shd w:val="clear" w:color="auto" w:fill="auto"/>
                    </w:rPr>
                  </w:pPr>
                </w:p>
              </w:tc>
              <w:tc>
                <w:tcPr>
                  <w:tcW w:w="715" w:type="dxa"/>
                  <w:vMerge w:val="continue"/>
                  <w:tcBorders>
                    <w:tl2br w:val="nil"/>
                    <w:tr2bl w:val="nil"/>
                  </w:tcBorders>
                  <w:noWrap w:val="0"/>
                  <w:vAlign w:val="center"/>
                </w:tcPr>
                <w:p w14:paraId="643E00E0">
                  <w:pPr>
                    <w:pStyle w:val="78"/>
                    <w:rPr>
                      <w:rFonts w:hint="default" w:ascii="Times New Roman" w:hAnsi="Times New Roman" w:eastAsia="宋体" w:cs="Times New Roman"/>
                      <w:color w:val="auto"/>
                      <w:highlight w:val="none"/>
                      <w:shd w:val="clear" w:color="auto" w:fill="auto"/>
                    </w:rPr>
                  </w:pPr>
                </w:p>
              </w:tc>
              <w:tc>
                <w:tcPr>
                  <w:tcW w:w="644" w:type="dxa"/>
                  <w:tcBorders>
                    <w:tl2br w:val="nil"/>
                    <w:tr2bl w:val="nil"/>
                  </w:tcBorders>
                  <w:noWrap w:val="0"/>
                  <w:vAlign w:val="center"/>
                </w:tcPr>
                <w:p w14:paraId="01C03F1C">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COD</w:t>
                  </w:r>
                </w:p>
              </w:tc>
              <w:tc>
                <w:tcPr>
                  <w:tcW w:w="1279" w:type="dxa"/>
                  <w:tcBorders>
                    <w:tl2br w:val="nil"/>
                    <w:tr2bl w:val="nil"/>
                  </w:tcBorders>
                  <w:noWrap w:val="0"/>
                  <w:vAlign w:val="center"/>
                </w:tcPr>
                <w:p w14:paraId="59C60490">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lang w:val="en-US" w:eastAsia="zh-CN"/>
                    </w:rPr>
                    <w:t>5</w:t>
                  </w:r>
                  <w:r>
                    <w:rPr>
                      <w:rFonts w:hint="default" w:ascii="Times New Roman" w:hAnsi="Times New Roman" w:eastAsia="宋体" w:cs="Times New Roman"/>
                      <w:color w:val="auto"/>
                      <w:highlight w:val="none"/>
                      <w:shd w:val="clear" w:color="auto" w:fill="auto"/>
                    </w:rPr>
                    <w:t>0</w:t>
                  </w:r>
                </w:p>
              </w:tc>
            </w:tr>
            <w:tr w14:paraId="28307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2" w:type="dxa"/>
                  <w:vMerge w:val="continue"/>
                  <w:tcBorders>
                    <w:tl2br w:val="nil"/>
                    <w:tr2bl w:val="nil"/>
                  </w:tcBorders>
                  <w:noWrap w:val="0"/>
                  <w:vAlign w:val="center"/>
                </w:tcPr>
                <w:p w14:paraId="353160AF">
                  <w:pPr>
                    <w:pStyle w:val="78"/>
                    <w:rPr>
                      <w:rFonts w:hint="default" w:ascii="Times New Roman" w:hAnsi="Times New Roman" w:eastAsia="宋体" w:cs="Times New Roman"/>
                      <w:color w:val="auto"/>
                      <w:highlight w:val="none"/>
                      <w:shd w:val="clear" w:color="auto" w:fill="auto"/>
                    </w:rPr>
                  </w:pPr>
                </w:p>
              </w:tc>
              <w:tc>
                <w:tcPr>
                  <w:tcW w:w="762" w:type="dxa"/>
                  <w:vMerge w:val="continue"/>
                  <w:tcBorders>
                    <w:tl2br w:val="nil"/>
                    <w:tr2bl w:val="nil"/>
                  </w:tcBorders>
                  <w:noWrap w:val="0"/>
                  <w:vAlign w:val="center"/>
                </w:tcPr>
                <w:p w14:paraId="7E5F0549">
                  <w:pPr>
                    <w:pStyle w:val="78"/>
                    <w:rPr>
                      <w:rFonts w:hint="default" w:ascii="Times New Roman" w:hAnsi="Times New Roman" w:eastAsia="宋体" w:cs="Times New Roman"/>
                      <w:color w:val="auto"/>
                      <w:highlight w:val="none"/>
                      <w:shd w:val="clear" w:color="auto" w:fill="auto"/>
                    </w:rPr>
                  </w:pPr>
                </w:p>
              </w:tc>
              <w:tc>
                <w:tcPr>
                  <w:tcW w:w="692" w:type="dxa"/>
                  <w:vMerge w:val="continue"/>
                  <w:tcBorders>
                    <w:tl2br w:val="nil"/>
                    <w:tr2bl w:val="nil"/>
                  </w:tcBorders>
                  <w:noWrap w:val="0"/>
                  <w:vAlign w:val="center"/>
                </w:tcPr>
                <w:p w14:paraId="52CB1C74">
                  <w:pPr>
                    <w:pStyle w:val="78"/>
                    <w:rPr>
                      <w:rFonts w:hint="default" w:ascii="Times New Roman" w:hAnsi="Times New Roman" w:eastAsia="宋体" w:cs="Times New Roman"/>
                      <w:color w:val="auto"/>
                      <w:highlight w:val="none"/>
                      <w:shd w:val="clear" w:color="auto" w:fill="auto"/>
                    </w:rPr>
                  </w:pPr>
                </w:p>
              </w:tc>
              <w:tc>
                <w:tcPr>
                  <w:tcW w:w="693" w:type="dxa"/>
                  <w:vMerge w:val="continue"/>
                  <w:tcBorders>
                    <w:tl2br w:val="nil"/>
                    <w:tr2bl w:val="nil"/>
                  </w:tcBorders>
                  <w:noWrap w:val="0"/>
                  <w:vAlign w:val="center"/>
                </w:tcPr>
                <w:p w14:paraId="04A5E3D2">
                  <w:pPr>
                    <w:pStyle w:val="78"/>
                    <w:rPr>
                      <w:rFonts w:hint="default" w:ascii="Times New Roman" w:hAnsi="Times New Roman" w:eastAsia="宋体" w:cs="Times New Roman"/>
                      <w:color w:val="auto"/>
                      <w:highlight w:val="none"/>
                      <w:shd w:val="clear" w:color="auto" w:fill="auto"/>
                    </w:rPr>
                  </w:pPr>
                </w:p>
              </w:tc>
              <w:tc>
                <w:tcPr>
                  <w:tcW w:w="793" w:type="dxa"/>
                  <w:vMerge w:val="continue"/>
                  <w:tcBorders>
                    <w:tl2br w:val="nil"/>
                    <w:tr2bl w:val="nil"/>
                  </w:tcBorders>
                  <w:noWrap w:val="0"/>
                  <w:vAlign w:val="center"/>
                </w:tcPr>
                <w:p w14:paraId="2E37AD49">
                  <w:pPr>
                    <w:pStyle w:val="78"/>
                    <w:rPr>
                      <w:rFonts w:hint="default" w:ascii="Times New Roman" w:hAnsi="Times New Roman" w:eastAsia="宋体" w:cs="Times New Roman"/>
                      <w:color w:val="auto"/>
                      <w:highlight w:val="none"/>
                      <w:shd w:val="clear" w:color="auto" w:fill="auto"/>
                    </w:rPr>
                  </w:pPr>
                </w:p>
              </w:tc>
              <w:tc>
                <w:tcPr>
                  <w:tcW w:w="630" w:type="dxa"/>
                  <w:vMerge w:val="continue"/>
                  <w:tcBorders>
                    <w:tl2br w:val="nil"/>
                    <w:tr2bl w:val="nil"/>
                  </w:tcBorders>
                  <w:noWrap w:val="0"/>
                  <w:vAlign w:val="center"/>
                </w:tcPr>
                <w:p w14:paraId="0358F753">
                  <w:pPr>
                    <w:pStyle w:val="78"/>
                    <w:rPr>
                      <w:rFonts w:hint="default" w:ascii="Times New Roman" w:hAnsi="Times New Roman" w:eastAsia="宋体" w:cs="Times New Roman"/>
                      <w:color w:val="auto"/>
                      <w:highlight w:val="none"/>
                      <w:shd w:val="clear" w:color="auto" w:fill="auto"/>
                    </w:rPr>
                  </w:pPr>
                </w:p>
              </w:tc>
              <w:tc>
                <w:tcPr>
                  <w:tcW w:w="1130" w:type="dxa"/>
                  <w:vMerge w:val="continue"/>
                  <w:tcBorders>
                    <w:tl2br w:val="nil"/>
                    <w:tr2bl w:val="nil"/>
                  </w:tcBorders>
                  <w:noWrap w:val="0"/>
                  <w:vAlign w:val="center"/>
                </w:tcPr>
                <w:p w14:paraId="39EDC9AF">
                  <w:pPr>
                    <w:pStyle w:val="78"/>
                    <w:rPr>
                      <w:rFonts w:hint="default" w:ascii="Times New Roman" w:hAnsi="Times New Roman" w:eastAsia="宋体" w:cs="Times New Roman"/>
                      <w:color w:val="auto"/>
                      <w:highlight w:val="none"/>
                      <w:shd w:val="clear" w:color="auto" w:fill="auto"/>
                    </w:rPr>
                  </w:pPr>
                </w:p>
              </w:tc>
              <w:tc>
                <w:tcPr>
                  <w:tcW w:w="603" w:type="dxa"/>
                  <w:vMerge w:val="continue"/>
                  <w:tcBorders>
                    <w:tl2br w:val="nil"/>
                    <w:tr2bl w:val="nil"/>
                  </w:tcBorders>
                  <w:noWrap w:val="0"/>
                  <w:vAlign w:val="center"/>
                </w:tcPr>
                <w:p w14:paraId="009A9EC3">
                  <w:pPr>
                    <w:pStyle w:val="78"/>
                    <w:rPr>
                      <w:rFonts w:hint="default" w:ascii="Times New Roman" w:hAnsi="Times New Roman" w:eastAsia="宋体" w:cs="Times New Roman"/>
                      <w:color w:val="auto"/>
                      <w:highlight w:val="none"/>
                      <w:shd w:val="clear" w:color="auto" w:fill="auto"/>
                    </w:rPr>
                  </w:pPr>
                </w:p>
              </w:tc>
              <w:tc>
                <w:tcPr>
                  <w:tcW w:w="715" w:type="dxa"/>
                  <w:vMerge w:val="continue"/>
                  <w:tcBorders>
                    <w:tl2br w:val="nil"/>
                    <w:tr2bl w:val="nil"/>
                  </w:tcBorders>
                  <w:noWrap w:val="0"/>
                  <w:vAlign w:val="center"/>
                </w:tcPr>
                <w:p w14:paraId="1A5DE713">
                  <w:pPr>
                    <w:pStyle w:val="78"/>
                    <w:rPr>
                      <w:rFonts w:hint="default" w:ascii="Times New Roman" w:hAnsi="Times New Roman" w:eastAsia="宋体" w:cs="Times New Roman"/>
                      <w:color w:val="auto"/>
                      <w:highlight w:val="none"/>
                      <w:shd w:val="clear" w:color="auto" w:fill="auto"/>
                    </w:rPr>
                  </w:pPr>
                </w:p>
              </w:tc>
              <w:tc>
                <w:tcPr>
                  <w:tcW w:w="644" w:type="dxa"/>
                  <w:tcBorders>
                    <w:tl2br w:val="nil"/>
                    <w:tr2bl w:val="nil"/>
                  </w:tcBorders>
                  <w:noWrap w:val="0"/>
                  <w:vAlign w:val="center"/>
                </w:tcPr>
                <w:p w14:paraId="3CDF9344">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SS</w:t>
                  </w:r>
                </w:p>
              </w:tc>
              <w:tc>
                <w:tcPr>
                  <w:tcW w:w="1279" w:type="dxa"/>
                  <w:tcBorders>
                    <w:tl2br w:val="nil"/>
                    <w:tr2bl w:val="nil"/>
                  </w:tcBorders>
                  <w:noWrap w:val="0"/>
                  <w:vAlign w:val="center"/>
                </w:tcPr>
                <w:p w14:paraId="733E2AA1">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10</w:t>
                  </w:r>
                </w:p>
              </w:tc>
            </w:tr>
            <w:tr w14:paraId="37992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2" w:type="dxa"/>
                  <w:vMerge w:val="continue"/>
                  <w:tcBorders>
                    <w:tl2br w:val="nil"/>
                    <w:tr2bl w:val="nil"/>
                  </w:tcBorders>
                  <w:noWrap w:val="0"/>
                  <w:vAlign w:val="center"/>
                </w:tcPr>
                <w:p w14:paraId="3CCA616E">
                  <w:pPr>
                    <w:pStyle w:val="78"/>
                    <w:rPr>
                      <w:rFonts w:hint="default" w:ascii="Times New Roman" w:hAnsi="Times New Roman" w:eastAsia="宋体" w:cs="Times New Roman"/>
                      <w:color w:val="auto"/>
                      <w:highlight w:val="none"/>
                      <w:shd w:val="clear" w:color="auto" w:fill="auto"/>
                    </w:rPr>
                  </w:pPr>
                </w:p>
              </w:tc>
              <w:tc>
                <w:tcPr>
                  <w:tcW w:w="762" w:type="dxa"/>
                  <w:vMerge w:val="continue"/>
                  <w:tcBorders>
                    <w:tl2br w:val="nil"/>
                    <w:tr2bl w:val="nil"/>
                  </w:tcBorders>
                  <w:noWrap w:val="0"/>
                  <w:vAlign w:val="center"/>
                </w:tcPr>
                <w:p w14:paraId="4525FA7C">
                  <w:pPr>
                    <w:pStyle w:val="78"/>
                    <w:rPr>
                      <w:rFonts w:hint="default" w:ascii="Times New Roman" w:hAnsi="Times New Roman" w:eastAsia="宋体" w:cs="Times New Roman"/>
                      <w:color w:val="auto"/>
                      <w:highlight w:val="none"/>
                      <w:shd w:val="clear" w:color="auto" w:fill="auto"/>
                    </w:rPr>
                  </w:pPr>
                </w:p>
              </w:tc>
              <w:tc>
                <w:tcPr>
                  <w:tcW w:w="692" w:type="dxa"/>
                  <w:vMerge w:val="continue"/>
                  <w:tcBorders>
                    <w:tl2br w:val="nil"/>
                    <w:tr2bl w:val="nil"/>
                  </w:tcBorders>
                  <w:noWrap w:val="0"/>
                  <w:vAlign w:val="center"/>
                </w:tcPr>
                <w:p w14:paraId="1F09C4E3">
                  <w:pPr>
                    <w:pStyle w:val="78"/>
                    <w:rPr>
                      <w:rFonts w:hint="default" w:ascii="Times New Roman" w:hAnsi="Times New Roman" w:eastAsia="宋体" w:cs="Times New Roman"/>
                      <w:color w:val="auto"/>
                      <w:highlight w:val="none"/>
                      <w:shd w:val="clear" w:color="auto" w:fill="auto"/>
                    </w:rPr>
                  </w:pPr>
                </w:p>
              </w:tc>
              <w:tc>
                <w:tcPr>
                  <w:tcW w:w="693" w:type="dxa"/>
                  <w:vMerge w:val="continue"/>
                  <w:tcBorders>
                    <w:tl2br w:val="nil"/>
                    <w:tr2bl w:val="nil"/>
                  </w:tcBorders>
                  <w:noWrap w:val="0"/>
                  <w:vAlign w:val="center"/>
                </w:tcPr>
                <w:p w14:paraId="27816B88">
                  <w:pPr>
                    <w:pStyle w:val="78"/>
                    <w:rPr>
                      <w:rFonts w:hint="default" w:ascii="Times New Roman" w:hAnsi="Times New Roman" w:eastAsia="宋体" w:cs="Times New Roman"/>
                      <w:color w:val="auto"/>
                      <w:highlight w:val="none"/>
                      <w:shd w:val="clear" w:color="auto" w:fill="auto"/>
                    </w:rPr>
                  </w:pPr>
                </w:p>
              </w:tc>
              <w:tc>
                <w:tcPr>
                  <w:tcW w:w="793" w:type="dxa"/>
                  <w:vMerge w:val="continue"/>
                  <w:tcBorders>
                    <w:tl2br w:val="nil"/>
                    <w:tr2bl w:val="nil"/>
                  </w:tcBorders>
                  <w:noWrap w:val="0"/>
                  <w:vAlign w:val="center"/>
                </w:tcPr>
                <w:p w14:paraId="6CD1466C">
                  <w:pPr>
                    <w:pStyle w:val="78"/>
                    <w:rPr>
                      <w:rFonts w:hint="default" w:ascii="Times New Roman" w:hAnsi="Times New Roman" w:eastAsia="宋体" w:cs="Times New Roman"/>
                      <w:color w:val="auto"/>
                      <w:highlight w:val="none"/>
                      <w:shd w:val="clear" w:color="auto" w:fill="auto"/>
                    </w:rPr>
                  </w:pPr>
                </w:p>
              </w:tc>
              <w:tc>
                <w:tcPr>
                  <w:tcW w:w="630" w:type="dxa"/>
                  <w:vMerge w:val="continue"/>
                  <w:tcBorders>
                    <w:tl2br w:val="nil"/>
                    <w:tr2bl w:val="nil"/>
                  </w:tcBorders>
                  <w:noWrap w:val="0"/>
                  <w:vAlign w:val="center"/>
                </w:tcPr>
                <w:p w14:paraId="495740E4">
                  <w:pPr>
                    <w:pStyle w:val="78"/>
                    <w:rPr>
                      <w:rFonts w:hint="default" w:ascii="Times New Roman" w:hAnsi="Times New Roman" w:eastAsia="宋体" w:cs="Times New Roman"/>
                      <w:color w:val="auto"/>
                      <w:highlight w:val="none"/>
                      <w:shd w:val="clear" w:color="auto" w:fill="auto"/>
                    </w:rPr>
                  </w:pPr>
                </w:p>
              </w:tc>
              <w:tc>
                <w:tcPr>
                  <w:tcW w:w="1130" w:type="dxa"/>
                  <w:vMerge w:val="continue"/>
                  <w:tcBorders>
                    <w:tl2br w:val="nil"/>
                    <w:tr2bl w:val="nil"/>
                  </w:tcBorders>
                  <w:noWrap w:val="0"/>
                  <w:vAlign w:val="center"/>
                </w:tcPr>
                <w:p w14:paraId="6FEA47AE">
                  <w:pPr>
                    <w:pStyle w:val="78"/>
                    <w:rPr>
                      <w:rFonts w:hint="default" w:ascii="Times New Roman" w:hAnsi="Times New Roman" w:eastAsia="宋体" w:cs="Times New Roman"/>
                      <w:color w:val="auto"/>
                      <w:highlight w:val="none"/>
                      <w:shd w:val="clear" w:color="auto" w:fill="auto"/>
                    </w:rPr>
                  </w:pPr>
                </w:p>
              </w:tc>
              <w:tc>
                <w:tcPr>
                  <w:tcW w:w="603" w:type="dxa"/>
                  <w:vMerge w:val="continue"/>
                  <w:tcBorders>
                    <w:tl2br w:val="nil"/>
                    <w:tr2bl w:val="nil"/>
                  </w:tcBorders>
                  <w:noWrap w:val="0"/>
                  <w:vAlign w:val="center"/>
                </w:tcPr>
                <w:p w14:paraId="64304239">
                  <w:pPr>
                    <w:pStyle w:val="78"/>
                    <w:rPr>
                      <w:rFonts w:hint="default" w:ascii="Times New Roman" w:hAnsi="Times New Roman" w:eastAsia="宋体" w:cs="Times New Roman"/>
                      <w:color w:val="auto"/>
                      <w:highlight w:val="none"/>
                      <w:shd w:val="clear" w:color="auto" w:fill="auto"/>
                    </w:rPr>
                  </w:pPr>
                </w:p>
              </w:tc>
              <w:tc>
                <w:tcPr>
                  <w:tcW w:w="715" w:type="dxa"/>
                  <w:vMerge w:val="continue"/>
                  <w:tcBorders>
                    <w:tl2br w:val="nil"/>
                    <w:tr2bl w:val="nil"/>
                  </w:tcBorders>
                  <w:noWrap w:val="0"/>
                  <w:vAlign w:val="center"/>
                </w:tcPr>
                <w:p w14:paraId="67FAC626">
                  <w:pPr>
                    <w:pStyle w:val="78"/>
                    <w:rPr>
                      <w:rFonts w:hint="default" w:ascii="Times New Roman" w:hAnsi="Times New Roman" w:eastAsia="宋体" w:cs="Times New Roman"/>
                      <w:color w:val="auto"/>
                      <w:highlight w:val="none"/>
                      <w:shd w:val="clear" w:color="auto" w:fill="auto"/>
                    </w:rPr>
                  </w:pPr>
                </w:p>
              </w:tc>
              <w:tc>
                <w:tcPr>
                  <w:tcW w:w="644" w:type="dxa"/>
                  <w:tcBorders>
                    <w:tl2br w:val="nil"/>
                    <w:tr2bl w:val="nil"/>
                  </w:tcBorders>
                  <w:noWrap w:val="0"/>
                  <w:vAlign w:val="center"/>
                </w:tcPr>
                <w:p w14:paraId="73A2F749">
                  <w:pPr>
                    <w:pStyle w:val="78"/>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NH</w:t>
                  </w:r>
                  <w:r>
                    <w:rPr>
                      <w:rFonts w:hint="default" w:ascii="Times New Roman" w:hAnsi="Times New Roman" w:eastAsia="宋体" w:cs="Times New Roman"/>
                      <w:color w:val="auto"/>
                      <w:highlight w:val="none"/>
                      <w:shd w:val="clear" w:color="auto" w:fill="auto"/>
                      <w:vertAlign w:val="subscript"/>
                    </w:rPr>
                    <w:t>3</w:t>
                  </w:r>
                  <w:r>
                    <w:rPr>
                      <w:rFonts w:hint="default" w:ascii="Times New Roman" w:hAnsi="Times New Roman" w:eastAsia="宋体" w:cs="Times New Roman"/>
                      <w:color w:val="auto"/>
                      <w:highlight w:val="none"/>
                      <w:shd w:val="clear" w:color="auto" w:fill="auto"/>
                    </w:rPr>
                    <w:t>-N</w:t>
                  </w:r>
                </w:p>
              </w:tc>
              <w:tc>
                <w:tcPr>
                  <w:tcW w:w="1279" w:type="dxa"/>
                  <w:tcBorders>
                    <w:tl2br w:val="nil"/>
                    <w:tr2bl w:val="nil"/>
                  </w:tcBorders>
                  <w:noWrap w:val="0"/>
                  <w:vAlign w:val="center"/>
                </w:tcPr>
                <w:p w14:paraId="76EE7E96">
                  <w:pPr>
                    <w:pStyle w:val="78"/>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lang w:val="en-US" w:eastAsia="zh-CN"/>
                    </w:rPr>
                    <w:t>4（6）</w:t>
                  </w:r>
                </w:p>
              </w:tc>
            </w:tr>
            <w:tr w14:paraId="22FA3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2" w:type="dxa"/>
                  <w:vMerge w:val="continue"/>
                  <w:tcBorders>
                    <w:tl2br w:val="nil"/>
                    <w:tr2bl w:val="nil"/>
                  </w:tcBorders>
                  <w:noWrap w:val="0"/>
                  <w:vAlign w:val="center"/>
                </w:tcPr>
                <w:p w14:paraId="76EA2372">
                  <w:pPr>
                    <w:pStyle w:val="78"/>
                    <w:rPr>
                      <w:rFonts w:hint="default" w:ascii="Times New Roman" w:hAnsi="Times New Roman" w:eastAsia="宋体" w:cs="Times New Roman"/>
                      <w:color w:val="auto"/>
                      <w:highlight w:val="none"/>
                      <w:shd w:val="clear" w:color="auto" w:fill="auto"/>
                    </w:rPr>
                  </w:pPr>
                </w:p>
              </w:tc>
              <w:tc>
                <w:tcPr>
                  <w:tcW w:w="762" w:type="dxa"/>
                  <w:vMerge w:val="continue"/>
                  <w:tcBorders>
                    <w:tl2br w:val="nil"/>
                    <w:tr2bl w:val="nil"/>
                  </w:tcBorders>
                  <w:noWrap w:val="0"/>
                  <w:vAlign w:val="center"/>
                </w:tcPr>
                <w:p w14:paraId="7066EAB9">
                  <w:pPr>
                    <w:pStyle w:val="78"/>
                    <w:rPr>
                      <w:rFonts w:hint="default" w:ascii="Times New Roman" w:hAnsi="Times New Roman" w:eastAsia="宋体" w:cs="Times New Roman"/>
                      <w:color w:val="auto"/>
                      <w:highlight w:val="none"/>
                      <w:shd w:val="clear" w:color="auto" w:fill="auto"/>
                    </w:rPr>
                  </w:pPr>
                </w:p>
              </w:tc>
              <w:tc>
                <w:tcPr>
                  <w:tcW w:w="692" w:type="dxa"/>
                  <w:vMerge w:val="continue"/>
                  <w:tcBorders>
                    <w:tl2br w:val="nil"/>
                    <w:tr2bl w:val="nil"/>
                  </w:tcBorders>
                  <w:noWrap w:val="0"/>
                  <w:vAlign w:val="center"/>
                </w:tcPr>
                <w:p w14:paraId="24ACB56F">
                  <w:pPr>
                    <w:pStyle w:val="78"/>
                    <w:rPr>
                      <w:rFonts w:hint="default" w:ascii="Times New Roman" w:hAnsi="Times New Roman" w:eastAsia="宋体" w:cs="Times New Roman"/>
                      <w:color w:val="auto"/>
                      <w:highlight w:val="none"/>
                      <w:shd w:val="clear" w:color="auto" w:fill="auto"/>
                    </w:rPr>
                  </w:pPr>
                </w:p>
              </w:tc>
              <w:tc>
                <w:tcPr>
                  <w:tcW w:w="693" w:type="dxa"/>
                  <w:vMerge w:val="continue"/>
                  <w:tcBorders>
                    <w:tl2br w:val="nil"/>
                    <w:tr2bl w:val="nil"/>
                  </w:tcBorders>
                  <w:noWrap w:val="0"/>
                  <w:vAlign w:val="center"/>
                </w:tcPr>
                <w:p w14:paraId="343AEC82">
                  <w:pPr>
                    <w:pStyle w:val="78"/>
                    <w:rPr>
                      <w:rFonts w:hint="default" w:ascii="Times New Roman" w:hAnsi="Times New Roman" w:eastAsia="宋体" w:cs="Times New Roman"/>
                      <w:color w:val="auto"/>
                      <w:highlight w:val="none"/>
                      <w:shd w:val="clear" w:color="auto" w:fill="auto"/>
                    </w:rPr>
                  </w:pPr>
                </w:p>
              </w:tc>
              <w:tc>
                <w:tcPr>
                  <w:tcW w:w="793" w:type="dxa"/>
                  <w:vMerge w:val="continue"/>
                  <w:tcBorders>
                    <w:tl2br w:val="nil"/>
                    <w:tr2bl w:val="nil"/>
                  </w:tcBorders>
                  <w:noWrap w:val="0"/>
                  <w:vAlign w:val="center"/>
                </w:tcPr>
                <w:p w14:paraId="41BB9F6B">
                  <w:pPr>
                    <w:pStyle w:val="78"/>
                    <w:rPr>
                      <w:rFonts w:hint="default" w:ascii="Times New Roman" w:hAnsi="Times New Roman" w:eastAsia="宋体" w:cs="Times New Roman"/>
                      <w:color w:val="auto"/>
                      <w:highlight w:val="none"/>
                      <w:shd w:val="clear" w:color="auto" w:fill="auto"/>
                    </w:rPr>
                  </w:pPr>
                </w:p>
              </w:tc>
              <w:tc>
                <w:tcPr>
                  <w:tcW w:w="630" w:type="dxa"/>
                  <w:vMerge w:val="continue"/>
                  <w:tcBorders>
                    <w:tl2br w:val="nil"/>
                    <w:tr2bl w:val="nil"/>
                  </w:tcBorders>
                  <w:noWrap w:val="0"/>
                  <w:vAlign w:val="center"/>
                </w:tcPr>
                <w:p w14:paraId="49593AE0">
                  <w:pPr>
                    <w:pStyle w:val="78"/>
                    <w:rPr>
                      <w:rFonts w:hint="default" w:ascii="Times New Roman" w:hAnsi="Times New Roman" w:eastAsia="宋体" w:cs="Times New Roman"/>
                      <w:color w:val="auto"/>
                      <w:highlight w:val="none"/>
                      <w:shd w:val="clear" w:color="auto" w:fill="auto"/>
                    </w:rPr>
                  </w:pPr>
                </w:p>
              </w:tc>
              <w:tc>
                <w:tcPr>
                  <w:tcW w:w="1130" w:type="dxa"/>
                  <w:vMerge w:val="continue"/>
                  <w:tcBorders>
                    <w:tl2br w:val="nil"/>
                    <w:tr2bl w:val="nil"/>
                  </w:tcBorders>
                  <w:noWrap w:val="0"/>
                  <w:vAlign w:val="center"/>
                </w:tcPr>
                <w:p w14:paraId="28353BCD">
                  <w:pPr>
                    <w:pStyle w:val="78"/>
                    <w:rPr>
                      <w:rFonts w:hint="default" w:ascii="Times New Roman" w:hAnsi="Times New Roman" w:eastAsia="宋体" w:cs="Times New Roman"/>
                      <w:color w:val="auto"/>
                      <w:highlight w:val="none"/>
                      <w:shd w:val="clear" w:color="auto" w:fill="auto"/>
                    </w:rPr>
                  </w:pPr>
                </w:p>
              </w:tc>
              <w:tc>
                <w:tcPr>
                  <w:tcW w:w="603" w:type="dxa"/>
                  <w:vMerge w:val="continue"/>
                  <w:tcBorders>
                    <w:tl2br w:val="nil"/>
                    <w:tr2bl w:val="nil"/>
                  </w:tcBorders>
                  <w:noWrap w:val="0"/>
                  <w:vAlign w:val="center"/>
                </w:tcPr>
                <w:p w14:paraId="7161A214">
                  <w:pPr>
                    <w:pStyle w:val="78"/>
                    <w:rPr>
                      <w:rFonts w:hint="default" w:ascii="Times New Roman" w:hAnsi="Times New Roman" w:eastAsia="宋体" w:cs="Times New Roman"/>
                      <w:color w:val="auto"/>
                      <w:highlight w:val="none"/>
                      <w:shd w:val="clear" w:color="auto" w:fill="auto"/>
                    </w:rPr>
                  </w:pPr>
                </w:p>
              </w:tc>
              <w:tc>
                <w:tcPr>
                  <w:tcW w:w="715" w:type="dxa"/>
                  <w:vMerge w:val="continue"/>
                  <w:tcBorders>
                    <w:tl2br w:val="nil"/>
                    <w:tr2bl w:val="nil"/>
                  </w:tcBorders>
                  <w:noWrap w:val="0"/>
                  <w:vAlign w:val="center"/>
                </w:tcPr>
                <w:p w14:paraId="217238AF">
                  <w:pPr>
                    <w:pStyle w:val="78"/>
                    <w:rPr>
                      <w:rFonts w:hint="default" w:ascii="Times New Roman" w:hAnsi="Times New Roman" w:eastAsia="宋体" w:cs="Times New Roman"/>
                      <w:color w:val="auto"/>
                      <w:highlight w:val="none"/>
                      <w:shd w:val="clear" w:color="auto" w:fill="auto"/>
                    </w:rPr>
                  </w:pPr>
                </w:p>
              </w:tc>
              <w:tc>
                <w:tcPr>
                  <w:tcW w:w="644" w:type="dxa"/>
                  <w:tcBorders>
                    <w:tl2br w:val="nil"/>
                    <w:tr2bl w:val="nil"/>
                  </w:tcBorders>
                  <w:shd w:val="clear" w:color="auto" w:fill="auto"/>
                  <w:noWrap w:val="0"/>
                  <w:vAlign w:val="center"/>
                </w:tcPr>
                <w:p w14:paraId="5175C5AB">
                  <w:pPr>
                    <w:pStyle w:val="78"/>
                    <w:ind w:firstLine="0" w:firstLineChars="0"/>
                    <w:rPr>
                      <w:rFonts w:hint="default" w:ascii="Times New Roman" w:hAnsi="Times New Roman" w:eastAsia="宋体" w:cs="Times New Roman"/>
                      <w:color w:val="auto"/>
                      <w:kern w:val="0"/>
                      <w:sz w:val="21"/>
                      <w:szCs w:val="20"/>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TN</w:t>
                  </w:r>
                </w:p>
              </w:tc>
              <w:tc>
                <w:tcPr>
                  <w:tcW w:w="1279" w:type="dxa"/>
                  <w:tcBorders>
                    <w:tl2br w:val="nil"/>
                    <w:tr2bl w:val="nil"/>
                  </w:tcBorders>
                  <w:shd w:val="clear" w:color="auto" w:fill="auto"/>
                  <w:noWrap w:val="0"/>
                  <w:vAlign w:val="center"/>
                </w:tcPr>
                <w:p w14:paraId="74FDEC1A">
                  <w:pPr>
                    <w:pStyle w:val="78"/>
                    <w:ind w:firstLine="0" w:firstLineChars="0"/>
                    <w:rPr>
                      <w:rFonts w:hint="default" w:ascii="Times New Roman" w:hAnsi="Times New Roman" w:eastAsia="宋体" w:cs="Times New Roman"/>
                      <w:color w:val="auto"/>
                      <w:kern w:val="0"/>
                      <w:sz w:val="21"/>
                      <w:szCs w:val="20"/>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1</w:t>
                  </w:r>
                  <w:r>
                    <w:rPr>
                      <w:rFonts w:hint="default" w:ascii="Times New Roman" w:hAnsi="Times New Roman" w:eastAsia="宋体" w:cs="Times New Roman"/>
                      <w:color w:val="auto"/>
                      <w:highlight w:val="none"/>
                      <w:shd w:val="clear" w:color="auto" w:fill="auto"/>
                      <w:lang w:val="en-US" w:eastAsia="zh-CN"/>
                    </w:rPr>
                    <w:t>2（15）</w:t>
                  </w:r>
                </w:p>
              </w:tc>
            </w:tr>
            <w:tr w14:paraId="21904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2" w:type="dxa"/>
                  <w:vMerge w:val="continue"/>
                  <w:tcBorders>
                    <w:tl2br w:val="nil"/>
                    <w:tr2bl w:val="nil"/>
                  </w:tcBorders>
                  <w:noWrap w:val="0"/>
                  <w:vAlign w:val="center"/>
                </w:tcPr>
                <w:p w14:paraId="4C49DE3F">
                  <w:pPr>
                    <w:pStyle w:val="78"/>
                    <w:rPr>
                      <w:rFonts w:hint="default" w:ascii="Times New Roman" w:hAnsi="Times New Roman" w:eastAsia="宋体" w:cs="Times New Roman"/>
                      <w:color w:val="auto"/>
                      <w:highlight w:val="none"/>
                      <w:shd w:val="clear" w:color="auto" w:fill="auto"/>
                    </w:rPr>
                  </w:pPr>
                </w:p>
              </w:tc>
              <w:tc>
                <w:tcPr>
                  <w:tcW w:w="762" w:type="dxa"/>
                  <w:vMerge w:val="continue"/>
                  <w:tcBorders>
                    <w:tl2br w:val="nil"/>
                    <w:tr2bl w:val="nil"/>
                  </w:tcBorders>
                  <w:noWrap w:val="0"/>
                  <w:vAlign w:val="center"/>
                </w:tcPr>
                <w:p w14:paraId="419FBD14">
                  <w:pPr>
                    <w:pStyle w:val="78"/>
                    <w:rPr>
                      <w:rFonts w:hint="default" w:ascii="Times New Roman" w:hAnsi="Times New Roman" w:eastAsia="宋体" w:cs="Times New Roman"/>
                      <w:color w:val="auto"/>
                      <w:highlight w:val="none"/>
                      <w:shd w:val="clear" w:color="auto" w:fill="auto"/>
                    </w:rPr>
                  </w:pPr>
                </w:p>
              </w:tc>
              <w:tc>
                <w:tcPr>
                  <w:tcW w:w="692" w:type="dxa"/>
                  <w:vMerge w:val="continue"/>
                  <w:tcBorders>
                    <w:tl2br w:val="nil"/>
                    <w:tr2bl w:val="nil"/>
                  </w:tcBorders>
                  <w:noWrap w:val="0"/>
                  <w:vAlign w:val="center"/>
                </w:tcPr>
                <w:p w14:paraId="7A44F39E">
                  <w:pPr>
                    <w:pStyle w:val="78"/>
                    <w:rPr>
                      <w:rFonts w:hint="default" w:ascii="Times New Roman" w:hAnsi="Times New Roman" w:eastAsia="宋体" w:cs="Times New Roman"/>
                      <w:color w:val="auto"/>
                      <w:highlight w:val="none"/>
                      <w:shd w:val="clear" w:color="auto" w:fill="auto"/>
                    </w:rPr>
                  </w:pPr>
                </w:p>
              </w:tc>
              <w:tc>
                <w:tcPr>
                  <w:tcW w:w="693" w:type="dxa"/>
                  <w:vMerge w:val="continue"/>
                  <w:tcBorders>
                    <w:tl2br w:val="nil"/>
                    <w:tr2bl w:val="nil"/>
                  </w:tcBorders>
                  <w:noWrap w:val="0"/>
                  <w:vAlign w:val="center"/>
                </w:tcPr>
                <w:p w14:paraId="314BE455">
                  <w:pPr>
                    <w:pStyle w:val="78"/>
                    <w:rPr>
                      <w:rFonts w:hint="default" w:ascii="Times New Roman" w:hAnsi="Times New Roman" w:eastAsia="宋体" w:cs="Times New Roman"/>
                      <w:color w:val="auto"/>
                      <w:highlight w:val="none"/>
                      <w:shd w:val="clear" w:color="auto" w:fill="auto"/>
                    </w:rPr>
                  </w:pPr>
                </w:p>
              </w:tc>
              <w:tc>
                <w:tcPr>
                  <w:tcW w:w="793" w:type="dxa"/>
                  <w:vMerge w:val="continue"/>
                  <w:tcBorders>
                    <w:tl2br w:val="nil"/>
                    <w:tr2bl w:val="nil"/>
                  </w:tcBorders>
                  <w:noWrap w:val="0"/>
                  <w:vAlign w:val="center"/>
                </w:tcPr>
                <w:p w14:paraId="312968C7">
                  <w:pPr>
                    <w:pStyle w:val="78"/>
                    <w:rPr>
                      <w:rFonts w:hint="default" w:ascii="Times New Roman" w:hAnsi="Times New Roman" w:eastAsia="宋体" w:cs="Times New Roman"/>
                      <w:color w:val="auto"/>
                      <w:highlight w:val="none"/>
                      <w:shd w:val="clear" w:color="auto" w:fill="auto"/>
                    </w:rPr>
                  </w:pPr>
                </w:p>
              </w:tc>
              <w:tc>
                <w:tcPr>
                  <w:tcW w:w="630" w:type="dxa"/>
                  <w:vMerge w:val="continue"/>
                  <w:tcBorders>
                    <w:tl2br w:val="nil"/>
                    <w:tr2bl w:val="nil"/>
                  </w:tcBorders>
                  <w:noWrap w:val="0"/>
                  <w:vAlign w:val="center"/>
                </w:tcPr>
                <w:p w14:paraId="3B4F9599">
                  <w:pPr>
                    <w:pStyle w:val="78"/>
                    <w:rPr>
                      <w:rFonts w:hint="default" w:ascii="Times New Roman" w:hAnsi="Times New Roman" w:eastAsia="宋体" w:cs="Times New Roman"/>
                      <w:color w:val="auto"/>
                      <w:highlight w:val="none"/>
                      <w:shd w:val="clear" w:color="auto" w:fill="auto"/>
                    </w:rPr>
                  </w:pPr>
                </w:p>
              </w:tc>
              <w:tc>
                <w:tcPr>
                  <w:tcW w:w="1130" w:type="dxa"/>
                  <w:vMerge w:val="continue"/>
                  <w:tcBorders>
                    <w:tl2br w:val="nil"/>
                    <w:tr2bl w:val="nil"/>
                  </w:tcBorders>
                  <w:noWrap w:val="0"/>
                  <w:vAlign w:val="center"/>
                </w:tcPr>
                <w:p w14:paraId="16FF772E">
                  <w:pPr>
                    <w:pStyle w:val="78"/>
                    <w:rPr>
                      <w:rFonts w:hint="default" w:ascii="Times New Roman" w:hAnsi="Times New Roman" w:eastAsia="宋体" w:cs="Times New Roman"/>
                      <w:color w:val="auto"/>
                      <w:highlight w:val="none"/>
                      <w:shd w:val="clear" w:color="auto" w:fill="auto"/>
                    </w:rPr>
                  </w:pPr>
                </w:p>
              </w:tc>
              <w:tc>
                <w:tcPr>
                  <w:tcW w:w="603" w:type="dxa"/>
                  <w:vMerge w:val="continue"/>
                  <w:tcBorders>
                    <w:tl2br w:val="nil"/>
                    <w:tr2bl w:val="nil"/>
                  </w:tcBorders>
                  <w:noWrap w:val="0"/>
                  <w:vAlign w:val="center"/>
                </w:tcPr>
                <w:p w14:paraId="079E02E8">
                  <w:pPr>
                    <w:pStyle w:val="78"/>
                    <w:rPr>
                      <w:rFonts w:hint="default" w:ascii="Times New Roman" w:hAnsi="Times New Roman" w:eastAsia="宋体" w:cs="Times New Roman"/>
                      <w:color w:val="auto"/>
                      <w:highlight w:val="none"/>
                      <w:shd w:val="clear" w:color="auto" w:fill="auto"/>
                    </w:rPr>
                  </w:pPr>
                </w:p>
              </w:tc>
              <w:tc>
                <w:tcPr>
                  <w:tcW w:w="715" w:type="dxa"/>
                  <w:vMerge w:val="continue"/>
                  <w:tcBorders>
                    <w:tl2br w:val="nil"/>
                    <w:tr2bl w:val="nil"/>
                  </w:tcBorders>
                  <w:noWrap w:val="0"/>
                  <w:vAlign w:val="center"/>
                </w:tcPr>
                <w:p w14:paraId="492CF685">
                  <w:pPr>
                    <w:pStyle w:val="78"/>
                    <w:rPr>
                      <w:rFonts w:hint="default" w:ascii="Times New Roman" w:hAnsi="Times New Roman" w:eastAsia="宋体" w:cs="Times New Roman"/>
                      <w:color w:val="auto"/>
                      <w:highlight w:val="none"/>
                      <w:shd w:val="clear" w:color="auto" w:fill="auto"/>
                    </w:rPr>
                  </w:pPr>
                </w:p>
              </w:tc>
              <w:tc>
                <w:tcPr>
                  <w:tcW w:w="644" w:type="dxa"/>
                  <w:tcBorders>
                    <w:tl2br w:val="nil"/>
                    <w:tr2bl w:val="nil"/>
                  </w:tcBorders>
                  <w:shd w:val="clear" w:color="auto" w:fill="auto"/>
                  <w:noWrap w:val="0"/>
                  <w:vAlign w:val="center"/>
                </w:tcPr>
                <w:p w14:paraId="75A85C13">
                  <w:pPr>
                    <w:pStyle w:val="78"/>
                    <w:ind w:firstLine="0" w:firstLineChars="0"/>
                    <w:rPr>
                      <w:rFonts w:hint="default" w:ascii="Times New Roman" w:hAnsi="Times New Roman" w:eastAsia="宋体" w:cs="Times New Roman"/>
                      <w:color w:val="auto"/>
                      <w:kern w:val="0"/>
                      <w:sz w:val="21"/>
                      <w:szCs w:val="20"/>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TP</w:t>
                  </w:r>
                </w:p>
              </w:tc>
              <w:tc>
                <w:tcPr>
                  <w:tcW w:w="1279" w:type="dxa"/>
                  <w:tcBorders>
                    <w:tl2br w:val="nil"/>
                    <w:tr2bl w:val="nil"/>
                  </w:tcBorders>
                  <w:shd w:val="clear" w:color="auto" w:fill="auto"/>
                  <w:noWrap w:val="0"/>
                  <w:vAlign w:val="center"/>
                </w:tcPr>
                <w:p w14:paraId="6E6E250A">
                  <w:pPr>
                    <w:pStyle w:val="78"/>
                    <w:ind w:firstLine="0" w:firstLineChars="0"/>
                    <w:rPr>
                      <w:rFonts w:hint="default" w:ascii="Times New Roman" w:hAnsi="Times New Roman" w:eastAsia="宋体" w:cs="Times New Roman"/>
                      <w:color w:val="auto"/>
                      <w:kern w:val="0"/>
                      <w:sz w:val="21"/>
                      <w:szCs w:val="20"/>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0.</w:t>
                  </w:r>
                  <w:r>
                    <w:rPr>
                      <w:rFonts w:hint="default" w:ascii="Times New Roman" w:hAnsi="Times New Roman" w:eastAsia="宋体" w:cs="Times New Roman"/>
                      <w:color w:val="auto"/>
                      <w:highlight w:val="none"/>
                      <w:shd w:val="clear" w:color="auto" w:fill="auto"/>
                      <w:lang w:val="en-US" w:eastAsia="zh-CN"/>
                    </w:rPr>
                    <w:t>5</w:t>
                  </w:r>
                </w:p>
              </w:tc>
            </w:tr>
          </w:tbl>
          <w:p w14:paraId="303D5ACA">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s="Times New Roman"/>
                <w:b/>
                <w:bCs/>
                <w:color w:val="auto"/>
                <w:kern w:val="0"/>
                <w:sz w:val="24"/>
                <w:szCs w:val="24"/>
                <w:highlight w:val="none"/>
                <w:shd w:val="clear" w:color="auto" w:fill="auto"/>
              </w:rPr>
            </w:pPr>
            <w:r>
              <w:rPr>
                <w:rFonts w:hint="default" w:ascii="Times New Roman" w:hAnsi="Times New Roman" w:eastAsia="宋体" w:cs="Times New Roman"/>
                <w:b w:val="0"/>
                <w:bCs/>
                <w:color w:val="auto"/>
                <w:sz w:val="18"/>
                <w:szCs w:val="18"/>
                <w:highlight w:val="none"/>
                <w:shd w:val="clear" w:color="auto" w:fill="auto"/>
              </w:rPr>
              <w:t>注:括号外数值为水温&gt;12°时的控制指标，括号内数值为水温≤12℃时的控制指标;pH为无量纲。</w:t>
            </w:r>
          </w:p>
          <w:p w14:paraId="4F9E2DC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kern w:val="0"/>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rPr>
              <w:t>表4-</w:t>
            </w:r>
            <w:r>
              <w:rPr>
                <w:rFonts w:hint="eastAsia" w:ascii="Times New Roman" w:hAnsi="Times New Roman" w:eastAsia="宋体" w:cs="Times New Roman"/>
                <w:b/>
                <w:bCs/>
                <w:color w:val="auto"/>
                <w:kern w:val="0"/>
                <w:sz w:val="24"/>
                <w:szCs w:val="24"/>
                <w:highlight w:val="none"/>
                <w:shd w:val="clear" w:color="auto" w:fill="auto"/>
                <w:lang w:val="en-US" w:eastAsia="zh-CN"/>
              </w:rPr>
              <w:t>17</w:t>
            </w:r>
            <w:r>
              <w:rPr>
                <w:rFonts w:hint="default" w:ascii="Times New Roman" w:hAnsi="Times New Roman" w:eastAsia="宋体" w:cs="Times New Roman"/>
                <w:b/>
                <w:bCs/>
                <w:color w:val="auto"/>
                <w:kern w:val="0"/>
                <w:sz w:val="24"/>
                <w:szCs w:val="24"/>
                <w:highlight w:val="none"/>
                <w:shd w:val="clear" w:color="auto" w:fill="auto"/>
                <w:lang w:val="en-US" w:eastAsia="zh-CN"/>
              </w:rPr>
              <w:t xml:space="preserve">  </w:t>
            </w:r>
            <w:r>
              <w:rPr>
                <w:rFonts w:hint="default" w:ascii="Times New Roman" w:hAnsi="Times New Roman" w:eastAsia="宋体" w:cs="Times New Roman"/>
                <w:b/>
                <w:bCs/>
                <w:color w:val="auto"/>
                <w:kern w:val="0"/>
                <w:sz w:val="24"/>
                <w:szCs w:val="24"/>
                <w:highlight w:val="none"/>
                <w:shd w:val="clear" w:color="auto" w:fill="auto"/>
              </w:rPr>
              <w:t>废水污染物排放执行标准表</w:t>
            </w:r>
          </w:p>
          <w:tbl>
            <w:tblPr>
              <w:tblStyle w:val="27"/>
              <w:tblW w:w="4998" w:type="pct"/>
              <w:tblInd w:w="5"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72"/>
              <w:gridCol w:w="850"/>
              <w:gridCol w:w="1663"/>
              <w:gridCol w:w="3006"/>
              <w:gridCol w:w="676"/>
              <w:gridCol w:w="1417"/>
            </w:tblGrid>
            <w:tr w14:paraId="436DA75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restart"/>
                  <w:tcBorders>
                    <w:tl2br w:val="nil"/>
                    <w:tr2bl w:val="nil"/>
                  </w:tcBorders>
                  <w:vAlign w:val="center"/>
                </w:tcPr>
                <w:p w14:paraId="1BB104DD">
                  <w:pPr>
                    <w:jc w:val="center"/>
                    <w:rPr>
                      <w:rFonts w:hint="default" w:ascii="Times New Roman" w:hAnsi="Times New Roman" w:eastAsia="宋体" w:cs="Times New Roman"/>
                      <w:b/>
                      <w:bCs/>
                      <w:color w:val="auto"/>
                      <w:kern w:val="0"/>
                      <w:szCs w:val="21"/>
                      <w:highlight w:val="none"/>
                      <w:shd w:val="clear" w:color="auto" w:fill="auto"/>
                    </w:rPr>
                  </w:pPr>
                  <w:r>
                    <w:rPr>
                      <w:rFonts w:hint="default" w:ascii="Times New Roman" w:hAnsi="Times New Roman" w:eastAsia="宋体" w:cs="Times New Roman"/>
                      <w:b/>
                      <w:bCs/>
                      <w:color w:val="auto"/>
                      <w:kern w:val="0"/>
                      <w:szCs w:val="21"/>
                      <w:highlight w:val="none"/>
                      <w:shd w:val="clear" w:color="auto" w:fill="auto"/>
                    </w:rPr>
                    <w:t>序号</w:t>
                  </w:r>
                </w:p>
              </w:tc>
              <w:tc>
                <w:tcPr>
                  <w:tcW w:w="513" w:type="pct"/>
                  <w:vMerge w:val="restart"/>
                  <w:tcBorders>
                    <w:tl2br w:val="nil"/>
                    <w:tr2bl w:val="nil"/>
                  </w:tcBorders>
                  <w:vAlign w:val="center"/>
                </w:tcPr>
                <w:p w14:paraId="3C223CF6">
                  <w:pPr>
                    <w:jc w:val="center"/>
                    <w:rPr>
                      <w:rFonts w:hint="default" w:ascii="Times New Roman" w:hAnsi="Times New Roman" w:eastAsia="宋体" w:cs="Times New Roman"/>
                      <w:b/>
                      <w:bCs/>
                      <w:color w:val="auto"/>
                      <w:kern w:val="0"/>
                      <w:szCs w:val="21"/>
                      <w:highlight w:val="none"/>
                      <w:shd w:val="clear" w:color="auto" w:fill="auto"/>
                    </w:rPr>
                  </w:pPr>
                  <w:r>
                    <w:rPr>
                      <w:rFonts w:hint="default" w:ascii="Times New Roman" w:hAnsi="Times New Roman" w:eastAsia="宋体" w:cs="Times New Roman"/>
                      <w:b/>
                      <w:bCs/>
                      <w:color w:val="auto"/>
                      <w:kern w:val="0"/>
                      <w:szCs w:val="21"/>
                      <w:highlight w:val="none"/>
                      <w:shd w:val="clear" w:color="auto" w:fill="auto"/>
                    </w:rPr>
                    <w:t>排放口编号</w:t>
                  </w:r>
                </w:p>
              </w:tc>
              <w:tc>
                <w:tcPr>
                  <w:tcW w:w="1003" w:type="pct"/>
                  <w:vMerge w:val="restart"/>
                  <w:tcBorders>
                    <w:tl2br w:val="nil"/>
                    <w:tr2bl w:val="nil"/>
                  </w:tcBorders>
                  <w:vAlign w:val="center"/>
                </w:tcPr>
                <w:p w14:paraId="525F4741">
                  <w:pPr>
                    <w:jc w:val="center"/>
                    <w:rPr>
                      <w:rFonts w:hint="default" w:ascii="Times New Roman" w:hAnsi="Times New Roman" w:eastAsia="宋体" w:cs="Times New Roman"/>
                      <w:b/>
                      <w:bCs/>
                      <w:color w:val="auto"/>
                      <w:kern w:val="0"/>
                      <w:szCs w:val="21"/>
                      <w:highlight w:val="none"/>
                      <w:shd w:val="clear" w:color="auto" w:fill="auto"/>
                    </w:rPr>
                  </w:pPr>
                  <w:r>
                    <w:rPr>
                      <w:rFonts w:hint="default" w:ascii="Times New Roman" w:hAnsi="Times New Roman" w:eastAsia="宋体" w:cs="Times New Roman"/>
                      <w:b/>
                      <w:bCs/>
                      <w:color w:val="auto"/>
                      <w:kern w:val="0"/>
                      <w:szCs w:val="21"/>
                      <w:highlight w:val="none"/>
                      <w:shd w:val="clear" w:color="auto" w:fill="auto"/>
                    </w:rPr>
                    <w:t>污染物种类</w:t>
                  </w:r>
                </w:p>
              </w:tc>
              <w:tc>
                <w:tcPr>
                  <w:tcW w:w="3077" w:type="pct"/>
                  <w:gridSpan w:val="3"/>
                  <w:tcBorders>
                    <w:tl2br w:val="nil"/>
                    <w:tr2bl w:val="nil"/>
                  </w:tcBorders>
                  <w:vAlign w:val="center"/>
                </w:tcPr>
                <w:p w14:paraId="4892DAB7">
                  <w:pPr>
                    <w:jc w:val="center"/>
                    <w:rPr>
                      <w:rFonts w:hint="default" w:ascii="Times New Roman" w:hAnsi="Times New Roman" w:eastAsia="宋体" w:cs="Times New Roman"/>
                      <w:b/>
                      <w:bCs/>
                      <w:color w:val="auto"/>
                      <w:kern w:val="0"/>
                      <w:szCs w:val="21"/>
                      <w:highlight w:val="none"/>
                      <w:shd w:val="clear" w:color="auto" w:fill="auto"/>
                    </w:rPr>
                  </w:pPr>
                  <w:r>
                    <w:rPr>
                      <w:rFonts w:hint="default" w:ascii="Times New Roman" w:hAnsi="Times New Roman" w:eastAsia="宋体" w:cs="Times New Roman"/>
                      <w:b/>
                      <w:bCs/>
                      <w:color w:val="auto"/>
                      <w:kern w:val="0"/>
                      <w:szCs w:val="21"/>
                      <w:highlight w:val="none"/>
                      <w:shd w:val="clear" w:color="auto" w:fill="auto"/>
                    </w:rPr>
                    <w:t>国家或地方排放标准及其他按规定商议的排放协议</w:t>
                  </w:r>
                </w:p>
              </w:tc>
            </w:tr>
            <w:tr w14:paraId="7476612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45FB7D5E">
                  <w:pPr>
                    <w:jc w:val="center"/>
                    <w:rPr>
                      <w:rFonts w:hint="default" w:ascii="Times New Roman" w:hAnsi="Times New Roman" w:eastAsia="宋体" w:cs="Times New Roman"/>
                      <w:b/>
                      <w:bCs/>
                      <w:color w:val="auto"/>
                      <w:kern w:val="0"/>
                      <w:szCs w:val="21"/>
                      <w:highlight w:val="none"/>
                      <w:shd w:val="clear" w:color="auto" w:fill="auto"/>
                    </w:rPr>
                  </w:pPr>
                </w:p>
              </w:tc>
              <w:tc>
                <w:tcPr>
                  <w:tcW w:w="513" w:type="pct"/>
                  <w:vMerge w:val="continue"/>
                  <w:tcBorders>
                    <w:tl2br w:val="nil"/>
                    <w:tr2bl w:val="nil"/>
                  </w:tcBorders>
                  <w:vAlign w:val="center"/>
                </w:tcPr>
                <w:p w14:paraId="196C21BE">
                  <w:pPr>
                    <w:jc w:val="center"/>
                    <w:rPr>
                      <w:rFonts w:hint="default" w:ascii="Times New Roman" w:hAnsi="Times New Roman" w:eastAsia="宋体" w:cs="Times New Roman"/>
                      <w:b/>
                      <w:bCs/>
                      <w:color w:val="auto"/>
                      <w:kern w:val="0"/>
                      <w:szCs w:val="21"/>
                      <w:highlight w:val="none"/>
                      <w:shd w:val="clear" w:color="auto" w:fill="auto"/>
                    </w:rPr>
                  </w:pPr>
                </w:p>
              </w:tc>
              <w:tc>
                <w:tcPr>
                  <w:tcW w:w="1003" w:type="pct"/>
                  <w:vMerge w:val="continue"/>
                  <w:tcBorders>
                    <w:tl2br w:val="nil"/>
                    <w:tr2bl w:val="nil"/>
                  </w:tcBorders>
                  <w:vAlign w:val="center"/>
                </w:tcPr>
                <w:p w14:paraId="7E7E40F0">
                  <w:pPr>
                    <w:jc w:val="center"/>
                    <w:rPr>
                      <w:rFonts w:hint="default" w:ascii="Times New Roman" w:hAnsi="Times New Roman" w:eastAsia="宋体" w:cs="Times New Roman"/>
                      <w:b/>
                      <w:bCs/>
                      <w:color w:val="auto"/>
                      <w:kern w:val="0"/>
                      <w:szCs w:val="21"/>
                      <w:highlight w:val="none"/>
                      <w:shd w:val="clear" w:color="auto" w:fill="auto"/>
                    </w:rPr>
                  </w:pPr>
                </w:p>
              </w:tc>
              <w:tc>
                <w:tcPr>
                  <w:tcW w:w="1814" w:type="pct"/>
                  <w:tcBorders>
                    <w:tl2br w:val="nil"/>
                    <w:tr2bl w:val="nil"/>
                  </w:tcBorders>
                  <w:vAlign w:val="center"/>
                </w:tcPr>
                <w:p w14:paraId="305AC42D">
                  <w:pPr>
                    <w:jc w:val="center"/>
                    <w:rPr>
                      <w:rFonts w:hint="default" w:ascii="Times New Roman" w:hAnsi="Times New Roman" w:eastAsia="宋体" w:cs="Times New Roman"/>
                      <w:b/>
                      <w:bCs/>
                      <w:color w:val="auto"/>
                      <w:kern w:val="0"/>
                      <w:szCs w:val="21"/>
                      <w:highlight w:val="none"/>
                      <w:shd w:val="clear" w:color="auto" w:fill="auto"/>
                    </w:rPr>
                  </w:pPr>
                  <w:r>
                    <w:rPr>
                      <w:rFonts w:hint="default" w:ascii="Times New Roman" w:hAnsi="Times New Roman" w:eastAsia="宋体" w:cs="Times New Roman"/>
                      <w:b/>
                      <w:bCs/>
                      <w:color w:val="auto"/>
                      <w:kern w:val="0"/>
                      <w:szCs w:val="21"/>
                      <w:highlight w:val="none"/>
                      <w:shd w:val="clear" w:color="auto" w:fill="auto"/>
                    </w:rPr>
                    <w:t>名称</w:t>
                  </w:r>
                </w:p>
              </w:tc>
              <w:tc>
                <w:tcPr>
                  <w:tcW w:w="1263" w:type="pct"/>
                  <w:gridSpan w:val="2"/>
                  <w:tcBorders>
                    <w:tl2br w:val="nil"/>
                    <w:tr2bl w:val="nil"/>
                  </w:tcBorders>
                  <w:vAlign w:val="center"/>
                </w:tcPr>
                <w:p w14:paraId="73F5DF3E">
                  <w:pPr>
                    <w:jc w:val="center"/>
                    <w:rPr>
                      <w:rFonts w:hint="default" w:ascii="Times New Roman" w:hAnsi="Times New Roman" w:eastAsia="宋体" w:cs="Times New Roman"/>
                      <w:b/>
                      <w:bCs/>
                      <w:color w:val="auto"/>
                      <w:kern w:val="0"/>
                      <w:szCs w:val="21"/>
                      <w:highlight w:val="none"/>
                      <w:shd w:val="clear" w:color="auto" w:fill="auto"/>
                    </w:rPr>
                  </w:pPr>
                  <w:r>
                    <w:rPr>
                      <w:rFonts w:hint="default" w:ascii="Times New Roman" w:hAnsi="Times New Roman" w:eastAsia="宋体" w:cs="Times New Roman"/>
                      <w:b/>
                      <w:bCs/>
                      <w:color w:val="auto"/>
                      <w:kern w:val="0"/>
                      <w:szCs w:val="21"/>
                      <w:highlight w:val="none"/>
                      <w:shd w:val="clear" w:color="auto" w:fill="auto"/>
                    </w:rPr>
                    <w:t>浓度限值（mg/L）</w:t>
                  </w:r>
                </w:p>
              </w:tc>
            </w:tr>
            <w:tr w14:paraId="1C54AA3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restart"/>
                  <w:tcBorders>
                    <w:tl2br w:val="nil"/>
                    <w:tr2bl w:val="nil"/>
                  </w:tcBorders>
                  <w:vAlign w:val="center"/>
                </w:tcPr>
                <w:p w14:paraId="15CB84B0">
                  <w:pPr>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w:t>
                  </w:r>
                </w:p>
              </w:tc>
              <w:tc>
                <w:tcPr>
                  <w:tcW w:w="513" w:type="pct"/>
                  <w:vMerge w:val="restart"/>
                  <w:tcBorders>
                    <w:tl2br w:val="nil"/>
                    <w:tr2bl w:val="nil"/>
                  </w:tcBorders>
                  <w:vAlign w:val="center"/>
                </w:tcPr>
                <w:p w14:paraId="47C52ABF">
                  <w:pPr>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DW001</w:t>
                  </w:r>
                </w:p>
              </w:tc>
              <w:tc>
                <w:tcPr>
                  <w:tcW w:w="1003" w:type="pct"/>
                  <w:vMerge w:val="restart"/>
                  <w:tcBorders>
                    <w:tl2br w:val="nil"/>
                    <w:tr2bl w:val="nil"/>
                  </w:tcBorders>
                  <w:vAlign w:val="center"/>
                </w:tcPr>
                <w:p w14:paraId="4A1CF195">
                  <w:pPr>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pH、COD、SS、NH</w:t>
                  </w:r>
                  <w:r>
                    <w:rPr>
                      <w:rFonts w:hint="default" w:ascii="Times New Roman" w:hAnsi="Times New Roman" w:eastAsia="宋体" w:cs="Times New Roman"/>
                      <w:color w:val="auto"/>
                      <w:kern w:val="0"/>
                      <w:szCs w:val="21"/>
                      <w:highlight w:val="none"/>
                      <w:shd w:val="clear" w:color="auto" w:fill="auto"/>
                      <w:vertAlign w:val="subscript"/>
                    </w:rPr>
                    <w:t>3</w:t>
                  </w:r>
                  <w:r>
                    <w:rPr>
                      <w:rFonts w:hint="default" w:ascii="Times New Roman" w:hAnsi="Times New Roman" w:eastAsia="宋体" w:cs="Times New Roman"/>
                      <w:color w:val="auto"/>
                      <w:kern w:val="0"/>
                      <w:szCs w:val="21"/>
                      <w:highlight w:val="none"/>
                      <w:shd w:val="clear" w:color="auto" w:fill="auto"/>
                    </w:rPr>
                    <w:t>-N、TP、TN</w:t>
                  </w:r>
                </w:p>
              </w:tc>
              <w:tc>
                <w:tcPr>
                  <w:tcW w:w="1814" w:type="pct"/>
                  <w:vMerge w:val="restart"/>
                  <w:tcBorders>
                    <w:tl2br w:val="nil"/>
                    <w:tr2bl w:val="nil"/>
                  </w:tcBorders>
                  <w:vAlign w:val="center"/>
                </w:tcPr>
                <w:p w14:paraId="652B3624">
                  <w:pPr>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金坛</w:t>
                  </w:r>
                  <w:r>
                    <w:rPr>
                      <w:rFonts w:hint="default" w:ascii="Times New Roman" w:hAnsi="Times New Roman" w:eastAsia="宋体" w:cs="Times New Roman"/>
                      <w:color w:val="auto"/>
                      <w:kern w:val="0"/>
                      <w:szCs w:val="21"/>
                      <w:highlight w:val="none"/>
                      <w:shd w:val="clear" w:color="auto" w:fill="auto"/>
                      <w:lang w:eastAsia="zh-CN"/>
                    </w:rPr>
                    <w:t>第二污水处理有限公司</w:t>
                  </w:r>
                  <w:r>
                    <w:rPr>
                      <w:rFonts w:hint="default" w:ascii="Times New Roman" w:hAnsi="Times New Roman" w:eastAsia="宋体" w:cs="Times New Roman"/>
                      <w:color w:val="auto"/>
                      <w:kern w:val="0"/>
                      <w:szCs w:val="21"/>
                      <w:highlight w:val="none"/>
                      <w:shd w:val="clear" w:color="auto" w:fill="auto"/>
                    </w:rPr>
                    <w:t>接管标准</w:t>
                  </w:r>
                </w:p>
              </w:tc>
              <w:tc>
                <w:tcPr>
                  <w:tcW w:w="408" w:type="pct"/>
                  <w:tcBorders>
                    <w:tl2br w:val="nil"/>
                    <w:tr2bl w:val="nil"/>
                  </w:tcBorders>
                  <w:vAlign w:val="center"/>
                </w:tcPr>
                <w:p w14:paraId="1A23A9AA">
                  <w:pPr>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pH</w:t>
                  </w:r>
                </w:p>
              </w:tc>
              <w:tc>
                <w:tcPr>
                  <w:tcW w:w="855" w:type="pct"/>
                  <w:tcBorders>
                    <w:tl2br w:val="nil"/>
                    <w:tr2bl w:val="nil"/>
                  </w:tcBorders>
                  <w:vAlign w:val="center"/>
                </w:tcPr>
                <w:p w14:paraId="744EA4B8">
                  <w:pPr>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6~9</w:t>
                  </w:r>
                  <w:r>
                    <w:rPr>
                      <w:rFonts w:hint="default" w:ascii="Times New Roman" w:hAnsi="Times New Roman" w:eastAsia="宋体"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lang w:val="en-US" w:eastAsia="zh-CN"/>
                    </w:rPr>
                    <w:t>无量纲</w:t>
                  </w:r>
                  <w:r>
                    <w:rPr>
                      <w:rFonts w:hint="default" w:ascii="Times New Roman" w:hAnsi="Times New Roman" w:eastAsia="宋体" w:cs="Times New Roman"/>
                      <w:color w:val="auto"/>
                      <w:highlight w:val="none"/>
                      <w:shd w:val="clear" w:color="auto" w:fill="auto"/>
                      <w:lang w:eastAsia="zh-CN"/>
                    </w:rPr>
                    <w:t>）</w:t>
                  </w:r>
                </w:p>
              </w:tc>
            </w:tr>
            <w:tr w14:paraId="1B5FCC0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2499B948">
                  <w:pPr>
                    <w:jc w:val="center"/>
                    <w:rPr>
                      <w:rFonts w:hint="default" w:ascii="Times New Roman" w:hAnsi="Times New Roman" w:eastAsia="宋体" w:cs="Times New Roman"/>
                      <w:color w:val="auto"/>
                      <w:kern w:val="0"/>
                      <w:szCs w:val="21"/>
                      <w:highlight w:val="none"/>
                      <w:shd w:val="clear" w:color="auto" w:fill="auto"/>
                    </w:rPr>
                  </w:pPr>
                </w:p>
              </w:tc>
              <w:tc>
                <w:tcPr>
                  <w:tcW w:w="513" w:type="pct"/>
                  <w:vMerge w:val="continue"/>
                  <w:tcBorders>
                    <w:tl2br w:val="nil"/>
                    <w:tr2bl w:val="nil"/>
                  </w:tcBorders>
                  <w:vAlign w:val="center"/>
                </w:tcPr>
                <w:p w14:paraId="705217EE">
                  <w:pPr>
                    <w:jc w:val="center"/>
                    <w:rPr>
                      <w:rFonts w:hint="default" w:ascii="Times New Roman" w:hAnsi="Times New Roman" w:eastAsia="宋体" w:cs="Times New Roman"/>
                      <w:color w:val="auto"/>
                      <w:kern w:val="0"/>
                      <w:szCs w:val="21"/>
                      <w:highlight w:val="none"/>
                      <w:shd w:val="clear" w:color="auto" w:fill="auto"/>
                    </w:rPr>
                  </w:pPr>
                </w:p>
              </w:tc>
              <w:tc>
                <w:tcPr>
                  <w:tcW w:w="1003" w:type="pct"/>
                  <w:vMerge w:val="continue"/>
                  <w:tcBorders>
                    <w:tl2br w:val="nil"/>
                    <w:tr2bl w:val="nil"/>
                  </w:tcBorders>
                  <w:vAlign w:val="center"/>
                </w:tcPr>
                <w:p w14:paraId="2E110D99">
                  <w:pPr>
                    <w:jc w:val="center"/>
                    <w:rPr>
                      <w:rFonts w:hint="default" w:ascii="Times New Roman" w:hAnsi="Times New Roman" w:eastAsia="宋体" w:cs="Times New Roman"/>
                      <w:color w:val="auto"/>
                      <w:kern w:val="0"/>
                      <w:szCs w:val="21"/>
                      <w:highlight w:val="none"/>
                      <w:shd w:val="clear" w:color="auto" w:fill="auto"/>
                    </w:rPr>
                  </w:pPr>
                </w:p>
              </w:tc>
              <w:tc>
                <w:tcPr>
                  <w:tcW w:w="1814" w:type="pct"/>
                  <w:vMerge w:val="continue"/>
                  <w:tcBorders>
                    <w:tl2br w:val="nil"/>
                    <w:tr2bl w:val="nil"/>
                  </w:tcBorders>
                  <w:vAlign w:val="center"/>
                </w:tcPr>
                <w:p w14:paraId="3F18D938">
                  <w:pPr>
                    <w:jc w:val="center"/>
                    <w:rPr>
                      <w:rFonts w:hint="default" w:ascii="Times New Roman" w:hAnsi="Times New Roman" w:eastAsia="宋体" w:cs="Times New Roman"/>
                      <w:color w:val="auto"/>
                      <w:kern w:val="0"/>
                      <w:szCs w:val="21"/>
                      <w:highlight w:val="none"/>
                      <w:shd w:val="clear" w:color="auto" w:fill="auto"/>
                    </w:rPr>
                  </w:pPr>
                </w:p>
              </w:tc>
              <w:tc>
                <w:tcPr>
                  <w:tcW w:w="408" w:type="pct"/>
                  <w:tcBorders>
                    <w:tl2br w:val="nil"/>
                    <w:tr2bl w:val="nil"/>
                  </w:tcBorders>
                  <w:vAlign w:val="center"/>
                </w:tcPr>
                <w:p w14:paraId="6731FE42">
                  <w:pPr>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COD</w:t>
                  </w:r>
                </w:p>
              </w:tc>
              <w:tc>
                <w:tcPr>
                  <w:tcW w:w="855" w:type="pct"/>
                  <w:tcBorders>
                    <w:tl2br w:val="nil"/>
                    <w:tr2bl w:val="nil"/>
                  </w:tcBorders>
                  <w:vAlign w:val="center"/>
                </w:tcPr>
                <w:p w14:paraId="2FFB1C6F">
                  <w:pPr>
                    <w:adjustRightInd w:val="0"/>
                    <w:snapToGrid w:val="0"/>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500</w:t>
                  </w:r>
                </w:p>
              </w:tc>
            </w:tr>
            <w:tr w14:paraId="5671581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7960A443">
                  <w:pPr>
                    <w:jc w:val="center"/>
                    <w:rPr>
                      <w:rFonts w:hint="default" w:ascii="Times New Roman" w:hAnsi="Times New Roman" w:eastAsia="宋体" w:cs="Times New Roman"/>
                      <w:color w:val="auto"/>
                      <w:kern w:val="0"/>
                      <w:szCs w:val="21"/>
                      <w:highlight w:val="none"/>
                      <w:shd w:val="clear" w:color="auto" w:fill="auto"/>
                    </w:rPr>
                  </w:pPr>
                </w:p>
              </w:tc>
              <w:tc>
                <w:tcPr>
                  <w:tcW w:w="513" w:type="pct"/>
                  <w:vMerge w:val="continue"/>
                  <w:tcBorders>
                    <w:tl2br w:val="nil"/>
                    <w:tr2bl w:val="nil"/>
                  </w:tcBorders>
                  <w:vAlign w:val="center"/>
                </w:tcPr>
                <w:p w14:paraId="298F2ECE">
                  <w:pPr>
                    <w:jc w:val="center"/>
                    <w:rPr>
                      <w:rFonts w:hint="default" w:ascii="Times New Roman" w:hAnsi="Times New Roman" w:eastAsia="宋体" w:cs="Times New Roman"/>
                      <w:color w:val="auto"/>
                      <w:kern w:val="0"/>
                      <w:szCs w:val="21"/>
                      <w:highlight w:val="none"/>
                      <w:shd w:val="clear" w:color="auto" w:fill="auto"/>
                    </w:rPr>
                  </w:pPr>
                </w:p>
              </w:tc>
              <w:tc>
                <w:tcPr>
                  <w:tcW w:w="1003" w:type="pct"/>
                  <w:vMerge w:val="continue"/>
                  <w:tcBorders>
                    <w:tl2br w:val="nil"/>
                    <w:tr2bl w:val="nil"/>
                  </w:tcBorders>
                  <w:vAlign w:val="center"/>
                </w:tcPr>
                <w:p w14:paraId="7D159C97">
                  <w:pPr>
                    <w:jc w:val="center"/>
                    <w:rPr>
                      <w:rFonts w:hint="default" w:ascii="Times New Roman" w:hAnsi="Times New Roman" w:eastAsia="宋体" w:cs="Times New Roman"/>
                      <w:color w:val="auto"/>
                      <w:kern w:val="0"/>
                      <w:szCs w:val="21"/>
                      <w:highlight w:val="none"/>
                      <w:shd w:val="clear" w:color="auto" w:fill="auto"/>
                    </w:rPr>
                  </w:pPr>
                </w:p>
              </w:tc>
              <w:tc>
                <w:tcPr>
                  <w:tcW w:w="1814" w:type="pct"/>
                  <w:vMerge w:val="continue"/>
                  <w:tcBorders>
                    <w:tl2br w:val="nil"/>
                    <w:tr2bl w:val="nil"/>
                  </w:tcBorders>
                  <w:vAlign w:val="center"/>
                </w:tcPr>
                <w:p w14:paraId="6E585880">
                  <w:pPr>
                    <w:jc w:val="center"/>
                    <w:rPr>
                      <w:rFonts w:hint="default" w:ascii="Times New Roman" w:hAnsi="Times New Roman" w:eastAsia="宋体" w:cs="Times New Roman"/>
                      <w:color w:val="auto"/>
                      <w:kern w:val="0"/>
                      <w:szCs w:val="21"/>
                      <w:highlight w:val="none"/>
                      <w:shd w:val="clear" w:color="auto" w:fill="auto"/>
                    </w:rPr>
                  </w:pPr>
                </w:p>
              </w:tc>
              <w:tc>
                <w:tcPr>
                  <w:tcW w:w="408" w:type="pct"/>
                  <w:tcBorders>
                    <w:tl2br w:val="nil"/>
                    <w:tr2bl w:val="nil"/>
                  </w:tcBorders>
                  <w:vAlign w:val="center"/>
                </w:tcPr>
                <w:p w14:paraId="1FAEF016">
                  <w:pPr>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SS</w:t>
                  </w:r>
                </w:p>
              </w:tc>
              <w:tc>
                <w:tcPr>
                  <w:tcW w:w="855" w:type="pct"/>
                  <w:tcBorders>
                    <w:tl2br w:val="nil"/>
                    <w:tr2bl w:val="nil"/>
                  </w:tcBorders>
                  <w:vAlign w:val="center"/>
                </w:tcPr>
                <w:p w14:paraId="2F465FF4">
                  <w:pPr>
                    <w:adjustRightInd w:val="0"/>
                    <w:snapToGrid w:val="0"/>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250</w:t>
                  </w:r>
                </w:p>
              </w:tc>
            </w:tr>
            <w:tr w14:paraId="649E1F4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05" w:type="pct"/>
                  <w:vMerge w:val="continue"/>
                  <w:tcBorders>
                    <w:tl2br w:val="nil"/>
                    <w:tr2bl w:val="nil"/>
                  </w:tcBorders>
                  <w:vAlign w:val="center"/>
                </w:tcPr>
                <w:p w14:paraId="20378A52">
                  <w:pPr>
                    <w:jc w:val="center"/>
                    <w:rPr>
                      <w:rFonts w:hint="default" w:ascii="Times New Roman" w:hAnsi="Times New Roman" w:eastAsia="宋体" w:cs="Times New Roman"/>
                      <w:color w:val="auto"/>
                      <w:kern w:val="0"/>
                      <w:szCs w:val="21"/>
                      <w:highlight w:val="none"/>
                      <w:shd w:val="clear" w:color="auto" w:fill="auto"/>
                    </w:rPr>
                  </w:pPr>
                </w:p>
              </w:tc>
              <w:tc>
                <w:tcPr>
                  <w:tcW w:w="513" w:type="pct"/>
                  <w:vMerge w:val="continue"/>
                  <w:tcBorders>
                    <w:tl2br w:val="nil"/>
                    <w:tr2bl w:val="nil"/>
                  </w:tcBorders>
                  <w:vAlign w:val="center"/>
                </w:tcPr>
                <w:p w14:paraId="49A617FA">
                  <w:pPr>
                    <w:jc w:val="center"/>
                    <w:rPr>
                      <w:rFonts w:hint="default" w:ascii="Times New Roman" w:hAnsi="Times New Roman" w:eastAsia="宋体" w:cs="Times New Roman"/>
                      <w:color w:val="auto"/>
                      <w:kern w:val="0"/>
                      <w:szCs w:val="21"/>
                      <w:highlight w:val="none"/>
                      <w:shd w:val="clear" w:color="auto" w:fill="auto"/>
                    </w:rPr>
                  </w:pPr>
                </w:p>
              </w:tc>
              <w:tc>
                <w:tcPr>
                  <w:tcW w:w="1003" w:type="pct"/>
                  <w:vMerge w:val="continue"/>
                  <w:tcBorders>
                    <w:tl2br w:val="nil"/>
                    <w:tr2bl w:val="nil"/>
                  </w:tcBorders>
                  <w:vAlign w:val="center"/>
                </w:tcPr>
                <w:p w14:paraId="09AB8D3A">
                  <w:pPr>
                    <w:jc w:val="center"/>
                    <w:rPr>
                      <w:rFonts w:hint="default" w:ascii="Times New Roman" w:hAnsi="Times New Roman" w:eastAsia="宋体" w:cs="Times New Roman"/>
                      <w:color w:val="auto"/>
                      <w:kern w:val="0"/>
                      <w:szCs w:val="21"/>
                      <w:highlight w:val="none"/>
                      <w:shd w:val="clear" w:color="auto" w:fill="auto"/>
                    </w:rPr>
                  </w:pPr>
                </w:p>
              </w:tc>
              <w:tc>
                <w:tcPr>
                  <w:tcW w:w="1814" w:type="pct"/>
                  <w:vMerge w:val="continue"/>
                  <w:tcBorders>
                    <w:tl2br w:val="nil"/>
                    <w:tr2bl w:val="nil"/>
                  </w:tcBorders>
                  <w:vAlign w:val="center"/>
                </w:tcPr>
                <w:p w14:paraId="09E2ACC3">
                  <w:pPr>
                    <w:jc w:val="center"/>
                    <w:rPr>
                      <w:rFonts w:hint="default" w:ascii="Times New Roman" w:hAnsi="Times New Roman" w:eastAsia="宋体" w:cs="Times New Roman"/>
                      <w:color w:val="auto"/>
                      <w:kern w:val="0"/>
                      <w:szCs w:val="21"/>
                      <w:highlight w:val="none"/>
                      <w:shd w:val="clear" w:color="auto" w:fill="auto"/>
                    </w:rPr>
                  </w:pPr>
                </w:p>
              </w:tc>
              <w:tc>
                <w:tcPr>
                  <w:tcW w:w="408" w:type="pct"/>
                  <w:tcBorders>
                    <w:tl2br w:val="nil"/>
                    <w:tr2bl w:val="nil"/>
                  </w:tcBorders>
                  <w:vAlign w:val="center"/>
                </w:tcPr>
                <w:p w14:paraId="2F471AA0">
                  <w:pPr>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NH</w:t>
                  </w:r>
                  <w:r>
                    <w:rPr>
                      <w:rFonts w:hint="default" w:ascii="Times New Roman" w:hAnsi="Times New Roman" w:eastAsia="宋体" w:cs="Times New Roman"/>
                      <w:color w:val="auto"/>
                      <w:kern w:val="0"/>
                      <w:szCs w:val="21"/>
                      <w:highlight w:val="none"/>
                      <w:shd w:val="clear" w:color="auto" w:fill="auto"/>
                      <w:vertAlign w:val="subscript"/>
                    </w:rPr>
                    <w:t>3</w:t>
                  </w:r>
                  <w:r>
                    <w:rPr>
                      <w:rFonts w:hint="default" w:ascii="Times New Roman" w:hAnsi="Times New Roman" w:eastAsia="宋体" w:cs="Times New Roman"/>
                      <w:color w:val="auto"/>
                      <w:kern w:val="0"/>
                      <w:szCs w:val="21"/>
                      <w:highlight w:val="none"/>
                      <w:shd w:val="clear" w:color="auto" w:fill="auto"/>
                    </w:rPr>
                    <w:t>-N</w:t>
                  </w:r>
                </w:p>
              </w:tc>
              <w:tc>
                <w:tcPr>
                  <w:tcW w:w="855" w:type="pct"/>
                  <w:tcBorders>
                    <w:tl2br w:val="nil"/>
                    <w:tr2bl w:val="nil"/>
                  </w:tcBorders>
                  <w:vAlign w:val="center"/>
                </w:tcPr>
                <w:p w14:paraId="6D707AF3">
                  <w:pPr>
                    <w:adjustRightInd w:val="0"/>
                    <w:snapToGrid w:val="0"/>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35</w:t>
                  </w:r>
                </w:p>
              </w:tc>
            </w:tr>
            <w:tr w14:paraId="3785882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5" w:type="pct"/>
                  <w:vMerge w:val="continue"/>
                  <w:tcBorders>
                    <w:tl2br w:val="nil"/>
                    <w:tr2bl w:val="nil"/>
                  </w:tcBorders>
                  <w:vAlign w:val="center"/>
                </w:tcPr>
                <w:p w14:paraId="4C3CC039">
                  <w:pPr>
                    <w:jc w:val="center"/>
                    <w:rPr>
                      <w:rFonts w:hint="default" w:ascii="Times New Roman" w:hAnsi="Times New Roman" w:eastAsia="宋体" w:cs="Times New Roman"/>
                      <w:color w:val="auto"/>
                      <w:kern w:val="0"/>
                      <w:szCs w:val="21"/>
                      <w:highlight w:val="none"/>
                      <w:shd w:val="clear" w:color="auto" w:fill="auto"/>
                    </w:rPr>
                  </w:pPr>
                </w:p>
              </w:tc>
              <w:tc>
                <w:tcPr>
                  <w:tcW w:w="513" w:type="pct"/>
                  <w:vMerge w:val="continue"/>
                  <w:tcBorders>
                    <w:tl2br w:val="nil"/>
                    <w:tr2bl w:val="nil"/>
                  </w:tcBorders>
                  <w:vAlign w:val="center"/>
                </w:tcPr>
                <w:p w14:paraId="47E73486">
                  <w:pPr>
                    <w:jc w:val="center"/>
                    <w:rPr>
                      <w:rFonts w:hint="default" w:ascii="Times New Roman" w:hAnsi="Times New Roman" w:eastAsia="宋体" w:cs="Times New Roman"/>
                      <w:color w:val="auto"/>
                      <w:kern w:val="0"/>
                      <w:szCs w:val="21"/>
                      <w:highlight w:val="none"/>
                      <w:shd w:val="clear" w:color="auto" w:fill="auto"/>
                    </w:rPr>
                  </w:pPr>
                </w:p>
              </w:tc>
              <w:tc>
                <w:tcPr>
                  <w:tcW w:w="1003" w:type="pct"/>
                  <w:vMerge w:val="continue"/>
                  <w:tcBorders>
                    <w:tl2br w:val="nil"/>
                    <w:tr2bl w:val="nil"/>
                  </w:tcBorders>
                  <w:vAlign w:val="center"/>
                </w:tcPr>
                <w:p w14:paraId="45DEFC57">
                  <w:pPr>
                    <w:jc w:val="center"/>
                    <w:rPr>
                      <w:rFonts w:hint="default" w:ascii="Times New Roman" w:hAnsi="Times New Roman" w:eastAsia="宋体" w:cs="Times New Roman"/>
                      <w:color w:val="auto"/>
                      <w:kern w:val="0"/>
                      <w:szCs w:val="21"/>
                      <w:highlight w:val="none"/>
                      <w:shd w:val="clear" w:color="auto" w:fill="auto"/>
                    </w:rPr>
                  </w:pPr>
                </w:p>
              </w:tc>
              <w:tc>
                <w:tcPr>
                  <w:tcW w:w="1814" w:type="pct"/>
                  <w:vMerge w:val="continue"/>
                  <w:tcBorders>
                    <w:tl2br w:val="nil"/>
                    <w:tr2bl w:val="nil"/>
                  </w:tcBorders>
                  <w:vAlign w:val="center"/>
                </w:tcPr>
                <w:p w14:paraId="57E1A8BE">
                  <w:pPr>
                    <w:jc w:val="center"/>
                    <w:rPr>
                      <w:rFonts w:hint="default" w:ascii="Times New Roman" w:hAnsi="Times New Roman" w:eastAsia="宋体" w:cs="Times New Roman"/>
                      <w:color w:val="auto"/>
                      <w:kern w:val="0"/>
                      <w:szCs w:val="21"/>
                      <w:highlight w:val="none"/>
                      <w:shd w:val="clear" w:color="auto" w:fill="auto"/>
                    </w:rPr>
                  </w:pPr>
                </w:p>
              </w:tc>
              <w:tc>
                <w:tcPr>
                  <w:tcW w:w="408" w:type="pct"/>
                  <w:tcBorders>
                    <w:tl2br w:val="nil"/>
                    <w:tr2bl w:val="nil"/>
                  </w:tcBorders>
                  <w:vAlign w:val="center"/>
                </w:tcPr>
                <w:p w14:paraId="69132356">
                  <w:pPr>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TN</w:t>
                  </w:r>
                </w:p>
              </w:tc>
              <w:tc>
                <w:tcPr>
                  <w:tcW w:w="855" w:type="pct"/>
                  <w:tcBorders>
                    <w:tl2br w:val="nil"/>
                    <w:tr2bl w:val="nil"/>
                  </w:tcBorders>
                  <w:vAlign w:val="center"/>
                </w:tcPr>
                <w:p w14:paraId="2E10AC68">
                  <w:pPr>
                    <w:adjustRightInd w:val="0"/>
                    <w:snapToGrid w:val="0"/>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50</w:t>
                  </w:r>
                </w:p>
              </w:tc>
            </w:tr>
            <w:tr w14:paraId="01FA0FB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405" w:type="pct"/>
                  <w:vMerge w:val="continue"/>
                  <w:tcBorders>
                    <w:tl2br w:val="nil"/>
                    <w:tr2bl w:val="nil"/>
                  </w:tcBorders>
                  <w:vAlign w:val="center"/>
                </w:tcPr>
                <w:p w14:paraId="36D201A0">
                  <w:pPr>
                    <w:jc w:val="center"/>
                    <w:rPr>
                      <w:rFonts w:hint="default" w:ascii="Times New Roman" w:hAnsi="Times New Roman" w:eastAsia="宋体" w:cs="Times New Roman"/>
                      <w:color w:val="auto"/>
                      <w:kern w:val="0"/>
                      <w:szCs w:val="21"/>
                      <w:highlight w:val="none"/>
                      <w:shd w:val="clear" w:color="auto" w:fill="auto"/>
                    </w:rPr>
                  </w:pPr>
                </w:p>
              </w:tc>
              <w:tc>
                <w:tcPr>
                  <w:tcW w:w="513" w:type="pct"/>
                  <w:vMerge w:val="continue"/>
                  <w:tcBorders>
                    <w:tl2br w:val="nil"/>
                    <w:tr2bl w:val="nil"/>
                  </w:tcBorders>
                  <w:vAlign w:val="center"/>
                </w:tcPr>
                <w:p w14:paraId="6DF2F493">
                  <w:pPr>
                    <w:jc w:val="center"/>
                    <w:rPr>
                      <w:rFonts w:hint="default" w:ascii="Times New Roman" w:hAnsi="Times New Roman" w:eastAsia="宋体" w:cs="Times New Roman"/>
                      <w:color w:val="auto"/>
                      <w:kern w:val="0"/>
                      <w:szCs w:val="21"/>
                      <w:highlight w:val="none"/>
                      <w:shd w:val="clear" w:color="auto" w:fill="auto"/>
                    </w:rPr>
                  </w:pPr>
                </w:p>
              </w:tc>
              <w:tc>
                <w:tcPr>
                  <w:tcW w:w="1003" w:type="pct"/>
                  <w:vMerge w:val="continue"/>
                  <w:tcBorders>
                    <w:tl2br w:val="nil"/>
                    <w:tr2bl w:val="nil"/>
                  </w:tcBorders>
                  <w:vAlign w:val="center"/>
                </w:tcPr>
                <w:p w14:paraId="127BA803">
                  <w:pPr>
                    <w:jc w:val="center"/>
                    <w:rPr>
                      <w:rFonts w:hint="default" w:ascii="Times New Roman" w:hAnsi="Times New Roman" w:eastAsia="宋体" w:cs="Times New Roman"/>
                      <w:color w:val="auto"/>
                      <w:kern w:val="0"/>
                      <w:szCs w:val="21"/>
                      <w:highlight w:val="none"/>
                      <w:shd w:val="clear" w:color="auto" w:fill="auto"/>
                    </w:rPr>
                  </w:pPr>
                </w:p>
              </w:tc>
              <w:tc>
                <w:tcPr>
                  <w:tcW w:w="1814" w:type="pct"/>
                  <w:vMerge w:val="continue"/>
                  <w:tcBorders>
                    <w:tl2br w:val="nil"/>
                    <w:tr2bl w:val="nil"/>
                  </w:tcBorders>
                  <w:vAlign w:val="center"/>
                </w:tcPr>
                <w:p w14:paraId="5075073C">
                  <w:pPr>
                    <w:jc w:val="center"/>
                    <w:rPr>
                      <w:rFonts w:hint="default" w:ascii="Times New Roman" w:hAnsi="Times New Roman" w:eastAsia="宋体" w:cs="Times New Roman"/>
                      <w:color w:val="auto"/>
                      <w:kern w:val="0"/>
                      <w:szCs w:val="21"/>
                      <w:highlight w:val="none"/>
                      <w:shd w:val="clear" w:color="auto" w:fill="auto"/>
                    </w:rPr>
                  </w:pPr>
                </w:p>
              </w:tc>
              <w:tc>
                <w:tcPr>
                  <w:tcW w:w="408" w:type="pct"/>
                  <w:tcBorders>
                    <w:tl2br w:val="nil"/>
                    <w:tr2bl w:val="nil"/>
                  </w:tcBorders>
                  <w:shd w:val="clear" w:color="auto" w:fill="auto"/>
                  <w:vAlign w:val="center"/>
                </w:tcPr>
                <w:p w14:paraId="1685C1E8">
                  <w:pPr>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rPr>
                    <w:t>TP</w:t>
                  </w:r>
                </w:p>
              </w:tc>
              <w:tc>
                <w:tcPr>
                  <w:tcW w:w="855" w:type="pct"/>
                  <w:tcBorders>
                    <w:tl2br w:val="nil"/>
                    <w:tr2bl w:val="nil"/>
                  </w:tcBorders>
                  <w:shd w:val="clear" w:color="auto" w:fill="auto"/>
                  <w:vAlign w:val="center"/>
                </w:tcPr>
                <w:p w14:paraId="7EF369DE">
                  <w:pPr>
                    <w:adjustRightInd w:val="0"/>
                    <w:snapToGrid w:val="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3</w:t>
                  </w:r>
                </w:p>
              </w:tc>
            </w:tr>
          </w:tbl>
          <w:p w14:paraId="37FC993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shd w:val="clear" w:color="auto" w:fill="auto"/>
                <w:lang w:val="en-US" w:eastAsia="zh-CN"/>
              </w:rPr>
            </w:pPr>
            <w:r>
              <w:rPr>
                <w:rFonts w:hint="default" w:ascii="Times New Roman" w:hAnsi="Times New Roman" w:eastAsia="宋体" w:cs="Times New Roman"/>
                <w:b/>
                <w:bCs w:val="0"/>
                <w:color w:val="auto"/>
                <w:sz w:val="24"/>
                <w:highlight w:val="none"/>
                <w:shd w:val="clear" w:color="auto" w:fill="auto"/>
                <w:lang w:val="en-US" w:eastAsia="zh-CN"/>
              </w:rPr>
              <w:t>5.监测计划</w:t>
            </w:r>
          </w:p>
          <w:p w14:paraId="47FF4212">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bCs/>
                <w:color w:val="auto"/>
                <w:kern w:val="2"/>
                <w:sz w:val="24"/>
                <w:szCs w:val="24"/>
                <w:highlight w:val="none"/>
                <w:shd w:val="clear" w:color="auto" w:fill="auto"/>
                <w:lang w:val="en-US" w:eastAsia="zh-CN" w:bidi="ar-SA"/>
              </w:rPr>
              <w:t>根据《排污许可证申请与核发技术规范 总则》（HJ 942-2018）要求，本项目废水监测计划如下：</w:t>
            </w:r>
          </w:p>
          <w:p w14:paraId="038069D3">
            <w:pPr>
              <w:pStyle w:val="77"/>
              <w:spacing w:beforeLines="0" w:afterLines="0" w:line="500" w:lineRule="exact"/>
              <w:ind w:firstLine="0" w:firstLineChars="0"/>
              <w:jc w:val="center"/>
              <w:rPr>
                <w:rFonts w:hint="default" w:ascii="Times New Roman" w:hAnsi="Times New Roman" w:eastAsia="宋体" w:cs="Times New Roman"/>
                <w:b/>
                <w:bCs/>
                <w:color w:val="auto"/>
                <w:kern w:val="0"/>
                <w:sz w:val="24"/>
                <w:szCs w:val="24"/>
                <w:highlight w:val="none"/>
                <w:shd w:val="clear" w:color="auto" w:fill="auto"/>
                <w:lang w:val="en-US" w:eastAsia="zh-CN" w:bidi="ar-SA"/>
              </w:rPr>
            </w:pPr>
          </w:p>
          <w:p w14:paraId="72902E5D">
            <w:pPr>
              <w:pStyle w:val="77"/>
              <w:spacing w:beforeLines="0" w:afterLines="0" w:line="500" w:lineRule="exact"/>
              <w:ind w:firstLine="0" w:firstLineChars="0"/>
              <w:jc w:val="center"/>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lang w:val="en-US" w:eastAsia="zh-CN" w:bidi="ar-SA"/>
              </w:rPr>
              <w:t>表4-</w:t>
            </w:r>
            <w:r>
              <w:rPr>
                <w:rFonts w:hint="eastAsia" w:eastAsia="宋体" w:cs="Times New Roman"/>
                <w:b/>
                <w:bCs/>
                <w:color w:val="auto"/>
                <w:kern w:val="0"/>
                <w:sz w:val="24"/>
                <w:szCs w:val="24"/>
                <w:highlight w:val="none"/>
                <w:shd w:val="clear" w:color="auto" w:fill="auto"/>
                <w:lang w:val="en-US" w:eastAsia="zh-CN" w:bidi="ar-SA"/>
              </w:rPr>
              <w:t>18</w:t>
            </w:r>
            <w:r>
              <w:rPr>
                <w:rFonts w:hint="default" w:ascii="Times New Roman" w:hAnsi="Times New Roman" w:eastAsia="宋体" w:cs="Times New Roman"/>
                <w:b/>
                <w:bCs/>
                <w:color w:val="auto"/>
                <w:kern w:val="0"/>
                <w:sz w:val="24"/>
                <w:szCs w:val="24"/>
                <w:highlight w:val="none"/>
                <w:shd w:val="clear" w:color="auto" w:fill="auto"/>
                <w:lang w:val="en-US" w:eastAsia="zh-CN" w:bidi="ar-SA"/>
              </w:rPr>
              <w:t xml:space="preserve">  废水监测计划一览表</w:t>
            </w:r>
          </w:p>
          <w:tbl>
            <w:tblPr>
              <w:tblStyle w:val="27"/>
              <w:tblW w:w="82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904"/>
              <w:gridCol w:w="1272"/>
              <w:gridCol w:w="3102"/>
            </w:tblGrid>
            <w:tr w14:paraId="227FE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dxa"/>
                  <w:tcBorders>
                    <w:tl2br w:val="nil"/>
                    <w:tr2bl w:val="nil"/>
                  </w:tcBorders>
                  <w:noWrap w:val="0"/>
                  <w:vAlign w:val="center"/>
                </w:tcPr>
                <w:p w14:paraId="6C8EDE21">
                  <w:pPr>
                    <w:pStyle w:val="78"/>
                    <w:spacing w:beforeLines="0" w:afterLines="0"/>
                    <w:rPr>
                      <w:rFonts w:hint="default" w:ascii="Times New Roman" w:hAnsi="Times New Roman" w:eastAsia="宋体" w:cs="Times New Roman"/>
                      <w:b/>
                      <w:color w:val="auto"/>
                      <w:sz w:val="21"/>
                      <w:szCs w:val="20"/>
                      <w:highlight w:val="none"/>
                      <w:shd w:val="clear" w:color="auto" w:fill="auto"/>
                    </w:rPr>
                  </w:pPr>
                  <w:r>
                    <w:rPr>
                      <w:rFonts w:hint="default" w:ascii="Times New Roman" w:hAnsi="Times New Roman" w:eastAsia="宋体" w:cs="Times New Roman"/>
                      <w:b/>
                      <w:color w:val="auto"/>
                      <w:sz w:val="21"/>
                      <w:szCs w:val="20"/>
                      <w:highlight w:val="none"/>
                      <w:shd w:val="clear" w:color="auto" w:fill="auto"/>
                    </w:rPr>
                    <w:t>编号</w:t>
                  </w:r>
                </w:p>
              </w:tc>
              <w:tc>
                <w:tcPr>
                  <w:tcW w:w="2904" w:type="dxa"/>
                  <w:tcBorders>
                    <w:tl2br w:val="nil"/>
                    <w:tr2bl w:val="nil"/>
                  </w:tcBorders>
                  <w:noWrap w:val="0"/>
                  <w:vAlign w:val="center"/>
                </w:tcPr>
                <w:p w14:paraId="63E22972">
                  <w:pPr>
                    <w:pStyle w:val="78"/>
                    <w:spacing w:beforeLines="0" w:afterLines="0"/>
                    <w:rPr>
                      <w:rFonts w:hint="default" w:ascii="Times New Roman" w:hAnsi="Times New Roman" w:eastAsia="宋体" w:cs="Times New Roman"/>
                      <w:b/>
                      <w:color w:val="auto"/>
                      <w:sz w:val="21"/>
                      <w:szCs w:val="20"/>
                      <w:highlight w:val="none"/>
                      <w:shd w:val="clear" w:color="auto" w:fill="auto"/>
                    </w:rPr>
                  </w:pPr>
                  <w:r>
                    <w:rPr>
                      <w:rFonts w:hint="default" w:ascii="Times New Roman" w:hAnsi="Times New Roman" w:eastAsia="宋体" w:cs="Times New Roman"/>
                      <w:b/>
                      <w:color w:val="auto"/>
                      <w:sz w:val="21"/>
                      <w:szCs w:val="20"/>
                      <w:highlight w:val="none"/>
                      <w:shd w:val="clear" w:color="auto" w:fill="auto"/>
                    </w:rPr>
                    <w:t>监测内容</w:t>
                  </w:r>
                </w:p>
              </w:tc>
              <w:tc>
                <w:tcPr>
                  <w:tcW w:w="1272" w:type="dxa"/>
                  <w:tcBorders>
                    <w:tl2br w:val="nil"/>
                    <w:tr2bl w:val="nil"/>
                  </w:tcBorders>
                  <w:noWrap w:val="0"/>
                  <w:vAlign w:val="center"/>
                </w:tcPr>
                <w:p w14:paraId="576F73D5">
                  <w:pPr>
                    <w:pStyle w:val="78"/>
                    <w:spacing w:beforeLines="0" w:afterLines="0"/>
                    <w:rPr>
                      <w:rFonts w:hint="default" w:ascii="Times New Roman" w:hAnsi="Times New Roman" w:eastAsia="宋体" w:cs="Times New Roman"/>
                      <w:b/>
                      <w:color w:val="auto"/>
                      <w:sz w:val="21"/>
                      <w:szCs w:val="20"/>
                      <w:highlight w:val="none"/>
                      <w:shd w:val="clear" w:color="auto" w:fill="auto"/>
                    </w:rPr>
                  </w:pPr>
                  <w:r>
                    <w:rPr>
                      <w:rFonts w:hint="default" w:ascii="Times New Roman" w:hAnsi="Times New Roman" w:eastAsia="宋体" w:cs="Times New Roman"/>
                      <w:b/>
                      <w:color w:val="auto"/>
                      <w:sz w:val="21"/>
                      <w:szCs w:val="20"/>
                      <w:highlight w:val="none"/>
                      <w:shd w:val="clear" w:color="auto" w:fill="auto"/>
                    </w:rPr>
                    <w:t>监测频次</w:t>
                  </w:r>
                </w:p>
              </w:tc>
              <w:tc>
                <w:tcPr>
                  <w:tcW w:w="3102" w:type="dxa"/>
                  <w:tcBorders>
                    <w:tl2br w:val="nil"/>
                    <w:tr2bl w:val="nil"/>
                  </w:tcBorders>
                  <w:noWrap w:val="0"/>
                  <w:vAlign w:val="center"/>
                </w:tcPr>
                <w:p w14:paraId="5E9721F3">
                  <w:pPr>
                    <w:pStyle w:val="78"/>
                    <w:spacing w:beforeLines="0" w:afterLines="0"/>
                    <w:rPr>
                      <w:rFonts w:hint="default" w:ascii="Times New Roman" w:hAnsi="Times New Roman" w:eastAsia="宋体" w:cs="Times New Roman"/>
                      <w:b/>
                      <w:color w:val="auto"/>
                      <w:sz w:val="21"/>
                      <w:szCs w:val="20"/>
                      <w:highlight w:val="none"/>
                      <w:shd w:val="clear" w:color="auto" w:fill="auto"/>
                    </w:rPr>
                  </w:pPr>
                  <w:r>
                    <w:rPr>
                      <w:rFonts w:hint="default" w:ascii="Times New Roman" w:hAnsi="Times New Roman" w:eastAsia="宋体" w:cs="Times New Roman"/>
                      <w:b/>
                      <w:color w:val="auto"/>
                      <w:sz w:val="21"/>
                      <w:szCs w:val="20"/>
                      <w:highlight w:val="none"/>
                      <w:shd w:val="clear" w:color="auto" w:fill="auto"/>
                    </w:rPr>
                    <w:t>执行标准</w:t>
                  </w:r>
                </w:p>
              </w:tc>
            </w:tr>
            <w:tr w14:paraId="6E6B4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9" w:type="dxa"/>
                  <w:tcBorders>
                    <w:tl2br w:val="nil"/>
                    <w:tr2bl w:val="nil"/>
                  </w:tcBorders>
                  <w:noWrap w:val="0"/>
                  <w:vAlign w:val="center"/>
                </w:tcPr>
                <w:p w14:paraId="7D9EFDE7">
                  <w:pPr>
                    <w:pStyle w:val="78"/>
                    <w:spacing w:beforeLines="0" w:afterLines="0"/>
                    <w:rPr>
                      <w:rFonts w:hint="default" w:ascii="Times New Roman" w:hAnsi="Times New Roman" w:eastAsia="宋体" w:cs="Times New Roman"/>
                      <w:color w:val="auto"/>
                      <w:sz w:val="21"/>
                      <w:szCs w:val="20"/>
                      <w:highlight w:val="none"/>
                      <w:shd w:val="clear" w:color="auto" w:fill="auto"/>
                    </w:rPr>
                  </w:pPr>
                  <w:r>
                    <w:rPr>
                      <w:rFonts w:hint="default" w:ascii="Times New Roman" w:hAnsi="Times New Roman" w:eastAsia="宋体" w:cs="Times New Roman"/>
                      <w:color w:val="auto"/>
                      <w:sz w:val="21"/>
                      <w:szCs w:val="20"/>
                      <w:highlight w:val="none"/>
                      <w:shd w:val="clear" w:color="auto" w:fill="auto"/>
                    </w:rPr>
                    <w:t>DW001</w:t>
                  </w:r>
                </w:p>
              </w:tc>
              <w:tc>
                <w:tcPr>
                  <w:tcW w:w="2904" w:type="dxa"/>
                  <w:tcBorders>
                    <w:tl2br w:val="nil"/>
                    <w:tr2bl w:val="nil"/>
                  </w:tcBorders>
                  <w:noWrap w:val="0"/>
                  <w:vAlign w:val="center"/>
                </w:tcPr>
                <w:p w14:paraId="54EEB1EA">
                  <w:pPr>
                    <w:pStyle w:val="78"/>
                    <w:spacing w:beforeLines="0" w:afterLines="0"/>
                    <w:rPr>
                      <w:rFonts w:hint="default" w:ascii="Times New Roman" w:hAnsi="Times New Roman" w:eastAsia="宋体" w:cs="Times New Roman"/>
                      <w:color w:val="auto"/>
                      <w:sz w:val="21"/>
                      <w:szCs w:val="20"/>
                      <w:highlight w:val="none"/>
                      <w:shd w:val="clear" w:color="auto" w:fill="auto"/>
                      <w:lang w:val="en-US"/>
                    </w:rPr>
                  </w:pPr>
                  <w:r>
                    <w:rPr>
                      <w:rFonts w:hint="default" w:ascii="Times New Roman" w:hAnsi="Times New Roman" w:eastAsia="宋体" w:cs="Times New Roman"/>
                      <w:color w:val="auto"/>
                      <w:sz w:val="21"/>
                      <w:szCs w:val="20"/>
                      <w:highlight w:val="none"/>
                      <w:shd w:val="clear" w:color="auto" w:fill="auto"/>
                      <w:lang w:val="en-US" w:eastAsia="zh-CN"/>
                    </w:rPr>
                    <w:t>pH、</w:t>
                  </w:r>
                  <w:r>
                    <w:rPr>
                      <w:rFonts w:hint="default" w:ascii="Times New Roman" w:hAnsi="Times New Roman" w:eastAsia="宋体" w:cs="Times New Roman"/>
                      <w:color w:val="auto"/>
                      <w:sz w:val="21"/>
                      <w:szCs w:val="20"/>
                      <w:highlight w:val="none"/>
                      <w:shd w:val="clear" w:color="auto" w:fill="auto"/>
                    </w:rPr>
                    <w:t>COD、SS、NH</w:t>
                  </w:r>
                  <w:r>
                    <w:rPr>
                      <w:rFonts w:hint="default" w:ascii="Times New Roman" w:hAnsi="Times New Roman" w:eastAsia="宋体" w:cs="Times New Roman"/>
                      <w:color w:val="auto"/>
                      <w:sz w:val="21"/>
                      <w:szCs w:val="20"/>
                      <w:highlight w:val="none"/>
                      <w:shd w:val="clear" w:color="auto" w:fill="auto"/>
                      <w:vertAlign w:val="subscript"/>
                    </w:rPr>
                    <w:t>3</w:t>
                  </w:r>
                  <w:r>
                    <w:rPr>
                      <w:rFonts w:hint="default" w:ascii="Times New Roman" w:hAnsi="Times New Roman" w:eastAsia="宋体" w:cs="Times New Roman"/>
                      <w:color w:val="auto"/>
                      <w:sz w:val="21"/>
                      <w:szCs w:val="20"/>
                      <w:highlight w:val="none"/>
                      <w:shd w:val="clear" w:color="auto" w:fill="auto"/>
                    </w:rPr>
                    <w:t>-N、TP、TN</w:t>
                  </w:r>
                </w:p>
              </w:tc>
              <w:tc>
                <w:tcPr>
                  <w:tcW w:w="1272" w:type="dxa"/>
                  <w:tcBorders>
                    <w:tl2br w:val="nil"/>
                    <w:tr2bl w:val="nil"/>
                  </w:tcBorders>
                  <w:noWrap w:val="0"/>
                  <w:vAlign w:val="center"/>
                </w:tcPr>
                <w:p w14:paraId="045A7934">
                  <w:pPr>
                    <w:pStyle w:val="78"/>
                    <w:spacing w:beforeLines="0" w:afterLines="0"/>
                    <w:rPr>
                      <w:rFonts w:hint="default" w:ascii="Times New Roman" w:hAnsi="Times New Roman" w:eastAsia="宋体" w:cs="Times New Roman"/>
                      <w:color w:val="auto"/>
                      <w:sz w:val="21"/>
                      <w:szCs w:val="20"/>
                      <w:highlight w:val="none"/>
                      <w:shd w:val="clear" w:color="auto" w:fill="auto"/>
                    </w:rPr>
                  </w:pPr>
                  <w:r>
                    <w:rPr>
                      <w:rFonts w:hint="default" w:ascii="Times New Roman" w:hAnsi="Times New Roman" w:eastAsia="宋体" w:cs="Times New Roman"/>
                      <w:color w:val="auto"/>
                      <w:sz w:val="21"/>
                      <w:szCs w:val="20"/>
                      <w:highlight w:val="none"/>
                      <w:shd w:val="clear" w:color="auto" w:fill="auto"/>
                    </w:rPr>
                    <w:t>一年一次</w:t>
                  </w:r>
                </w:p>
              </w:tc>
              <w:tc>
                <w:tcPr>
                  <w:tcW w:w="3102" w:type="dxa"/>
                  <w:tcBorders>
                    <w:tl2br w:val="nil"/>
                    <w:tr2bl w:val="nil"/>
                  </w:tcBorders>
                  <w:noWrap w:val="0"/>
                  <w:vAlign w:val="center"/>
                </w:tcPr>
                <w:p w14:paraId="2EA381F8">
                  <w:pPr>
                    <w:pStyle w:val="78"/>
                    <w:spacing w:beforeLines="0" w:afterLines="0"/>
                    <w:rPr>
                      <w:rFonts w:hint="default" w:ascii="Times New Roman" w:hAnsi="Times New Roman" w:eastAsia="宋体" w:cs="Times New Roman"/>
                      <w:color w:val="auto"/>
                      <w:sz w:val="21"/>
                      <w:szCs w:val="20"/>
                      <w:highlight w:val="none"/>
                      <w:shd w:val="clear" w:color="auto" w:fill="auto"/>
                    </w:rPr>
                  </w:pPr>
                  <w:r>
                    <w:rPr>
                      <w:rFonts w:hint="default" w:ascii="Times New Roman" w:hAnsi="Times New Roman" w:eastAsia="宋体" w:cs="Times New Roman"/>
                      <w:color w:val="auto"/>
                      <w:sz w:val="21"/>
                      <w:szCs w:val="20"/>
                      <w:highlight w:val="none"/>
                      <w:shd w:val="clear" w:color="auto" w:fill="auto"/>
                    </w:rPr>
                    <w:t>金坛第二污水处理厂接管标准</w:t>
                  </w:r>
                </w:p>
              </w:tc>
            </w:tr>
          </w:tbl>
          <w:p w14:paraId="5CDDBB5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shd w:val="clear" w:color="auto" w:fill="auto"/>
                <w:lang w:val="en-US" w:eastAsia="zh-CN"/>
              </w:rPr>
            </w:pPr>
            <w:r>
              <w:rPr>
                <w:rFonts w:hint="default" w:ascii="Times New Roman" w:hAnsi="Times New Roman" w:eastAsia="宋体" w:cs="Times New Roman"/>
                <w:b/>
                <w:bCs w:val="0"/>
                <w:color w:val="auto"/>
                <w:sz w:val="24"/>
                <w:highlight w:val="none"/>
                <w:shd w:val="clear" w:color="auto" w:fill="auto"/>
                <w:lang w:val="en-US" w:eastAsia="zh-CN"/>
              </w:rPr>
              <w:t>6.排污口规范化设置</w:t>
            </w:r>
          </w:p>
          <w:p w14:paraId="66E034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shd w:val="clear" w:color="auto" w:fill="auto"/>
                <w:lang w:val="en-US" w:eastAsia="zh-CN"/>
              </w:rPr>
            </w:pPr>
            <w:r>
              <w:rPr>
                <w:rFonts w:hint="default" w:ascii="Times New Roman" w:hAnsi="Times New Roman" w:eastAsia="宋体" w:cs="Times New Roman"/>
                <w:bCs/>
                <w:color w:val="auto"/>
                <w:sz w:val="24"/>
                <w:highlight w:val="none"/>
                <w:shd w:val="clear" w:color="auto" w:fill="auto"/>
                <w:lang w:val="en-US" w:eastAsia="zh-CN"/>
              </w:rPr>
              <w:t>目前项目所在地地块内已实施“雨污分流”，并设置规范化雨水排放口。</w:t>
            </w:r>
          </w:p>
          <w:p w14:paraId="31E336A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shd w:val="clear" w:color="auto" w:fill="auto"/>
                <w:lang w:val="en-US" w:eastAsia="zh-CN"/>
              </w:rPr>
            </w:pPr>
            <w:r>
              <w:rPr>
                <w:rFonts w:hint="default" w:ascii="Times New Roman" w:hAnsi="Times New Roman" w:eastAsia="宋体" w:cs="Times New Roman"/>
                <w:b/>
                <w:bCs w:val="0"/>
                <w:color w:val="auto"/>
                <w:sz w:val="24"/>
                <w:highlight w:val="none"/>
                <w:shd w:val="clear" w:color="auto" w:fill="auto"/>
                <w:lang w:val="en-US" w:eastAsia="zh-CN"/>
              </w:rPr>
              <w:t>7.环境影响分析小结</w:t>
            </w:r>
          </w:p>
          <w:p w14:paraId="03D81EC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bCs/>
                <w:color w:val="auto"/>
                <w:sz w:val="24"/>
                <w:highlight w:val="none"/>
                <w:shd w:val="clear" w:color="auto" w:fill="auto"/>
                <w:lang w:val="en-US" w:eastAsia="zh-CN"/>
              </w:rPr>
              <w:t>本项目依托</w:t>
            </w:r>
            <w:r>
              <w:rPr>
                <w:rFonts w:hint="eastAsia" w:ascii="Times New Roman" w:hAnsi="Times New Roman" w:eastAsia="宋体" w:cs="Times New Roman"/>
                <w:bCs/>
                <w:color w:val="auto"/>
                <w:sz w:val="24"/>
                <w:highlight w:val="none"/>
                <w:shd w:val="clear" w:color="auto" w:fill="auto"/>
                <w:lang w:val="en-US" w:eastAsia="zh-CN"/>
              </w:rPr>
              <w:t>厂区</w:t>
            </w:r>
            <w:r>
              <w:rPr>
                <w:rFonts w:hint="default" w:ascii="Times New Roman" w:hAnsi="Times New Roman" w:eastAsia="宋体" w:cs="Times New Roman"/>
                <w:bCs/>
                <w:color w:val="auto"/>
                <w:sz w:val="24"/>
                <w:highlight w:val="none"/>
                <w:shd w:val="clear" w:color="auto" w:fill="auto"/>
                <w:lang w:val="en-US" w:eastAsia="zh-CN"/>
              </w:rPr>
              <w:t>现有雨水和污水排放口，不改变现有排水系统。目前项目所在地地块内已实施“雨污分流”，并设置规范化雨水排放口。</w:t>
            </w:r>
          </w:p>
          <w:p w14:paraId="7306224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三、噪声</w:t>
            </w:r>
          </w:p>
          <w:p w14:paraId="789B82A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1、噪声源强分析</w:t>
            </w:r>
          </w:p>
          <w:p w14:paraId="6B056B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shd w:val="clear" w:color="auto" w:fill="auto"/>
                <w:lang w:val="en-US" w:eastAsia="zh-CN"/>
              </w:rPr>
            </w:pPr>
            <w:r>
              <w:rPr>
                <w:rFonts w:hint="default" w:ascii="Times New Roman" w:hAnsi="Times New Roman" w:eastAsia="宋体" w:cs="Times New Roman"/>
                <w:bCs/>
                <w:color w:val="auto"/>
                <w:sz w:val="24"/>
                <w:highlight w:val="none"/>
                <w:shd w:val="clear" w:color="auto" w:fill="auto"/>
                <w:lang w:val="en-US" w:eastAsia="zh-CN"/>
              </w:rPr>
              <w:t>本项目高</w:t>
            </w:r>
            <w:r>
              <w:rPr>
                <w:rFonts w:hint="default" w:ascii="Times New Roman" w:hAnsi="Times New Roman" w:eastAsia="宋体" w:cs="Times New Roman"/>
                <w:bCs/>
                <w:color w:val="auto"/>
                <w:sz w:val="24"/>
                <w:szCs w:val="24"/>
                <w:highlight w:val="none"/>
                <w:shd w:val="clear" w:color="auto" w:fill="auto"/>
                <w:lang w:val="en-US" w:eastAsia="zh-CN"/>
              </w:rPr>
              <w:t>噪声源主要为</w:t>
            </w:r>
            <w:r>
              <w:rPr>
                <w:rFonts w:hint="eastAsia" w:ascii="Times New Roman" w:hAnsi="Times New Roman" w:eastAsia="宋体" w:cs="Times New Roman"/>
                <w:color w:val="auto"/>
                <w:sz w:val="24"/>
                <w:szCs w:val="24"/>
                <w:shd w:val="clear" w:color="auto" w:fill="auto"/>
                <w:lang w:val="en-US" w:eastAsia="zh-CN"/>
              </w:rPr>
              <w:t>生物降解吹膜机组、破碎机、印刷机、复合机、分切机、制袋机组、空压机</w:t>
            </w:r>
            <w:r>
              <w:rPr>
                <w:rFonts w:hint="default" w:ascii="Times New Roman" w:hAnsi="Times New Roman" w:eastAsia="宋体" w:cs="Times New Roman"/>
                <w:bCs/>
                <w:color w:val="auto"/>
                <w:sz w:val="24"/>
                <w:highlight w:val="none"/>
                <w:shd w:val="clear" w:color="auto" w:fill="auto"/>
                <w:lang w:val="en-US" w:eastAsia="zh-CN"/>
              </w:rPr>
              <w:t>等设备，项目噪声源距离1米处声压级在7</w:t>
            </w:r>
            <w:r>
              <w:rPr>
                <w:rFonts w:hint="eastAsia" w:ascii="Times New Roman" w:hAnsi="Times New Roman" w:eastAsia="宋体" w:cs="Times New Roman"/>
                <w:bCs/>
                <w:color w:val="auto"/>
                <w:sz w:val="24"/>
                <w:highlight w:val="none"/>
                <w:shd w:val="clear" w:color="auto" w:fill="auto"/>
                <w:lang w:val="en-US" w:eastAsia="zh-CN"/>
              </w:rPr>
              <w:t>5</w:t>
            </w:r>
            <w:r>
              <w:rPr>
                <w:rFonts w:hint="default" w:ascii="Times New Roman" w:hAnsi="Times New Roman" w:eastAsia="宋体" w:cs="Times New Roman"/>
                <w:bCs/>
                <w:color w:val="auto"/>
                <w:sz w:val="24"/>
                <w:highlight w:val="none"/>
                <w:shd w:val="clear" w:color="auto" w:fill="auto"/>
                <w:lang w:val="en-US" w:eastAsia="zh-CN"/>
              </w:rPr>
              <w:t>~85dB（A）之间。</w:t>
            </w:r>
          </w:p>
          <w:p w14:paraId="78D5B7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eastAsia" w:ascii="Times New Roman" w:hAnsi="Times New Roman" w:eastAsia="宋体" w:cs="Times New Roman"/>
                <w:bCs/>
                <w:color w:val="auto"/>
                <w:sz w:val="24"/>
                <w:highlight w:val="none"/>
                <w:shd w:val="clear" w:color="auto" w:fill="auto"/>
                <w:lang w:val="en-US" w:eastAsia="zh-CN"/>
              </w:rPr>
              <w:t>本</w:t>
            </w:r>
            <w:r>
              <w:rPr>
                <w:rFonts w:hint="default" w:ascii="Times New Roman" w:hAnsi="Times New Roman" w:eastAsia="宋体" w:cs="Times New Roman"/>
                <w:bCs/>
                <w:color w:val="auto"/>
                <w:sz w:val="24"/>
                <w:highlight w:val="none"/>
                <w:shd w:val="clear" w:color="auto" w:fill="auto"/>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p w14:paraId="2223BDE5">
            <w:pPr>
              <w:spacing w:line="360" w:lineRule="auto"/>
              <w:ind w:firstLine="480" w:firstLineChars="200"/>
              <w:rPr>
                <w:rFonts w:hint="default" w:ascii="Times New Roman" w:hAnsi="Times New Roman" w:eastAsia="宋体" w:cs="Times New Roman"/>
                <w:color w:val="auto"/>
                <w:sz w:val="24"/>
                <w:highlight w:val="none"/>
                <w:shd w:val="clear" w:color="auto" w:fill="auto"/>
              </w:rPr>
            </w:pPr>
          </w:p>
          <w:p w14:paraId="4BCCB2EE">
            <w:pPr>
              <w:spacing w:line="360" w:lineRule="auto"/>
              <w:rPr>
                <w:rFonts w:hint="default" w:ascii="Times New Roman" w:hAnsi="Times New Roman" w:eastAsia="宋体" w:cs="Times New Roman"/>
                <w:color w:val="auto"/>
                <w:sz w:val="24"/>
                <w:highlight w:val="none"/>
                <w:shd w:val="clear" w:color="auto" w:fill="auto"/>
              </w:rPr>
            </w:pPr>
          </w:p>
        </w:tc>
      </w:tr>
    </w:tbl>
    <w:p w14:paraId="55907F1C">
      <w:pPr>
        <w:rPr>
          <w:rFonts w:hint="default" w:ascii="Times New Roman" w:hAnsi="Times New Roman" w:eastAsia="宋体" w:cs="Times New Roman"/>
          <w:color w:val="auto"/>
          <w:highlight w:val="none"/>
          <w:shd w:val="clear" w:color="auto" w:fill="auto"/>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445"/>
      </w:tblGrid>
      <w:tr w14:paraId="485C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1" w:hRule="atLeast"/>
        </w:trPr>
        <w:tc>
          <w:tcPr>
            <w:tcW w:w="257" w:type="pct"/>
            <w:vAlign w:val="center"/>
          </w:tcPr>
          <w:p w14:paraId="47945A7A">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运营期环境影响和保护措施</w:t>
            </w:r>
          </w:p>
        </w:tc>
        <w:tc>
          <w:tcPr>
            <w:tcW w:w="4742" w:type="pct"/>
            <w:vAlign w:val="top"/>
          </w:tcPr>
          <w:p w14:paraId="48522AF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4"/>
                <w:szCs w:val="24"/>
                <w:highlight w:val="none"/>
                <w:shd w:val="clear" w:color="auto" w:fill="auto"/>
                <w:lang w:eastAsia="zh-CN"/>
              </w:rPr>
            </w:pPr>
            <w:r>
              <w:rPr>
                <w:rFonts w:hint="default" w:ascii="Times New Roman" w:hAnsi="Times New Roman" w:eastAsia="宋体" w:cs="Times New Roman"/>
                <w:b/>
                <w:bCs/>
                <w:color w:val="auto"/>
                <w:sz w:val="24"/>
                <w:szCs w:val="24"/>
                <w:highlight w:val="none"/>
                <w:shd w:val="clear" w:color="auto" w:fill="auto"/>
              </w:rPr>
              <w:t>表4-</w:t>
            </w:r>
            <w:r>
              <w:rPr>
                <w:rFonts w:hint="eastAsia" w:ascii="Times New Roman" w:hAnsi="Times New Roman" w:eastAsia="宋体" w:cs="Times New Roman"/>
                <w:b/>
                <w:bCs/>
                <w:color w:val="auto"/>
                <w:sz w:val="24"/>
                <w:szCs w:val="24"/>
                <w:highlight w:val="none"/>
                <w:shd w:val="clear" w:color="auto" w:fill="auto"/>
                <w:lang w:val="en-US" w:eastAsia="zh-CN"/>
              </w:rPr>
              <w:t>19</w:t>
            </w:r>
            <w:r>
              <w:rPr>
                <w:rFonts w:hint="default" w:ascii="Times New Roman" w:hAnsi="Times New Roman" w:eastAsia="宋体" w:cs="Times New Roman"/>
                <w:b/>
                <w:bCs/>
                <w:color w:val="auto"/>
                <w:sz w:val="24"/>
                <w:szCs w:val="24"/>
                <w:highlight w:val="none"/>
                <w:shd w:val="clear" w:color="auto" w:fill="auto"/>
                <w:lang w:val="en-US" w:eastAsia="zh-CN"/>
              </w:rPr>
              <w:t xml:space="preserve"> </w:t>
            </w:r>
            <w:r>
              <w:rPr>
                <w:rFonts w:hint="default" w:ascii="Times New Roman" w:hAnsi="Times New Roman" w:eastAsia="宋体" w:cs="Times New Roman"/>
                <w:b/>
                <w:bCs/>
                <w:color w:val="auto"/>
                <w:sz w:val="24"/>
                <w:szCs w:val="24"/>
                <w:highlight w:val="none"/>
                <w:shd w:val="clear" w:color="auto" w:fill="auto"/>
              </w:rPr>
              <w:t>本项目主要噪声污染源一览表</w:t>
            </w:r>
            <w:r>
              <w:rPr>
                <w:rFonts w:hint="default" w:ascii="Times New Roman" w:hAnsi="Times New Roman" w:eastAsia="宋体" w:cs="Times New Roman"/>
                <w:b/>
                <w:bCs/>
                <w:color w:val="auto"/>
                <w:sz w:val="24"/>
                <w:szCs w:val="24"/>
                <w:highlight w:val="none"/>
                <w:shd w:val="clear" w:color="auto" w:fill="auto"/>
                <w:lang w:eastAsia="zh-CN"/>
              </w:rPr>
              <w:t>（</w:t>
            </w:r>
            <w:r>
              <w:rPr>
                <w:rFonts w:hint="default" w:ascii="Times New Roman" w:hAnsi="Times New Roman" w:eastAsia="宋体" w:cs="Times New Roman"/>
                <w:b/>
                <w:bCs/>
                <w:color w:val="auto"/>
                <w:sz w:val="24"/>
                <w:szCs w:val="24"/>
                <w:highlight w:val="none"/>
                <w:shd w:val="clear" w:color="auto" w:fill="auto"/>
                <w:lang w:val="en-US" w:eastAsia="zh-CN"/>
              </w:rPr>
              <w:t>室内声源</w:t>
            </w:r>
            <w:r>
              <w:rPr>
                <w:rFonts w:hint="default" w:ascii="Times New Roman" w:hAnsi="Times New Roman" w:eastAsia="宋体" w:cs="Times New Roman"/>
                <w:b/>
                <w:bCs/>
                <w:color w:val="auto"/>
                <w:sz w:val="24"/>
                <w:szCs w:val="24"/>
                <w:highlight w:val="none"/>
                <w:shd w:val="clear" w:color="auto" w:fill="auto"/>
                <w:lang w:eastAsia="zh-CN"/>
              </w:rPr>
              <w:t>）</w:t>
            </w:r>
          </w:p>
          <w:tbl>
            <w:tblPr>
              <w:tblStyle w:val="27"/>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526"/>
              <w:gridCol w:w="1517"/>
              <w:gridCol w:w="1350"/>
              <w:gridCol w:w="577"/>
              <w:gridCol w:w="1432"/>
              <w:gridCol w:w="1035"/>
              <w:gridCol w:w="524"/>
              <w:gridCol w:w="524"/>
              <w:gridCol w:w="593"/>
              <w:gridCol w:w="662"/>
              <w:gridCol w:w="659"/>
              <w:gridCol w:w="508"/>
              <w:gridCol w:w="932"/>
              <w:gridCol w:w="932"/>
              <w:gridCol w:w="1009"/>
            </w:tblGrid>
            <w:tr w14:paraId="4C75C1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 w:type="pct"/>
                  <w:vMerge w:val="restart"/>
                  <w:noWrap w:val="0"/>
                  <w:vAlign w:val="center"/>
                </w:tcPr>
                <w:p w14:paraId="516D67D2">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序号</w:t>
                  </w:r>
                </w:p>
              </w:tc>
              <w:tc>
                <w:tcPr>
                  <w:tcW w:w="199" w:type="pct"/>
                  <w:vMerge w:val="restart"/>
                  <w:noWrap w:val="0"/>
                  <w:vAlign w:val="center"/>
                </w:tcPr>
                <w:p w14:paraId="6C8ADDFE">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建筑物名称</w:t>
                  </w:r>
                </w:p>
              </w:tc>
              <w:tc>
                <w:tcPr>
                  <w:tcW w:w="573" w:type="pct"/>
                  <w:vMerge w:val="restart"/>
                  <w:noWrap w:val="0"/>
                  <w:vAlign w:val="center"/>
                </w:tcPr>
                <w:p w14:paraId="435F2ACD">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声源名称</w:t>
                  </w:r>
                </w:p>
              </w:tc>
              <w:tc>
                <w:tcPr>
                  <w:tcW w:w="510" w:type="pct"/>
                  <w:vMerge w:val="restart"/>
                  <w:noWrap w:val="0"/>
                  <w:vAlign w:val="center"/>
                </w:tcPr>
                <w:p w14:paraId="5FADCE79">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型号</w:t>
                  </w:r>
                </w:p>
              </w:tc>
              <w:tc>
                <w:tcPr>
                  <w:tcW w:w="218" w:type="pct"/>
                  <w:vMerge w:val="restart"/>
                  <w:noWrap w:val="0"/>
                  <w:vAlign w:val="center"/>
                </w:tcPr>
                <w:p w14:paraId="1001DEAC">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lang w:val="en-US" w:eastAsia="zh-CN"/>
                    </w:rPr>
                    <w:t>数量</w:t>
                  </w:r>
                </w:p>
              </w:tc>
              <w:tc>
                <w:tcPr>
                  <w:tcW w:w="541" w:type="pct"/>
                  <w:noWrap w:val="0"/>
                  <w:vAlign w:val="center"/>
                </w:tcPr>
                <w:p w14:paraId="65692300">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声源源强</w:t>
                  </w:r>
                </w:p>
              </w:tc>
              <w:tc>
                <w:tcPr>
                  <w:tcW w:w="391" w:type="pct"/>
                  <w:vMerge w:val="restart"/>
                  <w:noWrap w:val="0"/>
                  <w:vAlign w:val="center"/>
                </w:tcPr>
                <w:p w14:paraId="49C42C46">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声源控制措施</w:t>
                  </w:r>
                </w:p>
              </w:tc>
              <w:tc>
                <w:tcPr>
                  <w:tcW w:w="620" w:type="pct"/>
                  <w:gridSpan w:val="3"/>
                  <w:noWrap w:val="0"/>
                  <w:vAlign w:val="center"/>
                </w:tcPr>
                <w:p w14:paraId="02A38C68">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空间相对位置/m</w:t>
                  </w:r>
                </w:p>
              </w:tc>
              <w:tc>
                <w:tcPr>
                  <w:tcW w:w="250" w:type="pct"/>
                  <w:vMerge w:val="restart"/>
                  <w:noWrap w:val="0"/>
                  <w:vAlign w:val="center"/>
                </w:tcPr>
                <w:p w14:paraId="284426B7">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距室内边界</w:t>
                  </w:r>
                  <w:r>
                    <w:rPr>
                      <w:rFonts w:hint="default" w:ascii="Times New Roman" w:hAnsi="Times New Roman" w:eastAsia="宋体" w:cs="Times New Roman"/>
                      <w:b/>
                      <w:color w:val="auto"/>
                      <w:sz w:val="21"/>
                      <w:szCs w:val="21"/>
                      <w:highlight w:val="none"/>
                      <w:shd w:val="clear" w:color="auto" w:fill="auto"/>
                      <w:lang w:eastAsia="zh-CN"/>
                    </w:rPr>
                    <w:t>最近</w:t>
                  </w:r>
                  <w:r>
                    <w:rPr>
                      <w:rFonts w:hint="default" w:ascii="Times New Roman" w:hAnsi="Times New Roman" w:eastAsia="宋体" w:cs="Times New Roman"/>
                      <w:b/>
                      <w:color w:val="auto"/>
                      <w:sz w:val="21"/>
                      <w:szCs w:val="21"/>
                      <w:highlight w:val="none"/>
                      <w:shd w:val="clear" w:color="auto" w:fill="auto"/>
                    </w:rPr>
                    <w:t>距离/m</w:t>
                  </w:r>
                </w:p>
              </w:tc>
              <w:tc>
                <w:tcPr>
                  <w:tcW w:w="249" w:type="pct"/>
                  <w:vMerge w:val="restart"/>
                  <w:noWrap w:val="0"/>
                  <w:vAlign w:val="center"/>
                </w:tcPr>
                <w:p w14:paraId="63568FB8">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室内边界声级</w:t>
                  </w:r>
                </w:p>
              </w:tc>
              <w:tc>
                <w:tcPr>
                  <w:tcW w:w="192" w:type="pct"/>
                  <w:vMerge w:val="restart"/>
                  <w:noWrap w:val="0"/>
                  <w:vAlign w:val="center"/>
                </w:tcPr>
                <w:p w14:paraId="398437EB">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运行时段</w:t>
                  </w:r>
                </w:p>
              </w:tc>
              <w:tc>
                <w:tcPr>
                  <w:tcW w:w="352" w:type="pct"/>
                  <w:vMerge w:val="restart"/>
                  <w:noWrap w:val="0"/>
                  <w:vAlign w:val="center"/>
                </w:tcPr>
                <w:p w14:paraId="080A179A">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lang w:eastAsia="zh-CN"/>
                    </w:rPr>
                  </w:pPr>
                  <w:r>
                    <w:rPr>
                      <w:rFonts w:hint="default" w:ascii="Times New Roman" w:hAnsi="Times New Roman" w:eastAsia="宋体" w:cs="Times New Roman"/>
                      <w:b/>
                      <w:color w:val="auto"/>
                      <w:sz w:val="21"/>
                      <w:szCs w:val="21"/>
                      <w:highlight w:val="none"/>
                      <w:shd w:val="clear" w:color="auto" w:fill="auto"/>
                    </w:rPr>
                    <w:t>建筑物插入损失/dB</w:t>
                  </w:r>
                  <w:r>
                    <w:rPr>
                      <w:rFonts w:hint="default" w:ascii="Times New Roman" w:hAnsi="Times New Roman" w:eastAsia="宋体" w:cs="Times New Roman"/>
                      <w:b/>
                      <w:color w:val="auto"/>
                      <w:sz w:val="21"/>
                      <w:szCs w:val="21"/>
                      <w:highlight w:val="none"/>
                      <w:shd w:val="clear" w:color="auto" w:fill="auto"/>
                      <w:lang w:eastAsia="zh-CN"/>
                    </w:rPr>
                    <w:t>（</w:t>
                  </w:r>
                  <w:r>
                    <w:rPr>
                      <w:rFonts w:hint="default" w:ascii="Times New Roman" w:hAnsi="Times New Roman" w:eastAsia="宋体" w:cs="Times New Roman"/>
                      <w:b/>
                      <w:color w:val="auto"/>
                      <w:sz w:val="21"/>
                      <w:szCs w:val="21"/>
                      <w:highlight w:val="none"/>
                      <w:shd w:val="clear" w:color="auto" w:fill="auto"/>
                    </w:rPr>
                    <w:t>A</w:t>
                  </w:r>
                  <w:r>
                    <w:rPr>
                      <w:rFonts w:hint="default" w:ascii="Times New Roman" w:hAnsi="Times New Roman" w:eastAsia="宋体" w:cs="Times New Roman"/>
                      <w:b/>
                      <w:color w:val="auto"/>
                      <w:sz w:val="21"/>
                      <w:szCs w:val="21"/>
                      <w:highlight w:val="none"/>
                      <w:shd w:val="clear" w:color="auto" w:fill="auto"/>
                      <w:lang w:eastAsia="zh-CN"/>
                    </w:rPr>
                    <w:t>）</w:t>
                  </w:r>
                </w:p>
              </w:tc>
              <w:tc>
                <w:tcPr>
                  <w:tcW w:w="733" w:type="pct"/>
                  <w:gridSpan w:val="2"/>
                  <w:noWrap w:val="0"/>
                  <w:vAlign w:val="center"/>
                </w:tcPr>
                <w:p w14:paraId="113F39DD">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建筑物外噪声</w:t>
                  </w:r>
                </w:p>
              </w:tc>
            </w:tr>
            <w:tr w14:paraId="2EBA9C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 w:type="pct"/>
                  <w:vMerge w:val="continue"/>
                  <w:noWrap w:val="0"/>
                  <w:vAlign w:val="center"/>
                </w:tcPr>
                <w:p w14:paraId="5DA41305">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p>
              </w:tc>
              <w:tc>
                <w:tcPr>
                  <w:tcW w:w="199" w:type="pct"/>
                  <w:vMerge w:val="continue"/>
                  <w:noWrap w:val="0"/>
                  <w:vAlign w:val="center"/>
                </w:tcPr>
                <w:p w14:paraId="03C7BFFC">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p>
              </w:tc>
              <w:tc>
                <w:tcPr>
                  <w:tcW w:w="573" w:type="pct"/>
                  <w:vMerge w:val="continue"/>
                  <w:noWrap w:val="0"/>
                  <w:vAlign w:val="center"/>
                </w:tcPr>
                <w:p w14:paraId="229A8715">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p>
              </w:tc>
              <w:tc>
                <w:tcPr>
                  <w:tcW w:w="510" w:type="pct"/>
                  <w:vMerge w:val="continue"/>
                  <w:noWrap w:val="0"/>
                  <w:vAlign w:val="center"/>
                </w:tcPr>
                <w:p w14:paraId="1812EAFE">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p>
              </w:tc>
              <w:tc>
                <w:tcPr>
                  <w:tcW w:w="218" w:type="pct"/>
                  <w:vMerge w:val="continue"/>
                  <w:noWrap w:val="0"/>
                  <w:vAlign w:val="center"/>
                </w:tcPr>
                <w:p w14:paraId="2D0A19BB">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p>
              </w:tc>
              <w:tc>
                <w:tcPr>
                  <w:tcW w:w="541" w:type="pct"/>
                  <w:noWrap w:val="0"/>
                  <w:vAlign w:val="center"/>
                </w:tcPr>
                <w:p w14:paraId="784F0170">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lang w:eastAsia="zh-CN"/>
                    </w:rPr>
                  </w:pPr>
                  <w:r>
                    <w:rPr>
                      <w:rFonts w:hint="default" w:ascii="Times New Roman" w:hAnsi="Times New Roman" w:eastAsia="宋体" w:cs="Times New Roman"/>
                      <w:b/>
                      <w:color w:val="auto"/>
                      <w:sz w:val="21"/>
                      <w:szCs w:val="21"/>
                      <w:highlight w:val="none"/>
                      <w:shd w:val="clear" w:color="auto" w:fill="auto"/>
                    </w:rPr>
                    <w:t>声</w:t>
                  </w:r>
                  <w:r>
                    <w:rPr>
                      <w:rFonts w:hint="default" w:ascii="Times New Roman" w:hAnsi="Times New Roman" w:eastAsia="宋体" w:cs="Times New Roman"/>
                      <w:b/>
                      <w:color w:val="auto"/>
                      <w:sz w:val="21"/>
                      <w:szCs w:val="21"/>
                      <w:highlight w:val="none"/>
                      <w:shd w:val="clear" w:color="auto" w:fill="auto"/>
                      <w:lang w:eastAsia="zh-CN"/>
                    </w:rPr>
                    <w:t>功率</w:t>
                  </w:r>
                  <w:r>
                    <w:rPr>
                      <w:rFonts w:hint="default" w:ascii="Times New Roman" w:hAnsi="Times New Roman" w:eastAsia="宋体" w:cs="Times New Roman"/>
                      <w:b/>
                      <w:color w:val="auto"/>
                      <w:sz w:val="21"/>
                      <w:szCs w:val="21"/>
                      <w:highlight w:val="none"/>
                      <w:shd w:val="clear" w:color="auto" w:fill="auto"/>
                    </w:rPr>
                    <w:t>级/dB</w:t>
                  </w:r>
                  <w:r>
                    <w:rPr>
                      <w:rFonts w:hint="default" w:ascii="Times New Roman" w:hAnsi="Times New Roman" w:eastAsia="宋体" w:cs="Times New Roman"/>
                      <w:b/>
                      <w:color w:val="auto"/>
                      <w:sz w:val="21"/>
                      <w:szCs w:val="21"/>
                      <w:highlight w:val="none"/>
                      <w:shd w:val="clear" w:color="auto" w:fill="auto"/>
                      <w:lang w:eastAsia="zh-CN"/>
                    </w:rPr>
                    <w:t>（</w:t>
                  </w:r>
                  <w:r>
                    <w:rPr>
                      <w:rFonts w:hint="default" w:ascii="Times New Roman" w:hAnsi="Times New Roman" w:eastAsia="宋体" w:cs="Times New Roman"/>
                      <w:b/>
                      <w:color w:val="auto"/>
                      <w:sz w:val="21"/>
                      <w:szCs w:val="21"/>
                      <w:highlight w:val="none"/>
                      <w:shd w:val="clear" w:color="auto" w:fill="auto"/>
                    </w:rPr>
                    <w:t>A</w:t>
                  </w:r>
                  <w:r>
                    <w:rPr>
                      <w:rFonts w:hint="default" w:ascii="Times New Roman" w:hAnsi="Times New Roman" w:eastAsia="宋体" w:cs="Times New Roman"/>
                      <w:b/>
                      <w:color w:val="auto"/>
                      <w:sz w:val="21"/>
                      <w:szCs w:val="21"/>
                      <w:highlight w:val="none"/>
                      <w:shd w:val="clear" w:color="auto" w:fill="auto"/>
                      <w:lang w:eastAsia="zh-CN"/>
                    </w:rPr>
                    <w:t>）</w:t>
                  </w:r>
                </w:p>
              </w:tc>
              <w:tc>
                <w:tcPr>
                  <w:tcW w:w="391" w:type="pct"/>
                  <w:vMerge w:val="continue"/>
                  <w:noWrap w:val="0"/>
                  <w:vAlign w:val="center"/>
                </w:tcPr>
                <w:p w14:paraId="14604D49">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p>
              </w:tc>
              <w:tc>
                <w:tcPr>
                  <w:tcW w:w="198" w:type="pct"/>
                  <w:noWrap w:val="0"/>
                  <w:vAlign w:val="center"/>
                </w:tcPr>
                <w:p w14:paraId="6E8B14A2">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X</w:t>
                  </w:r>
                </w:p>
              </w:tc>
              <w:tc>
                <w:tcPr>
                  <w:tcW w:w="198" w:type="pct"/>
                  <w:noWrap w:val="0"/>
                  <w:vAlign w:val="center"/>
                </w:tcPr>
                <w:p w14:paraId="69541F64">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Y</w:t>
                  </w:r>
                </w:p>
              </w:tc>
              <w:tc>
                <w:tcPr>
                  <w:tcW w:w="224" w:type="pct"/>
                  <w:noWrap w:val="0"/>
                  <w:vAlign w:val="center"/>
                </w:tcPr>
                <w:p w14:paraId="413C1D85">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Z</w:t>
                  </w:r>
                </w:p>
              </w:tc>
              <w:tc>
                <w:tcPr>
                  <w:tcW w:w="250" w:type="pct"/>
                  <w:vMerge w:val="continue"/>
                  <w:noWrap w:val="0"/>
                  <w:vAlign w:val="center"/>
                </w:tcPr>
                <w:p w14:paraId="7A75A594">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p>
              </w:tc>
              <w:tc>
                <w:tcPr>
                  <w:tcW w:w="249" w:type="pct"/>
                  <w:vMerge w:val="continue"/>
                  <w:noWrap w:val="0"/>
                  <w:vAlign w:val="center"/>
                </w:tcPr>
                <w:p w14:paraId="070D0BBF">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p>
              </w:tc>
              <w:tc>
                <w:tcPr>
                  <w:tcW w:w="192" w:type="pct"/>
                  <w:vMerge w:val="continue"/>
                  <w:noWrap w:val="0"/>
                  <w:vAlign w:val="center"/>
                </w:tcPr>
                <w:p w14:paraId="14574B26">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p>
              </w:tc>
              <w:tc>
                <w:tcPr>
                  <w:tcW w:w="352" w:type="pct"/>
                  <w:vMerge w:val="continue"/>
                  <w:noWrap w:val="0"/>
                  <w:vAlign w:val="center"/>
                </w:tcPr>
                <w:p w14:paraId="5BAB4C1F">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p>
              </w:tc>
              <w:tc>
                <w:tcPr>
                  <w:tcW w:w="352" w:type="pct"/>
                  <w:noWrap w:val="0"/>
                  <w:vAlign w:val="center"/>
                </w:tcPr>
                <w:p w14:paraId="113068F1">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lang w:eastAsia="zh-CN"/>
                    </w:rPr>
                  </w:pPr>
                  <w:r>
                    <w:rPr>
                      <w:rFonts w:hint="default" w:ascii="Times New Roman" w:hAnsi="Times New Roman" w:eastAsia="宋体" w:cs="Times New Roman"/>
                      <w:b/>
                      <w:color w:val="auto"/>
                      <w:sz w:val="21"/>
                      <w:szCs w:val="21"/>
                      <w:highlight w:val="none"/>
                      <w:shd w:val="clear" w:color="auto" w:fill="auto"/>
                    </w:rPr>
                    <w:t>声压级/dB</w:t>
                  </w:r>
                  <w:r>
                    <w:rPr>
                      <w:rFonts w:hint="default" w:ascii="Times New Roman" w:hAnsi="Times New Roman" w:eastAsia="宋体" w:cs="Times New Roman"/>
                      <w:b/>
                      <w:color w:val="auto"/>
                      <w:sz w:val="21"/>
                      <w:szCs w:val="21"/>
                      <w:highlight w:val="none"/>
                      <w:shd w:val="clear" w:color="auto" w:fill="auto"/>
                      <w:lang w:eastAsia="zh-CN"/>
                    </w:rPr>
                    <w:t>（</w:t>
                  </w:r>
                  <w:r>
                    <w:rPr>
                      <w:rFonts w:hint="default" w:ascii="Times New Roman" w:hAnsi="Times New Roman" w:eastAsia="宋体" w:cs="Times New Roman"/>
                      <w:b/>
                      <w:color w:val="auto"/>
                      <w:sz w:val="21"/>
                      <w:szCs w:val="21"/>
                      <w:highlight w:val="none"/>
                      <w:shd w:val="clear" w:color="auto" w:fill="auto"/>
                    </w:rPr>
                    <w:t>A</w:t>
                  </w:r>
                  <w:r>
                    <w:rPr>
                      <w:rFonts w:hint="default" w:ascii="Times New Roman" w:hAnsi="Times New Roman" w:eastAsia="宋体" w:cs="Times New Roman"/>
                      <w:b/>
                      <w:color w:val="auto"/>
                      <w:sz w:val="21"/>
                      <w:szCs w:val="21"/>
                      <w:highlight w:val="none"/>
                      <w:shd w:val="clear" w:color="auto" w:fill="auto"/>
                      <w:lang w:eastAsia="zh-CN"/>
                    </w:rPr>
                    <w:t>）</w:t>
                  </w:r>
                </w:p>
              </w:tc>
              <w:tc>
                <w:tcPr>
                  <w:tcW w:w="380" w:type="pct"/>
                  <w:noWrap w:val="0"/>
                  <w:vAlign w:val="center"/>
                </w:tcPr>
                <w:p w14:paraId="754AF330">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建筑物外距离</w:t>
                  </w:r>
                </w:p>
              </w:tc>
            </w:tr>
            <w:tr w14:paraId="26472B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 w:type="pct"/>
                  <w:noWrap w:val="0"/>
                  <w:vAlign w:val="center"/>
                </w:tcPr>
                <w:p w14:paraId="059D54BB">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199" w:type="pct"/>
                  <w:vMerge w:val="restart"/>
                  <w:noWrap w:val="0"/>
                  <w:vAlign w:val="center"/>
                </w:tcPr>
                <w:p w14:paraId="7A3F4F89">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val="en-US" w:eastAsia="zh-CN"/>
                    </w:rPr>
                    <w:t>生产</w:t>
                  </w:r>
                  <w:r>
                    <w:rPr>
                      <w:rFonts w:hint="default" w:ascii="Times New Roman" w:hAnsi="Times New Roman" w:eastAsia="宋体" w:cs="Times New Roman"/>
                      <w:color w:val="auto"/>
                      <w:sz w:val="21"/>
                      <w:szCs w:val="21"/>
                      <w:highlight w:val="none"/>
                      <w:shd w:val="clear" w:color="auto" w:fill="auto"/>
                      <w:lang w:eastAsia="zh-CN"/>
                    </w:rPr>
                    <w:t>车间</w:t>
                  </w:r>
                </w:p>
              </w:tc>
              <w:tc>
                <w:tcPr>
                  <w:tcW w:w="573" w:type="pct"/>
                  <w:shd w:val="clear" w:color="auto" w:fill="auto"/>
                  <w:noWrap w:val="0"/>
                  <w:vAlign w:val="center"/>
                </w:tcPr>
                <w:p w14:paraId="25B241F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生物降解吹膜机组</w:t>
                  </w:r>
                </w:p>
              </w:tc>
              <w:tc>
                <w:tcPr>
                  <w:tcW w:w="510" w:type="pct"/>
                  <w:shd w:val="clear" w:color="auto" w:fill="auto"/>
                  <w:noWrap w:val="0"/>
                  <w:vAlign w:val="center"/>
                </w:tcPr>
                <w:p w14:paraId="5F9743F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MGF800</w:t>
                  </w:r>
                </w:p>
              </w:tc>
              <w:tc>
                <w:tcPr>
                  <w:tcW w:w="218" w:type="pct"/>
                  <w:noWrap w:val="0"/>
                  <w:vAlign w:val="center"/>
                </w:tcPr>
                <w:p w14:paraId="2CCA6B1A">
                  <w:pPr>
                    <w:adjustRightInd w:val="0"/>
                    <w:snapToGrid w:val="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1</w:t>
                  </w:r>
                  <w:r>
                    <w:rPr>
                      <w:rFonts w:hint="eastAsia" w:ascii="Times New Roman" w:hAnsi="Times New Roman" w:eastAsia="宋体" w:cs="Times New Roman"/>
                      <w:bCs/>
                      <w:color w:val="auto"/>
                      <w:sz w:val="21"/>
                      <w:szCs w:val="21"/>
                      <w:highlight w:val="none"/>
                      <w:shd w:val="clear" w:color="auto" w:fill="auto"/>
                      <w:lang w:val="en-US" w:eastAsia="zh-CN"/>
                    </w:rPr>
                    <w:t>2</w:t>
                  </w:r>
                </w:p>
              </w:tc>
              <w:tc>
                <w:tcPr>
                  <w:tcW w:w="541" w:type="pct"/>
                  <w:noWrap w:val="0"/>
                  <w:vAlign w:val="center"/>
                </w:tcPr>
                <w:p w14:paraId="12C6FA8B">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75</w:t>
                  </w:r>
                </w:p>
              </w:tc>
              <w:tc>
                <w:tcPr>
                  <w:tcW w:w="391" w:type="pct"/>
                  <w:vMerge w:val="restart"/>
                  <w:noWrap w:val="0"/>
                  <w:vAlign w:val="center"/>
                </w:tcPr>
                <w:p w14:paraId="097403E4">
                  <w:pPr>
                    <w:adjustRightInd w:val="0"/>
                    <w:snapToGrid w:val="0"/>
                    <w:ind w:left="-105" w:leftChars="-50" w:right="-105" w:rightChars="-50"/>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rPr>
                    <w:t>减振、厂房隔音</w:t>
                  </w:r>
                </w:p>
              </w:tc>
              <w:tc>
                <w:tcPr>
                  <w:tcW w:w="198" w:type="pct"/>
                  <w:noWrap w:val="0"/>
                  <w:vAlign w:val="center"/>
                </w:tcPr>
                <w:p w14:paraId="222BA864">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28</w:t>
                  </w:r>
                </w:p>
              </w:tc>
              <w:tc>
                <w:tcPr>
                  <w:tcW w:w="198" w:type="pct"/>
                  <w:shd w:val="clear" w:color="auto" w:fill="auto"/>
                  <w:noWrap w:val="0"/>
                  <w:vAlign w:val="center"/>
                </w:tcPr>
                <w:p w14:paraId="72905F78">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25</w:t>
                  </w:r>
                </w:p>
              </w:tc>
              <w:tc>
                <w:tcPr>
                  <w:tcW w:w="224" w:type="pct"/>
                  <w:noWrap w:val="0"/>
                  <w:vAlign w:val="center"/>
                </w:tcPr>
                <w:p w14:paraId="3AC56EFC">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50" w:type="pct"/>
                  <w:noWrap w:val="0"/>
                  <w:vAlign w:val="center"/>
                </w:tcPr>
                <w:p w14:paraId="7C6C5E51">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w:t>
                  </w:r>
                </w:p>
              </w:tc>
              <w:tc>
                <w:tcPr>
                  <w:tcW w:w="249" w:type="pct"/>
                  <w:noWrap w:val="0"/>
                  <w:vAlign w:val="center"/>
                </w:tcPr>
                <w:p w14:paraId="1F95A60C">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72</w:t>
                  </w:r>
                </w:p>
              </w:tc>
              <w:tc>
                <w:tcPr>
                  <w:tcW w:w="192" w:type="pct"/>
                  <w:noWrap w:val="0"/>
                  <w:vAlign w:val="center"/>
                </w:tcPr>
                <w:p w14:paraId="64258512">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rPr>
                    <w:t>h</w:t>
                  </w:r>
                </w:p>
              </w:tc>
              <w:tc>
                <w:tcPr>
                  <w:tcW w:w="352" w:type="pct"/>
                  <w:noWrap w:val="0"/>
                  <w:vAlign w:val="center"/>
                </w:tcPr>
                <w:p w14:paraId="2E597B68">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w:t>
                  </w:r>
                </w:p>
              </w:tc>
              <w:tc>
                <w:tcPr>
                  <w:tcW w:w="352" w:type="pct"/>
                  <w:noWrap w:val="0"/>
                  <w:vAlign w:val="center"/>
                </w:tcPr>
                <w:p w14:paraId="006B6AD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52</w:t>
                  </w:r>
                </w:p>
              </w:tc>
              <w:tc>
                <w:tcPr>
                  <w:tcW w:w="380" w:type="pct"/>
                  <w:noWrap w:val="0"/>
                  <w:vAlign w:val="center"/>
                </w:tcPr>
                <w:p w14:paraId="1BF43149">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1m</w:t>
                  </w:r>
                </w:p>
              </w:tc>
            </w:tr>
            <w:tr w14:paraId="5B9177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 w:type="pct"/>
                  <w:noWrap w:val="0"/>
                  <w:vAlign w:val="center"/>
                </w:tcPr>
                <w:p w14:paraId="721C84D9">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w:t>
                  </w:r>
                </w:p>
              </w:tc>
              <w:tc>
                <w:tcPr>
                  <w:tcW w:w="199" w:type="pct"/>
                  <w:vMerge w:val="continue"/>
                  <w:noWrap w:val="0"/>
                  <w:vAlign w:val="center"/>
                </w:tcPr>
                <w:p w14:paraId="74B41333">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p>
              </w:tc>
              <w:tc>
                <w:tcPr>
                  <w:tcW w:w="573" w:type="pct"/>
                  <w:shd w:val="clear" w:color="auto" w:fill="auto"/>
                  <w:noWrap w:val="0"/>
                  <w:vAlign w:val="center"/>
                </w:tcPr>
                <w:p w14:paraId="415E329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印刷机</w:t>
                  </w:r>
                </w:p>
              </w:tc>
              <w:tc>
                <w:tcPr>
                  <w:tcW w:w="510" w:type="pct"/>
                  <w:shd w:val="clear" w:color="auto" w:fill="auto"/>
                  <w:noWrap w:val="0"/>
                  <w:vAlign w:val="center"/>
                </w:tcPr>
                <w:p w14:paraId="1C17C6C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1050-2</w:t>
                  </w:r>
                </w:p>
              </w:tc>
              <w:tc>
                <w:tcPr>
                  <w:tcW w:w="218" w:type="pct"/>
                  <w:noWrap w:val="0"/>
                  <w:vAlign w:val="center"/>
                </w:tcPr>
                <w:p w14:paraId="31ADEE05">
                  <w:pPr>
                    <w:adjustRightInd w:val="0"/>
                    <w:snapToGrid w:val="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6</w:t>
                  </w:r>
                </w:p>
              </w:tc>
              <w:tc>
                <w:tcPr>
                  <w:tcW w:w="541" w:type="pct"/>
                  <w:noWrap w:val="0"/>
                  <w:vAlign w:val="center"/>
                </w:tcPr>
                <w:p w14:paraId="02968618">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75</w:t>
                  </w:r>
                </w:p>
              </w:tc>
              <w:tc>
                <w:tcPr>
                  <w:tcW w:w="391" w:type="pct"/>
                  <w:vMerge w:val="continue"/>
                  <w:noWrap w:val="0"/>
                  <w:vAlign w:val="center"/>
                </w:tcPr>
                <w:p w14:paraId="4621C8A9">
                  <w:pPr>
                    <w:adjustRightInd w:val="0"/>
                    <w:snapToGrid w:val="0"/>
                    <w:ind w:left="-105" w:leftChars="-50" w:right="-105" w:rightChars="-50"/>
                    <w:jc w:val="center"/>
                    <w:rPr>
                      <w:rFonts w:hint="default" w:ascii="Times New Roman" w:hAnsi="Times New Roman" w:eastAsia="宋体" w:cs="Times New Roman"/>
                      <w:bCs/>
                      <w:color w:val="auto"/>
                      <w:sz w:val="21"/>
                      <w:szCs w:val="21"/>
                      <w:highlight w:val="none"/>
                      <w:shd w:val="clear" w:color="auto" w:fill="auto"/>
                    </w:rPr>
                  </w:pPr>
                </w:p>
              </w:tc>
              <w:tc>
                <w:tcPr>
                  <w:tcW w:w="198" w:type="pct"/>
                  <w:noWrap w:val="0"/>
                  <w:vAlign w:val="center"/>
                </w:tcPr>
                <w:p w14:paraId="3C682158">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32</w:t>
                  </w:r>
                </w:p>
              </w:tc>
              <w:tc>
                <w:tcPr>
                  <w:tcW w:w="198" w:type="pct"/>
                  <w:shd w:val="clear" w:color="auto" w:fill="auto"/>
                  <w:noWrap w:val="0"/>
                  <w:vAlign w:val="center"/>
                </w:tcPr>
                <w:p w14:paraId="1020CCAA">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25</w:t>
                  </w:r>
                </w:p>
              </w:tc>
              <w:tc>
                <w:tcPr>
                  <w:tcW w:w="224" w:type="pct"/>
                  <w:noWrap w:val="0"/>
                  <w:vAlign w:val="center"/>
                </w:tcPr>
                <w:p w14:paraId="24FD5625">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50" w:type="pct"/>
                  <w:noWrap w:val="0"/>
                  <w:vAlign w:val="center"/>
                </w:tcPr>
                <w:p w14:paraId="77D8D6CA">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w:t>
                  </w:r>
                </w:p>
              </w:tc>
              <w:tc>
                <w:tcPr>
                  <w:tcW w:w="249" w:type="pct"/>
                  <w:noWrap w:val="0"/>
                  <w:vAlign w:val="center"/>
                </w:tcPr>
                <w:p w14:paraId="7126865F">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69</w:t>
                  </w:r>
                </w:p>
              </w:tc>
              <w:tc>
                <w:tcPr>
                  <w:tcW w:w="192" w:type="pct"/>
                  <w:noWrap w:val="0"/>
                  <w:vAlign w:val="center"/>
                </w:tcPr>
                <w:p w14:paraId="626AC9FF">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rPr>
                    <w:t>h</w:t>
                  </w:r>
                </w:p>
              </w:tc>
              <w:tc>
                <w:tcPr>
                  <w:tcW w:w="352" w:type="pct"/>
                  <w:noWrap w:val="0"/>
                  <w:vAlign w:val="center"/>
                </w:tcPr>
                <w:p w14:paraId="12DB6CC4">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w:t>
                  </w:r>
                </w:p>
              </w:tc>
              <w:tc>
                <w:tcPr>
                  <w:tcW w:w="352" w:type="pct"/>
                  <w:noWrap w:val="0"/>
                  <w:vAlign w:val="center"/>
                </w:tcPr>
                <w:p w14:paraId="1D51D3D6">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49</w:t>
                  </w:r>
                </w:p>
              </w:tc>
              <w:tc>
                <w:tcPr>
                  <w:tcW w:w="380" w:type="pct"/>
                  <w:noWrap w:val="0"/>
                  <w:vAlign w:val="center"/>
                </w:tcPr>
                <w:p w14:paraId="04231CE1">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1m</w:t>
                  </w:r>
                </w:p>
              </w:tc>
            </w:tr>
            <w:tr w14:paraId="61C80C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 w:type="pct"/>
                  <w:noWrap w:val="0"/>
                  <w:vAlign w:val="center"/>
                </w:tcPr>
                <w:p w14:paraId="3170BA16">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3</w:t>
                  </w:r>
                </w:p>
              </w:tc>
              <w:tc>
                <w:tcPr>
                  <w:tcW w:w="199" w:type="pct"/>
                  <w:vMerge w:val="continue"/>
                  <w:noWrap w:val="0"/>
                  <w:vAlign w:val="center"/>
                </w:tcPr>
                <w:p w14:paraId="51860B30">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p>
              </w:tc>
              <w:tc>
                <w:tcPr>
                  <w:tcW w:w="573" w:type="pct"/>
                  <w:shd w:val="clear" w:color="auto" w:fill="auto"/>
                  <w:noWrap w:val="0"/>
                  <w:vAlign w:val="center"/>
                </w:tcPr>
                <w:p w14:paraId="2085E41C">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复合机</w:t>
                  </w:r>
                </w:p>
              </w:tc>
              <w:tc>
                <w:tcPr>
                  <w:tcW w:w="510" w:type="pct"/>
                  <w:shd w:val="clear" w:color="auto" w:fill="auto"/>
                  <w:noWrap w:val="0"/>
                  <w:vAlign w:val="center"/>
                </w:tcPr>
                <w:p w14:paraId="09C426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218" w:type="pct"/>
                  <w:noWrap w:val="0"/>
                  <w:vAlign w:val="center"/>
                </w:tcPr>
                <w:p w14:paraId="0D87A029">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3</w:t>
                  </w:r>
                </w:p>
              </w:tc>
              <w:tc>
                <w:tcPr>
                  <w:tcW w:w="541" w:type="pct"/>
                  <w:noWrap w:val="0"/>
                  <w:vAlign w:val="center"/>
                </w:tcPr>
                <w:p w14:paraId="649B2175">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7</w:t>
                  </w:r>
                  <w:r>
                    <w:rPr>
                      <w:rFonts w:hint="default" w:ascii="Times New Roman" w:hAnsi="Times New Roman" w:eastAsia="宋体" w:cs="Times New Roman"/>
                      <w:color w:val="auto"/>
                      <w:sz w:val="21"/>
                      <w:szCs w:val="21"/>
                      <w:highlight w:val="none"/>
                      <w:shd w:val="clear" w:color="auto" w:fill="auto"/>
                      <w:lang w:val="en-US" w:eastAsia="zh-CN"/>
                    </w:rPr>
                    <w:t>5</w:t>
                  </w:r>
                </w:p>
              </w:tc>
              <w:tc>
                <w:tcPr>
                  <w:tcW w:w="391" w:type="pct"/>
                  <w:vMerge w:val="continue"/>
                  <w:noWrap w:val="0"/>
                  <w:vAlign w:val="center"/>
                </w:tcPr>
                <w:p w14:paraId="3BD3638E">
                  <w:pPr>
                    <w:adjustRightInd w:val="0"/>
                    <w:snapToGrid w:val="0"/>
                    <w:ind w:left="-105" w:leftChars="-50" w:right="-105" w:rightChars="-50"/>
                    <w:jc w:val="center"/>
                    <w:rPr>
                      <w:rFonts w:hint="default" w:ascii="Times New Roman" w:hAnsi="Times New Roman" w:eastAsia="宋体" w:cs="Times New Roman"/>
                      <w:bCs/>
                      <w:color w:val="auto"/>
                      <w:sz w:val="21"/>
                      <w:szCs w:val="21"/>
                      <w:highlight w:val="none"/>
                      <w:shd w:val="clear" w:color="auto" w:fill="auto"/>
                    </w:rPr>
                  </w:pPr>
                </w:p>
              </w:tc>
              <w:tc>
                <w:tcPr>
                  <w:tcW w:w="198" w:type="pct"/>
                  <w:noWrap w:val="0"/>
                  <w:vAlign w:val="center"/>
                </w:tcPr>
                <w:p w14:paraId="607AEDF1">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41</w:t>
                  </w:r>
                </w:p>
              </w:tc>
              <w:tc>
                <w:tcPr>
                  <w:tcW w:w="198" w:type="pct"/>
                  <w:shd w:val="clear" w:color="auto" w:fill="auto"/>
                  <w:noWrap w:val="0"/>
                  <w:vAlign w:val="center"/>
                </w:tcPr>
                <w:p w14:paraId="4223157B">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25</w:t>
                  </w:r>
                </w:p>
              </w:tc>
              <w:tc>
                <w:tcPr>
                  <w:tcW w:w="224" w:type="pct"/>
                  <w:noWrap w:val="0"/>
                  <w:vAlign w:val="center"/>
                </w:tcPr>
                <w:p w14:paraId="6F0895E0">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50" w:type="pct"/>
                  <w:noWrap w:val="0"/>
                  <w:vAlign w:val="center"/>
                </w:tcPr>
                <w:p w14:paraId="7140C5A0">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w:t>
                  </w:r>
                </w:p>
              </w:tc>
              <w:tc>
                <w:tcPr>
                  <w:tcW w:w="249" w:type="pct"/>
                  <w:noWrap w:val="0"/>
                  <w:vAlign w:val="center"/>
                </w:tcPr>
                <w:p w14:paraId="6B123EB0">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66</w:t>
                  </w:r>
                </w:p>
              </w:tc>
              <w:tc>
                <w:tcPr>
                  <w:tcW w:w="192" w:type="pct"/>
                  <w:noWrap w:val="0"/>
                  <w:vAlign w:val="center"/>
                </w:tcPr>
                <w:p w14:paraId="73753B41">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rPr>
                    <w:t>h</w:t>
                  </w:r>
                </w:p>
              </w:tc>
              <w:tc>
                <w:tcPr>
                  <w:tcW w:w="352" w:type="pct"/>
                  <w:noWrap w:val="0"/>
                  <w:vAlign w:val="center"/>
                </w:tcPr>
                <w:p w14:paraId="690574A2">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w:t>
                  </w:r>
                </w:p>
              </w:tc>
              <w:tc>
                <w:tcPr>
                  <w:tcW w:w="352" w:type="pct"/>
                  <w:noWrap w:val="0"/>
                  <w:vAlign w:val="center"/>
                </w:tcPr>
                <w:p w14:paraId="7EAF8D24">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lang w:val="en-US" w:eastAsia="zh-CN"/>
                    </w:rPr>
                    <w:t>6</w:t>
                  </w:r>
                </w:p>
              </w:tc>
              <w:tc>
                <w:tcPr>
                  <w:tcW w:w="380" w:type="pct"/>
                  <w:noWrap w:val="0"/>
                  <w:vAlign w:val="center"/>
                </w:tcPr>
                <w:p w14:paraId="2A04103E">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1m</w:t>
                  </w:r>
                </w:p>
              </w:tc>
            </w:tr>
            <w:tr w14:paraId="120CD0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65" w:type="pct"/>
                  <w:shd w:val="clear" w:color="auto" w:fill="auto"/>
                  <w:noWrap w:val="0"/>
                  <w:vAlign w:val="center"/>
                </w:tcPr>
                <w:p w14:paraId="41E1A596">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5</w:t>
                  </w:r>
                </w:p>
              </w:tc>
              <w:tc>
                <w:tcPr>
                  <w:tcW w:w="199" w:type="pct"/>
                  <w:vMerge w:val="continue"/>
                  <w:noWrap w:val="0"/>
                  <w:vAlign w:val="center"/>
                </w:tcPr>
                <w:p w14:paraId="22B3B202">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p>
              </w:tc>
              <w:tc>
                <w:tcPr>
                  <w:tcW w:w="573" w:type="pct"/>
                  <w:shd w:val="clear" w:color="auto" w:fill="auto"/>
                  <w:noWrap w:val="0"/>
                  <w:vAlign w:val="center"/>
                </w:tcPr>
                <w:p w14:paraId="571790F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制袋机组</w:t>
                  </w:r>
                </w:p>
              </w:tc>
              <w:tc>
                <w:tcPr>
                  <w:tcW w:w="510" w:type="pct"/>
                  <w:shd w:val="clear" w:color="auto" w:fill="auto"/>
                  <w:noWrap w:val="0"/>
                  <w:vAlign w:val="center"/>
                </w:tcPr>
                <w:p w14:paraId="51F8EFB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BXZD1000</w:t>
                  </w:r>
                </w:p>
              </w:tc>
              <w:tc>
                <w:tcPr>
                  <w:tcW w:w="218" w:type="pct"/>
                  <w:noWrap w:val="0"/>
                  <w:vAlign w:val="center"/>
                </w:tcPr>
                <w:p w14:paraId="698AEDC2">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1</w:t>
                  </w:r>
                  <w:r>
                    <w:rPr>
                      <w:rFonts w:hint="eastAsia" w:ascii="Times New Roman" w:hAnsi="Times New Roman" w:eastAsia="宋体" w:cs="Times New Roman"/>
                      <w:bCs/>
                      <w:color w:val="auto"/>
                      <w:sz w:val="21"/>
                      <w:szCs w:val="21"/>
                      <w:highlight w:val="none"/>
                      <w:shd w:val="clear" w:color="auto" w:fill="auto"/>
                      <w:lang w:val="en-US" w:eastAsia="zh-CN"/>
                    </w:rPr>
                    <w:t>0</w:t>
                  </w:r>
                </w:p>
              </w:tc>
              <w:tc>
                <w:tcPr>
                  <w:tcW w:w="541" w:type="pct"/>
                  <w:noWrap w:val="0"/>
                  <w:vAlign w:val="center"/>
                </w:tcPr>
                <w:p w14:paraId="0D3A612B">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75</w:t>
                  </w:r>
                </w:p>
              </w:tc>
              <w:tc>
                <w:tcPr>
                  <w:tcW w:w="391" w:type="pct"/>
                  <w:vMerge w:val="continue"/>
                  <w:noWrap w:val="0"/>
                  <w:vAlign w:val="center"/>
                </w:tcPr>
                <w:p w14:paraId="7922E6A9">
                  <w:pPr>
                    <w:adjustRightInd w:val="0"/>
                    <w:snapToGrid w:val="0"/>
                    <w:ind w:left="-105" w:leftChars="-50" w:right="-105" w:rightChars="-50"/>
                    <w:jc w:val="center"/>
                    <w:rPr>
                      <w:rFonts w:hint="default" w:ascii="Times New Roman" w:hAnsi="Times New Roman" w:eastAsia="宋体" w:cs="Times New Roman"/>
                      <w:bCs/>
                      <w:color w:val="auto"/>
                      <w:sz w:val="21"/>
                      <w:szCs w:val="21"/>
                      <w:highlight w:val="none"/>
                      <w:shd w:val="clear" w:color="auto" w:fill="auto"/>
                    </w:rPr>
                  </w:pPr>
                </w:p>
              </w:tc>
              <w:tc>
                <w:tcPr>
                  <w:tcW w:w="198" w:type="pct"/>
                  <w:shd w:val="clear" w:color="auto" w:fill="auto"/>
                  <w:noWrap w:val="0"/>
                  <w:vAlign w:val="center"/>
                </w:tcPr>
                <w:p w14:paraId="4D40D311">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60</w:t>
                  </w:r>
                </w:p>
              </w:tc>
              <w:tc>
                <w:tcPr>
                  <w:tcW w:w="198" w:type="pct"/>
                  <w:shd w:val="clear" w:color="auto" w:fill="auto"/>
                  <w:noWrap w:val="0"/>
                  <w:vAlign w:val="center"/>
                </w:tcPr>
                <w:p w14:paraId="3B179C0D">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25</w:t>
                  </w:r>
                </w:p>
              </w:tc>
              <w:tc>
                <w:tcPr>
                  <w:tcW w:w="224" w:type="pct"/>
                  <w:shd w:val="clear" w:color="auto" w:fill="auto"/>
                  <w:noWrap w:val="0"/>
                  <w:vAlign w:val="center"/>
                </w:tcPr>
                <w:p w14:paraId="77435AE4">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250" w:type="pct"/>
                  <w:shd w:val="clear" w:color="auto" w:fill="auto"/>
                  <w:noWrap w:val="0"/>
                  <w:vAlign w:val="center"/>
                </w:tcPr>
                <w:p w14:paraId="7F4C3B8E">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w:t>
                  </w:r>
                </w:p>
              </w:tc>
              <w:tc>
                <w:tcPr>
                  <w:tcW w:w="249" w:type="pct"/>
                  <w:shd w:val="clear" w:color="auto" w:fill="auto"/>
                  <w:noWrap w:val="0"/>
                  <w:vAlign w:val="center"/>
                </w:tcPr>
                <w:p w14:paraId="6C434FAC">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71</w:t>
                  </w:r>
                </w:p>
              </w:tc>
              <w:tc>
                <w:tcPr>
                  <w:tcW w:w="192" w:type="pct"/>
                  <w:shd w:val="clear" w:color="auto" w:fill="auto"/>
                  <w:noWrap w:val="0"/>
                  <w:vAlign w:val="center"/>
                </w:tcPr>
                <w:p w14:paraId="1CFE9AD1">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rPr>
                    <w:t>h</w:t>
                  </w:r>
                </w:p>
              </w:tc>
              <w:tc>
                <w:tcPr>
                  <w:tcW w:w="352" w:type="pct"/>
                  <w:shd w:val="clear" w:color="auto" w:fill="auto"/>
                  <w:noWrap w:val="0"/>
                  <w:vAlign w:val="center"/>
                </w:tcPr>
                <w:p w14:paraId="3D47CD0B">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20</w:t>
                  </w:r>
                </w:p>
              </w:tc>
              <w:tc>
                <w:tcPr>
                  <w:tcW w:w="352" w:type="pct"/>
                  <w:shd w:val="clear" w:color="auto" w:fill="auto"/>
                  <w:noWrap w:val="0"/>
                  <w:vAlign w:val="center"/>
                </w:tcPr>
                <w:p w14:paraId="2FC192CC">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51</w:t>
                  </w:r>
                </w:p>
              </w:tc>
              <w:tc>
                <w:tcPr>
                  <w:tcW w:w="380" w:type="pct"/>
                  <w:shd w:val="clear" w:color="auto" w:fill="auto"/>
                  <w:noWrap w:val="0"/>
                  <w:vAlign w:val="center"/>
                </w:tcPr>
                <w:p w14:paraId="0240A95C">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1m</w:t>
                  </w:r>
                </w:p>
              </w:tc>
            </w:tr>
            <w:tr w14:paraId="47919C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 w:type="pct"/>
                  <w:noWrap w:val="0"/>
                  <w:vAlign w:val="center"/>
                </w:tcPr>
                <w:p w14:paraId="2B31D4F4">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w:t>
                  </w:r>
                </w:p>
              </w:tc>
              <w:tc>
                <w:tcPr>
                  <w:tcW w:w="199" w:type="pct"/>
                  <w:vMerge w:val="continue"/>
                  <w:noWrap w:val="0"/>
                  <w:vAlign w:val="center"/>
                </w:tcPr>
                <w:p w14:paraId="518ED9CD">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p>
              </w:tc>
              <w:tc>
                <w:tcPr>
                  <w:tcW w:w="573" w:type="pct"/>
                  <w:shd w:val="clear" w:color="auto" w:fill="auto"/>
                  <w:noWrap w:val="0"/>
                  <w:vAlign w:val="center"/>
                </w:tcPr>
                <w:p w14:paraId="7BEAF49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iCs w:val="0"/>
                      <w:color w:val="auto"/>
                      <w:kern w:val="0"/>
                      <w:sz w:val="21"/>
                      <w:szCs w:val="21"/>
                      <w:u w:val="none"/>
                      <w:lang w:val="en-US" w:eastAsia="zh-CN" w:bidi="ar"/>
                    </w:rPr>
                    <w:t>破碎机</w:t>
                  </w:r>
                </w:p>
              </w:tc>
              <w:tc>
                <w:tcPr>
                  <w:tcW w:w="510" w:type="pct"/>
                  <w:shd w:val="clear" w:color="auto" w:fill="auto"/>
                  <w:noWrap w:val="0"/>
                  <w:vAlign w:val="center"/>
                </w:tcPr>
                <w:p w14:paraId="61D3E54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218" w:type="pct"/>
                  <w:noWrap w:val="0"/>
                  <w:vAlign w:val="center"/>
                </w:tcPr>
                <w:p w14:paraId="5189E8F2">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1</w:t>
                  </w:r>
                </w:p>
              </w:tc>
              <w:tc>
                <w:tcPr>
                  <w:tcW w:w="541" w:type="pct"/>
                  <w:noWrap w:val="0"/>
                  <w:vAlign w:val="center"/>
                </w:tcPr>
                <w:p w14:paraId="64EE9147">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80</w:t>
                  </w:r>
                </w:p>
              </w:tc>
              <w:tc>
                <w:tcPr>
                  <w:tcW w:w="391" w:type="pct"/>
                  <w:vMerge w:val="continue"/>
                  <w:noWrap w:val="0"/>
                  <w:vAlign w:val="center"/>
                </w:tcPr>
                <w:p w14:paraId="281EBA82">
                  <w:pPr>
                    <w:adjustRightInd w:val="0"/>
                    <w:snapToGrid w:val="0"/>
                    <w:ind w:left="-105" w:leftChars="-50" w:right="-105" w:rightChars="-50"/>
                    <w:jc w:val="center"/>
                    <w:rPr>
                      <w:rFonts w:hint="default" w:ascii="Times New Roman" w:hAnsi="Times New Roman" w:eastAsia="宋体" w:cs="Times New Roman"/>
                      <w:bCs/>
                      <w:color w:val="auto"/>
                      <w:sz w:val="21"/>
                      <w:szCs w:val="21"/>
                      <w:highlight w:val="none"/>
                      <w:shd w:val="clear" w:color="auto" w:fill="auto"/>
                    </w:rPr>
                  </w:pPr>
                </w:p>
              </w:tc>
              <w:tc>
                <w:tcPr>
                  <w:tcW w:w="198" w:type="pct"/>
                  <w:noWrap w:val="0"/>
                  <w:vAlign w:val="center"/>
                </w:tcPr>
                <w:p w14:paraId="2809B2D0">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6</w:t>
                  </w:r>
                  <w:r>
                    <w:rPr>
                      <w:rFonts w:hint="default" w:ascii="Times New Roman" w:hAnsi="Times New Roman" w:eastAsia="宋体" w:cs="Times New Roman"/>
                      <w:color w:val="auto"/>
                      <w:sz w:val="21"/>
                      <w:szCs w:val="21"/>
                      <w:highlight w:val="none"/>
                      <w:shd w:val="clear" w:color="auto" w:fill="auto"/>
                      <w:lang w:val="en-US" w:eastAsia="zh-CN"/>
                    </w:rPr>
                    <w:t>6</w:t>
                  </w:r>
                </w:p>
              </w:tc>
              <w:tc>
                <w:tcPr>
                  <w:tcW w:w="198" w:type="pct"/>
                  <w:shd w:val="clear" w:color="auto" w:fill="auto"/>
                  <w:noWrap w:val="0"/>
                  <w:vAlign w:val="center"/>
                </w:tcPr>
                <w:p w14:paraId="16B8A46C">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10</w:t>
                  </w:r>
                </w:p>
              </w:tc>
              <w:tc>
                <w:tcPr>
                  <w:tcW w:w="224" w:type="pct"/>
                  <w:noWrap w:val="0"/>
                  <w:vAlign w:val="center"/>
                </w:tcPr>
                <w:p w14:paraId="781B8BBC">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50" w:type="pct"/>
                  <w:noWrap w:val="0"/>
                  <w:vAlign w:val="center"/>
                </w:tcPr>
                <w:p w14:paraId="1D8B9E0C">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6</w:t>
                  </w:r>
                </w:p>
              </w:tc>
              <w:tc>
                <w:tcPr>
                  <w:tcW w:w="249" w:type="pct"/>
                  <w:noWrap w:val="0"/>
                  <w:vAlign w:val="center"/>
                </w:tcPr>
                <w:p w14:paraId="0AC7F2AB">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63</w:t>
                  </w:r>
                </w:p>
              </w:tc>
              <w:tc>
                <w:tcPr>
                  <w:tcW w:w="192" w:type="pct"/>
                  <w:noWrap w:val="0"/>
                  <w:vAlign w:val="center"/>
                </w:tcPr>
                <w:p w14:paraId="1A4613FB">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rPr>
                    <w:t>h</w:t>
                  </w:r>
                </w:p>
              </w:tc>
              <w:tc>
                <w:tcPr>
                  <w:tcW w:w="352" w:type="pct"/>
                  <w:noWrap w:val="0"/>
                  <w:vAlign w:val="center"/>
                </w:tcPr>
                <w:p w14:paraId="2E849A3D">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20</w:t>
                  </w:r>
                </w:p>
              </w:tc>
              <w:tc>
                <w:tcPr>
                  <w:tcW w:w="352" w:type="pct"/>
                  <w:noWrap w:val="0"/>
                  <w:vAlign w:val="center"/>
                </w:tcPr>
                <w:p w14:paraId="043DD495">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43</w:t>
                  </w:r>
                </w:p>
              </w:tc>
              <w:tc>
                <w:tcPr>
                  <w:tcW w:w="380" w:type="pct"/>
                  <w:noWrap w:val="0"/>
                  <w:vAlign w:val="center"/>
                </w:tcPr>
                <w:p w14:paraId="60BBC3C1">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1m</w:t>
                  </w:r>
                </w:p>
              </w:tc>
            </w:tr>
            <w:tr w14:paraId="7B200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 w:type="pct"/>
                  <w:noWrap w:val="0"/>
                  <w:vAlign w:val="center"/>
                </w:tcPr>
                <w:p w14:paraId="44564875">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7</w:t>
                  </w:r>
                </w:p>
              </w:tc>
              <w:tc>
                <w:tcPr>
                  <w:tcW w:w="199" w:type="pct"/>
                  <w:vMerge w:val="continue"/>
                  <w:noWrap w:val="0"/>
                  <w:vAlign w:val="center"/>
                </w:tcPr>
                <w:p w14:paraId="0DCD87A6">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p>
              </w:tc>
              <w:tc>
                <w:tcPr>
                  <w:tcW w:w="573" w:type="pct"/>
                  <w:shd w:val="clear" w:color="auto" w:fill="auto"/>
                  <w:noWrap w:val="0"/>
                  <w:vAlign w:val="center"/>
                </w:tcPr>
                <w:p w14:paraId="7B6149A1">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eastAsia" w:ascii="Times New Roman" w:hAnsi="Times New Roman" w:eastAsia="宋体" w:cs="Times New Roman"/>
                      <w:color w:val="auto"/>
                      <w:kern w:val="2"/>
                      <w:sz w:val="21"/>
                      <w:szCs w:val="21"/>
                      <w:shd w:val="clear" w:color="auto" w:fill="auto"/>
                      <w:lang w:val="en-US" w:eastAsia="zh-CN" w:bidi="ar-SA"/>
                    </w:rPr>
                    <w:t>分切机</w:t>
                  </w:r>
                </w:p>
              </w:tc>
              <w:tc>
                <w:tcPr>
                  <w:tcW w:w="510" w:type="pct"/>
                  <w:shd w:val="clear" w:color="auto" w:fill="auto"/>
                  <w:noWrap w:val="0"/>
                  <w:vAlign w:val="center"/>
                </w:tcPr>
                <w:p w14:paraId="1B837BEA">
                  <w:pPr>
                    <w:spacing w:line="0" w:lineRule="atLeast"/>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218" w:type="pct"/>
                  <w:shd w:val="clear" w:color="auto" w:fill="auto"/>
                  <w:noWrap w:val="0"/>
                  <w:vAlign w:val="center"/>
                </w:tcPr>
                <w:p w14:paraId="011AD60F">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eastAsia" w:ascii="Times New Roman" w:hAnsi="Times New Roman" w:eastAsia="宋体" w:cs="Times New Roman"/>
                      <w:bCs/>
                      <w:color w:val="auto"/>
                      <w:sz w:val="21"/>
                      <w:szCs w:val="21"/>
                      <w:highlight w:val="none"/>
                      <w:shd w:val="clear" w:color="auto" w:fill="auto"/>
                      <w:lang w:val="en-US" w:eastAsia="zh-CN"/>
                    </w:rPr>
                    <w:t>5</w:t>
                  </w:r>
                </w:p>
              </w:tc>
              <w:tc>
                <w:tcPr>
                  <w:tcW w:w="541" w:type="pct"/>
                  <w:shd w:val="clear" w:color="auto" w:fill="auto"/>
                  <w:noWrap w:val="0"/>
                  <w:vAlign w:val="center"/>
                </w:tcPr>
                <w:p w14:paraId="36836EA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75</w:t>
                  </w:r>
                </w:p>
              </w:tc>
              <w:tc>
                <w:tcPr>
                  <w:tcW w:w="391" w:type="pct"/>
                  <w:vMerge w:val="continue"/>
                  <w:shd w:val="clear" w:color="auto" w:fill="auto"/>
                  <w:noWrap w:val="0"/>
                  <w:vAlign w:val="center"/>
                </w:tcPr>
                <w:p w14:paraId="686B39BD">
                  <w:pPr>
                    <w:adjustRightInd w:val="0"/>
                    <w:snapToGrid w:val="0"/>
                    <w:ind w:left="-105" w:leftChars="-50" w:right="-105" w:rightChars="-50"/>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p>
              </w:tc>
              <w:tc>
                <w:tcPr>
                  <w:tcW w:w="198" w:type="pct"/>
                  <w:shd w:val="clear" w:color="auto" w:fill="auto"/>
                  <w:noWrap w:val="0"/>
                  <w:vAlign w:val="center"/>
                </w:tcPr>
                <w:p w14:paraId="09111ADB">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56</w:t>
                  </w:r>
                </w:p>
              </w:tc>
              <w:tc>
                <w:tcPr>
                  <w:tcW w:w="198" w:type="pct"/>
                  <w:shd w:val="clear" w:color="auto" w:fill="auto"/>
                  <w:noWrap w:val="0"/>
                  <w:vAlign w:val="center"/>
                </w:tcPr>
                <w:p w14:paraId="0A7328FA">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25</w:t>
                  </w:r>
                </w:p>
              </w:tc>
              <w:tc>
                <w:tcPr>
                  <w:tcW w:w="224" w:type="pct"/>
                  <w:shd w:val="clear" w:color="auto" w:fill="auto"/>
                  <w:noWrap w:val="0"/>
                  <w:vAlign w:val="center"/>
                </w:tcPr>
                <w:p w14:paraId="75DB3314">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50" w:type="pct"/>
                  <w:shd w:val="clear" w:color="auto" w:fill="auto"/>
                  <w:noWrap w:val="0"/>
                  <w:vAlign w:val="center"/>
                </w:tcPr>
                <w:p w14:paraId="43F65B5E">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w:t>
                  </w:r>
                </w:p>
              </w:tc>
              <w:tc>
                <w:tcPr>
                  <w:tcW w:w="249" w:type="pct"/>
                  <w:shd w:val="clear" w:color="auto" w:fill="auto"/>
                  <w:noWrap w:val="0"/>
                  <w:vAlign w:val="center"/>
                </w:tcPr>
                <w:p w14:paraId="4DDBDBD2">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68</w:t>
                  </w:r>
                </w:p>
              </w:tc>
              <w:tc>
                <w:tcPr>
                  <w:tcW w:w="192" w:type="pct"/>
                  <w:shd w:val="clear" w:color="auto" w:fill="auto"/>
                  <w:noWrap w:val="0"/>
                  <w:vAlign w:val="center"/>
                </w:tcPr>
                <w:p w14:paraId="2D7BC462">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rPr>
                    <w:t>h</w:t>
                  </w:r>
                </w:p>
              </w:tc>
              <w:tc>
                <w:tcPr>
                  <w:tcW w:w="352" w:type="pct"/>
                  <w:shd w:val="clear" w:color="auto" w:fill="auto"/>
                  <w:noWrap w:val="0"/>
                  <w:vAlign w:val="center"/>
                </w:tcPr>
                <w:p w14:paraId="375F9CA8">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20</w:t>
                  </w:r>
                </w:p>
              </w:tc>
              <w:tc>
                <w:tcPr>
                  <w:tcW w:w="352" w:type="pct"/>
                  <w:shd w:val="clear" w:color="auto" w:fill="auto"/>
                  <w:noWrap w:val="0"/>
                  <w:vAlign w:val="center"/>
                </w:tcPr>
                <w:p w14:paraId="36C86F81">
                  <w:pPr>
                    <w:keepNext w:val="0"/>
                    <w:keepLines w:val="0"/>
                    <w:widowControl/>
                    <w:suppressLineNumbers w:val="0"/>
                    <w:jc w:val="center"/>
                    <w:textAlignment w:val="bottom"/>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48</w:t>
                  </w:r>
                </w:p>
              </w:tc>
              <w:tc>
                <w:tcPr>
                  <w:tcW w:w="380" w:type="pct"/>
                  <w:shd w:val="clear" w:color="auto" w:fill="auto"/>
                  <w:noWrap w:val="0"/>
                  <w:vAlign w:val="center"/>
                </w:tcPr>
                <w:p w14:paraId="505B0940">
                  <w:pPr>
                    <w:adjustRightInd w:val="0"/>
                    <w:snapToGrid w:val="0"/>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1m</w:t>
                  </w:r>
                </w:p>
              </w:tc>
            </w:tr>
          </w:tbl>
          <w:p w14:paraId="1A25B695">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lang w:val="en-US" w:eastAsia="zh-CN"/>
              </w:rPr>
              <w:t>表4-</w:t>
            </w:r>
            <w:r>
              <w:rPr>
                <w:rFonts w:hint="eastAsia" w:ascii="Times New Roman" w:hAnsi="Times New Roman" w:eastAsia="宋体" w:cs="Times New Roman"/>
                <w:b/>
                <w:bCs/>
                <w:color w:val="auto"/>
                <w:sz w:val="24"/>
                <w:szCs w:val="24"/>
                <w:highlight w:val="none"/>
                <w:shd w:val="clear" w:color="auto" w:fill="auto"/>
                <w:lang w:val="en-US" w:eastAsia="zh-CN"/>
              </w:rPr>
              <w:t>20</w:t>
            </w:r>
            <w:r>
              <w:rPr>
                <w:rFonts w:hint="default" w:ascii="Times New Roman" w:hAnsi="Times New Roman" w:eastAsia="宋体" w:cs="Times New Roman"/>
                <w:b/>
                <w:bCs/>
                <w:color w:val="auto"/>
                <w:sz w:val="24"/>
                <w:szCs w:val="24"/>
                <w:highlight w:val="none"/>
                <w:shd w:val="clear" w:color="auto" w:fill="auto"/>
                <w:lang w:val="en-US" w:eastAsia="zh-CN"/>
              </w:rPr>
              <w:t xml:space="preserve"> </w:t>
            </w:r>
            <w:r>
              <w:rPr>
                <w:rFonts w:hint="default" w:ascii="Times New Roman" w:hAnsi="Times New Roman" w:eastAsia="宋体" w:cs="Times New Roman"/>
                <w:b/>
                <w:bCs/>
                <w:color w:val="auto"/>
                <w:sz w:val="24"/>
                <w:szCs w:val="24"/>
                <w:highlight w:val="none"/>
                <w:shd w:val="clear" w:color="auto" w:fill="auto"/>
                <w:lang w:eastAsia="zh-CN"/>
              </w:rPr>
              <w:t>本项目</w:t>
            </w:r>
            <w:r>
              <w:rPr>
                <w:rFonts w:hint="default" w:ascii="Times New Roman" w:hAnsi="Times New Roman" w:eastAsia="宋体" w:cs="Times New Roman"/>
                <w:b/>
                <w:bCs/>
                <w:color w:val="auto"/>
                <w:sz w:val="24"/>
                <w:szCs w:val="24"/>
                <w:highlight w:val="none"/>
                <w:shd w:val="clear" w:color="auto" w:fill="auto"/>
                <w:lang w:val="en-US" w:eastAsia="zh-CN"/>
              </w:rPr>
              <w:t>主要噪声污染源一览表（室外声源）</w:t>
            </w:r>
          </w:p>
          <w:tbl>
            <w:tblPr>
              <w:tblStyle w:val="27"/>
              <w:tblW w:w="5000"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4"/>
              <w:gridCol w:w="1750"/>
              <w:gridCol w:w="808"/>
              <w:gridCol w:w="1030"/>
              <w:gridCol w:w="1030"/>
              <w:gridCol w:w="1072"/>
              <w:gridCol w:w="1692"/>
              <w:gridCol w:w="1750"/>
              <w:gridCol w:w="1724"/>
              <w:gridCol w:w="1719"/>
            </w:tblGrid>
            <w:tr w14:paraId="498EAAF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7" w:type="pct"/>
                  <w:vMerge w:val="restart"/>
                  <w:tcBorders>
                    <w:tl2br w:val="nil"/>
                    <w:tr2bl w:val="nil"/>
                  </w:tcBorders>
                  <w:vAlign w:val="center"/>
                </w:tcPr>
                <w:p w14:paraId="315566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shd w:val="clear" w:color="auto" w:fill="auto"/>
                    </w:rPr>
                  </w:pPr>
                  <w:r>
                    <w:rPr>
                      <w:rFonts w:hint="default" w:ascii="Times New Roman" w:hAnsi="Times New Roman" w:eastAsia="宋体" w:cs="Times New Roman"/>
                      <w:b/>
                      <w:bCs/>
                      <w:color w:val="auto"/>
                      <w:highlight w:val="none"/>
                      <w:shd w:val="clear" w:color="auto" w:fill="auto"/>
                    </w:rPr>
                    <w:t>序号</w:t>
                  </w:r>
                </w:p>
              </w:tc>
              <w:tc>
                <w:tcPr>
                  <w:tcW w:w="661" w:type="pct"/>
                  <w:vMerge w:val="restart"/>
                  <w:tcBorders>
                    <w:tl2br w:val="nil"/>
                    <w:tr2bl w:val="nil"/>
                  </w:tcBorders>
                  <w:vAlign w:val="center"/>
                </w:tcPr>
                <w:p w14:paraId="6C4282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lang w:val="en-US" w:eastAsia="zh-CN"/>
                    </w:rPr>
                    <w:t>声源名称</w:t>
                  </w:r>
                </w:p>
              </w:tc>
              <w:tc>
                <w:tcPr>
                  <w:tcW w:w="305" w:type="pct"/>
                  <w:vMerge w:val="restart"/>
                  <w:tcBorders>
                    <w:tl2br w:val="nil"/>
                    <w:tr2bl w:val="nil"/>
                  </w:tcBorders>
                  <w:vAlign w:val="center"/>
                </w:tcPr>
                <w:p w14:paraId="12B53B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lang w:val="en-US" w:eastAsia="zh-CN"/>
                    </w:rPr>
                    <w:t>数量</w:t>
                  </w:r>
                </w:p>
              </w:tc>
              <w:tc>
                <w:tcPr>
                  <w:tcW w:w="1183" w:type="pct"/>
                  <w:gridSpan w:val="3"/>
                  <w:tcBorders>
                    <w:tl2br w:val="nil"/>
                    <w:tr2bl w:val="nil"/>
                  </w:tcBorders>
                  <w:vAlign w:val="center"/>
                </w:tcPr>
                <w:p w14:paraId="1C35E6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lang w:val="en-US" w:eastAsia="zh-CN"/>
                    </w:rPr>
                    <w:t>空间相对位置/m</w:t>
                  </w:r>
                </w:p>
              </w:tc>
              <w:tc>
                <w:tcPr>
                  <w:tcW w:w="639" w:type="pct"/>
                  <w:vMerge w:val="restart"/>
                  <w:tcBorders>
                    <w:tl2br w:val="nil"/>
                    <w:tr2bl w:val="nil"/>
                  </w:tcBorders>
                  <w:vAlign w:val="center"/>
                </w:tcPr>
                <w:p w14:paraId="08C77A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lang w:val="en-US" w:eastAsia="zh-CN"/>
                    </w:rPr>
                    <w:t>单台声功率级dB（A）</w:t>
                  </w:r>
                </w:p>
              </w:tc>
              <w:tc>
                <w:tcPr>
                  <w:tcW w:w="661" w:type="pct"/>
                  <w:vMerge w:val="restart"/>
                  <w:tcBorders>
                    <w:tl2br w:val="nil"/>
                    <w:tr2bl w:val="nil"/>
                  </w:tcBorders>
                  <w:vAlign w:val="center"/>
                </w:tcPr>
                <w:p w14:paraId="3E088C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lang w:val="en-US" w:eastAsia="zh-CN"/>
                    </w:rPr>
                    <w:t>声源控制</w:t>
                  </w:r>
                </w:p>
                <w:p w14:paraId="5F1188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lang w:val="en-US" w:eastAsia="zh-CN"/>
                    </w:rPr>
                    <w:t>措施</w:t>
                  </w:r>
                </w:p>
              </w:tc>
              <w:tc>
                <w:tcPr>
                  <w:tcW w:w="651" w:type="pct"/>
                  <w:vMerge w:val="restart"/>
                  <w:tcBorders>
                    <w:tl2br w:val="nil"/>
                    <w:tr2bl w:val="nil"/>
                  </w:tcBorders>
                  <w:vAlign w:val="center"/>
                </w:tcPr>
                <w:p w14:paraId="25AF48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color w:val="auto"/>
                      <w:sz w:val="21"/>
                      <w:szCs w:val="21"/>
                      <w:highlight w:val="none"/>
                      <w:shd w:val="clear" w:color="auto" w:fill="auto"/>
                      <w:lang w:val="en-US" w:eastAsia="zh-CN"/>
                    </w:rPr>
                    <w:t>噪声防治措施效果</w:t>
                  </w:r>
                  <w:r>
                    <w:rPr>
                      <w:rFonts w:hint="default" w:ascii="Times New Roman" w:hAnsi="Times New Roman" w:eastAsia="宋体" w:cs="Times New Roman"/>
                      <w:b/>
                      <w:color w:val="auto"/>
                      <w:sz w:val="21"/>
                      <w:szCs w:val="21"/>
                      <w:highlight w:val="none"/>
                      <w:shd w:val="clear" w:color="auto" w:fill="auto"/>
                    </w:rPr>
                    <w:t>/dB(A)</w:t>
                  </w:r>
                </w:p>
              </w:tc>
              <w:tc>
                <w:tcPr>
                  <w:tcW w:w="649" w:type="pct"/>
                  <w:vMerge w:val="restart"/>
                  <w:tcBorders>
                    <w:tl2br w:val="nil"/>
                    <w:tr2bl w:val="nil"/>
                  </w:tcBorders>
                  <w:vAlign w:val="center"/>
                </w:tcPr>
                <w:p w14:paraId="3047FE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lang w:val="en-US" w:eastAsia="zh-CN"/>
                    </w:rPr>
                    <w:t>运行时段</w:t>
                  </w:r>
                </w:p>
              </w:tc>
            </w:tr>
            <w:tr w14:paraId="7A97B35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7" w:type="pct"/>
                  <w:vMerge w:val="continue"/>
                  <w:tcBorders>
                    <w:tl2br w:val="nil"/>
                    <w:tr2bl w:val="nil"/>
                  </w:tcBorders>
                  <w:vAlign w:val="center"/>
                </w:tcPr>
                <w:p w14:paraId="7B7B8D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shd w:val="clear" w:color="auto" w:fill="auto"/>
                    </w:rPr>
                  </w:pPr>
                </w:p>
              </w:tc>
              <w:tc>
                <w:tcPr>
                  <w:tcW w:w="661" w:type="pct"/>
                  <w:vMerge w:val="continue"/>
                  <w:tcBorders>
                    <w:tl2br w:val="nil"/>
                    <w:tr2bl w:val="nil"/>
                  </w:tcBorders>
                  <w:vAlign w:val="center"/>
                </w:tcPr>
                <w:p w14:paraId="3BE8D0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shd w:val="clear" w:color="auto" w:fill="auto"/>
                    </w:rPr>
                  </w:pPr>
                </w:p>
              </w:tc>
              <w:tc>
                <w:tcPr>
                  <w:tcW w:w="305" w:type="pct"/>
                  <w:vMerge w:val="continue"/>
                  <w:tcBorders>
                    <w:tl2br w:val="nil"/>
                    <w:tr2bl w:val="nil"/>
                  </w:tcBorders>
                  <w:vAlign w:val="center"/>
                </w:tcPr>
                <w:p w14:paraId="01C4B9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p>
              </w:tc>
              <w:tc>
                <w:tcPr>
                  <w:tcW w:w="389" w:type="pct"/>
                  <w:tcBorders>
                    <w:tl2br w:val="nil"/>
                    <w:tr2bl w:val="nil"/>
                  </w:tcBorders>
                  <w:vAlign w:val="center"/>
                </w:tcPr>
                <w:p w14:paraId="6DB486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lang w:val="en-US" w:eastAsia="zh-CN"/>
                    </w:rPr>
                    <w:t>X</w:t>
                  </w:r>
                </w:p>
              </w:tc>
              <w:tc>
                <w:tcPr>
                  <w:tcW w:w="389" w:type="pct"/>
                  <w:tcBorders>
                    <w:tl2br w:val="nil"/>
                    <w:tr2bl w:val="nil"/>
                  </w:tcBorders>
                  <w:vAlign w:val="center"/>
                </w:tcPr>
                <w:p w14:paraId="307B58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lang w:val="en-US" w:eastAsia="zh-CN"/>
                    </w:rPr>
                    <w:t>Y</w:t>
                  </w:r>
                </w:p>
              </w:tc>
              <w:tc>
                <w:tcPr>
                  <w:tcW w:w="405" w:type="pct"/>
                  <w:tcBorders>
                    <w:tl2br w:val="nil"/>
                    <w:tr2bl w:val="nil"/>
                  </w:tcBorders>
                  <w:vAlign w:val="center"/>
                </w:tcPr>
                <w:p w14:paraId="05B8D7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r>
                    <w:rPr>
                      <w:rFonts w:hint="default" w:ascii="Times New Roman" w:hAnsi="Times New Roman" w:eastAsia="宋体" w:cs="Times New Roman"/>
                      <w:b/>
                      <w:bCs/>
                      <w:color w:val="auto"/>
                      <w:highlight w:val="none"/>
                      <w:shd w:val="clear" w:color="auto" w:fill="auto"/>
                      <w:lang w:val="en-US" w:eastAsia="zh-CN"/>
                    </w:rPr>
                    <w:t>Z</w:t>
                  </w:r>
                </w:p>
              </w:tc>
              <w:tc>
                <w:tcPr>
                  <w:tcW w:w="639" w:type="pct"/>
                  <w:vMerge w:val="continue"/>
                  <w:tcBorders>
                    <w:tl2br w:val="nil"/>
                    <w:tr2bl w:val="nil"/>
                  </w:tcBorders>
                  <w:vAlign w:val="center"/>
                </w:tcPr>
                <w:p w14:paraId="235AB5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p>
              </w:tc>
              <w:tc>
                <w:tcPr>
                  <w:tcW w:w="661" w:type="pct"/>
                  <w:vMerge w:val="continue"/>
                  <w:tcBorders>
                    <w:tl2br w:val="nil"/>
                    <w:tr2bl w:val="nil"/>
                  </w:tcBorders>
                  <w:vAlign w:val="center"/>
                </w:tcPr>
                <w:p w14:paraId="788521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p>
              </w:tc>
              <w:tc>
                <w:tcPr>
                  <w:tcW w:w="651" w:type="pct"/>
                  <w:vMerge w:val="continue"/>
                  <w:tcBorders>
                    <w:tl2br w:val="nil"/>
                    <w:tr2bl w:val="nil"/>
                  </w:tcBorders>
                  <w:vAlign w:val="center"/>
                </w:tcPr>
                <w:p w14:paraId="5D0C97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p>
              </w:tc>
              <w:tc>
                <w:tcPr>
                  <w:tcW w:w="649" w:type="pct"/>
                  <w:vMerge w:val="continue"/>
                  <w:tcBorders>
                    <w:tl2br w:val="nil"/>
                    <w:tr2bl w:val="nil"/>
                  </w:tcBorders>
                  <w:vAlign w:val="center"/>
                </w:tcPr>
                <w:p w14:paraId="194A61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highlight w:val="none"/>
                      <w:shd w:val="clear" w:color="auto" w:fill="auto"/>
                      <w:lang w:val="en-US" w:eastAsia="zh-CN"/>
                    </w:rPr>
                  </w:pPr>
                </w:p>
              </w:tc>
            </w:tr>
            <w:tr w14:paraId="6DAA0A5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7" w:type="pct"/>
                  <w:tcBorders>
                    <w:tl2br w:val="nil"/>
                    <w:tr2bl w:val="nil"/>
                  </w:tcBorders>
                  <w:vAlign w:val="center"/>
                </w:tcPr>
                <w:p w14:paraId="04C8136E">
                  <w:pPr>
                    <w:adjustRightInd w:val="0"/>
                    <w:snapToGrid w:val="0"/>
                    <w:ind w:left="-105" w:leftChars="-50" w:right="-105" w:rightChars="-5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661" w:type="pct"/>
                  <w:tcBorders>
                    <w:tl2br w:val="nil"/>
                    <w:tr2bl w:val="nil"/>
                  </w:tcBorders>
                  <w:vAlign w:val="center"/>
                </w:tcPr>
                <w:p w14:paraId="51DAB11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空压机</w:t>
                  </w:r>
                </w:p>
              </w:tc>
              <w:tc>
                <w:tcPr>
                  <w:tcW w:w="305" w:type="pct"/>
                  <w:tcBorders>
                    <w:tl2br w:val="nil"/>
                    <w:tr2bl w:val="nil"/>
                  </w:tcBorders>
                  <w:vAlign w:val="center"/>
                </w:tcPr>
                <w:p w14:paraId="043B12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1</w:t>
                  </w:r>
                </w:p>
              </w:tc>
              <w:tc>
                <w:tcPr>
                  <w:tcW w:w="389" w:type="pct"/>
                  <w:tcBorders>
                    <w:tl2br w:val="nil"/>
                    <w:tr2bl w:val="nil"/>
                  </w:tcBorders>
                  <w:vAlign w:val="center"/>
                </w:tcPr>
                <w:p w14:paraId="60727E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kern w:val="2"/>
                      <w:sz w:val="21"/>
                      <w:szCs w:val="24"/>
                      <w:highlight w:val="none"/>
                      <w:shd w:val="clear" w:color="auto" w:fill="auto"/>
                      <w:lang w:val="en-US" w:eastAsia="zh-CN" w:bidi="ar-SA"/>
                    </w:rPr>
                    <w:t>7</w:t>
                  </w:r>
                  <w:r>
                    <w:rPr>
                      <w:rFonts w:hint="eastAsia" w:ascii="Times New Roman" w:hAnsi="Times New Roman" w:eastAsia="宋体" w:cs="Times New Roman"/>
                      <w:color w:val="auto"/>
                      <w:kern w:val="2"/>
                      <w:sz w:val="21"/>
                      <w:szCs w:val="24"/>
                      <w:highlight w:val="none"/>
                      <w:shd w:val="clear" w:color="auto" w:fill="auto"/>
                      <w:lang w:val="en-US" w:eastAsia="zh-CN" w:bidi="ar-SA"/>
                    </w:rPr>
                    <w:t>3</w:t>
                  </w:r>
                </w:p>
              </w:tc>
              <w:tc>
                <w:tcPr>
                  <w:tcW w:w="389" w:type="pct"/>
                  <w:tcBorders>
                    <w:tl2br w:val="nil"/>
                    <w:tr2bl w:val="nil"/>
                  </w:tcBorders>
                  <w:vAlign w:val="center"/>
                </w:tcPr>
                <w:p w14:paraId="0DDE38A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1</w:t>
                  </w:r>
                  <w:r>
                    <w:rPr>
                      <w:rFonts w:hint="default" w:ascii="Times New Roman" w:hAnsi="Times New Roman" w:eastAsia="宋体" w:cs="Times New Roman"/>
                      <w:color w:val="auto"/>
                      <w:kern w:val="2"/>
                      <w:sz w:val="21"/>
                      <w:szCs w:val="24"/>
                      <w:highlight w:val="none"/>
                      <w:shd w:val="clear" w:color="auto" w:fill="auto"/>
                      <w:lang w:val="en-US" w:eastAsia="zh-CN" w:bidi="ar-SA"/>
                    </w:rPr>
                    <w:t>4</w:t>
                  </w:r>
                </w:p>
              </w:tc>
              <w:tc>
                <w:tcPr>
                  <w:tcW w:w="405" w:type="pct"/>
                  <w:tcBorders>
                    <w:tl2br w:val="nil"/>
                    <w:tr2bl w:val="nil"/>
                  </w:tcBorders>
                  <w:vAlign w:val="center"/>
                </w:tcPr>
                <w:p w14:paraId="4B6E15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kern w:val="2"/>
                      <w:sz w:val="21"/>
                      <w:szCs w:val="24"/>
                      <w:highlight w:val="none"/>
                      <w:shd w:val="clear" w:color="auto" w:fill="auto"/>
                      <w:lang w:val="en-US" w:eastAsia="zh-CN" w:bidi="ar-SA"/>
                    </w:rPr>
                    <w:t>1</w:t>
                  </w:r>
                </w:p>
              </w:tc>
              <w:tc>
                <w:tcPr>
                  <w:tcW w:w="639" w:type="pct"/>
                  <w:tcBorders>
                    <w:tl2br w:val="nil"/>
                    <w:tr2bl w:val="nil"/>
                  </w:tcBorders>
                  <w:vAlign w:val="center"/>
                </w:tcPr>
                <w:p w14:paraId="185532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85</w:t>
                  </w:r>
                </w:p>
              </w:tc>
              <w:tc>
                <w:tcPr>
                  <w:tcW w:w="661" w:type="pct"/>
                  <w:tcBorders>
                    <w:tl2br w:val="nil"/>
                    <w:tr2bl w:val="nil"/>
                  </w:tcBorders>
                  <w:vAlign w:val="center"/>
                </w:tcPr>
                <w:p w14:paraId="11E552A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highlight w:val="none"/>
                      <w:shd w:val="clear" w:color="auto" w:fill="auto"/>
                      <w:lang w:val="en-US" w:eastAsia="zh-CN"/>
                    </w:rPr>
                  </w:pPr>
                  <w:r>
                    <w:rPr>
                      <w:rFonts w:hint="default" w:ascii="Times New Roman" w:hAnsi="Times New Roman" w:eastAsia="宋体" w:cs="Times New Roman"/>
                      <w:bCs/>
                      <w:color w:val="auto"/>
                      <w:szCs w:val="20"/>
                      <w:highlight w:val="none"/>
                      <w:shd w:val="clear" w:color="auto" w:fill="auto"/>
                    </w:rPr>
                    <w:t>减振</w:t>
                  </w:r>
                </w:p>
              </w:tc>
              <w:tc>
                <w:tcPr>
                  <w:tcW w:w="651" w:type="pct"/>
                  <w:tcBorders>
                    <w:tl2br w:val="nil"/>
                    <w:tr2bl w:val="nil"/>
                  </w:tcBorders>
                  <w:vAlign w:val="center"/>
                </w:tcPr>
                <w:p w14:paraId="259C82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Cs w:val="20"/>
                      <w:highlight w:val="none"/>
                      <w:shd w:val="clear" w:color="auto" w:fill="auto"/>
                    </w:rPr>
                  </w:pPr>
                  <w:r>
                    <w:rPr>
                      <w:rFonts w:hint="default" w:ascii="Times New Roman" w:hAnsi="Times New Roman" w:eastAsia="宋体" w:cs="Times New Roman"/>
                      <w:bCs/>
                      <w:color w:val="auto"/>
                      <w:sz w:val="21"/>
                      <w:szCs w:val="21"/>
                      <w:highlight w:val="none"/>
                      <w:shd w:val="clear" w:color="auto" w:fill="auto"/>
                      <w:lang w:val="en-US" w:eastAsia="zh-CN"/>
                    </w:rPr>
                    <w:t>20</w:t>
                  </w:r>
                </w:p>
              </w:tc>
              <w:tc>
                <w:tcPr>
                  <w:tcW w:w="649" w:type="pct"/>
                  <w:tcBorders>
                    <w:tl2br w:val="nil"/>
                    <w:tr2bl w:val="nil"/>
                  </w:tcBorders>
                  <w:vAlign w:val="center"/>
                </w:tcPr>
                <w:p w14:paraId="3CD0B9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工作时</w:t>
                  </w:r>
                </w:p>
              </w:tc>
            </w:tr>
            <w:tr w14:paraId="191DEEC3">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7" w:type="pct"/>
                  <w:tcBorders>
                    <w:tl2br w:val="nil"/>
                    <w:tr2bl w:val="nil"/>
                  </w:tcBorders>
                  <w:vAlign w:val="center"/>
                </w:tcPr>
                <w:p w14:paraId="46A0A61F">
                  <w:pPr>
                    <w:adjustRightInd w:val="0"/>
                    <w:snapToGrid w:val="0"/>
                    <w:ind w:left="-105" w:leftChars="-50" w:right="-105" w:rightChars="-5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w:t>
                  </w:r>
                </w:p>
              </w:tc>
              <w:tc>
                <w:tcPr>
                  <w:tcW w:w="661" w:type="pct"/>
                  <w:tcBorders>
                    <w:tl2br w:val="nil"/>
                    <w:tr2bl w:val="nil"/>
                  </w:tcBorders>
                  <w:vAlign w:val="center"/>
                </w:tcPr>
                <w:p w14:paraId="36A95AF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风机</w:t>
                  </w:r>
                  <w:r>
                    <w:rPr>
                      <w:rFonts w:hint="eastAsia" w:ascii="Times New Roman" w:hAnsi="Times New Roman" w:eastAsia="宋体" w:cs="Times New Roman"/>
                      <w:color w:val="auto"/>
                      <w:szCs w:val="21"/>
                      <w:highlight w:val="none"/>
                      <w:shd w:val="clear" w:color="auto" w:fill="auto"/>
                      <w:lang w:val="en-US" w:eastAsia="zh-CN"/>
                    </w:rPr>
                    <w:t>1</w:t>
                  </w:r>
                </w:p>
              </w:tc>
              <w:tc>
                <w:tcPr>
                  <w:tcW w:w="305" w:type="pct"/>
                  <w:tcBorders>
                    <w:tl2br w:val="nil"/>
                    <w:tr2bl w:val="nil"/>
                  </w:tcBorders>
                  <w:vAlign w:val="center"/>
                </w:tcPr>
                <w:p w14:paraId="7A1BC8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1</w:t>
                  </w:r>
                </w:p>
              </w:tc>
              <w:tc>
                <w:tcPr>
                  <w:tcW w:w="389" w:type="pct"/>
                  <w:tcBorders>
                    <w:tl2br w:val="nil"/>
                    <w:tr2bl w:val="nil"/>
                  </w:tcBorders>
                  <w:vAlign w:val="center"/>
                </w:tcPr>
                <w:p w14:paraId="5BA5B51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7</w:t>
                  </w:r>
                  <w:r>
                    <w:rPr>
                      <w:rFonts w:hint="default" w:ascii="Times New Roman" w:hAnsi="Times New Roman" w:eastAsia="宋体" w:cs="Times New Roman"/>
                      <w:color w:val="auto"/>
                      <w:kern w:val="2"/>
                      <w:sz w:val="21"/>
                      <w:szCs w:val="24"/>
                      <w:highlight w:val="none"/>
                      <w:shd w:val="clear" w:color="auto" w:fill="auto"/>
                      <w:lang w:val="en-US" w:eastAsia="zh-CN" w:bidi="ar-SA"/>
                    </w:rPr>
                    <w:t>3</w:t>
                  </w:r>
                </w:p>
              </w:tc>
              <w:tc>
                <w:tcPr>
                  <w:tcW w:w="389" w:type="pct"/>
                  <w:tcBorders>
                    <w:tl2br w:val="nil"/>
                    <w:tr2bl w:val="nil"/>
                  </w:tcBorders>
                  <w:vAlign w:val="center"/>
                </w:tcPr>
                <w:p w14:paraId="734C1DD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5</w:t>
                  </w:r>
                </w:p>
              </w:tc>
              <w:tc>
                <w:tcPr>
                  <w:tcW w:w="405" w:type="pct"/>
                  <w:tcBorders>
                    <w:tl2br w:val="nil"/>
                    <w:tr2bl w:val="nil"/>
                  </w:tcBorders>
                  <w:vAlign w:val="center"/>
                </w:tcPr>
                <w:p w14:paraId="156BEF3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1</w:t>
                  </w:r>
                </w:p>
              </w:tc>
              <w:tc>
                <w:tcPr>
                  <w:tcW w:w="639" w:type="pct"/>
                  <w:tcBorders>
                    <w:tl2br w:val="nil"/>
                    <w:tr2bl w:val="nil"/>
                  </w:tcBorders>
                  <w:vAlign w:val="center"/>
                </w:tcPr>
                <w:p w14:paraId="1B7C7C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lang w:val="en-US" w:eastAsia="zh-CN"/>
                    </w:rPr>
                    <w:t>85</w:t>
                  </w:r>
                </w:p>
              </w:tc>
              <w:tc>
                <w:tcPr>
                  <w:tcW w:w="661" w:type="pct"/>
                  <w:tcBorders>
                    <w:tl2br w:val="nil"/>
                    <w:tr2bl w:val="nil"/>
                  </w:tcBorders>
                  <w:shd w:val="clear" w:color="auto" w:fill="auto"/>
                  <w:vAlign w:val="center"/>
                </w:tcPr>
                <w:p w14:paraId="7E811C6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szCs w:val="20"/>
                      <w:highlight w:val="none"/>
                      <w:shd w:val="clear" w:color="auto" w:fill="auto"/>
                    </w:rPr>
                  </w:pPr>
                  <w:r>
                    <w:rPr>
                      <w:rFonts w:hint="default" w:ascii="Times New Roman" w:hAnsi="Times New Roman" w:eastAsia="宋体" w:cs="Times New Roman"/>
                      <w:bCs/>
                      <w:color w:val="auto"/>
                      <w:szCs w:val="20"/>
                      <w:highlight w:val="none"/>
                      <w:shd w:val="clear" w:color="auto" w:fill="auto"/>
                    </w:rPr>
                    <w:t>减振</w:t>
                  </w:r>
                </w:p>
              </w:tc>
              <w:tc>
                <w:tcPr>
                  <w:tcW w:w="651" w:type="pct"/>
                  <w:tcBorders>
                    <w:tl2br w:val="nil"/>
                    <w:tr2bl w:val="nil"/>
                  </w:tcBorders>
                  <w:shd w:val="clear" w:color="auto" w:fill="auto"/>
                  <w:vAlign w:val="center"/>
                </w:tcPr>
                <w:p w14:paraId="03015A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szCs w:val="20"/>
                      <w:highlight w:val="none"/>
                      <w:shd w:val="clear" w:color="auto" w:fill="auto"/>
                    </w:rPr>
                  </w:pPr>
                  <w:r>
                    <w:rPr>
                      <w:rFonts w:hint="default" w:ascii="Times New Roman" w:hAnsi="Times New Roman" w:eastAsia="宋体" w:cs="Times New Roman"/>
                      <w:bCs/>
                      <w:color w:val="auto"/>
                      <w:sz w:val="21"/>
                      <w:szCs w:val="21"/>
                      <w:highlight w:val="none"/>
                      <w:shd w:val="clear" w:color="auto" w:fill="auto"/>
                      <w:lang w:val="en-US" w:eastAsia="zh-CN"/>
                    </w:rPr>
                    <w:t>20</w:t>
                  </w:r>
                </w:p>
              </w:tc>
              <w:tc>
                <w:tcPr>
                  <w:tcW w:w="649" w:type="pct"/>
                  <w:tcBorders>
                    <w:tl2br w:val="nil"/>
                    <w:tr2bl w:val="nil"/>
                  </w:tcBorders>
                  <w:shd w:val="clear" w:color="auto" w:fill="auto"/>
                  <w:vAlign w:val="center"/>
                </w:tcPr>
                <w:p w14:paraId="4522C4C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工作时</w:t>
                  </w:r>
                </w:p>
              </w:tc>
            </w:tr>
            <w:tr w14:paraId="75C3A2F2">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47" w:type="pct"/>
                  <w:tcBorders>
                    <w:tl2br w:val="nil"/>
                    <w:tr2bl w:val="nil"/>
                  </w:tcBorders>
                  <w:vAlign w:val="center"/>
                </w:tcPr>
                <w:p w14:paraId="5D1A9D08">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w:t>
                  </w:r>
                </w:p>
              </w:tc>
              <w:tc>
                <w:tcPr>
                  <w:tcW w:w="661" w:type="pct"/>
                  <w:tcBorders>
                    <w:tl2br w:val="nil"/>
                    <w:tr2bl w:val="nil"/>
                  </w:tcBorders>
                  <w:vAlign w:val="center"/>
                </w:tcPr>
                <w:p w14:paraId="1A8171A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风机2</w:t>
                  </w:r>
                </w:p>
              </w:tc>
              <w:tc>
                <w:tcPr>
                  <w:tcW w:w="305" w:type="pct"/>
                  <w:tcBorders>
                    <w:tl2br w:val="nil"/>
                    <w:tr2bl w:val="nil"/>
                  </w:tcBorders>
                  <w:shd w:val="clear" w:color="auto" w:fill="auto"/>
                  <w:vAlign w:val="center"/>
                </w:tcPr>
                <w:p w14:paraId="41957F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1</w:t>
                  </w:r>
                </w:p>
              </w:tc>
              <w:tc>
                <w:tcPr>
                  <w:tcW w:w="389" w:type="pct"/>
                  <w:tcBorders>
                    <w:tl2br w:val="nil"/>
                    <w:tr2bl w:val="nil"/>
                  </w:tcBorders>
                  <w:shd w:val="clear" w:color="auto" w:fill="auto"/>
                  <w:vAlign w:val="center"/>
                </w:tcPr>
                <w:p w14:paraId="782A0FA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7</w:t>
                  </w:r>
                  <w:r>
                    <w:rPr>
                      <w:rFonts w:hint="default" w:ascii="Times New Roman" w:hAnsi="Times New Roman" w:eastAsia="宋体" w:cs="Times New Roman"/>
                      <w:color w:val="auto"/>
                      <w:kern w:val="2"/>
                      <w:sz w:val="21"/>
                      <w:szCs w:val="24"/>
                      <w:highlight w:val="none"/>
                      <w:shd w:val="clear" w:color="auto" w:fill="auto"/>
                      <w:lang w:val="en-US" w:eastAsia="zh-CN" w:bidi="ar-SA"/>
                    </w:rPr>
                    <w:t>3</w:t>
                  </w:r>
                </w:p>
              </w:tc>
              <w:tc>
                <w:tcPr>
                  <w:tcW w:w="389" w:type="pct"/>
                  <w:tcBorders>
                    <w:tl2br w:val="nil"/>
                    <w:tr2bl w:val="nil"/>
                  </w:tcBorders>
                  <w:shd w:val="clear" w:color="auto" w:fill="auto"/>
                  <w:vAlign w:val="center"/>
                </w:tcPr>
                <w:p w14:paraId="0A4EC9A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10</w:t>
                  </w:r>
                </w:p>
              </w:tc>
              <w:tc>
                <w:tcPr>
                  <w:tcW w:w="405" w:type="pct"/>
                  <w:tcBorders>
                    <w:tl2br w:val="nil"/>
                    <w:tr2bl w:val="nil"/>
                  </w:tcBorders>
                  <w:shd w:val="clear" w:color="auto" w:fill="auto"/>
                  <w:vAlign w:val="center"/>
                </w:tcPr>
                <w:p w14:paraId="6B16191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1</w:t>
                  </w:r>
                </w:p>
              </w:tc>
              <w:tc>
                <w:tcPr>
                  <w:tcW w:w="639" w:type="pct"/>
                  <w:tcBorders>
                    <w:tl2br w:val="nil"/>
                    <w:tr2bl w:val="nil"/>
                  </w:tcBorders>
                  <w:shd w:val="clear" w:color="auto" w:fill="auto"/>
                  <w:vAlign w:val="center"/>
                </w:tcPr>
                <w:p w14:paraId="79164B6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lang w:val="en-US" w:eastAsia="zh-CN"/>
                    </w:rPr>
                    <w:t>85</w:t>
                  </w:r>
                </w:p>
              </w:tc>
              <w:tc>
                <w:tcPr>
                  <w:tcW w:w="661" w:type="pct"/>
                  <w:tcBorders>
                    <w:tl2br w:val="nil"/>
                    <w:tr2bl w:val="nil"/>
                  </w:tcBorders>
                  <w:shd w:val="clear" w:color="auto" w:fill="auto"/>
                  <w:vAlign w:val="center"/>
                </w:tcPr>
                <w:p w14:paraId="3536E08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0"/>
                      <w:highlight w:val="none"/>
                      <w:shd w:val="clear" w:color="auto" w:fill="auto"/>
                      <w:lang w:val="en-US" w:eastAsia="zh-CN" w:bidi="ar-SA"/>
                    </w:rPr>
                  </w:pPr>
                  <w:r>
                    <w:rPr>
                      <w:rFonts w:hint="default" w:ascii="Times New Roman" w:hAnsi="Times New Roman" w:eastAsia="宋体" w:cs="Times New Roman"/>
                      <w:bCs/>
                      <w:color w:val="auto"/>
                      <w:szCs w:val="20"/>
                      <w:highlight w:val="none"/>
                      <w:shd w:val="clear" w:color="auto" w:fill="auto"/>
                    </w:rPr>
                    <w:t>减振</w:t>
                  </w:r>
                </w:p>
              </w:tc>
              <w:tc>
                <w:tcPr>
                  <w:tcW w:w="651" w:type="pct"/>
                  <w:tcBorders>
                    <w:tl2br w:val="nil"/>
                    <w:tr2bl w:val="nil"/>
                  </w:tcBorders>
                  <w:shd w:val="clear" w:color="auto" w:fill="auto"/>
                  <w:vAlign w:val="center"/>
                </w:tcPr>
                <w:p w14:paraId="706C42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auto"/>
                      <w:kern w:val="2"/>
                      <w:sz w:val="21"/>
                      <w:szCs w:val="20"/>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lang w:val="en-US" w:eastAsia="zh-CN"/>
                    </w:rPr>
                    <w:t>20</w:t>
                  </w:r>
                </w:p>
              </w:tc>
              <w:tc>
                <w:tcPr>
                  <w:tcW w:w="649" w:type="pct"/>
                  <w:tcBorders>
                    <w:tl2br w:val="nil"/>
                    <w:tr2bl w:val="nil"/>
                  </w:tcBorders>
                  <w:shd w:val="clear" w:color="auto" w:fill="auto"/>
                  <w:vAlign w:val="center"/>
                </w:tcPr>
                <w:p w14:paraId="5F23695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lang w:val="en-US" w:eastAsia="zh-CN"/>
                    </w:rPr>
                    <w:t>工作时</w:t>
                  </w:r>
                </w:p>
              </w:tc>
            </w:tr>
          </w:tbl>
          <w:p w14:paraId="3A40DC1B">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注：表4-</w:t>
            </w:r>
            <w:r>
              <w:rPr>
                <w:rFonts w:hint="eastAsia" w:ascii="Times New Roman" w:hAnsi="Times New Roman" w:eastAsia="宋体" w:cs="Times New Roman"/>
                <w:b/>
                <w:bCs/>
                <w:color w:val="auto"/>
                <w:sz w:val="21"/>
                <w:szCs w:val="21"/>
                <w:highlight w:val="none"/>
                <w:shd w:val="clear" w:color="auto" w:fill="auto"/>
                <w:lang w:val="en-US" w:eastAsia="zh-CN"/>
              </w:rPr>
              <w:t>19</w:t>
            </w:r>
            <w:r>
              <w:rPr>
                <w:rFonts w:hint="default" w:ascii="Times New Roman" w:hAnsi="Times New Roman" w:eastAsia="宋体" w:cs="Times New Roman"/>
                <w:b/>
                <w:bCs/>
                <w:color w:val="auto"/>
                <w:sz w:val="21"/>
                <w:szCs w:val="21"/>
                <w:highlight w:val="none"/>
                <w:shd w:val="clear" w:color="auto" w:fill="auto"/>
                <w:lang w:val="en-US" w:eastAsia="zh-CN"/>
              </w:rPr>
              <w:t>及表4-2</w:t>
            </w:r>
            <w:r>
              <w:rPr>
                <w:rFonts w:hint="eastAsia" w:ascii="Times New Roman" w:hAnsi="Times New Roman" w:eastAsia="宋体" w:cs="Times New Roman"/>
                <w:b/>
                <w:bCs/>
                <w:color w:val="auto"/>
                <w:sz w:val="21"/>
                <w:szCs w:val="21"/>
                <w:highlight w:val="none"/>
                <w:shd w:val="clear" w:color="auto" w:fill="auto"/>
                <w:lang w:val="en-US" w:eastAsia="zh-CN"/>
              </w:rPr>
              <w:t>0</w:t>
            </w:r>
            <w:r>
              <w:rPr>
                <w:rFonts w:hint="default" w:ascii="Times New Roman" w:hAnsi="Times New Roman" w:eastAsia="宋体" w:cs="Times New Roman"/>
                <w:b/>
                <w:bCs/>
                <w:color w:val="auto"/>
                <w:sz w:val="21"/>
                <w:szCs w:val="21"/>
                <w:highlight w:val="none"/>
                <w:shd w:val="clear" w:color="auto" w:fill="auto"/>
                <w:lang w:val="en-US" w:eastAsia="zh-CN"/>
              </w:rPr>
              <w:t>中空间相对坐标以车间西南角为原点（0，0，0），东西方向为X轴，南北方向为Y轴，垂直方向为Z轴。</w:t>
            </w:r>
          </w:p>
          <w:p w14:paraId="781F05AF">
            <w:pPr>
              <w:spacing w:line="360" w:lineRule="auto"/>
              <w:jc w:val="center"/>
              <w:rPr>
                <w:rFonts w:hint="default" w:ascii="Times New Roman" w:hAnsi="Times New Roman" w:eastAsia="宋体" w:cs="Times New Roman"/>
                <w:color w:val="auto"/>
                <w:sz w:val="24"/>
                <w:highlight w:val="none"/>
                <w:shd w:val="clear" w:color="auto" w:fill="auto"/>
              </w:rPr>
            </w:pPr>
          </w:p>
        </w:tc>
      </w:tr>
    </w:tbl>
    <w:p w14:paraId="19B939D8">
      <w:pPr>
        <w:rPr>
          <w:rFonts w:hint="default" w:ascii="Times New Roman" w:hAnsi="Times New Roman" w:eastAsia="宋体" w:cs="Times New Roman"/>
          <w:color w:val="auto"/>
          <w:highlight w:val="none"/>
          <w:shd w:val="clear" w:color="auto" w:fill="auto"/>
        </w:rPr>
        <w:sectPr>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564"/>
      </w:tblGrid>
      <w:tr w14:paraId="0266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8" w:type="pct"/>
            <w:vAlign w:val="center"/>
          </w:tcPr>
          <w:p w14:paraId="185984DA">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运营期环境影响和保护措施</w:t>
            </w:r>
          </w:p>
        </w:tc>
        <w:tc>
          <w:tcPr>
            <w:tcW w:w="4611" w:type="pct"/>
          </w:tcPr>
          <w:p w14:paraId="463231FA">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2、降噪措施</w:t>
            </w:r>
          </w:p>
          <w:p w14:paraId="6E38C45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①企业在选购设备时购置符合国家颁布的各类机械噪声标准的低噪声设备，保证运行时能符合工业企业车间噪声卫生标准，同时能保证达到厂界噪声控制值。</w:t>
            </w:r>
          </w:p>
          <w:p w14:paraId="349BA6E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②针对较大的设备噪声源，可通过设备安装减振座、加设减振垫等方式来进行减振处理。</w:t>
            </w:r>
          </w:p>
          <w:p w14:paraId="3BEEC3B4">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③对产生的机械撞击性噪声采用性能好的隔声门窗将噪声封隔起来，以减少噪声的传播，将操作人员与噪声源分离开等。</w:t>
            </w:r>
          </w:p>
          <w:p w14:paraId="111BBD20">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④在噪声传播途径上采取措施加以控制，</w:t>
            </w:r>
            <w:r>
              <w:rPr>
                <w:rFonts w:hint="default" w:ascii="Times New Roman" w:hAnsi="Times New Roman" w:eastAsia="宋体" w:cs="Times New Roman"/>
                <w:color w:val="auto"/>
                <w:sz w:val="24"/>
                <w:highlight w:val="none"/>
                <w:shd w:val="clear" w:color="auto" w:fill="auto"/>
                <w:lang w:eastAsia="zh-CN"/>
              </w:rPr>
              <w:t>加强</w:t>
            </w:r>
            <w:r>
              <w:rPr>
                <w:rFonts w:hint="default" w:ascii="Times New Roman" w:hAnsi="Times New Roman" w:eastAsia="宋体" w:cs="Times New Roman"/>
                <w:color w:val="auto"/>
                <w:sz w:val="24"/>
                <w:highlight w:val="none"/>
                <w:shd w:val="clear" w:color="auto" w:fill="auto"/>
              </w:rPr>
              <w:t>噪声源车间的建筑围护结构均以封闭为主，同时采取车间外及厂界的绿化，利用建筑物与树木阻隔声音的传播。</w:t>
            </w:r>
          </w:p>
          <w:p w14:paraId="5C9D76D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⑤保持设备处于良好的运转状态，防止因设备运转不正常而增大噪声，要经常进行保养，加润滑油，减少摩擦力，降低噪声。</w:t>
            </w:r>
          </w:p>
          <w:p w14:paraId="30ECE1FC">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3、预测排放强度、达标情况分析</w:t>
            </w:r>
          </w:p>
          <w:p w14:paraId="599F7187">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lang w:val="en-US" w:eastAsia="zh-CN"/>
              </w:rPr>
              <w:t>本项目生产制度为一班制，夜间不生产，</w:t>
            </w:r>
            <w:r>
              <w:rPr>
                <w:rFonts w:hint="eastAsia" w:ascii="Times New Roman" w:hAnsi="Times New Roman" w:eastAsia="宋体" w:cs="Times New Roman"/>
                <w:color w:val="auto"/>
                <w:sz w:val="24"/>
                <w:highlight w:val="none"/>
                <w:lang w:val="en-US" w:eastAsia="zh-CN"/>
              </w:rPr>
              <w:t>本次将距离本项</w:t>
            </w:r>
            <w:r>
              <w:rPr>
                <w:rFonts w:hint="default" w:ascii="Times New Roman" w:hAnsi="Times New Roman" w:eastAsia="宋体" w:cs="Times New Roman"/>
                <w:color w:val="auto"/>
                <w:sz w:val="24"/>
                <w:szCs w:val="24"/>
                <w:highlight w:val="none"/>
              </w:rPr>
              <w:t>目</w:t>
            </w:r>
            <w:r>
              <w:rPr>
                <w:rFonts w:hint="eastAsia" w:ascii="Times New Roman" w:hAnsi="Times New Roman" w:eastAsia="宋体" w:cs="Times New Roman"/>
                <w:color w:val="auto"/>
                <w:sz w:val="24"/>
                <w:szCs w:val="24"/>
                <w:highlight w:val="none"/>
                <w:lang w:val="en-US" w:eastAsia="zh-CN"/>
              </w:rPr>
              <w:t>最近的</w:t>
            </w:r>
            <w:r>
              <w:rPr>
                <w:rFonts w:hint="default" w:ascii="Times New Roman" w:hAnsi="Times New Roman" w:eastAsia="宋体" w:cs="Times New Roman"/>
                <w:color w:val="auto"/>
                <w:sz w:val="24"/>
                <w:szCs w:val="24"/>
                <w:highlight w:val="none"/>
              </w:rPr>
              <w:t>敏感点</w:t>
            </w:r>
            <w:r>
              <w:rPr>
                <w:rFonts w:hint="eastAsia" w:ascii="Times New Roman" w:hAnsi="Times New Roman" w:eastAsia="宋体" w:cs="Times New Roman"/>
                <w:color w:val="auto"/>
                <w:sz w:val="24"/>
                <w:szCs w:val="24"/>
                <w:highlight w:val="none"/>
                <w:lang w:val="en-US" w:eastAsia="zh-CN"/>
              </w:rPr>
              <w:t>为东南侧117m处的散户纳入预测</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shd w:val="clear" w:color="auto" w:fill="auto"/>
                <w:lang w:val="en-US" w:eastAsia="zh-CN"/>
              </w:rPr>
              <w:t>本次评价对东、南、西、北厂界</w:t>
            </w:r>
            <w:r>
              <w:rPr>
                <w:rFonts w:hint="eastAsia" w:ascii="Times New Roman" w:hAnsi="Times New Roman" w:eastAsia="宋体" w:cs="Times New Roman"/>
                <w:color w:val="auto"/>
                <w:sz w:val="24"/>
                <w:highlight w:val="none"/>
                <w:shd w:val="clear" w:color="auto" w:fill="auto"/>
                <w:lang w:val="en-US" w:eastAsia="zh-CN"/>
              </w:rPr>
              <w:t>及散户</w:t>
            </w:r>
            <w:r>
              <w:rPr>
                <w:rFonts w:hint="default" w:ascii="Times New Roman" w:hAnsi="Times New Roman" w:eastAsia="宋体" w:cs="Times New Roman"/>
                <w:color w:val="auto"/>
                <w:sz w:val="24"/>
                <w:highlight w:val="none"/>
                <w:shd w:val="clear" w:color="auto" w:fill="auto"/>
                <w:lang w:val="en-US" w:eastAsia="zh-CN"/>
              </w:rPr>
              <w:t>进行昼间噪声的影响预测。</w:t>
            </w:r>
            <w:r>
              <w:rPr>
                <w:rFonts w:hint="default" w:ascii="Times New Roman" w:hAnsi="Times New Roman" w:eastAsia="宋体" w:cs="Times New Roman"/>
                <w:color w:val="auto"/>
                <w:sz w:val="24"/>
                <w:highlight w:val="none"/>
                <w:shd w:val="clear" w:color="auto" w:fill="auto"/>
              </w:rPr>
              <w:t>根据企业提供的噪声设备分布情况，</w:t>
            </w:r>
            <w:r>
              <w:rPr>
                <w:rFonts w:hint="default" w:ascii="Times New Roman" w:hAnsi="Times New Roman" w:eastAsia="宋体" w:cs="Times New Roman"/>
                <w:color w:val="auto"/>
                <w:sz w:val="24"/>
                <w:highlight w:val="none"/>
                <w:shd w:val="clear" w:color="auto" w:fill="auto"/>
                <w:lang w:val="en-US" w:eastAsia="zh-CN"/>
              </w:rPr>
              <w:t>噪声源对厂界噪声的影响预测结果见下表。</w:t>
            </w:r>
          </w:p>
          <w:p w14:paraId="0E01358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4"/>
                <w:szCs w:val="24"/>
                <w:highlight w:val="none"/>
                <w:shd w:val="clear" w:color="auto" w:fill="auto"/>
                <w:lang w:val="en-US" w:eastAsia="zh-CN"/>
              </w:rPr>
            </w:pPr>
            <w:r>
              <w:rPr>
                <w:rFonts w:hint="default" w:ascii="Times New Roman" w:hAnsi="Times New Roman" w:eastAsia="宋体" w:cs="Times New Roman"/>
                <w:b/>
                <w:bCs/>
                <w:color w:val="auto"/>
                <w:sz w:val="24"/>
                <w:szCs w:val="24"/>
                <w:highlight w:val="none"/>
                <w:shd w:val="clear" w:color="auto" w:fill="auto"/>
                <w:lang w:val="en-US" w:eastAsia="zh-CN"/>
              </w:rPr>
              <w:t>表4-</w:t>
            </w:r>
            <w:r>
              <w:rPr>
                <w:rFonts w:hint="eastAsia" w:ascii="Times New Roman" w:hAnsi="Times New Roman" w:eastAsia="宋体" w:cs="Times New Roman"/>
                <w:b/>
                <w:bCs/>
                <w:color w:val="auto"/>
                <w:sz w:val="24"/>
                <w:szCs w:val="24"/>
                <w:highlight w:val="none"/>
                <w:shd w:val="clear" w:color="auto" w:fill="auto"/>
                <w:lang w:val="en-US" w:eastAsia="zh-CN"/>
              </w:rPr>
              <w:t>21</w:t>
            </w:r>
            <w:r>
              <w:rPr>
                <w:rFonts w:hint="default" w:ascii="Times New Roman" w:hAnsi="Times New Roman" w:eastAsia="宋体" w:cs="Times New Roman"/>
                <w:b/>
                <w:bCs/>
                <w:color w:val="auto"/>
                <w:sz w:val="24"/>
                <w:szCs w:val="24"/>
                <w:highlight w:val="none"/>
                <w:shd w:val="clear" w:color="auto" w:fill="auto"/>
                <w:lang w:val="en-US" w:eastAsia="zh-CN"/>
              </w:rPr>
              <w:t xml:space="preserve">  本项目各厂界昼间噪声预测结果dB（A）</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4"/>
              <w:gridCol w:w="2087"/>
              <w:gridCol w:w="2087"/>
            </w:tblGrid>
            <w:tr w14:paraId="680A7D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174" w:type="dxa"/>
                  <w:vMerge w:val="restart"/>
                  <w:tcBorders>
                    <w:tl2br w:val="nil"/>
                    <w:tr2bl w:val="nil"/>
                  </w:tcBorders>
                  <w:vAlign w:val="center"/>
                </w:tcPr>
                <w:p w14:paraId="16987B52">
                  <w:pPr>
                    <w:jc w:val="center"/>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color w:val="auto"/>
                      <w:szCs w:val="21"/>
                      <w:highlight w:val="none"/>
                      <w:shd w:val="clear" w:color="auto" w:fill="auto"/>
                    </w:rPr>
                    <w:t>目标</w:t>
                  </w:r>
                </w:p>
              </w:tc>
              <w:tc>
                <w:tcPr>
                  <w:tcW w:w="2087" w:type="dxa"/>
                  <w:tcBorders>
                    <w:tl2br w:val="nil"/>
                    <w:tr2bl w:val="nil"/>
                  </w:tcBorders>
                  <w:vAlign w:val="center"/>
                </w:tcPr>
                <w:p w14:paraId="3D0026E7">
                  <w:pPr>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lang w:val="en-US" w:eastAsia="zh-CN"/>
                    </w:rPr>
                    <w:t>噪声</w:t>
                  </w:r>
                  <w:r>
                    <w:rPr>
                      <w:rFonts w:hint="default" w:ascii="Times New Roman" w:hAnsi="Times New Roman" w:eastAsia="宋体" w:cs="Times New Roman"/>
                      <w:b/>
                      <w:color w:val="auto"/>
                      <w:szCs w:val="21"/>
                      <w:highlight w:val="none"/>
                      <w:shd w:val="clear" w:color="auto" w:fill="auto"/>
                    </w:rPr>
                    <w:t>贡献值</w:t>
                  </w:r>
                </w:p>
              </w:tc>
              <w:tc>
                <w:tcPr>
                  <w:tcW w:w="2087" w:type="dxa"/>
                  <w:tcBorders>
                    <w:tl2br w:val="nil"/>
                    <w:tr2bl w:val="nil"/>
                  </w:tcBorders>
                  <w:vAlign w:val="center"/>
                </w:tcPr>
                <w:p w14:paraId="289F6838">
                  <w:pPr>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标准</w:t>
                  </w:r>
                </w:p>
              </w:tc>
            </w:tr>
            <w:tr w14:paraId="05965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174" w:type="dxa"/>
                  <w:vMerge w:val="continue"/>
                  <w:tcBorders>
                    <w:tl2br w:val="nil"/>
                    <w:tr2bl w:val="nil"/>
                  </w:tcBorders>
                  <w:vAlign w:val="center"/>
                </w:tcPr>
                <w:p w14:paraId="12D54F59">
                  <w:pPr>
                    <w:jc w:val="center"/>
                    <w:rPr>
                      <w:rFonts w:hint="default" w:ascii="Times New Roman" w:hAnsi="Times New Roman" w:eastAsia="宋体" w:cs="Times New Roman"/>
                      <w:color w:val="auto"/>
                      <w:shd w:val="clear" w:color="auto" w:fill="auto"/>
                    </w:rPr>
                  </w:pPr>
                </w:p>
              </w:tc>
              <w:tc>
                <w:tcPr>
                  <w:tcW w:w="2087" w:type="dxa"/>
                  <w:tcBorders>
                    <w:tl2br w:val="nil"/>
                    <w:tr2bl w:val="nil"/>
                  </w:tcBorders>
                  <w:vAlign w:val="center"/>
                </w:tcPr>
                <w:p w14:paraId="2F85BB49">
                  <w:pPr>
                    <w:jc w:val="center"/>
                    <w:rPr>
                      <w:rFonts w:hint="default" w:ascii="Times New Roman" w:hAnsi="Times New Roman" w:eastAsia="宋体" w:cs="Times New Roman"/>
                      <w:color w:val="auto"/>
                      <w:shd w:val="clear" w:color="auto" w:fill="auto"/>
                    </w:rPr>
                  </w:pPr>
                  <w:r>
                    <w:rPr>
                      <w:rFonts w:hint="default" w:ascii="Times New Roman" w:hAnsi="Times New Roman" w:eastAsia="宋体" w:cs="Times New Roman"/>
                      <w:b/>
                      <w:color w:val="auto"/>
                      <w:szCs w:val="21"/>
                      <w:highlight w:val="none"/>
                      <w:shd w:val="clear" w:color="auto" w:fill="auto"/>
                    </w:rPr>
                    <w:t>昼间</w:t>
                  </w:r>
                </w:p>
              </w:tc>
              <w:tc>
                <w:tcPr>
                  <w:tcW w:w="2087" w:type="dxa"/>
                  <w:tcBorders>
                    <w:tl2br w:val="nil"/>
                    <w:tr2bl w:val="nil"/>
                  </w:tcBorders>
                  <w:shd w:val="clear" w:color="auto" w:fill="auto"/>
                  <w:vAlign w:val="center"/>
                </w:tcPr>
                <w:p w14:paraId="53A0EB5F">
                  <w:pPr>
                    <w:jc w:val="center"/>
                    <w:rPr>
                      <w:rFonts w:hint="default" w:ascii="Times New Roman" w:hAnsi="Times New Roman" w:eastAsia="宋体" w:cs="Times New Roman"/>
                      <w:b/>
                      <w:color w:val="auto"/>
                      <w:kern w:val="2"/>
                      <w:sz w:val="21"/>
                      <w:szCs w:val="21"/>
                      <w:highlight w:val="none"/>
                      <w:shd w:val="clear" w:color="auto" w:fill="auto"/>
                      <w:lang w:val="en-US" w:eastAsia="zh-CN" w:bidi="ar-SA"/>
                    </w:rPr>
                  </w:pPr>
                  <w:r>
                    <w:rPr>
                      <w:rFonts w:hint="default" w:ascii="Times New Roman" w:hAnsi="Times New Roman" w:eastAsia="宋体" w:cs="Times New Roman"/>
                      <w:b/>
                      <w:color w:val="auto"/>
                      <w:szCs w:val="21"/>
                      <w:highlight w:val="none"/>
                      <w:shd w:val="clear" w:color="auto" w:fill="auto"/>
                    </w:rPr>
                    <w:t>昼间</w:t>
                  </w:r>
                </w:p>
              </w:tc>
            </w:tr>
            <w:tr w14:paraId="7321D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Borders>
                    <w:tl2br w:val="nil"/>
                    <w:tr2bl w:val="nil"/>
                  </w:tcBorders>
                  <w:vAlign w:val="center"/>
                </w:tcPr>
                <w:p w14:paraId="16148E57">
                  <w:pPr>
                    <w:spacing w:line="300" w:lineRule="exact"/>
                    <w:jc w:val="center"/>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Cs/>
                      <w:color w:val="auto"/>
                      <w:szCs w:val="21"/>
                      <w:highlight w:val="none"/>
                      <w:shd w:val="clear" w:color="auto" w:fill="auto"/>
                    </w:rPr>
                    <w:t>东厂界</w:t>
                  </w:r>
                </w:p>
              </w:tc>
              <w:tc>
                <w:tcPr>
                  <w:tcW w:w="2087" w:type="dxa"/>
                  <w:tcBorders>
                    <w:tl2br w:val="nil"/>
                    <w:tr2bl w:val="nil"/>
                  </w:tcBorders>
                  <w:vAlign w:val="bottom"/>
                </w:tcPr>
                <w:p w14:paraId="392A6215">
                  <w:pPr>
                    <w:keepNext w:val="0"/>
                    <w:keepLines w:val="0"/>
                    <w:widowControl/>
                    <w:suppressLineNumbers w:val="0"/>
                    <w:jc w:val="center"/>
                    <w:textAlignment w:val="bottom"/>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default" w:ascii="Times New Roman" w:hAnsi="Times New Roman" w:eastAsia="宋体" w:cs="Times New Roman"/>
                      <w:i w:val="0"/>
                      <w:iCs w:val="0"/>
                      <w:color w:val="auto"/>
                      <w:kern w:val="0"/>
                      <w:sz w:val="21"/>
                      <w:szCs w:val="21"/>
                      <w:u w:val="none"/>
                      <w:shd w:val="clear" w:color="auto" w:fill="auto"/>
                      <w:lang w:val="en-US" w:eastAsia="zh-CN" w:bidi="ar"/>
                    </w:rPr>
                    <w:t>49.</w:t>
                  </w:r>
                  <w:r>
                    <w:rPr>
                      <w:rFonts w:hint="eastAsia" w:ascii="Times New Roman" w:hAnsi="Times New Roman" w:eastAsia="宋体" w:cs="Times New Roman"/>
                      <w:i w:val="0"/>
                      <w:iCs w:val="0"/>
                      <w:color w:val="auto"/>
                      <w:kern w:val="0"/>
                      <w:sz w:val="21"/>
                      <w:szCs w:val="21"/>
                      <w:u w:val="none"/>
                      <w:shd w:val="clear" w:color="auto" w:fill="auto"/>
                      <w:lang w:val="en-US" w:eastAsia="zh-CN" w:bidi="ar"/>
                    </w:rPr>
                    <w:t>95</w:t>
                  </w:r>
                </w:p>
              </w:tc>
              <w:tc>
                <w:tcPr>
                  <w:tcW w:w="2087" w:type="dxa"/>
                  <w:tcBorders>
                    <w:tl2br w:val="nil"/>
                    <w:tr2bl w:val="nil"/>
                  </w:tcBorders>
                  <w:vAlign w:val="center"/>
                </w:tcPr>
                <w:p w14:paraId="3963EAD4">
                  <w:pPr>
                    <w:pStyle w:val="6"/>
                    <w:jc w:val="center"/>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t>6</w:t>
                  </w:r>
                  <w:r>
                    <w:rPr>
                      <w:rFonts w:hint="eastAsia" w:ascii="Times New Roman" w:hAnsi="Times New Roman" w:cs="Times New Roman"/>
                      <w:b w:val="0"/>
                      <w:bCs w:val="0"/>
                      <w:color w:val="auto"/>
                      <w:sz w:val="21"/>
                      <w:szCs w:val="21"/>
                      <w:highlight w:val="none"/>
                      <w:shd w:val="clear" w:color="auto" w:fill="auto"/>
                      <w:vertAlign w:val="baseline"/>
                      <w:lang w:val="en-US" w:eastAsia="zh-CN"/>
                    </w:rPr>
                    <w:t>0</w:t>
                  </w:r>
                </w:p>
              </w:tc>
            </w:tr>
            <w:tr w14:paraId="1192F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Borders>
                    <w:tl2br w:val="nil"/>
                    <w:tr2bl w:val="nil"/>
                  </w:tcBorders>
                  <w:vAlign w:val="center"/>
                </w:tcPr>
                <w:p w14:paraId="2D94C896">
                  <w:pPr>
                    <w:spacing w:line="300" w:lineRule="exact"/>
                    <w:jc w:val="center"/>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Cs/>
                      <w:color w:val="auto"/>
                      <w:szCs w:val="21"/>
                      <w:highlight w:val="none"/>
                      <w:shd w:val="clear" w:color="auto" w:fill="auto"/>
                    </w:rPr>
                    <w:t>南厂界</w:t>
                  </w:r>
                </w:p>
              </w:tc>
              <w:tc>
                <w:tcPr>
                  <w:tcW w:w="2087" w:type="dxa"/>
                  <w:tcBorders>
                    <w:tl2br w:val="nil"/>
                    <w:tr2bl w:val="nil"/>
                  </w:tcBorders>
                  <w:vAlign w:val="bottom"/>
                </w:tcPr>
                <w:p w14:paraId="08883449">
                  <w:pPr>
                    <w:keepNext w:val="0"/>
                    <w:keepLines w:val="0"/>
                    <w:widowControl/>
                    <w:suppressLineNumbers w:val="0"/>
                    <w:jc w:val="center"/>
                    <w:textAlignment w:val="bottom"/>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ascii="Times New Roman" w:hAnsi="Times New Roman" w:eastAsia="宋体" w:cs="Times New Roman"/>
                      <w:i w:val="0"/>
                      <w:iCs w:val="0"/>
                      <w:color w:val="auto"/>
                      <w:kern w:val="0"/>
                      <w:sz w:val="21"/>
                      <w:szCs w:val="21"/>
                      <w:u w:val="none"/>
                      <w:shd w:val="clear" w:color="auto" w:fill="auto"/>
                      <w:lang w:val="en-US" w:eastAsia="zh-CN" w:bidi="ar"/>
                    </w:rPr>
                    <w:t>53.23</w:t>
                  </w:r>
                </w:p>
              </w:tc>
              <w:tc>
                <w:tcPr>
                  <w:tcW w:w="2087" w:type="dxa"/>
                  <w:tcBorders>
                    <w:tl2br w:val="nil"/>
                    <w:tr2bl w:val="nil"/>
                  </w:tcBorders>
                  <w:vAlign w:val="center"/>
                </w:tcPr>
                <w:p w14:paraId="06D325E0">
                  <w:pPr>
                    <w:jc w:val="center"/>
                    <w:outlineLvl w:val="2"/>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ascii="Times New Roman" w:hAnsi="Times New Roman" w:eastAsia="宋体" w:cs="Times New Roman"/>
                      <w:b w:val="0"/>
                      <w:bCs w:val="0"/>
                      <w:color w:val="auto"/>
                      <w:sz w:val="21"/>
                      <w:szCs w:val="21"/>
                      <w:highlight w:val="none"/>
                      <w:shd w:val="clear" w:color="auto" w:fill="auto"/>
                      <w:vertAlign w:val="baseline"/>
                      <w:lang w:val="en-US" w:eastAsia="zh-CN"/>
                    </w:rPr>
                    <w:t>60</w:t>
                  </w:r>
                </w:p>
              </w:tc>
            </w:tr>
            <w:tr w14:paraId="1192F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Borders>
                    <w:tl2br w:val="nil"/>
                    <w:tr2bl w:val="nil"/>
                  </w:tcBorders>
                  <w:vAlign w:val="center"/>
                </w:tcPr>
                <w:p w14:paraId="79338A6E">
                  <w:pPr>
                    <w:spacing w:line="300" w:lineRule="exact"/>
                    <w:jc w:val="center"/>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Cs/>
                      <w:color w:val="auto"/>
                      <w:szCs w:val="21"/>
                      <w:highlight w:val="none"/>
                      <w:shd w:val="clear" w:color="auto" w:fill="auto"/>
                    </w:rPr>
                    <w:t>西厂界</w:t>
                  </w:r>
                </w:p>
              </w:tc>
              <w:tc>
                <w:tcPr>
                  <w:tcW w:w="2087" w:type="dxa"/>
                  <w:tcBorders>
                    <w:tl2br w:val="nil"/>
                    <w:tr2bl w:val="nil"/>
                  </w:tcBorders>
                  <w:vAlign w:val="bottom"/>
                </w:tcPr>
                <w:p w14:paraId="15B975B9">
                  <w:pPr>
                    <w:keepNext w:val="0"/>
                    <w:keepLines w:val="0"/>
                    <w:widowControl/>
                    <w:suppressLineNumbers w:val="0"/>
                    <w:jc w:val="center"/>
                    <w:textAlignment w:val="bottom"/>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ascii="Times New Roman" w:hAnsi="Times New Roman" w:eastAsia="宋体" w:cs="Times New Roman"/>
                      <w:i w:val="0"/>
                      <w:iCs w:val="0"/>
                      <w:color w:val="auto"/>
                      <w:kern w:val="0"/>
                      <w:sz w:val="21"/>
                      <w:szCs w:val="21"/>
                      <w:u w:val="none"/>
                      <w:shd w:val="clear" w:color="auto" w:fill="auto"/>
                      <w:lang w:val="en-US" w:eastAsia="zh-CN" w:bidi="ar"/>
                    </w:rPr>
                    <w:t>50.54</w:t>
                  </w:r>
                </w:p>
              </w:tc>
              <w:tc>
                <w:tcPr>
                  <w:tcW w:w="2087" w:type="dxa"/>
                  <w:tcBorders>
                    <w:tl2br w:val="nil"/>
                    <w:tr2bl w:val="nil"/>
                  </w:tcBorders>
                  <w:vAlign w:val="center"/>
                </w:tcPr>
                <w:p w14:paraId="36B3EEEE">
                  <w:pPr>
                    <w:jc w:val="center"/>
                    <w:outlineLvl w:val="2"/>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t>6</w:t>
                  </w:r>
                  <w:r>
                    <w:rPr>
                      <w:rFonts w:hint="eastAsia" w:ascii="Times New Roman" w:hAnsi="Times New Roman" w:eastAsia="宋体" w:cs="Times New Roman"/>
                      <w:b w:val="0"/>
                      <w:bCs w:val="0"/>
                      <w:color w:val="auto"/>
                      <w:sz w:val="21"/>
                      <w:szCs w:val="21"/>
                      <w:highlight w:val="none"/>
                      <w:shd w:val="clear" w:color="auto" w:fill="auto"/>
                      <w:vertAlign w:val="baseline"/>
                      <w:lang w:val="en-US" w:eastAsia="zh-CN"/>
                    </w:rPr>
                    <w:t>0</w:t>
                  </w:r>
                </w:p>
              </w:tc>
            </w:tr>
            <w:tr w14:paraId="5AE2B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Borders>
                    <w:tl2br w:val="nil"/>
                    <w:tr2bl w:val="nil"/>
                  </w:tcBorders>
                  <w:vAlign w:val="center"/>
                </w:tcPr>
                <w:p w14:paraId="247A370C">
                  <w:pPr>
                    <w:spacing w:line="300" w:lineRule="exact"/>
                    <w:jc w:val="center"/>
                    <w:rPr>
                      <w:rFonts w:hint="default"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Cs/>
                      <w:color w:val="auto"/>
                      <w:szCs w:val="21"/>
                      <w:highlight w:val="none"/>
                      <w:shd w:val="clear" w:color="auto" w:fill="auto"/>
                    </w:rPr>
                    <w:t>北厂界</w:t>
                  </w:r>
                </w:p>
              </w:tc>
              <w:tc>
                <w:tcPr>
                  <w:tcW w:w="2087" w:type="dxa"/>
                  <w:tcBorders>
                    <w:tl2br w:val="nil"/>
                    <w:tr2bl w:val="nil"/>
                  </w:tcBorders>
                  <w:vAlign w:val="bottom"/>
                </w:tcPr>
                <w:p w14:paraId="70B2F867">
                  <w:pPr>
                    <w:keepNext w:val="0"/>
                    <w:keepLines w:val="0"/>
                    <w:widowControl/>
                    <w:suppressLineNumbers w:val="0"/>
                    <w:jc w:val="center"/>
                    <w:textAlignment w:val="bottom"/>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ascii="Times New Roman" w:hAnsi="Times New Roman" w:eastAsia="宋体" w:cs="Times New Roman"/>
                      <w:i w:val="0"/>
                      <w:iCs w:val="0"/>
                      <w:color w:val="auto"/>
                      <w:kern w:val="0"/>
                      <w:sz w:val="21"/>
                      <w:szCs w:val="21"/>
                      <w:u w:val="none"/>
                      <w:shd w:val="clear" w:color="auto" w:fill="auto"/>
                      <w:lang w:val="en-US" w:eastAsia="zh-CN" w:bidi="ar"/>
                    </w:rPr>
                    <w:t>51.89</w:t>
                  </w:r>
                </w:p>
              </w:tc>
              <w:tc>
                <w:tcPr>
                  <w:tcW w:w="2087" w:type="dxa"/>
                  <w:tcBorders>
                    <w:tl2br w:val="nil"/>
                    <w:tr2bl w:val="nil"/>
                  </w:tcBorders>
                  <w:vAlign w:val="center"/>
                </w:tcPr>
                <w:p w14:paraId="5D8021A0">
                  <w:pPr>
                    <w:jc w:val="center"/>
                    <w:outlineLvl w:val="2"/>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t>6</w:t>
                  </w:r>
                  <w:r>
                    <w:rPr>
                      <w:rFonts w:hint="eastAsia" w:ascii="Times New Roman" w:hAnsi="Times New Roman" w:eastAsia="宋体" w:cs="Times New Roman"/>
                      <w:b w:val="0"/>
                      <w:bCs w:val="0"/>
                      <w:color w:val="auto"/>
                      <w:sz w:val="21"/>
                      <w:szCs w:val="21"/>
                      <w:highlight w:val="none"/>
                      <w:shd w:val="clear" w:color="auto" w:fill="auto"/>
                      <w:vertAlign w:val="baseline"/>
                      <w:lang w:val="en-US" w:eastAsia="zh-CN"/>
                    </w:rPr>
                    <w:t>0</w:t>
                  </w:r>
                </w:p>
              </w:tc>
            </w:tr>
            <w:tr w14:paraId="2E54B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Borders>
                    <w:tl2br w:val="nil"/>
                    <w:tr2bl w:val="nil"/>
                  </w:tcBorders>
                  <w:vAlign w:val="center"/>
                </w:tcPr>
                <w:p w14:paraId="48FE1CE1">
                  <w:pPr>
                    <w:spacing w:line="300" w:lineRule="exact"/>
                    <w:jc w:val="center"/>
                    <w:rPr>
                      <w:rFonts w:hint="eastAsia" w:ascii="Times New Roman" w:hAnsi="Times New Roman" w:eastAsia="宋体" w:cs="Times New Roman"/>
                      <w:bCs/>
                      <w:color w:val="auto"/>
                      <w:szCs w:val="21"/>
                      <w:highlight w:val="none"/>
                      <w:shd w:val="clear" w:color="auto" w:fill="auto"/>
                      <w:lang w:val="en-US" w:eastAsia="zh-CN"/>
                    </w:rPr>
                  </w:pPr>
                  <w:r>
                    <w:rPr>
                      <w:rFonts w:hint="eastAsia" w:ascii="Times New Roman" w:hAnsi="Times New Roman" w:eastAsia="宋体" w:cs="Times New Roman"/>
                      <w:bCs/>
                      <w:color w:val="auto"/>
                      <w:szCs w:val="21"/>
                      <w:highlight w:val="none"/>
                      <w:shd w:val="clear" w:color="auto" w:fill="auto"/>
                      <w:lang w:val="en-US" w:eastAsia="zh-CN"/>
                    </w:rPr>
                    <w:t>散户</w:t>
                  </w:r>
                </w:p>
              </w:tc>
              <w:tc>
                <w:tcPr>
                  <w:tcW w:w="2087" w:type="dxa"/>
                  <w:tcBorders>
                    <w:tl2br w:val="nil"/>
                    <w:tr2bl w:val="nil"/>
                  </w:tcBorders>
                  <w:vAlign w:val="bottom"/>
                </w:tcPr>
                <w:p w14:paraId="0AA95EDA">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shd w:val="clear" w:color="auto" w:fill="auto"/>
                      <w:lang w:val="en-US" w:eastAsia="zh-CN" w:bidi="ar"/>
                    </w:rPr>
                  </w:pPr>
                  <w:r>
                    <w:rPr>
                      <w:rFonts w:hint="eastAsia" w:ascii="Times New Roman" w:hAnsi="Times New Roman" w:eastAsia="宋体" w:cs="Times New Roman"/>
                      <w:i w:val="0"/>
                      <w:iCs w:val="0"/>
                      <w:color w:val="auto"/>
                      <w:kern w:val="0"/>
                      <w:sz w:val="21"/>
                      <w:szCs w:val="21"/>
                      <w:u w:val="none"/>
                      <w:shd w:val="clear" w:color="auto" w:fill="auto"/>
                      <w:lang w:val="en-US" w:eastAsia="zh-CN" w:bidi="ar"/>
                    </w:rPr>
                    <w:t>36.54</w:t>
                  </w:r>
                </w:p>
              </w:tc>
              <w:tc>
                <w:tcPr>
                  <w:tcW w:w="2087" w:type="dxa"/>
                  <w:tcBorders>
                    <w:tl2br w:val="nil"/>
                    <w:tr2bl w:val="nil"/>
                  </w:tcBorders>
                  <w:vAlign w:val="center"/>
                </w:tcPr>
                <w:p w14:paraId="604686BD">
                  <w:pPr>
                    <w:jc w:val="center"/>
                    <w:outlineLvl w:val="2"/>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ascii="Times New Roman" w:hAnsi="Times New Roman" w:eastAsia="宋体" w:cs="Times New Roman"/>
                      <w:b w:val="0"/>
                      <w:bCs w:val="0"/>
                      <w:color w:val="auto"/>
                      <w:sz w:val="21"/>
                      <w:szCs w:val="21"/>
                      <w:highlight w:val="none"/>
                      <w:shd w:val="clear" w:color="auto" w:fill="auto"/>
                      <w:vertAlign w:val="baseline"/>
                      <w:lang w:val="en-US" w:eastAsia="zh-CN"/>
                    </w:rPr>
                    <w:t>60</w:t>
                  </w:r>
                </w:p>
              </w:tc>
            </w:tr>
          </w:tbl>
          <w:p w14:paraId="7C8F9FC0">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rPr>
            </w:pPr>
            <w:r>
              <w:rPr>
                <w:rFonts w:hint="default" w:ascii="Times New Roman" w:hAnsi="Times New Roman" w:eastAsia="宋体" w:cs="Times New Roman"/>
                <w:bCs/>
                <w:color w:val="auto"/>
                <w:sz w:val="24"/>
                <w:highlight w:val="none"/>
                <w:shd w:val="clear" w:color="auto" w:fill="auto"/>
                <w:lang w:val="en-US" w:eastAsia="zh-CN"/>
              </w:rPr>
              <w:t>由上表可知，本项目经过减振、隔音等降噪措施后，东、</w:t>
            </w:r>
            <w:r>
              <w:rPr>
                <w:rFonts w:hint="eastAsia" w:ascii="Times New Roman" w:hAnsi="Times New Roman" w:eastAsia="宋体" w:cs="Times New Roman"/>
                <w:bCs/>
                <w:color w:val="auto"/>
                <w:sz w:val="24"/>
                <w:highlight w:val="none"/>
                <w:shd w:val="clear" w:color="auto" w:fill="auto"/>
                <w:lang w:val="en-US" w:eastAsia="zh-CN"/>
              </w:rPr>
              <w:t>南、</w:t>
            </w:r>
            <w:r>
              <w:rPr>
                <w:rFonts w:hint="default" w:ascii="Times New Roman" w:hAnsi="Times New Roman" w:eastAsia="宋体" w:cs="Times New Roman"/>
                <w:bCs/>
                <w:color w:val="auto"/>
                <w:sz w:val="24"/>
                <w:highlight w:val="none"/>
                <w:shd w:val="clear" w:color="auto" w:fill="auto"/>
                <w:lang w:val="en-US" w:eastAsia="zh-CN"/>
              </w:rPr>
              <w:t>西、北各厂界昼间噪声贡献值均符合《工业企业厂界环境噪声排放标准》（GB12348-2008）</w:t>
            </w:r>
            <w:r>
              <w:rPr>
                <w:rFonts w:hint="eastAsia" w:ascii="Times New Roman" w:hAnsi="Times New Roman" w:eastAsia="宋体" w:cs="Times New Roman"/>
                <w:bCs/>
                <w:color w:val="auto"/>
                <w:sz w:val="24"/>
                <w:highlight w:val="none"/>
                <w:shd w:val="clear" w:color="auto" w:fill="auto"/>
                <w:lang w:val="en-US" w:eastAsia="zh-CN"/>
              </w:rPr>
              <w:t>2</w:t>
            </w:r>
            <w:r>
              <w:rPr>
                <w:rFonts w:hint="default" w:ascii="Times New Roman" w:hAnsi="Times New Roman" w:eastAsia="宋体" w:cs="Times New Roman"/>
                <w:bCs/>
                <w:color w:val="auto"/>
                <w:sz w:val="24"/>
                <w:highlight w:val="none"/>
                <w:shd w:val="clear" w:color="auto" w:fill="auto"/>
                <w:lang w:val="en-US" w:eastAsia="zh-CN"/>
              </w:rPr>
              <w:t>类标准。</w:t>
            </w:r>
            <w:r>
              <w:rPr>
                <w:rFonts w:hint="eastAsia" w:ascii="Times New Roman" w:hAnsi="Times New Roman" w:eastAsia="宋体" w:cs="Times New Roman"/>
                <w:bCs/>
                <w:color w:val="auto"/>
                <w:sz w:val="24"/>
                <w:highlight w:val="none"/>
                <w:lang w:val="en-US" w:eastAsia="zh-CN"/>
              </w:rPr>
              <w:t>散户噪声贡献值</w:t>
            </w:r>
            <w:r>
              <w:rPr>
                <w:rFonts w:hint="default" w:ascii="Times New Roman" w:hAnsi="Times New Roman" w:eastAsia="宋体" w:cs="Times New Roman"/>
                <w:bCs/>
                <w:color w:val="auto"/>
                <w:sz w:val="24"/>
                <w:highlight w:val="none"/>
                <w:lang w:val="en-US" w:eastAsia="zh-CN"/>
              </w:rPr>
              <w:t>符合</w:t>
            </w:r>
            <w:r>
              <w:rPr>
                <w:rFonts w:hint="default" w:ascii="Times New Roman" w:hAnsi="Times New Roman" w:eastAsia="宋体" w:cs="Times New Roman"/>
                <w:color w:val="auto"/>
                <w:sz w:val="24"/>
                <w:highlight w:val="none"/>
              </w:rPr>
              <w:t>《声环境质量标准》（GB3096-2008）</w:t>
            </w:r>
            <w:r>
              <w:rPr>
                <w:rFonts w:hint="eastAsia"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en-US" w:eastAsia="zh-CN"/>
              </w:rPr>
              <w:t>类标准</w:t>
            </w:r>
            <w:r>
              <w:rPr>
                <w:rFonts w:hint="eastAsia" w:ascii="Times New Roman" w:hAnsi="Times New Roman" w:eastAsia="宋体" w:cs="Times New Roman"/>
                <w:bCs/>
                <w:color w:val="auto"/>
                <w:sz w:val="24"/>
                <w:highlight w:val="none"/>
                <w:lang w:val="en-US" w:eastAsia="zh-CN"/>
              </w:rPr>
              <w:t>。</w:t>
            </w:r>
          </w:p>
          <w:p w14:paraId="26484F45">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4、监测要求</w:t>
            </w:r>
          </w:p>
          <w:p w14:paraId="46B97964">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监测点位：厂界四周布置4个点位。</w:t>
            </w:r>
          </w:p>
          <w:p w14:paraId="7FF6054E">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监测时段：</w:t>
            </w:r>
            <w:r>
              <w:rPr>
                <w:rFonts w:hint="default" w:ascii="Times New Roman" w:hAnsi="Times New Roman" w:eastAsia="宋体" w:cs="Times New Roman"/>
                <w:color w:val="auto"/>
                <w:sz w:val="24"/>
                <w:highlight w:val="none"/>
                <w:shd w:val="clear" w:color="auto" w:fill="auto"/>
                <w:lang w:val="en-US" w:eastAsia="zh-CN"/>
              </w:rPr>
              <w:t>昼</w:t>
            </w:r>
            <w:r>
              <w:rPr>
                <w:rFonts w:hint="default" w:ascii="Times New Roman" w:hAnsi="Times New Roman" w:eastAsia="宋体" w:cs="Times New Roman"/>
                <w:color w:val="auto"/>
                <w:sz w:val="24"/>
                <w:highlight w:val="none"/>
                <w:shd w:val="clear" w:color="auto" w:fill="auto"/>
              </w:rPr>
              <w:t>间。</w:t>
            </w:r>
          </w:p>
          <w:p w14:paraId="42720727">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监测频次：每</w:t>
            </w:r>
            <w:r>
              <w:rPr>
                <w:rFonts w:hint="default" w:ascii="Times New Roman" w:hAnsi="Times New Roman" w:eastAsia="宋体" w:cs="Times New Roman"/>
                <w:color w:val="auto"/>
                <w:sz w:val="24"/>
                <w:highlight w:val="none"/>
                <w:shd w:val="clear" w:color="auto" w:fill="auto"/>
                <w:lang w:val="en-US" w:eastAsia="zh-CN"/>
              </w:rPr>
              <w:t>年</w:t>
            </w:r>
            <w:r>
              <w:rPr>
                <w:rFonts w:hint="default" w:ascii="Times New Roman" w:hAnsi="Times New Roman" w:eastAsia="宋体" w:cs="Times New Roman"/>
                <w:color w:val="auto"/>
                <w:sz w:val="24"/>
                <w:highlight w:val="none"/>
                <w:shd w:val="clear" w:color="auto" w:fill="auto"/>
              </w:rPr>
              <w:t>监测一次。</w:t>
            </w:r>
          </w:p>
          <w:p w14:paraId="4AFF017B">
            <w:pPr>
              <w:spacing w:line="360" w:lineRule="auto"/>
              <w:ind w:firstLine="480" w:firstLineChars="200"/>
              <w:rPr>
                <w:rFonts w:hint="default" w:ascii="Times New Roman" w:hAnsi="Times New Roman" w:eastAsia="宋体" w:cs="Times New Roman"/>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rPr>
              <w:t>监测因子：厂界噪声昼间等效连续A声级Leq</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A</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w:t>
            </w:r>
            <w:r>
              <w:rPr>
                <w:rFonts w:hint="default" w:ascii="Times New Roman" w:hAnsi="Times New Roman" w:eastAsia="宋体" w:cs="Times New Roman"/>
                <w:color w:val="auto"/>
                <w:sz w:val="24"/>
                <w:highlight w:val="none"/>
                <w:shd w:val="clear" w:color="auto" w:fill="auto"/>
                <w:lang w:val="en-US" w:eastAsia="zh-CN"/>
              </w:rPr>
              <w:t xml:space="preserve">                                                       </w:t>
            </w:r>
          </w:p>
          <w:p w14:paraId="1AEFC48B">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噪声监测位置、监测因子、频率等详见下表。</w:t>
            </w:r>
          </w:p>
          <w:p w14:paraId="2186F985">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表4</w:t>
            </w:r>
            <w:r>
              <w:rPr>
                <w:rFonts w:hint="default" w:ascii="Times New Roman" w:hAnsi="Times New Roman" w:eastAsia="宋体" w:cs="Times New Roman"/>
                <w:b/>
                <w:color w:val="auto"/>
                <w:sz w:val="24"/>
                <w:highlight w:val="none"/>
                <w:shd w:val="clear" w:color="auto" w:fill="auto"/>
                <w:lang w:val="en-US" w:eastAsia="zh-CN"/>
              </w:rPr>
              <w:t>-</w:t>
            </w:r>
            <w:r>
              <w:rPr>
                <w:rFonts w:hint="eastAsia" w:ascii="Times New Roman" w:hAnsi="Times New Roman" w:eastAsia="宋体" w:cs="Times New Roman"/>
                <w:b/>
                <w:color w:val="auto"/>
                <w:sz w:val="24"/>
                <w:highlight w:val="none"/>
                <w:shd w:val="clear" w:color="auto" w:fill="auto"/>
                <w:lang w:val="en-US" w:eastAsia="zh-CN"/>
              </w:rPr>
              <w:t>22</w:t>
            </w:r>
            <w:r>
              <w:rPr>
                <w:rFonts w:hint="default" w:ascii="Times New Roman" w:hAnsi="Times New Roman" w:eastAsia="宋体" w:cs="Times New Roman"/>
                <w:b/>
                <w:color w:val="auto"/>
                <w:sz w:val="24"/>
                <w:highlight w:val="none"/>
                <w:shd w:val="clear" w:color="auto" w:fill="auto"/>
              </w:rPr>
              <w:t xml:space="preserve">  运营期噪声监测计划表</w:t>
            </w:r>
          </w:p>
          <w:tbl>
            <w:tblPr>
              <w:tblStyle w:val="27"/>
              <w:tblW w:w="498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330"/>
              <w:gridCol w:w="1330"/>
              <w:gridCol w:w="1209"/>
              <w:gridCol w:w="3115"/>
            </w:tblGrid>
            <w:tr w14:paraId="068F5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l2br w:val="nil"/>
                    <w:tr2bl w:val="nil"/>
                  </w:tcBorders>
                  <w:vAlign w:val="center"/>
                </w:tcPr>
                <w:p w14:paraId="035FFCEA">
                  <w:pPr>
                    <w:pStyle w:val="50"/>
                    <w:adjustRightInd/>
                    <w:snapToGrid/>
                    <w:spacing w:beforeLines="0" w:afterLines="0" w:line="240" w:lineRule="auto"/>
                    <w:ind w:firstLine="0" w:firstLineChars="0"/>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监测点位</w:t>
                  </w:r>
                </w:p>
              </w:tc>
              <w:tc>
                <w:tcPr>
                  <w:tcW w:w="800" w:type="pct"/>
                  <w:tcBorders>
                    <w:tl2br w:val="nil"/>
                    <w:tr2bl w:val="nil"/>
                  </w:tcBorders>
                  <w:vAlign w:val="center"/>
                </w:tcPr>
                <w:p w14:paraId="779A4FC5">
                  <w:pPr>
                    <w:pStyle w:val="50"/>
                    <w:adjustRightInd/>
                    <w:snapToGrid/>
                    <w:spacing w:beforeLines="0" w:afterLines="0" w:line="240" w:lineRule="auto"/>
                    <w:ind w:firstLine="0" w:firstLineChars="0"/>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监测时段</w:t>
                  </w:r>
                </w:p>
              </w:tc>
              <w:tc>
                <w:tcPr>
                  <w:tcW w:w="800" w:type="pct"/>
                  <w:tcBorders>
                    <w:tl2br w:val="nil"/>
                    <w:tr2bl w:val="nil"/>
                  </w:tcBorders>
                  <w:vAlign w:val="center"/>
                </w:tcPr>
                <w:p w14:paraId="126B8763">
                  <w:pPr>
                    <w:pStyle w:val="50"/>
                    <w:adjustRightInd/>
                    <w:snapToGrid/>
                    <w:spacing w:beforeLines="0" w:afterLines="0" w:line="240" w:lineRule="auto"/>
                    <w:ind w:firstLine="0" w:firstLineChars="0"/>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监测指标</w:t>
                  </w:r>
                </w:p>
              </w:tc>
              <w:tc>
                <w:tcPr>
                  <w:tcW w:w="727" w:type="pct"/>
                  <w:tcBorders>
                    <w:tl2br w:val="nil"/>
                    <w:tr2bl w:val="nil"/>
                  </w:tcBorders>
                  <w:vAlign w:val="center"/>
                </w:tcPr>
                <w:p w14:paraId="0EF7126B">
                  <w:pPr>
                    <w:pStyle w:val="50"/>
                    <w:adjustRightInd/>
                    <w:snapToGrid/>
                    <w:spacing w:beforeLines="0" w:afterLines="0" w:line="240" w:lineRule="auto"/>
                    <w:ind w:firstLine="0" w:firstLineChars="0"/>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监测频率</w:t>
                  </w:r>
                </w:p>
              </w:tc>
              <w:tc>
                <w:tcPr>
                  <w:tcW w:w="1872" w:type="pct"/>
                  <w:tcBorders>
                    <w:tl2br w:val="nil"/>
                    <w:tr2bl w:val="nil"/>
                  </w:tcBorders>
                  <w:vAlign w:val="center"/>
                </w:tcPr>
                <w:p w14:paraId="0F3535E4">
                  <w:pPr>
                    <w:pStyle w:val="50"/>
                    <w:adjustRightInd/>
                    <w:snapToGrid/>
                    <w:spacing w:beforeLines="0" w:afterLines="0" w:line="240" w:lineRule="auto"/>
                    <w:ind w:firstLine="0" w:firstLineChars="0"/>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执行排放标准</w:t>
                  </w:r>
                </w:p>
              </w:tc>
            </w:tr>
            <w:tr w14:paraId="7592F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tcBorders>
                    <w:tl2br w:val="nil"/>
                    <w:tr2bl w:val="nil"/>
                  </w:tcBorders>
                  <w:vAlign w:val="center"/>
                </w:tcPr>
                <w:p w14:paraId="23E5EAF4">
                  <w:pPr>
                    <w:pStyle w:val="50"/>
                    <w:adjustRightInd/>
                    <w:snapToGrid/>
                    <w:spacing w:beforeLines="0" w:afterLines="0" w:line="240" w:lineRule="auto"/>
                    <w:ind w:firstLine="0" w:firstLineChars="0"/>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东、</w:t>
                  </w:r>
                  <w:r>
                    <w:rPr>
                      <w:rFonts w:hint="eastAsia" w:ascii="Times New Roman" w:eastAsia="宋体" w:cs="Times New Roman"/>
                      <w:color w:val="auto"/>
                      <w:sz w:val="21"/>
                      <w:szCs w:val="21"/>
                      <w:highlight w:val="none"/>
                      <w:shd w:val="clear" w:color="auto" w:fill="auto"/>
                      <w:lang w:val="en-US" w:eastAsia="zh-CN"/>
                    </w:rPr>
                    <w:t>南、</w:t>
                  </w:r>
                  <w:r>
                    <w:rPr>
                      <w:rFonts w:hint="default" w:ascii="Times New Roman" w:hAnsi="Times New Roman" w:eastAsia="宋体" w:cs="Times New Roman"/>
                      <w:color w:val="auto"/>
                      <w:sz w:val="21"/>
                      <w:szCs w:val="21"/>
                      <w:highlight w:val="none"/>
                      <w:shd w:val="clear" w:color="auto" w:fill="auto"/>
                    </w:rPr>
                    <w:t>西、北厂界</w:t>
                  </w:r>
                </w:p>
              </w:tc>
              <w:tc>
                <w:tcPr>
                  <w:tcW w:w="800" w:type="pct"/>
                  <w:tcBorders>
                    <w:tl2br w:val="nil"/>
                    <w:tr2bl w:val="nil"/>
                  </w:tcBorders>
                  <w:vAlign w:val="center"/>
                </w:tcPr>
                <w:p w14:paraId="4CB72DE3">
                  <w:pPr>
                    <w:pStyle w:val="50"/>
                    <w:adjustRightInd/>
                    <w:snapToGrid/>
                    <w:spacing w:beforeLines="0" w:afterLines="0" w:line="240" w:lineRule="auto"/>
                    <w:ind w:firstLine="0" w:firstLineChars="0"/>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昼</w:t>
                  </w:r>
                  <w:r>
                    <w:rPr>
                      <w:rFonts w:hint="default" w:ascii="Times New Roman" w:hAnsi="Times New Roman" w:eastAsia="宋体" w:cs="Times New Roman"/>
                      <w:color w:val="auto"/>
                      <w:sz w:val="21"/>
                      <w:szCs w:val="21"/>
                      <w:highlight w:val="none"/>
                      <w:shd w:val="clear" w:color="auto" w:fill="auto"/>
                    </w:rPr>
                    <w:t>间</w:t>
                  </w:r>
                </w:p>
              </w:tc>
              <w:tc>
                <w:tcPr>
                  <w:tcW w:w="800" w:type="pct"/>
                  <w:tcBorders>
                    <w:tl2br w:val="nil"/>
                    <w:tr2bl w:val="nil"/>
                  </w:tcBorders>
                  <w:vAlign w:val="center"/>
                </w:tcPr>
                <w:p w14:paraId="1643F93E">
                  <w:pPr>
                    <w:pStyle w:val="50"/>
                    <w:adjustRightInd/>
                    <w:snapToGrid/>
                    <w:spacing w:beforeLines="0" w:afterLines="0" w:line="240" w:lineRule="auto"/>
                    <w:ind w:firstLine="0" w:firstLineChars="0"/>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等效连续声级Leq（A）</w:t>
                  </w:r>
                </w:p>
              </w:tc>
              <w:tc>
                <w:tcPr>
                  <w:tcW w:w="727" w:type="pct"/>
                  <w:tcBorders>
                    <w:tl2br w:val="nil"/>
                    <w:tr2bl w:val="nil"/>
                  </w:tcBorders>
                  <w:vAlign w:val="center"/>
                </w:tcPr>
                <w:p w14:paraId="637505CA">
                  <w:pPr>
                    <w:pStyle w:val="50"/>
                    <w:adjustRightInd/>
                    <w:snapToGrid/>
                    <w:spacing w:beforeLines="0" w:afterLines="0" w:line="240" w:lineRule="auto"/>
                    <w:ind w:firstLine="0" w:firstLineChars="0"/>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每</w:t>
                  </w:r>
                  <w:r>
                    <w:rPr>
                      <w:rFonts w:hint="default" w:ascii="Times New Roman" w:hAnsi="Times New Roman" w:eastAsia="宋体" w:cs="Times New Roman"/>
                      <w:color w:val="auto"/>
                      <w:sz w:val="21"/>
                      <w:szCs w:val="21"/>
                      <w:highlight w:val="none"/>
                      <w:shd w:val="clear" w:color="auto" w:fill="auto"/>
                      <w:lang w:val="en-US" w:eastAsia="zh-CN"/>
                    </w:rPr>
                    <w:t>年</w:t>
                  </w:r>
                  <w:r>
                    <w:rPr>
                      <w:rFonts w:hint="default" w:ascii="Times New Roman" w:hAnsi="Times New Roman" w:eastAsia="宋体" w:cs="Times New Roman"/>
                      <w:color w:val="auto"/>
                      <w:sz w:val="21"/>
                      <w:szCs w:val="21"/>
                      <w:highlight w:val="none"/>
                      <w:shd w:val="clear" w:color="auto" w:fill="auto"/>
                    </w:rPr>
                    <w:t>1次</w:t>
                  </w:r>
                </w:p>
              </w:tc>
              <w:tc>
                <w:tcPr>
                  <w:tcW w:w="1872" w:type="pct"/>
                  <w:tcBorders>
                    <w:tl2br w:val="nil"/>
                    <w:tr2bl w:val="nil"/>
                  </w:tcBorders>
                  <w:vAlign w:val="center"/>
                </w:tcPr>
                <w:p w14:paraId="71B59921">
                  <w:pPr>
                    <w:pStyle w:val="50"/>
                    <w:adjustRightInd/>
                    <w:snapToGrid/>
                    <w:spacing w:beforeLines="0" w:afterLines="0" w:line="240" w:lineRule="auto"/>
                    <w:ind w:firstLine="0" w:firstLineChars="0"/>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《工业企业厂界环境噪声排放标准》（GB12348－2008）</w:t>
                  </w:r>
                  <w:r>
                    <w:rPr>
                      <w:rFonts w:hint="eastAsia" w:ascii="Times New Roman" w:eastAsia="宋体" w:cs="Times New Roman"/>
                      <w:color w:val="auto"/>
                      <w:sz w:val="21"/>
                      <w:szCs w:val="21"/>
                      <w:highlight w:val="none"/>
                      <w:shd w:val="clear" w:color="auto" w:fill="auto"/>
                      <w:lang w:val="en-US" w:eastAsia="zh-CN"/>
                    </w:rPr>
                    <w:t>2</w:t>
                  </w:r>
                  <w:r>
                    <w:rPr>
                      <w:rFonts w:hint="default" w:ascii="Times New Roman" w:hAnsi="Times New Roman" w:eastAsia="宋体" w:cs="Times New Roman"/>
                      <w:color w:val="auto"/>
                      <w:sz w:val="21"/>
                      <w:szCs w:val="21"/>
                      <w:highlight w:val="none"/>
                      <w:shd w:val="clear" w:color="auto" w:fill="auto"/>
                    </w:rPr>
                    <w:t>类标准</w:t>
                  </w:r>
                </w:p>
              </w:tc>
            </w:tr>
          </w:tbl>
          <w:p w14:paraId="448E80FB">
            <w:pPr>
              <w:spacing w:before="156" w:beforeLines="50" w:line="360" w:lineRule="auto"/>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四、固体废弃物</w:t>
            </w:r>
          </w:p>
          <w:p w14:paraId="1D93E610">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1、固体废物源强分析</w:t>
            </w:r>
          </w:p>
          <w:p w14:paraId="39619684">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根据《固体废物鉴别标准 通则》（GB34330-2017），固体废物指是指在生产、生活和其他活动中产生的丧失原有利用价值或者虽未丧失利用价值但被抛弃或者放弃的固态、半固态和置于容器中的气态的物品、物质，以及法律、行政法规规定纳入固体废物管理的物品、物质。本项目营运期间固体废物产生情况如下：</w:t>
            </w:r>
          </w:p>
          <w:p w14:paraId="144F8EFC">
            <w:pPr>
              <w:spacing w:line="360" w:lineRule="auto"/>
              <w:ind w:firstLine="480" w:firstLineChars="200"/>
              <w:rPr>
                <w:rFonts w:hint="default" w:ascii="Times New Roman" w:hAnsi="Times New Roman" w:eastAsia="宋体" w:cs="Times New Roman"/>
                <w:b w:val="0"/>
                <w:bCs/>
                <w:color w:val="auto"/>
                <w:sz w:val="24"/>
                <w:highlight w:val="none"/>
                <w:shd w:val="clear" w:color="auto" w:fill="auto"/>
              </w:rPr>
            </w:pP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1</w:t>
            </w: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生活垃圾</w:t>
            </w:r>
          </w:p>
          <w:p w14:paraId="7CEECC43">
            <w:pPr>
              <w:spacing w:line="360" w:lineRule="auto"/>
              <w:ind w:firstLine="480" w:firstLineChars="200"/>
              <w:rPr>
                <w:rFonts w:hint="default" w:ascii="Times New Roman" w:hAnsi="Times New Roman" w:eastAsia="宋体" w:cs="Times New Roman"/>
                <w:b w:val="0"/>
                <w:bCs/>
                <w:color w:val="auto"/>
                <w:sz w:val="24"/>
                <w:highlight w:val="none"/>
                <w:shd w:val="clear" w:color="auto" w:fill="auto"/>
              </w:rPr>
            </w:pPr>
            <w:r>
              <w:rPr>
                <w:rFonts w:hint="default" w:ascii="Times New Roman" w:hAnsi="Times New Roman" w:eastAsia="宋体" w:cs="Times New Roman"/>
                <w:b w:val="0"/>
                <w:bCs/>
                <w:color w:val="auto"/>
                <w:sz w:val="24"/>
                <w:highlight w:val="none"/>
                <w:shd w:val="clear" w:color="auto" w:fill="auto"/>
              </w:rPr>
              <w:t>本项目有员工</w:t>
            </w:r>
            <w:r>
              <w:rPr>
                <w:rFonts w:hint="eastAsia" w:ascii="Times New Roman" w:hAnsi="Times New Roman" w:eastAsia="宋体" w:cs="Times New Roman"/>
                <w:b w:val="0"/>
                <w:bCs/>
                <w:color w:val="auto"/>
                <w:sz w:val="24"/>
                <w:highlight w:val="none"/>
                <w:shd w:val="clear" w:color="auto" w:fill="auto"/>
                <w:lang w:val="en-US" w:eastAsia="zh-CN"/>
              </w:rPr>
              <w:t>2</w:t>
            </w:r>
            <w:r>
              <w:rPr>
                <w:rFonts w:hint="default" w:ascii="Times New Roman" w:hAnsi="Times New Roman" w:eastAsia="宋体" w:cs="Times New Roman"/>
                <w:b w:val="0"/>
                <w:bCs/>
                <w:color w:val="auto"/>
                <w:sz w:val="24"/>
                <w:highlight w:val="none"/>
                <w:shd w:val="clear" w:color="auto" w:fill="auto"/>
                <w:lang w:val="en-US" w:eastAsia="zh-CN"/>
              </w:rPr>
              <w:t>0</w:t>
            </w:r>
            <w:r>
              <w:rPr>
                <w:rFonts w:hint="default" w:ascii="Times New Roman" w:hAnsi="Times New Roman" w:eastAsia="宋体" w:cs="Times New Roman"/>
                <w:b w:val="0"/>
                <w:bCs/>
                <w:color w:val="auto"/>
                <w:sz w:val="24"/>
                <w:highlight w:val="none"/>
                <w:shd w:val="clear" w:color="auto" w:fill="auto"/>
              </w:rPr>
              <w:t>人，每人每天垃圾产生量按0.5kg计，生活垃圾产生量约为</w:t>
            </w:r>
            <w:r>
              <w:rPr>
                <w:rFonts w:hint="default" w:ascii="Times New Roman" w:hAnsi="Times New Roman" w:eastAsia="宋体" w:cs="Times New Roman"/>
                <w:b w:val="0"/>
                <w:bCs/>
                <w:color w:val="auto"/>
                <w:sz w:val="24"/>
                <w:highlight w:val="none"/>
                <w:shd w:val="clear" w:color="auto" w:fill="auto"/>
                <w:lang w:val="en-US" w:eastAsia="zh-CN"/>
              </w:rPr>
              <w:t>10</w:t>
            </w:r>
            <w:r>
              <w:rPr>
                <w:rFonts w:hint="default" w:ascii="Times New Roman" w:hAnsi="Times New Roman" w:eastAsia="宋体" w:cs="Times New Roman"/>
                <w:b w:val="0"/>
                <w:bCs/>
                <w:color w:val="auto"/>
                <w:sz w:val="24"/>
                <w:highlight w:val="none"/>
                <w:shd w:val="clear" w:color="auto" w:fill="auto"/>
              </w:rPr>
              <w:t>kg/d，则项目年生活垃圾产生量约为</w:t>
            </w:r>
            <w:r>
              <w:rPr>
                <w:rFonts w:hint="eastAsia" w:ascii="Times New Roman" w:hAnsi="Times New Roman" w:eastAsia="宋体" w:cs="Times New Roman"/>
                <w:b w:val="0"/>
                <w:bCs/>
                <w:color w:val="auto"/>
                <w:sz w:val="24"/>
                <w:highlight w:val="none"/>
                <w:shd w:val="clear" w:color="auto" w:fill="auto"/>
                <w:lang w:val="en-US" w:eastAsia="zh-CN"/>
              </w:rPr>
              <w:t>3</w:t>
            </w:r>
            <w:r>
              <w:rPr>
                <w:rFonts w:hint="default" w:ascii="Times New Roman" w:hAnsi="Times New Roman" w:eastAsia="宋体" w:cs="Times New Roman"/>
                <w:b w:val="0"/>
                <w:bCs/>
                <w:color w:val="auto"/>
                <w:sz w:val="24"/>
                <w:highlight w:val="none"/>
                <w:shd w:val="clear" w:color="auto" w:fill="auto"/>
                <w:lang w:val="en-US" w:eastAsia="zh-CN"/>
              </w:rPr>
              <w:t>t/</w:t>
            </w:r>
            <w:r>
              <w:rPr>
                <w:rFonts w:hint="default" w:ascii="Times New Roman" w:hAnsi="Times New Roman" w:eastAsia="宋体" w:cs="Times New Roman"/>
                <w:b w:val="0"/>
                <w:bCs/>
                <w:color w:val="auto"/>
                <w:sz w:val="24"/>
                <w:highlight w:val="none"/>
                <w:shd w:val="clear" w:color="auto" w:fill="auto"/>
              </w:rPr>
              <w:t>a。采取集中收集后由环卫部门统一外运处理。</w:t>
            </w:r>
          </w:p>
          <w:p w14:paraId="06300617">
            <w:pPr>
              <w:spacing w:line="360" w:lineRule="auto"/>
              <w:ind w:firstLine="480" w:firstLineChars="200"/>
              <w:rPr>
                <w:rFonts w:hint="default" w:ascii="Times New Roman" w:hAnsi="Times New Roman" w:eastAsia="宋体" w:cs="Times New Roman"/>
                <w:b w:val="0"/>
                <w:bCs/>
                <w:color w:val="auto"/>
                <w:sz w:val="24"/>
                <w:highlight w:val="none"/>
                <w:shd w:val="clear" w:color="auto" w:fill="auto"/>
              </w:rPr>
            </w:pP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2</w:t>
            </w: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一般生产固废</w:t>
            </w:r>
          </w:p>
          <w:p w14:paraId="75933210">
            <w:pPr>
              <w:spacing w:line="360" w:lineRule="auto"/>
              <w:ind w:firstLine="480" w:firstLineChars="200"/>
              <w:rPr>
                <w:rFonts w:hint="eastAsia" w:ascii="Times New Roman" w:hAnsi="Times New Roman" w:cs="Times New Roman" w:eastAsiaTheme="minorEastAsia"/>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rPr>
              <w:t>项目生产过程中产生</w:t>
            </w:r>
            <w:r>
              <w:rPr>
                <w:rFonts w:hint="eastAsia" w:ascii="Times New Roman" w:hAnsi="Times New Roman" w:eastAsia="宋体" w:cs="Times New Roman"/>
                <w:b w:val="0"/>
                <w:bCs/>
                <w:color w:val="auto"/>
                <w:sz w:val="24"/>
                <w:highlight w:val="none"/>
                <w:shd w:val="clear" w:color="auto" w:fill="auto"/>
                <w:lang w:val="en-US" w:eastAsia="zh-CN"/>
              </w:rPr>
              <w:t>的边角料、不合格品（检验产生）、除尘灰、废布袋</w:t>
            </w:r>
            <w:r>
              <w:rPr>
                <w:rFonts w:hint="default" w:ascii="Times New Roman" w:hAnsi="Times New Roman" w:eastAsia="宋体" w:cs="Times New Roman"/>
                <w:b w:val="0"/>
                <w:bCs/>
                <w:color w:val="auto"/>
                <w:sz w:val="24"/>
                <w:highlight w:val="none"/>
                <w:shd w:val="clear" w:color="auto" w:fill="auto"/>
              </w:rPr>
              <w:t>等</w:t>
            </w:r>
            <w:r>
              <w:rPr>
                <w:rFonts w:hint="eastAsia" w:ascii="Times New Roman" w:hAnsi="Times New Roman" w:eastAsia="宋体" w:cs="Times New Roman"/>
                <w:b w:val="0"/>
                <w:bCs/>
                <w:color w:val="auto"/>
                <w:sz w:val="24"/>
                <w:highlight w:val="none"/>
                <w:shd w:val="clear" w:color="auto" w:fill="auto"/>
                <w:lang w:val="en-US" w:eastAsia="zh-CN"/>
              </w:rPr>
              <w:t>经收集后外售综合利用；不合格品（吹膜产生）经破碎后回用于生产。</w:t>
            </w:r>
          </w:p>
          <w:p w14:paraId="4F013388">
            <w:pPr>
              <w:spacing w:line="360" w:lineRule="auto"/>
              <w:ind w:firstLine="480" w:firstLineChars="200"/>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①</w:t>
            </w:r>
            <w:r>
              <w:rPr>
                <w:rFonts w:hint="eastAsia" w:ascii="Times New Roman" w:hAnsi="Times New Roman" w:eastAsia="宋体" w:cs="Times New Roman"/>
                <w:b w:val="0"/>
                <w:bCs/>
                <w:color w:val="auto"/>
                <w:sz w:val="24"/>
                <w:highlight w:val="none"/>
                <w:shd w:val="clear" w:color="auto" w:fill="auto"/>
                <w:lang w:val="en-US" w:eastAsia="zh-CN"/>
              </w:rPr>
              <w:t>边角料</w:t>
            </w:r>
          </w:p>
          <w:p w14:paraId="3DC94E80">
            <w:pPr>
              <w:spacing w:line="360" w:lineRule="auto"/>
              <w:ind w:firstLine="480" w:firstLineChars="200"/>
              <w:rPr>
                <w:rFonts w:hint="default" w:ascii="Times New Roman" w:hAnsi="Times New Roman" w:eastAsia="宋体" w:cs="Times New Roman"/>
                <w:b w:val="0"/>
                <w:bCs/>
                <w:color w:val="auto"/>
                <w:sz w:val="24"/>
                <w:highlight w:val="none"/>
                <w:shd w:val="clear" w:color="auto" w:fill="auto"/>
                <w:lang w:eastAsia="zh-CN"/>
              </w:rPr>
            </w:pPr>
            <w:r>
              <w:rPr>
                <w:rFonts w:hint="eastAsia" w:ascii="Times New Roman" w:hAnsi="Times New Roman" w:eastAsia="宋体" w:cs="Times New Roman"/>
                <w:b w:val="0"/>
                <w:bCs/>
                <w:color w:val="auto"/>
                <w:sz w:val="24"/>
                <w:highlight w:val="none"/>
                <w:shd w:val="clear" w:color="auto" w:fill="auto"/>
                <w:lang w:val="en-US" w:eastAsia="zh-CN"/>
              </w:rPr>
              <w:t>分切</w:t>
            </w:r>
            <w:r>
              <w:rPr>
                <w:rFonts w:hint="default" w:ascii="Times New Roman" w:hAnsi="Times New Roman" w:eastAsia="宋体" w:cs="Times New Roman"/>
                <w:b w:val="0"/>
                <w:bCs/>
                <w:color w:val="auto"/>
                <w:sz w:val="24"/>
                <w:highlight w:val="none"/>
                <w:shd w:val="clear" w:color="auto" w:fill="auto"/>
                <w:lang w:val="en-US" w:eastAsia="zh-CN"/>
              </w:rPr>
              <w:t>工序产生</w:t>
            </w:r>
            <w:r>
              <w:rPr>
                <w:rFonts w:hint="eastAsia" w:ascii="Times New Roman" w:hAnsi="Times New Roman" w:eastAsia="宋体" w:cs="Times New Roman"/>
                <w:b w:val="0"/>
                <w:bCs/>
                <w:color w:val="auto"/>
                <w:sz w:val="24"/>
                <w:highlight w:val="none"/>
                <w:shd w:val="clear" w:color="auto" w:fill="auto"/>
                <w:lang w:val="en-US" w:eastAsia="zh-CN"/>
              </w:rPr>
              <w:t>边角料</w:t>
            </w:r>
            <w:r>
              <w:rPr>
                <w:rFonts w:hint="default" w:ascii="Times New Roman" w:hAnsi="Times New Roman" w:eastAsia="宋体" w:cs="Times New Roman"/>
                <w:b w:val="0"/>
                <w:bCs/>
                <w:color w:val="auto"/>
                <w:sz w:val="24"/>
                <w:highlight w:val="none"/>
                <w:shd w:val="clear" w:color="auto" w:fill="auto"/>
                <w:lang w:val="en-US" w:eastAsia="zh-CN"/>
              </w:rPr>
              <w:t>，根据企业生产经验，</w:t>
            </w:r>
            <w:r>
              <w:rPr>
                <w:rFonts w:hint="eastAsia" w:ascii="Times New Roman" w:hAnsi="Times New Roman" w:eastAsia="宋体" w:cs="Times New Roman"/>
                <w:b w:val="0"/>
                <w:bCs/>
                <w:color w:val="auto"/>
                <w:sz w:val="24"/>
                <w:highlight w:val="none"/>
                <w:shd w:val="clear" w:color="auto" w:fill="auto"/>
                <w:lang w:val="en-US" w:eastAsia="zh-CN"/>
              </w:rPr>
              <w:t>边角料</w:t>
            </w:r>
            <w:r>
              <w:rPr>
                <w:rFonts w:hint="default" w:ascii="Times New Roman" w:hAnsi="Times New Roman" w:eastAsia="宋体" w:cs="Times New Roman"/>
                <w:b w:val="0"/>
                <w:bCs/>
                <w:color w:val="auto"/>
                <w:sz w:val="24"/>
                <w:highlight w:val="none"/>
                <w:shd w:val="clear" w:color="auto" w:fill="auto"/>
                <w:lang w:val="en-US" w:eastAsia="zh-CN"/>
              </w:rPr>
              <w:t>产生量约为</w:t>
            </w:r>
            <w:r>
              <w:rPr>
                <w:rFonts w:hint="eastAsia" w:ascii="Times New Roman" w:hAnsi="Times New Roman" w:eastAsia="宋体" w:cs="Times New Roman"/>
                <w:b w:val="0"/>
                <w:bCs/>
                <w:color w:val="auto"/>
                <w:sz w:val="24"/>
                <w:highlight w:val="none"/>
                <w:shd w:val="clear" w:color="auto" w:fill="auto"/>
                <w:lang w:val="en-US" w:eastAsia="zh-CN"/>
              </w:rPr>
              <w:t>2</w:t>
            </w:r>
            <w:r>
              <w:rPr>
                <w:rFonts w:hint="default" w:ascii="Times New Roman" w:hAnsi="Times New Roman" w:eastAsia="宋体" w:cs="Times New Roman"/>
                <w:b w:val="0"/>
                <w:bCs/>
                <w:color w:val="auto"/>
                <w:sz w:val="24"/>
                <w:highlight w:val="none"/>
                <w:shd w:val="clear" w:color="auto" w:fill="auto"/>
                <w:lang w:val="en-US" w:eastAsia="zh-CN"/>
              </w:rPr>
              <w:t>t/a。</w:t>
            </w:r>
          </w:p>
          <w:p w14:paraId="283455ED">
            <w:pPr>
              <w:spacing w:line="360" w:lineRule="auto"/>
              <w:ind w:firstLine="480" w:firstLineChars="200"/>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②不合格品</w:t>
            </w:r>
          </w:p>
          <w:p w14:paraId="1F11BB06">
            <w:pPr>
              <w:spacing w:line="360" w:lineRule="auto"/>
              <w:ind w:firstLine="480" w:firstLineChars="200"/>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本项目</w:t>
            </w:r>
            <w:r>
              <w:rPr>
                <w:rFonts w:hint="eastAsia" w:ascii="Times New Roman" w:hAnsi="Times New Roman" w:eastAsia="宋体" w:cs="Times New Roman"/>
                <w:b w:val="0"/>
                <w:bCs/>
                <w:color w:val="auto"/>
                <w:sz w:val="24"/>
                <w:highlight w:val="none"/>
                <w:shd w:val="clear" w:color="auto" w:fill="auto"/>
                <w:lang w:val="en-US" w:eastAsia="zh-CN"/>
              </w:rPr>
              <w:t>吹膜产生的不合格品经破碎后回用于生产，</w:t>
            </w:r>
            <w:r>
              <w:rPr>
                <w:rFonts w:hint="default" w:ascii="Times New Roman" w:hAnsi="Times New Roman" w:eastAsia="宋体" w:cs="Times New Roman"/>
                <w:b w:val="0"/>
                <w:bCs/>
                <w:color w:val="auto"/>
                <w:sz w:val="24"/>
                <w:highlight w:val="none"/>
                <w:shd w:val="clear" w:color="auto" w:fill="auto"/>
                <w:lang w:val="en-US" w:eastAsia="zh-CN"/>
              </w:rPr>
              <w:t>产生量约为</w:t>
            </w:r>
            <w:r>
              <w:rPr>
                <w:rFonts w:hint="eastAsia" w:ascii="Times New Roman" w:hAnsi="Times New Roman" w:eastAsia="宋体" w:cs="Times New Roman"/>
                <w:b w:val="0"/>
                <w:bCs/>
                <w:color w:val="auto"/>
                <w:sz w:val="24"/>
                <w:highlight w:val="none"/>
                <w:shd w:val="clear" w:color="auto" w:fill="auto"/>
                <w:lang w:val="en-US" w:eastAsia="zh-CN"/>
              </w:rPr>
              <w:t>1</w:t>
            </w:r>
            <w:r>
              <w:rPr>
                <w:rFonts w:hint="default" w:ascii="Times New Roman" w:hAnsi="Times New Roman" w:eastAsia="宋体" w:cs="Times New Roman"/>
                <w:b w:val="0"/>
                <w:bCs/>
                <w:color w:val="auto"/>
                <w:sz w:val="24"/>
                <w:highlight w:val="none"/>
                <w:shd w:val="clear" w:color="auto" w:fill="auto"/>
                <w:lang w:val="en-US" w:eastAsia="zh-CN"/>
              </w:rPr>
              <w:t>t/a</w:t>
            </w:r>
            <w:r>
              <w:rPr>
                <w:rFonts w:hint="eastAsia" w:ascii="Times New Roman" w:hAnsi="Times New Roman" w:eastAsia="宋体" w:cs="Times New Roman"/>
                <w:b w:val="0"/>
                <w:bCs/>
                <w:color w:val="auto"/>
                <w:sz w:val="24"/>
                <w:highlight w:val="none"/>
                <w:shd w:val="clear" w:color="auto" w:fill="auto"/>
                <w:lang w:val="en-US" w:eastAsia="zh-CN"/>
              </w:rPr>
              <w:t>。</w:t>
            </w:r>
            <w:r>
              <w:rPr>
                <w:rFonts w:hint="default" w:ascii="Times New Roman" w:hAnsi="Times New Roman" w:eastAsia="宋体" w:cs="Times New Roman"/>
                <w:b w:val="0"/>
                <w:bCs/>
                <w:color w:val="auto"/>
                <w:sz w:val="24"/>
                <w:highlight w:val="none"/>
                <w:shd w:val="clear" w:color="auto" w:fill="auto"/>
                <w:lang w:val="en-US" w:eastAsia="zh-CN"/>
              </w:rPr>
              <w:t>本项目检验工序产生不合格品，根据企业生产经验，不合格品产生量约为</w:t>
            </w:r>
            <w:r>
              <w:rPr>
                <w:rFonts w:hint="eastAsia" w:ascii="Times New Roman" w:hAnsi="Times New Roman" w:eastAsia="宋体" w:cs="Times New Roman"/>
                <w:b w:val="0"/>
                <w:bCs/>
                <w:color w:val="auto"/>
                <w:sz w:val="24"/>
                <w:highlight w:val="none"/>
                <w:shd w:val="clear" w:color="auto" w:fill="auto"/>
                <w:lang w:val="en-US" w:eastAsia="zh-CN"/>
              </w:rPr>
              <w:t>2</w:t>
            </w:r>
            <w:r>
              <w:rPr>
                <w:rFonts w:hint="default" w:ascii="Times New Roman" w:hAnsi="Times New Roman" w:eastAsia="宋体" w:cs="Times New Roman"/>
                <w:b w:val="0"/>
                <w:bCs/>
                <w:color w:val="auto"/>
                <w:sz w:val="24"/>
                <w:highlight w:val="none"/>
                <w:shd w:val="clear" w:color="auto" w:fill="auto"/>
                <w:lang w:val="en-US" w:eastAsia="zh-CN"/>
              </w:rPr>
              <w:t>t/a。</w:t>
            </w:r>
          </w:p>
          <w:p w14:paraId="5D506B41">
            <w:pPr>
              <w:spacing w:line="360" w:lineRule="auto"/>
              <w:ind w:firstLine="480" w:firstLineChars="200"/>
              <w:rPr>
                <w:rFonts w:hint="default" w:ascii="Times New Roman" w:hAnsi="Times New Roman" w:eastAsia="宋体" w:cs="Times New Roman"/>
                <w:b w:val="0"/>
                <w:bCs/>
                <w:color w:val="auto"/>
                <w:sz w:val="24"/>
                <w:highlight w:val="none"/>
                <w:shd w:val="clear" w:color="auto" w:fill="auto"/>
                <w:lang w:val="en-US" w:eastAsia="zh-CN"/>
              </w:rPr>
            </w:pPr>
            <w:r>
              <w:rPr>
                <w:rFonts w:hint="eastAsia" w:ascii="Times New Roman" w:hAnsi="Times New Roman" w:eastAsia="宋体" w:cs="Times New Roman"/>
                <w:b w:val="0"/>
                <w:bCs/>
                <w:color w:val="auto"/>
                <w:sz w:val="24"/>
                <w:highlight w:val="none"/>
                <w:shd w:val="clear" w:color="auto" w:fill="auto"/>
                <w:lang w:val="en-US" w:eastAsia="zh-CN"/>
              </w:rPr>
              <w:t>③</w:t>
            </w:r>
            <w:r>
              <w:rPr>
                <w:rFonts w:hint="default" w:ascii="Times New Roman" w:hAnsi="Times New Roman" w:eastAsia="宋体" w:cs="Times New Roman"/>
                <w:b w:val="0"/>
                <w:bCs/>
                <w:color w:val="auto"/>
                <w:sz w:val="24"/>
                <w:highlight w:val="none"/>
                <w:shd w:val="clear" w:color="auto" w:fill="auto"/>
                <w:lang w:val="en-US" w:eastAsia="zh-CN"/>
              </w:rPr>
              <w:t>废布袋</w:t>
            </w:r>
          </w:p>
          <w:p w14:paraId="11FAD59B">
            <w:pPr>
              <w:spacing w:line="360" w:lineRule="auto"/>
              <w:ind w:firstLine="480" w:firstLineChars="200"/>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本项目</w:t>
            </w:r>
            <w:r>
              <w:rPr>
                <w:rFonts w:hint="eastAsia" w:ascii="Times New Roman" w:hAnsi="Times New Roman" w:eastAsia="宋体" w:cs="Times New Roman"/>
                <w:b w:val="0"/>
                <w:bCs/>
                <w:color w:val="auto"/>
                <w:sz w:val="24"/>
                <w:highlight w:val="none"/>
                <w:shd w:val="clear" w:color="auto" w:fill="auto"/>
                <w:lang w:val="en-US" w:eastAsia="zh-CN"/>
              </w:rPr>
              <w:t>设备自带</w:t>
            </w:r>
            <w:r>
              <w:rPr>
                <w:rFonts w:hint="default" w:ascii="Times New Roman" w:hAnsi="Times New Roman" w:eastAsia="宋体" w:cs="Times New Roman"/>
                <w:b w:val="0"/>
                <w:bCs/>
                <w:color w:val="auto"/>
                <w:sz w:val="24"/>
                <w:highlight w:val="none"/>
                <w:shd w:val="clear" w:color="auto" w:fill="auto"/>
                <w:lang w:val="en-US" w:eastAsia="zh-CN"/>
              </w:rPr>
              <w:t>布袋除尘器定期更换布袋，更换频次每3个月更换一次，一次更换量为10kg，因此废</w:t>
            </w:r>
            <w:r>
              <w:rPr>
                <w:rFonts w:hint="eastAsia" w:ascii="Times New Roman" w:hAnsi="Times New Roman" w:eastAsia="宋体" w:cs="Times New Roman"/>
                <w:b w:val="0"/>
                <w:bCs/>
                <w:color w:val="auto"/>
                <w:sz w:val="24"/>
                <w:highlight w:val="none"/>
                <w:shd w:val="clear" w:color="auto" w:fill="auto"/>
                <w:lang w:val="en-US" w:eastAsia="zh-CN"/>
              </w:rPr>
              <w:t>布袋</w:t>
            </w:r>
            <w:r>
              <w:rPr>
                <w:rFonts w:hint="default" w:ascii="Times New Roman" w:hAnsi="Times New Roman" w:eastAsia="宋体" w:cs="Times New Roman"/>
                <w:b w:val="0"/>
                <w:bCs/>
                <w:color w:val="auto"/>
                <w:sz w:val="24"/>
                <w:highlight w:val="none"/>
                <w:shd w:val="clear" w:color="auto" w:fill="auto"/>
                <w:lang w:val="en-US" w:eastAsia="zh-CN"/>
              </w:rPr>
              <w:t>的产生量约为0.</w:t>
            </w:r>
            <w:r>
              <w:rPr>
                <w:rFonts w:hint="eastAsia" w:ascii="Times New Roman" w:hAnsi="Times New Roman" w:eastAsia="宋体" w:cs="Times New Roman"/>
                <w:b w:val="0"/>
                <w:bCs/>
                <w:color w:val="auto"/>
                <w:sz w:val="24"/>
                <w:highlight w:val="none"/>
                <w:shd w:val="clear" w:color="auto" w:fill="auto"/>
                <w:lang w:val="en-US" w:eastAsia="zh-CN"/>
              </w:rPr>
              <w:t>0</w:t>
            </w:r>
            <w:r>
              <w:rPr>
                <w:rFonts w:hint="default" w:ascii="Times New Roman" w:hAnsi="Times New Roman" w:eastAsia="宋体" w:cs="Times New Roman"/>
                <w:b w:val="0"/>
                <w:bCs/>
                <w:color w:val="auto"/>
                <w:sz w:val="24"/>
                <w:highlight w:val="none"/>
                <w:shd w:val="clear" w:color="auto" w:fill="auto"/>
                <w:lang w:val="en-US" w:eastAsia="zh-CN"/>
              </w:rPr>
              <w:t>4t</w:t>
            </w:r>
            <w:r>
              <w:rPr>
                <w:rFonts w:hint="default" w:ascii="Times New Roman" w:hAnsi="Times New Roman" w:eastAsia="宋体" w:cs="Times New Roman"/>
                <w:b w:val="0"/>
                <w:bCs/>
                <w:color w:val="auto"/>
                <w:sz w:val="24"/>
                <w:highlight w:val="none"/>
                <w:shd w:val="clear" w:color="auto" w:fill="auto"/>
                <w:lang w:eastAsia="zh-CN"/>
              </w:rPr>
              <w:t>/a</w:t>
            </w:r>
            <w:r>
              <w:rPr>
                <w:rFonts w:hint="default" w:ascii="Times New Roman" w:hAnsi="Times New Roman" w:eastAsia="宋体" w:cs="Times New Roman"/>
                <w:b w:val="0"/>
                <w:bCs/>
                <w:color w:val="auto"/>
                <w:sz w:val="24"/>
                <w:highlight w:val="none"/>
                <w:shd w:val="clear" w:color="auto" w:fill="auto"/>
                <w:lang w:val="en-US" w:eastAsia="zh-CN"/>
              </w:rPr>
              <w:t>。</w:t>
            </w:r>
          </w:p>
          <w:p w14:paraId="045B7948">
            <w:pPr>
              <w:spacing w:line="360" w:lineRule="auto"/>
              <w:ind w:firstLine="480" w:firstLineChars="200"/>
              <w:rPr>
                <w:rFonts w:hint="default" w:ascii="Times New Roman" w:hAnsi="Times New Roman" w:eastAsia="宋体" w:cs="Times New Roman"/>
                <w:b w:val="0"/>
                <w:bCs/>
                <w:color w:val="auto"/>
                <w:sz w:val="24"/>
                <w:highlight w:val="none"/>
                <w:shd w:val="clear" w:color="auto" w:fill="auto"/>
                <w:lang w:val="en-US" w:eastAsia="zh-CN"/>
              </w:rPr>
            </w:pPr>
            <w:r>
              <w:rPr>
                <w:rFonts w:hint="eastAsia" w:ascii="Times New Roman" w:hAnsi="Times New Roman" w:eastAsia="宋体" w:cs="Times New Roman"/>
                <w:b w:val="0"/>
                <w:bCs/>
                <w:color w:val="auto"/>
                <w:sz w:val="24"/>
                <w:highlight w:val="none"/>
                <w:shd w:val="clear" w:color="auto" w:fill="auto"/>
                <w:lang w:val="en-US" w:eastAsia="zh-CN"/>
              </w:rPr>
              <w:t>④</w:t>
            </w:r>
            <w:r>
              <w:rPr>
                <w:rFonts w:hint="default" w:ascii="Times New Roman" w:hAnsi="Times New Roman" w:eastAsia="宋体" w:cs="Times New Roman"/>
                <w:b w:val="0"/>
                <w:bCs/>
                <w:color w:val="auto"/>
                <w:sz w:val="24"/>
                <w:highlight w:val="none"/>
                <w:shd w:val="clear" w:color="auto" w:fill="auto"/>
                <w:lang w:val="en-US" w:eastAsia="zh-CN"/>
              </w:rPr>
              <w:t>除尘灰</w:t>
            </w:r>
          </w:p>
          <w:p w14:paraId="4B124C05">
            <w:pPr>
              <w:spacing w:line="360" w:lineRule="auto"/>
              <w:ind w:firstLine="480" w:firstLineChars="200"/>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本项目布袋除尘器需定期清理产生除尘灰，根据企业生产经验，产生量约为</w:t>
            </w:r>
            <w:r>
              <w:rPr>
                <w:rFonts w:hint="eastAsia" w:ascii="Times New Roman" w:hAnsi="Times New Roman" w:eastAsia="宋体" w:cs="Times New Roman"/>
                <w:b w:val="0"/>
                <w:bCs/>
                <w:color w:val="auto"/>
                <w:sz w:val="24"/>
                <w:highlight w:val="none"/>
                <w:shd w:val="clear" w:color="auto" w:fill="auto"/>
                <w:lang w:val="en-US" w:eastAsia="zh-CN"/>
              </w:rPr>
              <w:t>0.01</w:t>
            </w:r>
            <w:r>
              <w:rPr>
                <w:rFonts w:hint="default" w:ascii="Times New Roman" w:hAnsi="Times New Roman" w:eastAsia="宋体" w:cs="Times New Roman"/>
                <w:b w:val="0"/>
                <w:bCs/>
                <w:color w:val="auto"/>
                <w:sz w:val="24"/>
                <w:highlight w:val="none"/>
                <w:shd w:val="clear" w:color="auto" w:fill="auto"/>
                <w:lang w:val="en-US" w:eastAsia="zh-CN"/>
              </w:rPr>
              <w:t>t/a。</w:t>
            </w:r>
          </w:p>
          <w:p w14:paraId="446564C8">
            <w:pPr>
              <w:spacing w:line="360" w:lineRule="auto"/>
              <w:ind w:firstLine="480" w:firstLineChars="200"/>
              <w:rPr>
                <w:rFonts w:hint="default" w:ascii="Times New Roman" w:hAnsi="Times New Roman" w:eastAsia="宋体" w:cs="Times New Roman"/>
                <w:b w:val="0"/>
                <w:bCs/>
                <w:color w:val="auto"/>
                <w:sz w:val="24"/>
                <w:highlight w:val="none"/>
                <w:shd w:val="clear" w:color="auto" w:fill="auto"/>
              </w:rPr>
            </w:pP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3</w:t>
            </w: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危险废物</w:t>
            </w:r>
          </w:p>
          <w:p w14:paraId="26DD47FA">
            <w:pPr>
              <w:spacing w:line="360" w:lineRule="auto"/>
              <w:ind w:firstLine="480" w:firstLineChars="200"/>
              <w:rPr>
                <w:rFonts w:hint="default" w:ascii="Times New Roman" w:hAnsi="Times New Roman" w:eastAsia="宋体" w:cs="Times New Roman"/>
                <w:b w:val="0"/>
                <w:bCs/>
                <w:color w:val="auto"/>
                <w:sz w:val="24"/>
                <w:highlight w:val="none"/>
                <w:shd w:val="clear" w:color="auto" w:fill="auto"/>
              </w:rPr>
            </w:pPr>
            <w:r>
              <w:rPr>
                <w:rFonts w:hint="default" w:ascii="Times New Roman" w:hAnsi="Times New Roman" w:eastAsia="宋体" w:cs="Times New Roman"/>
                <w:b w:val="0"/>
                <w:bCs/>
                <w:color w:val="auto"/>
                <w:sz w:val="24"/>
                <w:highlight w:val="none"/>
                <w:shd w:val="clear" w:color="auto" w:fill="auto"/>
              </w:rPr>
              <w:t>项目生产过程中会产生一定量的</w:t>
            </w:r>
            <w:r>
              <w:rPr>
                <w:rFonts w:hint="default" w:ascii="Times New Roman" w:hAnsi="Times New Roman" w:eastAsia="宋体" w:cs="Times New Roman"/>
                <w:b w:val="0"/>
                <w:bCs/>
                <w:color w:val="auto"/>
                <w:sz w:val="24"/>
                <w:highlight w:val="none"/>
                <w:shd w:val="clear" w:color="auto" w:fill="auto"/>
                <w:lang w:eastAsia="zh-CN"/>
              </w:rPr>
              <w:t>废包装桶</w:t>
            </w:r>
            <w:r>
              <w:rPr>
                <w:rFonts w:hint="eastAsia" w:ascii="Times New Roman" w:hAnsi="Times New Roman" w:eastAsia="宋体" w:cs="Times New Roman"/>
                <w:b w:val="0"/>
                <w:bCs/>
                <w:color w:val="auto"/>
                <w:sz w:val="24"/>
                <w:highlight w:val="none"/>
                <w:shd w:val="clear" w:color="auto" w:fill="auto"/>
                <w:lang w:eastAsia="zh-CN"/>
              </w:rPr>
              <w:t>、废抹布、</w:t>
            </w:r>
            <w:r>
              <w:rPr>
                <w:rFonts w:hint="default" w:ascii="Times New Roman" w:hAnsi="Times New Roman" w:eastAsia="宋体" w:cs="Times New Roman"/>
                <w:b w:val="0"/>
                <w:bCs/>
                <w:color w:val="auto"/>
                <w:sz w:val="24"/>
                <w:highlight w:val="none"/>
                <w:shd w:val="clear" w:color="auto" w:fill="auto"/>
                <w:lang w:eastAsia="zh-CN"/>
              </w:rPr>
              <w:t>废活性炭</w:t>
            </w:r>
            <w:r>
              <w:rPr>
                <w:rFonts w:hint="eastAsia" w:ascii="Times New Roman" w:hAnsi="Times New Roman" w:eastAsia="宋体" w:cs="Times New Roman"/>
                <w:b w:val="0"/>
                <w:bCs/>
                <w:color w:val="auto"/>
                <w:sz w:val="24"/>
                <w:highlight w:val="none"/>
                <w:shd w:val="clear" w:color="auto" w:fill="auto"/>
                <w:lang w:eastAsia="zh-CN"/>
              </w:rPr>
              <w:t>、</w:t>
            </w:r>
            <w:r>
              <w:rPr>
                <w:rFonts w:hint="eastAsia" w:ascii="Times New Roman" w:hAnsi="Times New Roman" w:eastAsia="宋体" w:cs="Times New Roman"/>
                <w:b w:val="0"/>
                <w:bCs/>
                <w:color w:val="auto"/>
                <w:sz w:val="24"/>
                <w:highlight w:val="none"/>
                <w:shd w:val="clear" w:color="auto" w:fill="auto"/>
                <w:lang w:val="en-US" w:eastAsia="zh-CN"/>
              </w:rPr>
              <w:t>含油抹布手套</w:t>
            </w:r>
            <w:r>
              <w:rPr>
                <w:rFonts w:hint="default" w:ascii="Times New Roman" w:hAnsi="Times New Roman" w:eastAsia="宋体" w:cs="Times New Roman"/>
                <w:b w:val="0"/>
                <w:bCs/>
                <w:color w:val="auto"/>
                <w:sz w:val="24"/>
                <w:highlight w:val="none"/>
                <w:shd w:val="clear" w:color="auto" w:fill="auto"/>
              </w:rPr>
              <w:t>，属于危险废物,统一收集后交由有资质的单位回收处理。</w:t>
            </w:r>
          </w:p>
          <w:p w14:paraId="1139980F">
            <w:pPr>
              <w:spacing w:line="360" w:lineRule="auto"/>
              <w:ind w:firstLine="480" w:firstLineChars="200"/>
              <w:rPr>
                <w:rFonts w:hint="default" w:ascii="Times New Roman" w:hAnsi="Times New Roman" w:eastAsia="宋体" w:cs="Times New Roman"/>
                <w:b w:val="0"/>
                <w:bCs/>
                <w:color w:val="auto"/>
                <w:sz w:val="24"/>
                <w:highlight w:val="none"/>
                <w:shd w:val="clear" w:color="auto" w:fill="auto"/>
                <w:lang w:eastAsia="zh-CN"/>
              </w:rPr>
            </w:pPr>
            <w:r>
              <w:rPr>
                <w:rFonts w:hint="default" w:ascii="Times New Roman" w:hAnsi="Times New Roman" w:eastAsia="宋体" w:cs="Times New Roman"/>
                <w:b w:val="0"/>
                <w:bCs/>
                <w:color w:val="auto"/>
                <w:sz w:val="24"/>
                <w:highlight w:val="none"/>
                <w:shd w:val="clear" w:color="auto" w:fill="auto"/>
                <w:lang w:val="en-US" w:eastAsia="zh-CN"/>
              </w:rPr>
              <w:t>①</w:t>
            </w:r>
            <w:r>
              <w:rPr>
                <w:rFonts w:hint="default" w:ascii="Times New Roman" w:hAnsi="Times New Roman" w:eastAsia="宋体" w:cs="Times New Roman"/>
                <w:b w:val="0"/>
                <w:bCs/>
                <w:color w:val="auto"/>
                <w:sz w:val="24"/>
                <w:highlight w:val="none"/>
                <w:shd w:val="clear" w:color="auto" w:fill="auto"/>
                <w:lang w:eastAsia="zh-CN"/>
              </w:rPr>
              <w:t>废</w:t>
            </w:r>
            <w:r>
              <w:rPr>
                <w:rFonts w:hint="eastAsia" w:ascii="Times New Roman" w:hAnsi="Times New Roman" w:eastAsia="宋体" w:cs="Times New Roman"/>
                <w:b w:val="0"/>
                <w:bCs/>
                <w:color w:val="auto"/>
                <w:sz w:val="24"/>
                <w:highlight w:val="none"/>
                <w:shd w:val="clear" w:color="auto" w:fill="auto"/>
                <w:lang w:val="en-US" w:eastAsia="zh-CN"/>
              </w:rPr>
              <w:t>包装桶</w:t>
            </w:r>
          </w:p>
          <w:p w14:paraId="168DFB66">
            <w:pPr>
              <w:spacing w:line="360" w:lineRule="auto"/>
              <w:ind w:firstLine="480" w:firstLineChars="200"/>
              <w:rPr>
                <w:rFonts w:hint="default" w:ascii="Times New Roman" w:hAnsi="Times New Roman" w:eastAsia="宋体" w:cs="Times New Roman"/>
                <w:b w:val="0"/>
                <w:bCs/>
                <w:color w:val="auto"/>
                <w:sz w:val="24"/>
                <w:highlight w:val="none"/>
                <w:shd w:val="clear" w:color="auto" w:fill="auto"/>
              </w:rPr>
            </w:pPr>
            <w:r>
              <w:rPr>
                <w:rFonts w:hint="default" w:ascii="Times New Roman" w:hAnsi="Times New Roman" w:eastAsia="宋体" w:cs="Times New Roman"/>
                <w:b w:val="0"/>
                <w:bCs/>
                <w:color w:val="auto"/>
                <w:sz w:val="24"/>
              </w:rPr>
              <w:t>项目生产过程中会产生废</w:t>
            </w:r>
            <w:r>
              <w:rPr>
                <w:rFonts w:hint="eastAsia" w:ascii="Times New Roman" w:hAnsi="Times New Roman" w:eastAsia="宋体" w:cs="Times New Roman"/>
                <w:b w:val="0"/>
                <w:bCs/>
                <w:color w:val="auto"/>
                <w:sz w:val="24"/>
                <w:lang w:val="en-US" w:eastAsia="zh-CN"/>
              </w:rPr>
              <w:t>包装</w:t>
            </w:r>
            <w:r>
              <w:rPr>
                <w:rFonts w:hint="default" w:ascii="Times New Roman" w:hAnsi="Times New Roman" w:eastAsia="宋体" w:cs="Times New Roman"/>
                <w:b w:val="0"/>
                <w:bCs/>
                <w:color w:val="auto"/>
                <w:sz w:val="24"/>
              </w:rPr>
              <w:t>桶，主要为盛装</w:t>
            </w:r>
            <w:r>
              <w:rPr>
                <w:rFonts w:hint="eastAsia" w:ascii="Times New Roman" w:hAnsi="Times New Roman" w:eastAsia="宋体" w:cs="Times New Roman"/>
                <w:b w:val="0"/>
                <w:bCs/>
                <w:color w:val="auto"/>
                <w:sz w:val="24"/>
                <w:lang w:val="en-US" w:eastAsia="zh-CN"/>
              </w:rPr>
              <w:t>油墨、胶粘剂</w:t>
            </w:r>
            <w:r>
              <w:rPr>
                <w:rFonts w:hint="default" w:ascii="Times New Roman" w:hAnsi="Times New Roman" w:eastAsia="宋体" w:cs="Times New Roman"/>
                <w:b w:val="0"/>
                <w:bCs/>
                <w:color w:val="auto"/>
                <w:sz w:val="24"/>
                <w:lang w:val="en-US" w:eastAsia="zh-CN"/>
              </w:rPr>
              <w:t>及</w:t>
            </w:r>
            <w:r>
              <w:rPr>
                <w:rFonts w:hint="eastAsia" w:ascii="Times New Roman" w:hAnsi="Times New Roman" w:eastAsia="宋体" w:cs="Times New Roman"/>
                <w:b w:val="0"/>
                <w:bCs/>
                <w:color w:val="auto"/>
                <w:sz w:val="24"/>
                <w:lang w:val="en-US" w:eastAsia="zh-CN"/>
              </w:rPr>
              <w:t>乙酸乙酯</w:t>
            </w:r>
            <w:r>
              <w:rPr>
                <w:rFonts w:hint="default" w:ascii="Times New Roman" w:hAnsi="Times New Roman" w:eastAsia="宋体" w:cs="Times New Roman"/>
                <w:b w:val="0"/>
                <w:bCs/>
                <w:color w:val="auto"/>
                <w:sz w:val="24"/>
              </w:rPr>
              <w:t>等产生的废</w:t>
            </w:r>
            <w:r>
              <w:rPr>
                <w:rFonts w:hint="eastAsia" w:ascii="Times New Roman" w:hAnsi="Times New Roman" w:eastAsia="宋体" w:cs="Times New Roman"/>
                <w:b w:val="0"/>
                <w:bCs/>
                <w:color w:val="auto"/>
                <w:sz w:val="24"/>
                <w:lang w:val="en-US" w:eastAsia="zh-CN"/>
              </w:rPr>
              <w:t>包装</w:t>
            </w:r>
            <w:r>
              <w:rPr>
                <w:rFonts w:hint="default" w:ascii="Times New Roman" w:hAnsi="Times New Roman" w:eastAsia="宋体" w:cs="Times New Roman"/>
                <w:b w:val="0"/>
                <w:bCs/>
                <w:color w:val="auto"/>
                <w:sz w:val="24"/>
              </w:rPr>
              <w:t>桶，根据建设单位提供的资料，项目废</w:t>
            </w:r>
            <w:r>
              <w:rPr>
                <w:rFonts w:hint="eastAsia" w:ascii="Times New Roman" w:hAnsi="Times New Roman" w:eastAsia="宋体" w:cs="Times New Roman"/>
                <w:b w:val="0"/>
                <w:bCs/>
                <w:color w:val="auto"/>
                <w:sz w:val="24"/>
                <w:lang w:val="en-US" w:eastAsia="zh-CN"/>
              </w:rPr>
              <w:t>包装</w:t>
            </w:r>
            <w:r>
              <w:rPr>
                <w:rFonts w:hint="default" w:ascii="Times New Roman" w:hAnsi="Times New Roman" w:eastAsia="宋体" w:cs="Times New Roman"/>
                <w:b w:val="0"/>
                <w:bCs/>
                <w:color w:val="auto"/>
                <w:sz w:val="24"/>
              </w:rPr>
              <w:t>桶的产生量</w:t>
            </w:r>
            <w:r>
              <w:rPr>
                <w:rFonts w:hint="default" w:ascii="Times New Roman" w:hAnsi="Times New Roman" w:eastAsia="宋体" w:cs="Times New Roman"/>
                <w:b w:val="0"/>
                <w:bCs/>
                <w:color w:val="auto"/>
                <w:sz w:val="24"/>
                <w:lang w:val="en-US" w:eastAsia="zh-CN"/>
              </w:rPr>
              <w:t>约</w:t>
            </w:r>
            <w:r>
              <w:rPr>
                <w:rFonts w:hint="default" w:ascii="Times New Roman" w:hAnsi="Times New Roman" w:eastAsia="宋体" w:cs="Times New Roman"/>
                <w:b w:val="0"/>
                <w:bCs/>
                <w:color w:val="auto"/>
                <w:sz w:val="24"/>
              </w:rPr>
              <w:t>为</w:t>
            </w:r>
            <w:r>
              <w:rPr>
                <w:rFonts w:hint="eastAsia" w:ascii="Times New Roman" w:hAnsi="Times New Roman" w:eastAsia="宋体" w:cs="Times New Roman"/>
                <w:b w:val="0"/>
                <w:bCs/>
                <w:color w:val="auto"/>
                <w:sz w:val="24"/>
                <w:lang w:val="en-US" w:eastAsia="zh-CN"/>
              </w:rPr>
              <w:t>5</w:t>
            </w:r>
            <w:r>
              <w:rPr>
                <w:rFonts w:hint="default" w:ascii="Times New Roman" w:hAnsi="Times New Roman" w:eastAsia="宋体" w:cs="Times New Roman"/>
                <w:b w:val="0"/>
                <w:bCs/>
                <w:color w:val="auto"/>
                <w:sz w:val="24"/>
              </w:rPr>
              <w:t>t</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rPr>
              <w:t>a，属于HW49 类危险废物</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危废代码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900-041-49</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，委托有危险废物处理资质的单位进行处理处置</w:t>
            </w:r>
            <w:r>
              <w:rPr>
                <w:rFonts w:hint="default" w:ascii="Times New Roman" w:hAnsi="Times New Roman" w:eastAsia="宋体" w:cs="Times New Roman"/>
                <w:b w:val="0"/>
                <w:bCs/>
                <w:color w:val="auto"/>
                <w:sz w:val="24"/>
                <w:lang w:eastAsia="zh-CN"/>
              </w:rPr>
              <w:t>。</w:t>
            </w:r>
          </w:p>
          <w:p w14:paraId="0BD6E5BB">
            <w:pPr>
              <w:spacing w:line="360" w:lineRule="auto"/>
              <w:ind w:firstLine="480" w:firstLineChars="200"/>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②</w:t>
            </w:r>
            <w:r>
              <w:rPr>
                <w:rFonts w:hint="eastAsia" w:ascii="Times New Roman" w:hAnsi="Times New Roman" w:eastAsia="宋体" w:cs="Times New Roman"/>
                <w:b w:val="0"/>
                <w:bCs/>
                <w:color w:val="auto"/>
                <w:sz w:val="24"/>
                <w:highlight w:val="none"/>
                <w:shd w:val="clear" w:color="auto" w:fill="auto"/>
                <w:lang w:val="en-US" w:eastAsia="zh-CN"/>
              </w:rPr>
              <w:t>废抹布</w:t>
            </w:r>
          </w:p>
          <w:p w14:paraId="3898334B">
            <w:pPr>
              <w:spacing w:line="360" w:lineRule="auto"/>
              <w:ind w:firstLine="480" w:firstLineChars="200"/>
              <w:rPr>
                <w:rFonts w:hint="default"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lang w:val="en-US" w:eastAsia="zh-CN"/>
              </w:rPr>
              <w:t>印刷、复合后，使用乙酸乙酯对印刷机、复合机进行擦拭清洁</w:t>
            </w:r>
            <w:r>
              <w:rPr>
                <w:rFonts w:hint="eastAsia"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lang w:val="en-US" w:eastAsia="zh-CN"/>
              </w:rPr>
              <w:t>产生</w:t>
            </w:r>
            <w:r>
              <w:rPr>
                <w:rFonts w:hint="eastAsia" w:ascii="Times New Roman" w:hAnsi="Times New Roman" w:eastAsia="宋体" w:cs="Times New Roman"/>
                <w:b w:val="0"/>
                <w:bCs/>
                <w:color w:val="auto"/>
                <w:sz w:val="24"/>
                <w:lang w:val="en-US" w:eastAsia="zh-CN"/>
              </w:rPr>
              <w:t>废抹布</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Cs/>
                <w:color w:val="auto"/>
                <w:sz w:val="24"/>
                <w:highlight w:val="none"/>
                <w:shd w:val="clear" w:color="auto" w:fill="auto"/>
                <w:lang w:val="en-US" w:eastAsia="zh-CN"/>
              </w:rPr>
              <w:t>产生量约</w:t>
            </w:r>
            <w:r>
              <w:rPr>
                <w:rFonts w:hint="eastAsia" w:ascii="Times New Roman" w:hAnsi="Times New Roman" w:eastAsia="宋体" w:cs="Times New Roman"/>
                <w:bCs/>
                <w:color w:val="auto"/>
                <w:sz w:val="24"/>
                <w:highlight w:val="none"/>
                <w:shd w:val="clear" w:color="auto" w:fill="auto"/>
                <w:lang w:val="en-US" w:eastAsia="zh-CN"/>
              </w:rPr>
              <w:t>4.5</w:t>
            </w:r>
            <w:r>
              <w:rPr>
                <w:rFonts w:hint="default" w:ascii="Times New Roman" w:hAnsi="Times New Roman" w:eastAsia="宋体" w:cs="Times New Roman"/>
                <w:bCs/>
                <w:color w:val="auto"/>
                <w:sz w:val="24"/>
                <w:highlight w:val="none"/>
                <w:shd w:val="clear" w:color="auto" w:fill="auto"/>
                <w:lang w:val="en-US" w:eastAsia="zh-CN"/>
              </w:rPr>
              <w:t>t/a，属于HW</w:t>
            </w:r>
            <w:r>
              <w:rPr>
                <w:rFonts w:hint="eastAsia" w:ascii="Times New Roman" w:hAnsi="Times New Roman" w:eastAsia="宋体" w:cs="Times New Roman"/>
                <w:bCs/>
                <w:color w:val="auto"/>
                <w:sz w:val="24"/>
                <w:highlight w:val="none"/>
                <w:shd w:val="clear" w:color="auto" w:fill="auto"/>
                <w:lang w:val="en-US" w:eastAsia="zh-CN"/>
              </w:rPr>
              <w:t>49</w:t>
            </w:r>
            <w:r>
              <w:rPr>
                <w:rFonts w:hint="default" w:ascii="Times New Roman" w:hAnsi="Times New Roman" w:eastAsia="宋体" w:cs="Times New Roman"/>
                <w:bCs/>
                <w:color w:val="auto"/>
                <w:sz w:val="24"/>
                <w:highlight w:val="none"/>
                <w:shd w:val="clear" w:color="auto" w:fill="auto"/>
                <w:lang w:val="en-US" w:eastAsia="zh-CN"/>
              </w:rPr>
              <w:t>类危险废物（</w:t>
            </w:r>
            <w:r>
              <w:rPr>
                <w:rFonts w:hint="default" w:ascii="Times New Roman" w:hAnsi="Times New Roman" w:eastAsia="宋体" w:cs="Times New Roman"/>
                <w:bCs/>
                <w:color w:val="auto"/>
                <w:sz w:val="24"/>
                <w:highlight w:val="none"/>
                <w:shd w:val="clear" w:color="auto" w:fill="auto"/>
              </w:rPr>
              <w:t>900-</w:t>
            </w:r>
            <w:r>
              <w:rPr>
                <w:rFonts w:hint="eastAsia" w:ascii="Times New Roman" w:hAnsi="Times New Roman" w:eastAsia="宋体" w:cs="Times New Roman"/>
                <w:bCs/>
                <w:color w:val="auto"/>
                <w:sz w:val="24"/>
                <w:highlight w:val="none"/>
                <w:shd w:val="clear" w:color="auto" w:fill="auto"/>
                <w:lang w:val="en-US" w:eastAsia="zh-CN"/>
              </w:rPr>
              <w:t>041</w:t>
            </w:r>
            <w:r>
              <w:rPr>
                <w:rFonts w:hint="default" w:ascii="Times New Roman" w:hAnsi="Times New Roman" w:eastAsia="宋体" w:cs="Times New Roman"/>
                <w:bCs/>
                <w:color w:val="auto"/>
                <w:sz w:val="24"/>
                <w:highlight w:val="none"/>
                <w:shd w:val="clear" w:color="auto" w:fill="auto"/>
              </w:rPr>
              <w:t>-</w:t>
            </w:r>
            <w:r>
              <w:rPr>
                <w:rFonts w:hint="eastAsia" w:ascii="Times New Roman" w:hAnsi="Times New Roman" w:eastAsia="宋体" w:cs="Times New Roman"/>
                <w:bCs/>
                <w:color w:val="auto"/>
                <w:sz w:val="24"/>
                <w:highlight w:val="none"/>
                <w:shd w:val="clear" w:color="auto" w:fill="auto"/>
                <w:lang w:val="en-US" w:eastAsia="zh-CN"/>
              </w:rPr>
              <w:t>49</w:t>
            </w:r>
            <w:r>
              <w:rPr>
                <w:rFonts w:hint="default" w:ascii="Times New Roman" w:hAnsi="Times New Roman" w:eastAsia="宋体" w:cs="Times New Roman"/>
                <w:bCs/>
                <w:color w:val="auto"/>
                <w:sz w:val="24"/>
                <w:highlight w:val="none"/>
                <w:shd w:val="clear" w:color="auto" w:fill="auto"/>
                <w:lang w:val="en-US" w:eastAsia="zh-CN"/>
              </w:rPr>
              <w:t>），</w:t>
            </w:r>
            <w:r>
              <w:rPr>
                <w:rFonts w:hint="default" w:ascii="Times New Roman" w:hAnsi="Times New Roman" w:eastAsia="宋体" w:cs="Times New Roman"/>
                <w:b w:val="0"/>
                <w:bCs/>
                <w:color w:val="auto"/>
                <w:sz w:val="24"/>
                <w:highlight w:val="none"/>
                <w:shd w:val="clear" w:color="auto" w:fill="auto"/>
                <w:lang w:val="en-US" w:eastAsia="zh-CN"/>
              </w:rPr>
              <w:t>收集后委托有资质单位进行处置。</w:t>
            </w:r>
          </w:p>
          <w:p w14:paraId="1DA568C0">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shd w:val="clear" w:color="auto" w:fill="auto"/>
                <w:lang w:val="en-US" w:eastAsia="zh-CN"/>
              </w:rPr>
              <w:t>③</w:t>
            </w:r>
            <w:r>
              <w:rPr>
                <w:rFonts w:hint="eastAsia" w:ascii="Times New Roman" w:hAnsi="Times New Roman" w:eastAsia="宋体" w:cs="Times New Roman"/>
                <w:b w:val="0"/>
                <w:bCs/>
                <w:color w:val="auto"/>
                <w:sz w:val="24"/>
                <w:highlight w:val="none"/>
                <w:shd w:val="clear" w:color="auto" w:fill="auto"/>
                <w:lang w:val="en-US" w:eastAsia="zh-CN"/>
              </w:rPr>
              <w:t>废活性炭</w:t>
            </w:r>
          </w:p>
          <w:p w14:paraId="771C28E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shd w:val="clear" w:color="auto" w:fill="auto"/>
                <w:lang w:eastAsia="zh-CN"/>
              </w:rPr>
            </w:pPr>
            <w:r>
              <w:rPr>
                <w:rFonts w:hint="default" w:ascii="Times New Roman" w:hAnsi="Times New Roman" w:eastAsia="宋体" w:cs="Times New Roman"/>
                <w:b w:val="0"/>
                <w:bCs/>
                <w:color w:val="auto"/>
                <w:sz w:val="24"/>
                <w:highlight w:val="none"/>
                <w:shd w:val="clear" w:color="auto" w:fill="auto"/>
                <w:lang w:val="en-US" w:eastAsia="zh-CN"/>
              </w:rPr>
              <w:t>本</w:t>
            </w:r>
            <w:r>
              <w:rPr>
                <w:rFonts w:hint="default" w:ascii="Times New Roman" w:hAnsi="Times New Roman" w:eastAsia="宋体" w:cs="Times New Roman"/>
                <w:b w:val="0"/>
                <w:bCs/>
                <w:color w:val="auto"/>
                <w:sz w:val="24"/>
                <w:highlight w:val="none"/>
                <w:shd w:val="clear" w:color="auto" w:fill="auto"/>
                <w:lang w:eastAsia="zh-CN"/>
              </w:rPr>
              <w:t>项目废气处理设施二级活性炭吸附装置定期更换活性炭，活性炭按照《省生态环境厅关于将排污单位活性炭使用更换纳入排污许可管理的通知》中计算公式对活性炭更换频次进行计算。</w:t>
            </w:r>
          </w:p>
          <w:p w14:paraId="49D1C92B">
            <w:pPr>
              <w:spacing w:line="360" w:lineRule="auto"/>
              <w:ind w:firstLine="480" w:firstLineChars="200"/>
              <w:rPr>
                <w:rFonts w:hint="default" w:ascii="Times New Roman" w:hAnsi="Times New Roman" w:eastAsia="宋体" w:cs="Times New Roman"/>
                <w:b w:val="0"/>
                <w:bCs/>
                <w:color w:val="auto"/>
                <w:sz w:val="24"/>
                <w:highlight w:val="none"/>
                <w:shd w:val="clear" w:color="auto" w:fill="auto"/>
              </w:rPr>
            </w:pPr>
            <w:r>
              <w:rPr>
                <w:rFonts w:hint="default" w:ascii="Times New Roman" w:hAnsi="Times New Roman" w:eastAsia="宋体" w:cs="Times New Roman"/>
                <w:b w:val="0"/>
                <w:bCs/>
                <w:color w:val="auto"/>
                <w:sz w:val="24"/>
                <w:highlight w:val="none"/>
                <w:shd w:val="clear" w:color="auto" w:fill="auto"/>
                <w:lang w:eastAsia="zh-CN"/>
              </w:rPr>
              <w:t>经前文4.2.2章节计算，预计全厂产生废活性炭量</w:t>
            </w:r>
            <w:r>
              <w:rPr>
                <w:rFonts w:hint="eastAsia" w:ascii="Times New Roman" w:hAnsi="Times New Roman" w:eastAsia="宋体" w:cs="Times New Roman"/>
                <w:b w:val="0"/>
                <w:bCs/>
                <w:color w:val="auto"/>
                <w:sz w:val="24"/>
                <w:highlight w:val="none"/>
                <w:shd w:val="clear" w:color="auto" w:fill="auto"/>
                <w:lang w:val="en-US" w:eastAsia="zh-CN"/>
              </w:rPr>
              <w:t>6.2</w:t>
            </w:r>
            <w:r>
              <w:rPr>
                <w:rFonts w:hint="default" w:ascii="Times New Roman" w:hAnsi="Times New Roman" w:eastAsia="宋体" w:cs="Times New Roman"/>
                <w:b w:val="0"/>
                <w:bCs/>
                <w:color w:val="auto"/>
                <w:sz w:val="24"/>
                <w:highlight w:val="none"/>
                <w:shd w:val="clear" w:color="auto" w:fill="auto"/>
                <w:lang w:eastAsia="zh-CN"/>
              </w:rPr>
              <w:t>t（含吸附的有机废气量）。</w:t>
            </w:r>
            <w:r>
              <w:rPr>
                <w:rFonts w:hint="default" w:ascii="Times New Roman" w:hAnsi="Times New Roman" w:eastAsia="宋体" w:cs="Times New Roman"/>
                <w:b w:val="0"/>
                <w:bCs/>
                <w:color w:val="auto"/>
                <w:sz w:val="24"/>
                <w:highlight w:val="none"/>
                <w:shd w:val="clear" w:color="auto" w:fill="auto"/>
                <w:lang w:val="en-US" w:eastAsia="zh-CN"/>
              </w:rPr>
              <w:t>属于</w:t>
            </w:r>
            <w:r>
              <w:rPr>
                <w:rFonts w:hint="default" w:ascii="Times New Roman" w:hAnsi="Times New Roman" w:eastAsia="宋体" w:cs="Times New Roman"/>
                <w:b w:val="0"/>
                <w:bCs/>
                <w:color w:val="auto"/>
                <w:sz w:val="24"/>
                <w:highlight w:val="none"/>
                <w:shd w:val="clear" w:color="auto" w:fill="auto"/>
              </w:rPr>
              <w:t>HW</w:t>
            </w:r>
            <w:r>
              <w:rPr>
                <w:rFonts w:hint="default" w:ascii="Times New Roman" w:hAnsi="Times New Roman" w:eastAsia="宋体" w:cs="Times New Roman"/>
                <w:b w:val="0"/>
                <w:bCs/>
                <w:color w:val="auto"/>
                <w:sz w:val="24"/>
                <w:highlight w:val="none"/>
                <w:shd w:val="clear" w:color="auto" w:fill="auto"/>
                <w:lang w:val="en-US" w:eastAsia="zh-CN"/>
              </w:rPr>
              <w:t>49</w:t>
            </w:r>
            <w:r>
              <w:rPr>
                <w:rFonts w:hint="default" w:ascii="Times New Roman" w:hAnsi="Times New Roman" w:eastAsia="宋体" w:cs="Times New Roman"/>
                <w:b w:val="0"/>
                <w:bCs/>
                <w:color w:val="auto"/>
                <w:sz w:val="24"/>
                <w:highlight w:val="none"/>
                <w:shd w:val="clear" w:color="auto" w:fill="auto"/>
              </w:rPr>
              <w:t>类危险废物</w:t>
            </w: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危废代码</w:t>
            </w: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900-0</w:t>
            </w:r>
            <w:r>
              <w:rPr>
                <w:rFonts w:hint="default" w:ascii="Times New Roman" w:hAnsi="Times New Roman" w:eastAsia="宋体" w:cs="Times New Roman"/>
                <w:b w:val="0"/>
                <w:bCs/>
                <w:color w:val="auto"/>
                <w:sz w:val="24"/>
                <w:highlight w:val="none"/>
                <w:shd w:val="clear" w:color="auto" w:fill="auto"/>
                <w:lang w:val="en-US" w:eastAsia="zh-CN"/>
              </w:rPr>
              <w:t>39</w:t>
            </w:r>
            <w:r>
              <w:rPr>
                <w:rFonts w:hint="default" w:ascii="Times New Roman" w:hAnsi="Times New Roman" w:eastAsia="宋体" w:cs="Times New Roman"/>
                <w:b w:val="0"/>
                <w:bCs/>
                <w:color w:val="auto"/>
                <w:sz w:val="24"/>
                <w:highlight w:val="none"/>
                <w:shd w:val="clear" w:color="auto" w:fill="auto"/>
              </w:rPr>
              <w:t>-49</w:t>
            </w:r>
            <w:r>
              <w:rPr>
                <w:rFonts w:hint="default"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rPr>
              <w:t>，委托有危险废物处理资质的单位进行处理处置。</w:t>
            </w:r>
          </w:p>
          <w:p w14:paraId="22634856">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shd w:val="clear" w:color="auto" w:fill="auto"/>
                <w:lang w:val="en-US" w:eastAsia="zh-CN"/>
              </w:rPr>
              <w:t>④</w:t>
            </w:r>
            <w:r>
              <w:rPr>
                <w:rFonts w:hint="default" w:ascii="Times New Roman" w:hAnsi="Times New Roman" w:eastAsia="宋体" w:cs="Times New Roman"/>
                <w:b w:val="0"/>
                <w:bCs/>
                <w:color w:val="auto"/>
                <w:sz w:val="24"/>
                <w:highlight w:val="none"/>
                <w:lang w:eastAsia="zh-CN"/>
              </w:rPr>
              <w:t>含油抹布手套</w:t>
            </w:r>
          </w:p>
          <w:p w14:paraId="7D5CF5D3">
            <w:pPr>
              <w:spacing w:line="360" w:lineRule="auto"/>
              <w:ind w:firstLine="480" w:firstLineChars="200"/>
              <w:rPr>
                <w:rFonts w:hint="eastAsia" w:ascii="Times New Roman" w:hAnsi="Times New Roman" w:eastAsia="宋体" w:cs="Times New Roman"/>
                <w:b w:val="0"/>
                <w:bCs/>
                <w:color w:val="auto"/>
                <w:sz w:val="24"/>
                <w:highlight w:val="none"/>
                <w:shd w:val="clear" w:color="auto" w:fill="auto"/>
                <w:lang w:val="en-US" w:eastAsia="zh-CN"/>
              </w:rPr>
            </w:pPr>
            <w:r>
              <w:rPr>
                <w:rFonts w:hint="default" w:ascii="Times New Roman" w:hAnsi="Times New Roman" w:eastAsia="宋体" w:cs="Times New Roman"/>
                <w:b w:val="0"/>
                <w:bCs/>
                <w:color w:val="auto"/>
                <w:sz w:val="24"/>
                <w:highlight w:val="none"/>
                <w:lang w:eastAsia="zh-CN"/>
              </w:rPr>
              <w:t>本项目设备维</w:t>
            </w:r>
            <w:r>
              <w:rPr>
                <w:rFonts w:hint="eastAsia" w:ascii="Times New Roman" w:hAnsi="Times New Roman" w:eastAsia="宋体" w:cs="Times New Roman"/>
                <w:b w:val="0"/>
                <w:bCs/>
                <w:color w:val="auto"/>
                <w:sz w:val="24"/>
                <w:highlight w:val="none"/>
                <w:lang w:val="en-US" w:eastAsia="zh-CN"/>
              </w:rPr>
              <w:t>护</w:t>
            </w:r>
            <w:r>
              <w:rPr>
                <w:rFonts w:hint="default" w:ascii="Times New Roman" w:hAnsi="Times New Roman" w:eastAsia="宋体" w:cs="Times New Roman"/>
                <w:b w:val="0"/>
                <w:bCs/>
                <w:color w:val="auto"/>
                <w:sz w:val="24"/>
                <w:highlight w:val="none"/>
                <w:lang w:eastAsia="zh-CN"/>
              </w:rPr>
              <w:t>过程会产生含油抹布手套，产生量约为0.</w:t>
            </w:r>
            <w:r>
              <w:rPr>
                <w:rFonts w:hint="eastAsia" w:ascii="Times New Roman" w:hAnsi="Times New Roman" w:eastAsia="宋体" w:cs="Times New Roman"/>
                <w:b w:val="0"/>
                <w:bCs/>
                <w:color w:val="auto"/>
                <w:sz w:val="24"/>
                <w:highlight w:val="none"/>
                <w:lang w:val="en-US" w:eastAsia="zh-CN"/>
              </w:rPr>
              <w:t>01</w:t>
            </w:r>
            <w:r>
              <w:rPr>
                <w:rFonts w:hint="default" w:ascii="Times New Roman" w:hAnsi="Times New Roman" w:eastAsia="宋体" w:cs="Times New Roman"/>
                <w:b w:val="0"/>
                <w:bCs/>
                <w:color w:val="auto"/>
                <w:sz w:val="24"/>
                <w:highlight w:val="none"/>
                <w:lang w:eastAsia="zh-CN"/>
              </w:rPr>
              <w:t>t/</w:t>
            </w:r>
            <w:r>
              <w:rPr>
                <w:rFonts w:hint="eastAsia" w:ascii="Times New Roman" w:hAnsi="Times New Roman" w:eastAsia="宋体" w:cs="Times New Roman"/>
                <w:b w:val="0"/>
                <w:bCs/>
                <w:color w:val="auto"/>
                <w:sz w:val="24"/>
                <w:highlight w:val="none"/>
                <w:lang w:val="en-US" w:eastAsia="zh-CN"/>
              </w:rPr>
              <w:t>a</w:t>
            </w: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Cs/>
                <w:color w:val="auto"/>
                <w:sz w:val="24"/>
                <w:highlight w:val="none"/>
                <w:shd w:val="clear" w:color="auto" w:fill="auto"/>
                <w:lang w:val="en-US" w:eastAsia="zh-CN"/>
              </w:rPr>
              <w:t>属于HW</w:t>
            </w:r>
            <w:r>
              <w:rPr>
                <w:rFonts w:hint="eastAsia" w:ascii="Times New Roman" w:hAnsi="Times New Roman" w:eastAsia="宋体" w:cs="Times New Roman"/>
                <w:bCs/>
                <w:color w:val="auto"/>
                <w:sz w:val="24"/>
                <w:highlight w:val="none"/>
                <w:shd w:val="clear" w:color="auto" w:fill="auto"/>
                <w:lang w:val="en-US" w:eastAsia="zh-CN"/>
              </w:rPr>
              <w:t>49</w:t>
            </w:r>
            <w:r>
              <w:rPr>
                <w:rFonts w:hint="default" w:ascii="Times New Roman" w:hAnsi="Times New Roman" w:eastAsia="宋体" w:cs="Times New Roman"/>
                <w:bCs/>
                <w:color w:val="auto"/>
                <w:sz w:val="24"/>
                <w:highlight w:val="none"/>
                <w:shd w:val="clear" w:color="auto" w:fill="auto"/>
                <w:lang w:val="en-US" w:eastAsia="zh-CN"/>
              </w:rPr>
              <w:t>类危险废物（</w:t>
            </w:r>
            <w:r>
              <w:rPr>
                <w:rFonts w:hint="default" w:ascii="Times New Roman" w:hAnsi="Times New Roman" w:eastAsia="宋体" w:cs="Times New Roman"/>
                <w:bCs/>
                <w:color w:val="auto"/>
                <w:sz w:val="24"/>
                <w:highlight w:val="none"/>
                <w:shd w:val="clear" w:color="auto" w:fill="auto"/>
              </w:rPr>
              <w:t>900-</w:t>
            </w:r>
            <w:r>
              <w:rPr>
                <w:rFonts w:hint="eastAsia" w:ascii="Times New Roman" w:hAnsi="Times New Roman" w:eastAsia="宋体" w:cs="Times New Roman"/>
                <w:bCs/>
                <w:color w:val="auto"/>
                <w:sz w:val="24"/>
                <w:highlight w:val="none"/>
                <w:shd w:val="clear" w:color="auto" w:fill="auto"/>
                <w:lang w:val="en-US" w:eastAsia="zh-CN"/>
              </w:rPr>
              <w:t>041</w:t>
            </w:r>
            <w:r>
              <w:rPr>
                <w:rFonts w:hint="default" w:ascii="Times New Roman" w:hAnsi="Times New Roman" w:eastAsia="宋体" w:cs="Times New Roman"/>
                <w:bCs/>
                <w:color w:val="auto"/>
                <w:sz w:val="24"/>
                <w:highlight w:val="none"/>
                <w:shd w:val="clear" w:color="auto" w:fill="auto"/>
              </w:rPr>
              <w:t>-</w:t>
            </w:r>
            <w:r>
              <w:rPr>
                <w:rFonts w:hint="eastAsia" w:ascii="Times New Roman" w:hAnsi="Times New Roman" w:eastAsia="宋体" w:cs="Times New Roman"/>
                <w:bCs/>
                <w:color w:val="auto"/>
                <w:sz w:val="24"/>
                <w:highlight w:val="none"/>
                <w:shd w:val="clear" w:color="auto" w:fill="auto"/>
                <w:lang w:val="en-US" w:eastAsia="zh-CN"/>
              </w:rPr>
              <w:t>49</w:t>
            </w:r>
            <w:r>
              <w:rPr>
                <w:rFonts w:hint="default" w:ascii="Times New Roman" w:hAnsi="Times New Roman" w:eastAsia="宋体" w:cs="Times New Roman"/>
                <w:bCs/>
                <w:color w:val="auto"/>
                <w:sz w:val="24"/>
                <w:highlight w:val="none"/>
                <w:shd w:val="clear" w:color="auto" w:fill="auto"/>
                <w:lang w:val="en-US" w:eastAsia="zh-CN"/>
              </w:rPr>
              <w:t>），</w:t>
            </w:r>
            <w:r>
              <w:rPr>
                <w:rFonts w:hint="default" w:ascii="Times New Roman" w:hAnsi="Times New Roman" w:eastAsia="宋体" w:cs="Times New Roman"/>
                <w:b w:val="0"/>
                <w:bCs/>
                <w:color w:val="auto"/>
                <w:sz w:val="24"/>
                <w:highlight w:val="none"/>
                <w:lang w:eastAsia="zh-CN"/>
              </w:rPr>
              <w:t>收集后委托有资质单位处置。</w:t>
            </w:r>
          </w:p>
          <w:p w14:paraId="08ABB82E">
            <w:pPr>
              <w:spacing w:line="360" w:lineRule="auto"/>
              <w:ind w:firstLine="482" w:firstLineChars="200"/>
              <w:rPr>
                <w:rFonts w:hint="default" w:ascii="Times New Roman" w:hAnsi="Times New Roman" w:eastAsia="宋体" w:cs="Times New Roman"/>
                <w:b/>
                <w:bCs w:val="0"/>
                <w:color w:val="auto"/>
                <w:sz w:val="24"/>
                <w:highlight w:val="none"/>
                <w:shd w:val="clear" w:color="auto" w:fill="auto"/>
              </w:rPr>
            </w:pPr>
            <w:r>
              <w:rPr>
                <w:rFonts w:hint="default" w:ascii="Times New Roman" w:hAnsi="Times New Roman" w:eastAsia="宋体" w:cs="Times New Roman"/>
                <w:b/>
                <w:bCs w:val="0"/>
                <w:color w:val="auto"/>
                <w:sz w:val="24"/>
                <w:highlight w:val="none"/>
                <w:shd w:val="clear" w:color="auto" w:fill="auto"/>
              </w:rPr>
              <w:t>2、固体废物属性判定</w:t>
            </w:r>
          </w:p>
          <w:p w14:paraId="17D28EFD">
            <w:pPr>
              <w:spacing w:line="360" w:lineRule="auto"/>
              <w:ind w:firstLine="480" w:firstLineChars="200"/>
              <w:rPr>
                <w:rFonts w:hint="default" w:ascii="Times New Roman" w:hAnsi="Times New Roman" w:eastAsia="宋体" w:cs="Times New Roman"/>
                <w:b w:val="0"/>
                <w:bCs/>
                <w:color w:val="auto"/>
                <w:sz w:val="24"/>
                <w:highlight w:val="none"/>
                <w:shd w:val="clear" w:color="auto" w:fill="auto"/>
              </w:rPr>
            </w:pPr>
            <w:r>
              <w:rPr>
                <w:rFonts w:hint="default" w:ascii="Times New Roman" w:hAnsi="Times New Roman" w:eastAsia="宋体" w:cs="Times New Roman"/>
                <w:b w:val="0"/>
                <w:bCs/>
                <w:color w:val="auto"/>
                <w:sz w:val="24"/>
                <w:highlight w:val="none"/>
                <w:shd w:val="clear" w:color="auto" w:fill="auto"/>
              </w:rPr>
              <w:t>根据《中华人民共和国固体废物污染环境防治法》、《固体废物鉴别标准通则》（GB34330-2017）、《建设项目危险废物环境影响评价指南》（公告2017年第43号）和《关于贯彻落实建设项目危险废物环境影响评价指南要求的通知》（苏环办[2018]18号）的规定，判断建设项目生产过程中产生的副产物是否属于固体废物，判定依据及结果见表4-</w:t>
            </w:r>
            <w:r>
              <w:rPr>
                <w:rFonts w:hint="eastAsia" w:ascii="Times New Roman" w:hAnsi="Times New Roman" w:eastAsia="宋体" w:cs="Times New Roman"/>
                <w:b w:val="0"/>
                <w:bCs/>
                <w:color w:val="auto"/>
                <w:sz w:val="24"/>
                <w:highlight w:val="none"/>
                <w:shd w:val="clear" w:color="auto" w:fill="auto"/>
                <w:lang w:val="en-US" w:eastAsia="zh-CN"/>
              </w:rPr>
              <w:t>23</w:t>
            </w:r>
            <w:r>
              <w:rPr>
                <w:rFonts w:hint="default" w:ascii="Times New Roman" w:hAnsi="Times New Roman" w:eastAsia="宋体" w:cs="Times New Roman"/>
                <w:b w:val="0"/>
                <w:bCs/>
                <w:color w:val="auto"/>
                <w:sz w:val="24"/>
                <w:highlight w:val="none"/>
                <w:shd w:val="clear" w:color="auto" w:fill="auto"/>
              </w:rPr>
              <w:t>。</w:t>
            </w:r>
          </w:p>
          <w:p w14:paraId="3756A436">
            <w:pPr>
              <w:jc w:val="center"/>
              <w:rPr>
                <w:rFonts w:hint="default" w:ascii="Times New Roman" w:hAnsi="Times New Roman" w:eastAsia="宋体" w:cs="Times New Roman"/>
                <w:b/>
                <w:color w:val="auto"/>
                <w:sz w:val="24"/>
                <w:highlight w:val="none"/>
                <w:shd w:val="clear" w:color="auto" w:fill="auto"/>
              </w:rPr>
            </w:pPr>
          </w:p>
          <w:p w14:paraId="7467770F">
            <w:pPr>
              <w:jc w:val="center"/>
              <w:rPr>
                <w:rFonts w:hint="default" w:ascii="Times New Roman" w:hAnsi="Times New Roman" w:eastAsia="宋体" w:cs="Times New Roman"/>
                <w:b/>
                <w:color w:val="auto"/>
                <w:sz w:val="24"/>
                <w:highlight w:val="none"/>
                <w:shd w:val="clear" w:color="auto" w:fill="auto"/>
              </w:rPr>
            </w:pPr>
          </w:p>
          <w:p w14:paraId="50CA00D3">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表4-</w:t>
            </w:r>
            <w:r>
              <w:rPr>
                <w:rFonts w:hint="eastAsia" w:ascii="Times New Roman" w:hAnsi="Times New Roman" w:eastAsia="宋体" w:cs="Times New Roman"/>
                <w:b/>
                <w:color w:val="auto"/>
                <w:sz w:val="24"/>
                <w:highlight w:val="none"/>
                <w:shd w:val="clear" w:color="auto" w:fill="auto"/>
                <w:lang w:val="en-US" w:eastAsia="zh-CN"/>
              </w:rPr>
              <w:t>23</w:t>
            </w:r>
            <w:r>
              <w:rPr>
                <w:rFonts w:hint="default" w:ascii="Times New Roman" w:hAnsi="Times New Roman" w:eastAsia="宋体" w:cs="Times New Roman"/>
                <w:b/>
                <w:color w:val="auto"/>
                <w:sz w:val="24"/>
                <w:highlight w:val="none"/>
                <w:shd w:val="clear" w:color="auto" w:fill="auto"/>
              </w:rPr>
              <w:t xml:space="preserve">  本项目副产物产生情况汇总表</w:t>
            </w:r>
          </w:p>
          <w:tbl>
            <w:tblPr>
              <w:tblStyle w:val="27"/>
              <w:tblW w:w="50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192"/>
              <w:gridCol w:w="1183"/>
              <w:gridCol w:w="808"/>
              <w:gridCol w:w="934"/>
              <w:gridCol w:w="925"/>
              <w:gridCol w:w="766"/>
              <w:gridCol w:w="909"/>
              <w:gridCol w:w="1309"/>
            </w:tblGrid>
            <w:tr w14:paraId="43F9C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vMerge w:val="restart"/>
                  <w:vAlign w:val="center"/>
                </w:tcPr>
                <w:p w14:paraId="43A9B840">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序号</w:t>
                  </w:r>
                </w:p>
              </w:tc>
              <w:tc>
                <w:tcPr>
                  <w:tcW w:w="702" w:type="pct"/>
                  <w:vMerge w:val="restart"/>
                  <w:vAlign w:val="center"/>
                </w:tcPr>
                <w:p w14:paraId="6580564D">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副产物</w:t>
                  </w:r>
                </w:p>
                <w:p w14:paraId="1013EF7C">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名称</w:t>
                  </w:r>
                </w:p>
              </w:tc>
              <w:tc>
                <w:tcPr>
                  <w:tcW w:w="696" w:type="pct"/>
                  <w:vMerge w:val="restart"/>
                  <w:vAlign w:val="center"/>
                </w:tcPr>
                <w:p w14:paraId="3C03BF60">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产生</w:t>
                  </w:r>
                </w:p>
                <w:p w14:paraId="62E342C5">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来源</w:t>
                  </w:r>
                </w:p>
              </w:tc>
              <w:tc>
                <w:tcPr>
                  <w:tcW w:w="475" w:type="pct"/>
                  <w:vMerge w:val="restart"/>
                  <w:vAlign w:val="center"/>
                </w:tcPr>
                <w:p w14:paraId="45621005">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形态</w:t>
                  </w:r>
                </w:p>
              </w:tc>
              <w:tc>
                <w:tcPr>
                  <w:tcW w:w="550" w:type="pct"/>
                  <w:vMerge w:val="restart"/>
                  <w:vAlign w:val="center"/>
                </w:tcPr>
                <w:p w14:paraId="2C03CC63">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主要</w:t>
                  </w:r>
                </w:p>
                <w:p w14:paraId="5ADE22B4">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成分</w:t>
                  </w:r>
                </w:p>
              </w:tc>
              <w:tc>
                <w:tcPr>
                  <w:tcW w:w="544" w:type="pct"/>
                  <w:vMerge w:val="restart"/>
                  <w:vAlign w:val="center"/>
                </w:tcPr>
                <w:p w14:paraId="698D28E0">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预测产生量（t/a）</w:t>
                  </w:r>
                </w:p>
              </w:tc>
              <w:tc>
                <w:tcPr>
                  <w:tcW w:w="1757" w:type="pct"/>
                  <w:gridSpan w:val="3"/>
                  <w:vAlign w:val="center"/>
                </w:tcPr>
                <w:p w14:paraId="531A322D">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种类判断*</w:t>
                  </w:r>
                </w:p>
              </w:tc>
            </w:tr>
            <w:tr w14:paraId="38B82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vMerge w:val="continue"/>
                  <w:vAlign w:val="center"/>
                </w:tcPr>
                <w:p w14:paraId="32E4066E">
                  <w:pPr>
                    <w:adjustRightInd w:val="0"/>
                    <w:snapToGrid w:val="0"/>
                    <w:jc w:val="center"/>
                    <w:rPr>
                      <w:rFonts w:hint="default" w:ascii="Times New Roman" w:hAnsi="Times New Roman" w:eastAsia="宋体" w:cs="Times New Roman"/>
                      <w:b/>
                      <w:color w:val="auto"/>
                      <w:sz w:val="21"/>
                      <w:szCs w:val="21"/>
                      <w:highlight w:val="none"/>
                      <w:shd w:val="clear" w:color="auto" w:fill="auto"/>
                    </w:rPr>
                  </w:pPr>
                </w:p>
              </w:tc>
              <w:tc>
                <w:tcPr>
                  <w:tcW w:w="702" w:type="pct"/>
                  <w:vMerge w:val="continue"/>
                  <w:vAlign w:val="center"/>
                </w:tcPr>
                <w:p w14:paraId="6F931302">
                  <w:pPr>
                    <w:adjustRightInd w:val="0"/>
                    <w:snapToGrid w:val="0"/>
                    <w:jc w:val="center"/>
                    <w:rPr>
                      <w:rFonts w:hint="default" w:ascii="Times New Roman" w:hAnsi="Times New Roman" w:eastAsia="宋体" w:cs="Times New Roman"/>
                      <w:b/>
                      <w:color w:val="auto"/>
                      <w:sz w:val="21"/>
                      <w:szCs w:val="21"/>
                      <w:highlight w:val="none"/>
                      <w:shd w:val="clear" w:color="auto" w:fill="auto"/>
                    </w:rPr>
                  </w:pPr>
                </w:p>
              </w:tc>
              <w:tc>
                <w:tcPr>
                  <w:tcW w:w="696" w:type="pct"/>
                  <w:vMerge w:val="continue"/>
                  <w:vAlign w:val="center"/>
                </w:tcPr>
                <w:p w14:paraId="54D2EB04">
                  <w:pPr>
                    <w:adjustRightInd w:val="0"/>
                    <w:snapToGrid w:val="0"/>
                    <w:jc w:val="center"/>
                    <w:rPr>
                      <w:rFonts w:hint="default" w:ascii="Times New Roman" w:hAnsi="Times New Roman" w:eastAsia="宋体" w:cs="Times New Roman"/>
                      <w:b/>
                      <w:color w:val="auto"/>
                      <w:sz w:val="21"/>
                      <w:szCs w:val="21"/>
                      <w:highlight w:val="none"/>
                      <w:shd w:val="clear" w:color="auto" w:fill="auto"/>
                    </w:rPr>
                  </w:pPr>
                </w:p>
              </w:tc>
              <w:tc>
                <w:tcPr>
                  <w:tcW w:w="475" w:type="pct"/>
                  <w:vMerge w:val="continue"/>
                  <w:vAlign w:val="center"/>
                </w:tcPr>
                <w:p w14:paraId="626A2040">
                  <w:pPr>
                    <w:adjustRightInd w:val="0"/>
                    <w:snapToGrid w:val="0"/>
                    <w:jc w:val="center"/>
                    <w:rPr>
                      <w:rFonts w:hint="default" w:ascii="Times New Roman" w:hAnsi="Times New Roman" w:eastAsia="宋体" w:cs="Times New Roman"/>
                      <w:b/>
                      <w:color w:val="auto"/>
                      <w:sz w:val="21"/>
                      <w:szCs w:val="21"/>
                      <w:highlight w:val="none"/>
                      <w:shd w:val="clear" w:color="auto" w:fill="auto"/>
                    </w:rPr>
                  </w:pPr>
                </w:p>
              </w:tc>
              <w:tc>
                <w:tcPr>
                  <w:tcW w:w="550" w:type="pct"/>
                  <w:vMerge w:val="continue"/>
                  <w:vAlign w:val="center"/>
                </w:tcPr>
                <w:p w14:paraId="6F19D997">
                  <w:pPr>
                    <w:adjustRightInd w:val="0"/>
                    <w:snapToGrid w:val="0"/>
                    <w:jc w:val="center"/>
                    <w:rPr>
                      <w:rFonts w:hint="default" w:ascii="Times New Roman" w:hAnsi="Times New Roman" w:eastAsia="宋体" w:cs="Times New Roman"/>
                      <w:b/>
                      <w:color w:val="auto"/>
                      <w:sz w:val="21"/>
                      <w:szCs w:val="21"/>
                      <w:highlight w:val="none"/>
                      <w:shd w:val="clear" w:color="auto" w:fill="auto"/>
                    </w:rPr>
                  </w:pPr>
                </w:p>
              </w:tc>
              <w:tc>
                <w:tcPr>
                  <w:tcW w:w="544" w:type="pct"/>
                  <w:vMerge w:val="continue"/>
                  <w:vAlign w:val="center"/>
                </w:tcPr>
                <w:p w14:paraId="03CCEB90">
                  <w:pPr>
                    <w:adjustRightInd w:val="0"/>
                    <w:snapToGrid w:val="0"/>
                    <w:jc w:val="center"/>
                    <w:rPr>
                      <w:rFonts w:hint="default" w:ascii="Times New Roman" w:hAnsi="Times New Roman" w:eastAsia="宋体" w:cs="Times New Roman"/>
                      <w:b/>
                      <w:color w:val="auto"/>
                      <w:sz w:val="21"/>
                      <w:szCs w:val="21"/>
                      <w:highlight w:val="none"/>
                      <w:shd w:val="clear" w:color="auto" w:fill="auto"/>
                    </w:rPr>
                  </w:pPr>
                </w:p>
              </w:tc>
              <w:tc>
                <w:tcPr>
                  <w:tcW w:w="451" w:type="pct"/>
                  <w:vAlign w:val="center"/>
                </w:tcPr>
                <w:p w14:paraId="7FFC911F">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固体</w:t>
                  </w:r>
                </w:p>
                <w:p w14:paraId="59902DCE">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废物</w:t>
                  </w:r>
                </w:p>
              </w:tc>
              <w:tc>
                <w:tcPr>
                  <w:tcW w:w="535" w:type="pct"/>
                  <w:vAlign w:val="center"/>
                </w:tcPr>
                <w:p w14:paraId="21F22D29">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副产品</w:t>
                  </w:r>
                </w:p>
              </w:tc>
              <w:tc>
                <w:tcPr>
                  <w:tcW w:w="770" w:type="pct"/>
                  <w:vAlign w:val="center"/>
                </w:tcPr>
                <w:p w14:paraId="12A1B133">
                  <w:pPr>
                    <w:adjustRightInd w:val="0"/>
                    <w:snapToGrid w:val="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判定依据</w:t>
                  </w:r>
                </w:p>
              </w:tc>
            </w:tr>
            <w:tr w14:paraId="49B61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vAlign w:val="center"/>
                </w:tcPr>
                <w:p w14:paraId="28C07CF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1</w:t>
                  </w:r>
                </w:p>
              </w:tc>
              <w:tc>
                <w:tcPr>
                  <w:tcW w:w="702" w:type="pct"/>
                  <w:vAlign w:val="center"/>
                </w:tcPr>
                <w:p w14:paraId="547A54AF">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生活垃圾</w:t>
                  </w:r>
                </w:p>
              </w:tc>
              <w:tc>
                <w:tcPr>
                  <w:tcW w:w="696" w:type="pct"/>
                  <w:vAlign w:val="center"/>
                </w:tcPr>
                <w:p w14:paraId="2A33CB4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办公、生活</w:t>
                  </w:r>
                </w:p>
              </w:tc>
              <w:tc>
                <w:tcPr>
                  <w:tcW w:w="475" w:type="pct"/>
                  <w:vAlign w:val="center"/>
                </w:tcPr>
                <w:p w14:paraId="7A2F7E99">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半固态</w:t>
                  </w:r>
                </w:p>
              </w:tc>
              <w:tc>
                <w:tcPr>
                  <w:tcW w:w="550" w:type="pct"/>
                  <w:vAlign w:val="center"/>
                </w:tcPr>
                <w:p w14:paraId="3DF1243A">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废塑料、废纸等</w:t>
                  </w:r>
                </w:p>
              </w:tc>
              <w:tc>
                <w:tcPr>
                  <w:tcW w:w="544" w:type="pct"/>
                  <w:vAlign w:val="center"/>
                </w:tcPr>
                <w:p w14:paraId="620D3EA6">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3</w:t>
                  </w:r>
                </w:p>
              </w:tc>
              <w:tc>
                <w:tcPr>
                  <w:tcW w:w="451" w:type="pct"/>
                  <w:vAlign w:val="center"/>
                </w:tcPr>
                <w:p w14:paraId="1A8A492C">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535" w:type="pct"/>
                  <w:vAlign w:val="center"/>
                </w:tcPr>
                <w:p w14:paraId="3A073A5A">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770" w:type="pct"/>
                  <w:vMerge w:val="restart"/>
                  <w:vAlign w:val="center"/>
                </w:tcPr>
                <w:p w14:paraId="7FDABD2D">
                  <w:pPr>
                    <w:adjustRightInd w:val="0"/>
                    <w:snapToGrid w:val="0"/>
                    <w:ind w:left="-105" w:leftChars="-50" w:right="-105" w:rightChars="-50"/>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《固体废物鉴别标准通则》（GB34330-2017）</w:t>
                  </w:r>
                </w:p>
              </w:tc>
            </w:tr>
            <w:tr w14:paraId="0BB8C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vAlign w:val="center"/>
                </w:tcPr>
                <w:p w14:paraId="04693C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2</w:t>
                  </w:r>
                </w:p>
              </w:tc>
              <w:tc>
                <w:tcPr>
                  <w:tcW w:w="702" w:type="pct"/>
                  <w:vAlign w:val="center"/>
                </w:tcPr>
                <w:p w14:paraId="2BA6C261">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边角料</w:t>
                  </w:r>
                </w:p>
              </w:tc>
              <w:tc>
                <w:tcPr>
                  <w:tcW w:w="696" w:type="pct"/>
                  <w:vAlign w:val="center"/>
                </w:tcPr>
                <w:p w14:paraId="213EAFF0">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分切</w:t>
                  </w:r>
                </w:p>
              </w:tc>
              <w:tc>
                <w:tcPr>
                  <w:tcW w:w="475" w:type="pct"/>
                  <w:shd w:val="clear" w:color="auto" w:fill="auto"/>
                  <w:vAlign w:val="center"/>
                </w:tcPr>
                <w:p w14:paraId="5ACAC03A">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550" w:type="pct"/>
                  <w:shd w:val="clear" w:color="auto" w:fill="auto"/>
                  <w:vAlign w:val="center"/>
                </w:tcPr>
                <w:p w14:paraId="213E1CF4">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
                    </w:rPr>
                    <w:t>塑料</w:t>
                  </w:r>
                </w:p>
              </w:tc>
              <w:tc>
                <w:tcPr>
                  <w:tcW w:w="544" w:type="pct"/>
                  <w:vAlign w:val="center"/>
                </w:tcPr>
                <w:p w14:paraId="4EE81E2A">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451" w:type="pct"/>
                  <w:shd w:val="clear" w:color="auto" w:fill="auto"/>
                  <w:vAlign w:val="center"/>
                </w:tcPr>
                <w:p w14:paraId="21D6F1D8">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535" w:type="pct"/>
                  <w:shd w:val="clear" w:color="auto" w:fill="auto"/>
                  <w:vAlign w:val="center"/>
                </w:tcPr>
                <w:p w14:paraId="11A56925">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770" w:type="pct"/>
                  <w:vMerge w:val="continue"/>
                  <w:vAlign w:val="center"/>
                </w:tcPr>
                <w:p w14:paraId="704480CE">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0642E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vAlign w:val="center"/>
                </w:tcPr>
                <w:p w14:paraId="59433C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3</w:t>
                  </w:r>
                </w:p>
              </w:tc>
              <w:tc>
                <w:tcPr>
                  <w:tcW w:w="702" w:type="pct"/>
                  <w:vAlign w:val="center"/>
                </w:tcPr>
                <w:p w14:paraId="6F326D36">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不合格品</w:t>
                  </w:r>
                </w:p>
              </w:tc>
              <w:tc>
                <w:tcPr>
                  <w:tcW w:w="696" w:type="pct"/>
                  <w:vAlign w:val="center"/>
                </w:tcPr>
                <w:p w14:paraId="5D5C67D8">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检验</w:t>
                  </w:r>
                </w:p>
              </w:tc>
              <w:tc>
                <w:tcPr>
                  <w:tcW w:w="475" w:type="pct"/>
                  <w:shd w:val="clear" w:color="auto" w:fill="auto"/>
                  <w:vAlign w:val="center"/>
                </w:tcPr>
                <w:p w14:paraId="334AECDF">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550" w:type="pct"/>
                  <w:shd w:val="clear" w:color="auto" w:fill="auto"/>
                  <w:vAlign w:val="center"/>
                </w:tcPr>
                <w:p w14:paraId="0AFD1BFF">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
                    </w:rPr>
                    <w:t>塑料</w:t>
                  </w:r>
                </w:p>
              </w:tc>
              <w:tc>
                <w:tcPr>
                  <w:tcW w:w="544" w:type="pct"/>
                  <w:shd w:val="clear" w:color="auto" w:fill="auto"/>
                  <w:vAlign w:val="center"/>
                </w:tcPr>
                <w:p w14:paraId="1D3C3469">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451" w:type="pct"/>
                  <w:shd w:val="clear" w:color="auto" w:fill="auto"/>
                  <w:vAlign w:val="center"/>
                </w:tcPr>
                <w:p w14:paraId="66245A2A">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535" w:type="pct"/>
                  <w:shd w:val="clear" w:color="auto" w:fill="auto"/>
                  <w:vAlign w:val="center"/>
                </w:tcPr>
                <w:p w14:paraId="3C2BD09D">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770" w:type="pct"/>
                  <w:vMerge w:val="continue"/>
                  <w:vAlign w:val="center"/>
                </w:tcPr>
                <w:p w14:paraId="590E0301">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33DEB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05DEAC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4</w:t>
                  </w:r>
                </w:p>
              </w:tc>
              <w:tc>
                <w:tcPr>
                  <w:tcW w:w="702" w:type="pct"/>
                  <w:shd w:val="clear" w:color="auto" w:fill="auto"/>
                  <w:vAlign w:val="center"/>
                </w:tcPr>
                <w:p w14:paraId="0423B18B">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不合格品</w:t>
                  </w:r>
                </w:p>
              </w:tc>
              <w:tc>
                <w:tcPr>
                  <w:tcW w:w="696" w:type="pct"/>
                  <w:shd w:val="clear" w:color="auto" w:fill="auto"/>
                  <w:vAlign w:val="center"/>
                </w:tcPr>
                <w:p w14:paraId="57F1885F">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吹膜</w:t>
                  </w:r>
                </w:p>
              </w:tc>
              <w:tc>
                <w:tcPr>
                  <w:tcW w:w="475" w:type="pct"/>
                  <w:shd w:val="clear" w:color="auto" w:fill="auto"/>
                  <w:vAlign w:val="center"/>
                </w:tcPr>
                <w:p w14:paraId="0C4ECE79">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550" w:type="pct"/>
                  <w:shd w:val="clear" w:color="auto" w:fill="auto"/>
                  <w:vAlign w:val="center"/>
                </w:tcPr>
                <w:p w14:paraId="1CB8F9A9">
                  <w:pPr>
                    <w:widowControl/>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
                    </w:rPr>
                    <w:t>塑料</w:t>
                  </w:r>
                </w:p>
              </w:tc>
              <w:tc>
                <w:tcPr>
                  <w:tcW w:w="544" w:type="pct"/>
                  <w:shd w:val="clear" w:color="auto" w:fill="auto"/>
                  <w:vAlign w:val="center"/>
                </w:tcPr>
                <w:p w14:paraId="5E0C5F68">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451" w:type="pct"/>
                  <w:shd w:val="clear" w:color="auto" w:fill="auto"/>
                  <w:vAlign w:val="center"/>
                </w:tcPr>
                <w:p w14:paraId="774A7838">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535" w:type="pct"/>
                  <w:shd w:val="clear" w:color="auto" w:fill="auto"/>
                  <w:vAlign w:val="center"/>
                </w:tcPr>
                <w:p w14:paraId="45AA5BCC">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770" w:type="pct"/>
                  <w:vMerge w:val="continue"/>
                  <w:vAlign w:val="center"/>
                </w:tcPr>
                <w:p w14:paraId="0FA73513">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6BC63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3B5D3F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5</w:t>
                  </w:r>
                </w:p>
              </w:tc>
              <w:tc>
                <w:tcPr>
                  <w:tcW w:w="702" w:type="pct"/>
                  <w:shd w:val="clear" w:color="auto" w:fill="auto"/>
                  <w:vAlign w:val="center"/>
                </w:tcPr>
                <w:p w14:paraId="2CF2D15D">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废布袋</w:t>
                  </w:r>
                </w:p>
              </w:tc>
              <w:tc>
                <w:tcPr>
                  <w:tcW w:w="696" w:type="pct"/>
                  <w:shd w:val="clear" w:color="auto" w:fill="auto"/>
                  <w:vAlign w:val="center"/>
                </w:tcPr>
                <w:p w14:paraId="3F430AC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废气处理</w:t>
                  </w:r>
                </w:p>
              </w:tc>
              <w:tc>
                <w:tcPr>
                  <w:tcW w:w="475" w:type="pct"/>
                  <w:shd w:val="clear" w:color="auto" w:fill="auto"/>
                  <w:vAlign w:val="center"/>
                </w:tcPr>
                <w:p w14:paraId="72364EA1">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550" w:type="pct"/>
                  <w:shd w:val="clear" w:color="auto" w:fill="auto"/>
                  <w:vAlign w:val="center"/>
                </w:tcPr>
                <w:p w14:paraId="373374DF">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lang w:val="en-US" w:eastAsia="zh-CN" w:bidi="ar"/>
                    </w:rPr>
                    <w:t>纤维</w:t>
                  </w:r>
                </w:p>
              </w:tc>
              <w:tc>
                <w:tcPr>
                  <w:tcW w:w="544" w:type="pct"/>
                  <w:shd w:val="clear" w:color="auto" w:fill="auto"/>
                  <w:vAlign w:val="center"/>
                </w:tcPr>
                <w:p w14:paraId="5FB497C0">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0.04</w:t>
                  </w:r>
                </w:p>
              </w:tc>
              <w:tc>
                <w:tcPr>
                  <w:tcW w:w="451" w:type="pct"/>
                  <w:shd w:val="clear" w:color="auto" w:fill="auto"/>
                  <w:vAlign w:val="center"/>
                </w:tcPr>
                <w:p w14:paraId="7376B13D">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535" w:type="pct"/>
                  <w:shd w:val="clear" w:color="auto" w:fill="auto"/>
                  <w:vAlign w:val="center"/>
                </w:tcPr>
                <w:p w14:paraId="3C6B3A96">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770" w:type="pct"/>
                  <w:vMerge w:val="continue"/>
                  <w:vAlign w:val="center"/>
                </w:tcPr>
                <w:p w14:paraId="6E66D5B0">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442E7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273D2A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6</w:t>
                  </w:r>
                </w:p>
              </w:tc>
              <w:tc>
                <w:tcPr>
                  <w:tcW w:w="702" w:type="pct"/>
                  <w:shd w:val="clear" w:color="auto" w:fill="auto"/>
                  <w:vAlign w:val="center"/>
                </w:tcPr>
                <w:p w14:paraId="449EAB4E">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除尘灰</w:t>
                  </w:r>
                </w:p>
              </w:tc>
              <w:tc>
                <w:tcPr>
                  <w:tcW w:w="696" w:type="pct"/>
                  <w:shd w:val="clear" w:color="auto" w:fill="auto"/>
                  <w:vAlign w:val="center"/>
                </w:tcPr>
                <w:p w14:paraId="5F8BCE44">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废气处理</w:t>
                  </w:r>
                </w:p>
              </w:tc>
              <w:tc>
                <w:tcPr>
                  <w:tcW w:w="475" w:type="pct"/>
                  <w:shd w:val="clear" w:color="auto" w:fill="auto"/>
                  <w:vAlign w:val="center"/>
                </w:tcPr>
                <w:p w14:paraId="6457EB77">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550" w:type="pct"/>
                  <w:shd w:val="clear" w:color="auto" w:fill="auto"/>
                  <w:vAlign w:val="center"/>
                </w:tcPr>
                <w:p w14:paraId="2B95C972">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
                    </w:rPr>
                    <w:t>塑料</w:t>
                  </w:r>
                </w:p>
              </w:tc>
              <w:tc>
                <w:tcPr>
                  <w:tcW w:w="544" w:type="pct"/>
                  <w:shd w:val="clear" w:color="auto" w:fill="auto"/>
                  <w:vAlign w:val="center"/>
                </w:tcPr>
                <w:p w14:paraId="2378878A">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0.01</w:t>
                  </w:r>
                </w:p>
              </w:tc>
              <w:tc>
                <w:tcPr>
                  <w:tcW w:w="451" w:type="pct"/>
                  <w:shd w:val="clear" w:color="auto" w:fill="auto"/>
                  <w:vAlign w:val="center"/>
                </w:tcPr>
                <w:p w14:paraId="6D624C85">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535" w:type="pct"/>
                  <w:shd w:val="clear" w:color="auto" w:fill="auto"/>
                  <w:vAlign w:val="center"/>
                </w:tcPr>
                <w:p w14:paraId="7C0EAF1C">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770" w:type="pct"/>
                  <w:vMerge w:val="continue"/>
                  <w:vAlign w:val="center"/>
                </w:tcPr>
                <w:p w14:paraId="099F9A8A">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1FCEF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6F4A7F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7</w:t>
                  </w:r>
                </w:p>
              </w:tc>
              <w:tc>
                <w:tcPr>
                  <w:tcW w:w="702" w:type="pct"/>
                  <w:shd w:val="clear" w:color="auto" w:fill="auto"/>
                  <w:vAlign w:val="center"/>
                </w:tcPr>
                <w:p w14:paraId="18586E1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废包装桶</w:t>
                  </w:r>
                </w:p>
              </w:tc>
              <w:tc>
                <w:tcPr>
                  <w:tcW w:w="696" w:type="pct"/>
                  <w:vAlign w:val="center"/>
                </w:tcPr>
                <w:p w14:paraId="799FA686">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原料包装</w:t>
                  </w:r>
                </w:p>
              </w:tc>
              <w:tc>
                <w:tcPr>
                  <w:tcW w:w="475" w:type="pct"/>
                  <w:shd w:val="clear" w:color="auto" w:fill="auto"/>
                  <w:vAlign w:val="center"/>
                </w:tcPr>
                <w:p w14:paraId="08C1DC15">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550" w:type="pct"/>
                  <w:shd w:val="clear" w:color="auto" w:fill="auto"/>
                  <w:vAlign w:val="center"/>
                </w:tcPr>
                <w:p w14:paraId="0F99A7D0">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bidi="ar"/>
                    </w:rPr>
                    <w:t>金属</w:t>
                  </w:r>
                  <w:r>
                    <w:rPr>
                      <w:rFonts w:hint="eastAsia" w:ascii="Times New Roman" w:hAnsi="Times New Roman" w:eastAsia="宋体" w:cs="Times New Roman"/>
                      <w:color w:val="auto"/>
                      <w:kern w:val="0"/>
                      <w:sz w:val="21"/>
                      <w:szCs w:val="21"/>
                      <w:highlight w:val="none"/>
                      <w:shd w:val="clear" w:color="auto" w:fill="auto"/>
                      <w:lang w:val="en-US" w:eastAsia="zh-CN" w:bidi="ar"/>
                    </w:rPr>
                    <w:t>、有机物</w:t>
                  </w:r>
                </w:p>
              </w:tc>
              <w:tc>
                <w:tcPr>
                  <w:tcW w:w="544" w:type="pct"/>
                  <w:shd w:val="clear" w:color="auto" w:fill="auto"/>
                  <w:vAlign w:val="center"/>
                </w:tcPr>
                <w:p w14:paraId="26622950">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w:t>
                  </w:r>
                </w:p>
              </w:tc>
              <w:tc>
                <w:tcPr>
                  <w:tcW w:w="451" w:type="pct"/>
                  <w:shd w:val="clear" w:color="auto" w:fill="auto"/>
                  <w:vAlign w:val="center"/>
                </w:tcPr>
                <w:p w14:paraId="5AC3D977">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535" w:type="pct"/>
                  <w:shd w:val="clear" w:color="auto" w:fill="auto"/>
                  <w:vAlign w:val="center"/>
                </w:tcPr>
                <w:p w14:paraId="3F80517E">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770" w:type="pct"/>
                  <w:vMerge w:val="continue"/>
                  <w:vAlign w:val="center"/>
                </w:tcPr>
                <w:p w14:paraId="0D9C13C3">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62FB7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58D61A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8</w:t>
                  </w:r>
                </w:p>
              </w:tc>
              <w:tc>
                <w:tcPr>
                  <w:tcW w:w="702" w:type="pct"/>
                  <w:shd w:val="clear" w:color="auto" w:fill="auto"/>
                  <w:vAlign w:val="center"/>
                </w:tcPr>
                <w:p w14:paraId="5CC5342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废抹布</w:t>
                  </w:r>
                </w:p>
              </w:tc>
              <w:tc>
                <w:tcPr>
                  <w:tcW w:w="696" w:type="pct"/>
                  <w:vAlign w:val="center"/>
                </w:tcPr>
                <w:p w14:paraId="36B01713">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清洗</w:t>
                  </w:r>
                </w:p>
              </w:tc>
              <w:tc>
                <w:tcPr>
                  <w:tcW w:w="475" w:type="pct"/>
                  <w:shd w:val="clear" w:color="auto" w:fill="auto"/>
                  <w:vAlign w:val="center"/>
                </w:tcPr>
                <w:p w14:paraId="1D80FCDA">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固态</w:t>
                  </w:r>
                </w:p>
              </w:tc>
              <w:tc>
                <w:tcPr>
                  <w:tcW w:w="550" w:type="pct"/>
                  <w:shd w:val="clear" w:color="auto" w:fill="auto"/>
                  <w:vAlign w:val="center"/>
                </w:tcPr>
                <w:p w14:paraId="60C38E36">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544" w:type="pct"/>
                  <w:shd w:val="clear" w:color="auto" w:fill="auto"/>
                  <w:vAlign w:val="center"/>
                </w:tcPr>
                <w:p w14:paraId="55FC0022">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4.5</w:t>
                  </w:r>
                </w:p>
              </w:tc>
              <w:tc>
                <w:tcPr>
                  <w:tcW w:w="451" w:type="pct"/>
                  <w:shd w:val="clear" w:color="auto" w:fill="auto"/>
                  <w:vAlign w:val="center"/>
                </w:tcPr>
                <w:p w14:paraId="22DF787D">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535" w:type="pct"/>
                  <w:shd w:val="clear" w:color="auto" w:fill="auto"/>
                  <w:vAlign w:val="center"/>
                </w:tcPr>
                <w:p w14:paraId="54F5376A">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770" w:type="pct"/>
                  <w:vMerge w:val="continue"/>
                  <w:vAlign w:val="center"/>
                </w:tcPr>
                <w:p w14:paraId="4EAD3786">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41DBB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shd w:val="clear" w:color="auto" w:fill="auto"/>
                  <w:vAlign w:val="center"/>
                </w:tcPr>
                <w:p w14:paraId="117D51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9</w:t>
                  </w:r>
                </w:p>
              </w:tc>
              <w:tc>
                <w:tcPr>
                  <w:tcW w:w="702" w:type="pct"/>
                  <w:shd w:val="clear" w:color="auto" w:fill="auto"/>
                  <w:vAlign w:val="center"/>
                </w:tcPr>
                <w:p w14:paraId="553036C4">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废活性炭</w:t>
                  </w:r>
                </w:p>
              </w:tc>
              <w:tc>
                <w:tcPr>
                  <w:tcW w:w="696" w:type="pct"/>
                  <w:vAlign w:val="center"/>
                </w:tcPr>
                <w:p w14:paraId="5A0230FC">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废气处理</w:t>
                  </w:r>
                </w:p>
              </w:tc>
              <w:tc>
                <w:tcPr>
                  <w:tcW w:w="475" w:type="pct"/>
                  <w:shd w:val="clear" w:color="auto" w:fill="auto"/>
                  <w:vAlign w:val="center"/>
                </w:tcPr>
                <w:p w14:paraId="5A1D12D0">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550" w:type="pct"/>
                  <w:shd w:val="clear" w:color="auto" w:fill="auto"/>
                  <w:vAlign w:val="center"/>
                </w:tcPr>
                <w:p w14:paraId="124E2AB8">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lang w:val="en-US" w:eastAsia="zh-CN"/>
                    </w:rPr>
                    <w:t>活性炭</w:t>
                  </w:r>
                  <w:r>
                    <w:rPr>
                      <w:rFonts w:hint="eastAsia" w:ascii="Times New Roman" w:hAnsi="Times New Roman" w:eastAsia="宋体" w:cs="Times New Roman"/>
                      <w:color w:val="auto"/>
                      <w:kern w:val="0"/>
                      <w:sz w:val="21"/>
                      <w:szCs w:val="21"/>
                      <w:highlight w:val="none"/>
                      <w:shd w:val="clear" w:color="auto" w:fill="auto"/>
                      <w:lang w:val="en-US" w:eastAsia="zh-CN" w:bidi="ar"/>
                    </w:rPr>
                    <w:t>、有机物</w:t>
                  </w:r>
                </w:p>
              </w:tc>
              <w:tc>
                <w:tcPr>
                  <w:tcW w:w="544" w:type="pct"/>
                  <w:shd w:val="clear" w:color="auto" w:fill="auto"/>
                  <w:vAlign w:val="center"/>
                </w:tcPr>
                <w:p w14:paraId="2184B85C">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6.2</w:t>
                  </w:r>
                </w:p>
              </w:tc>
              <w:tc>
                <w:tcPr>
                  <w:tcW w:w="451" w:type="pct"/>
                  <w:shd w:val="clear" w:color="auto" w:fill="auto"/>
                  <w:vAlign w:val="center"/>
                </w:tcPr>
                <w:p w14:paraId="03015116">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535" w:type="pct"/>
                  <w:shd w:val="clear" w:color="auto" w:fill="auto"/>
                  <w:vAlign w:val="center"/>
                </w:tcPr>
                <w:p w14:paraId="0B657A26">
                  <w:pPr>
                    <w:adjustRightInd w:val="0"/>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770" w:type="pct"/>
                  <w:vMerge w:val="continue"/>
                  <w:vAlign w:val="center"/>
                </w:tcPr>
                <w:p w14:paraId="5DFCD1EC">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14:paraId="3B22F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3" w:type="pct"/>
                  <w:vAlign w:val="center"/>
                </w:tcPr>
                <w:p w14:paraId="003726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10</w:t>
                  </w:r>
                </w:p>
              </w:tc>
              <w:tc>
                <w:tcPr>
                  <w:tcW w:w="702" w:type="pct"/>
                  <w:shd w:val="clear" w:color="auto" w:fill="auto"/>
                  <w:vAlign w:val="center"/>
                </w:tcPr>
                <w:p w14:paraId="1892178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含油抹布手套</w:t>
                  </w:r>
                </w:p>
              </w:tc>
              <w:tc>
                <w:tcPr>
                  <w:tcW w:w="696" w:type="pct"/>
                  <w:shd w:val="clear" w:color="auto" w:fill="auto"/>
                  <w:vAlign w:val="center"/>
                </w:tcPr>
                <w:p w14:paraId="44E38A7C">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设备</w:t>
                  </w:r>
                </w:p>
              </w:tc>
              <w:tc>
                <w:tcPr>
                  <w:tcW w:w="475" w:type="pct"/>
                  <w:shd w:val="clear" w:color="auto" w:fill="auto"/>
                  <w:vAlign w:val="center"/>
                </w:tcPr>
                <w:p w14:paraId="1C9060B1">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固态</w:t>
                  </w:r>
                </w:p>
              </w:tc>
              <w:tc>
                <w:tcPr>
                  <w:tcW w:w="550" w:type="pct"/>
                  <w:shd w:val="clear" w:color="auto" w:fill="auto"/>
                  <w:vAlign w:val="center"/>
                </w:tcPr>
                <w:p w14:paraId="278D115F">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sz w:val="21"/>
                      <w:szCs w:val="21"/>
                      <w:highlight w:val="none"/>
                      <w:shd w:val="clear" w:color="auto" w:fill="auto"/>
                      <w:lang w:val="en-US" w:eastAsia="zh-CN"/>
                    </w:rPr>
                    <w:t>矿物油</w:t>
                  </w:r>
                </w:p>
              </w:tc>
              <w:tc>
                <w:tcPr>
                  <w:tcW w:w="544" w:type="pct"/>
                  <w:shd w:val="clear" w:color="auto" w:fill="auto"/>
                  <w:vAlign w:val="center"/>
                </w:tcPr>
                <w:p w14:paraId="56DCFD61">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0.</w:t>
                  </w:r>
                  <w:r>
                    <w:rPr>
                      <w:rFonts w:hint="eastAsia" w:ascii="Times New Roman" w:hAnsi="Times New Roman" w:eastAsia="宋体" w:cs="Times New Roman"/>
                      <w:color w:val="auto"/>
                      <w:kern w:val="2"/>
                      <w:sz w:val="21"/>
                      <w:szCs w:val="21"/>
                      <w:highlight w:val="none"/>
                      <w:shd w:val="clear" w:color="auto" w:fill="auto"/>
                      <w:lang w:val="en-US" w:eastAsia="zh-CN" w:bidi="ar-SA"/>
                    </w:rPr>
                    <w:t>01</w:t>
                  </w:r>
                </w:p>
              </w:tc>
              <w:tc>
                <w:tcPr>
                  <w:tcW w:w="451" w:type="pct"/>
                  <w:shd w:val="clear" w:color="auto" w:fill="auto"/>
                  <w:vAlign w:val="center"/>
                </w:tcPr>
                <w:p w14:paraId="79E5006D">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535" w:type="pct"/>
                  <w:shd w:val="clear" w:color="auto" w:fill="auto"/>
                  <w:vAlign w:val="center"/>
                </w:tcPr>
                <w:p w14:paraId="5675AF58">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770" w:type="pct"/>
                  <w:vMerge w:val="continue"/>
                  <w:vAlign w:val="center"/>
                </w:tcPr>
                <w:p w14:paraId="58AB37F0">
                  <w:pPr>
                    <w:adjustRightInd w:val="0"/>
                    <w:snapToGrid w:val="0"/>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bl>
          <w:p w14:paraId="3C7FF10E">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3、固体废物产生情况汇总</w:t>
            </w:r>
          </w:p>
          <w:p w14:paraId="34E52DC0">
            <w:pPr>
              <w:spacing w:line="360" w:lineRule="auto"/>
              <w:ind w:firstLine="480" w:firstLineChars="200"/>
              <w:rPr>
                <w:rFonts w:hint="eastAsia" w:ascii="宋体" w:hAnsi="宋体" w:eastAsia="宋体" w:cs="宋体"/>
                <w:color w:val="auto"/>
                <w:sz w:val="24"/>
                <w:highlight w:val="none"/>
                <w:shd w:val="clear" w:color="auto" w:fill="auto"/>
                <w:lang w:val="en-US" w:eastAsia="zh-CN"/>
              </w:rPr>
            </w:pPr>
            <w:r>
              <w:rPr>
                <w:rFonts w:hint="default" w:ascii="Times New Roman" w:hAnsi="Times New Roman" w:eastAsia="宋体" w:cs="Times New Roman"/>
                <w:color w:val="auto"/>
                <w:sz w:val="24"/>
                <w:highlight w:val="none"/>
                <w:shd w:val="clear" w:color="auto" w:fill="auto"/>
              </w:rPr>
              <w:t>根据《国家危险废物名录》（202</w:t>
            </w:r>
            <w:r>
              <w:rPr>
                <w:rFonts w:hint="default" w:ascii="Times New Roman" w:hAnsi="Times New Roman" w:eastAsia="宋体" w:cs="Times New Roman"/>
                <w:color w:val="auto"/>
                <w:sz w:val="24"/>
                <w:highlight w:val="none"/>
                <w:shd w:val="clear" w:color="auto" w:fill="auto"/>
                <w:lang w:val="en-US" w:eastAsia="zh-CN"/>
              </w:rPr>
              <w:t>5</w:t>
            </w:r>
            <w:r>
              <w:rPr>
                <w:rFonts w:hint="default" w:ascii="Times New Roman" w:hAnsi="Times New Roman" w:eastAsia="宋体" w:cs="Times New Roman"/>
                <w:color w:val="auto"/>
                <w:sz w:val="24"/>
                <w:highlight w:val="none"/>
                <w:shd w:val="clear" w:color="auto" w:fill="auto"/>
              </w:rPr>
              <w:t>年版），判定建设项目固体废物是否属于危险固废。本项目固体废物产生情况汇总见表4-</w:t>
            </w:r>
            <w:r>
              <w:rPr>
                <w:rFonts w:hint="eastAsia" w:ascii="Times New Roman" w:hAnsi="Times New Roman" w:eastAsia="宋体" w:cs="Times New Roman"/>
                <w:color w:val="auto"/>
                <w:sz w:val="24"/>
                <w:highlight w:val="none"/>
                <w:shd w:val="clear" w:color="auto" w:fill="auto"/>
                <w:lang w:val="en-US" w:eastAsia="zh-CN"/>
              </w:rPr>
              <w:t>24</w:t>
            </w:r>
            <w:r>
              <w:rPr>
                <w:rFonts w:hint="default" w:ascii="Times New Roman" w:hAnsi="Times New Roman" w:eastAsia="宋体" w:cs="Times New Roman"/>
                <w:color w:val="auto"/>
                <w:sz w:val="24"/>
                <w:highlight w:val="none"/>
                <w:shd w:val="clear" w:color="auto" w:fill="auto"/>
              </w:rPr>
              <w:t>。</w:t>
            </w:r>
          </w:p>
          <w:p w14:paraId="39373B35">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表4-</w:t>
            </w:r>
            <w:r>
              <w:rPr>
                <w:rFonts w:hint="eastAsia" w:ascii="Times New Roman" w:hAnsi="Times New Roman" w:eastAsia="宋体" w:cs="Times New Roman"/>
                <w:b/>
                <w:color w:val="auto"/>
                <w:sz w:val="24"/>
                <w:highlight w:val="none"/>
                <w:shd w:val="clear" w:color="auto" w:fill="auto"/>
                <w:lang w:val="en-US" w:eastAsia="zh-CN"/>
              </w:rPr>
              <w:t>24</w:t>
            </w:r>
            <w:r>
              <w:rPr>
                <w:rFonts w:hint="default" w:ascii="Times New Roman" w:hAnsi="Times New Roman" w:eastAsia="宋体" w:cs="Times New Roman"/>
                <w:b/>
                <w:color w:val="auto"/>
                <w:sz w:val="24"/>
                <w:highlight w:val="none"/>
                <w:shd w:val="clear" w:color="auto" w:fill="auto"/>
              </w:rPr>
              <w:t xml:space="preserve">  固体废物类别判定表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007"/>
              <w:gridCol w:w="578"/>
              <w:gridCol w:w="779"/>
              <w:gridCol w:w="506"/>
              <w:gridCol w:w="1033"/>
              <w:gridCol w:w="825"/>
              <w:gridCol w:w="800"/>
              <w:gridCol w:w="1373"/>
              <w:gridCol w:w="904"/>
            </w:tblGrid>
            <w:tr w14:paraId="2414C7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vAlign w:val="center"/>
                </w:tcPr>
                <w:p w14:paraId="473EFAEF">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序号</w:t>
                  </w:r>
                </w:p>
              </w:tc>
              <w:tc>
                <w:tcPr>
                  <w:tcW w:w="603" w:type="pct"/>
                  <w:tcBorders>
                    <w:tl2br w:val="nil"/>
                    <w:tr2bl w:val="nil"/>
                  </w:tcBorders>
                  <w:vAlign w:val="center"/>
                </w:tcPr>
                <w:p w14:paraId="1E7050BB">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固废名称</w:t>
                  </w:r>
                </w:p>
              </w:tc>
              <w:tc>
                <w:tcPr>
                  <w:tcW w:w="346" w:type="pct"/>
                  <w:tcBorders>
                    <w:tl2br w:val="nil"/>
                    <w:tr2bl w:val="nil"/>
                  </w:tcBorders>
                  <w:vAlign w:val="center"/>
                </w:tcPr>
                <w:p w14:paraId="51CC43CC">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属性</w:t>
                  </w:r>
                </w:p>
              </w:tc>
              <w:tc>
                <w:tcPr>
                  <w:tcW w:w="466" w:type="pct"/>
                  <w:tcBorders>
                    <w:tl2br w:val="nil"/>
                    <w:tr2bl w:val="nil"/>
                  </w:tcBorders>
                  <w:vAlign w:val="center"/>
                </w:tcPr>
                <w:p w14:paraId="047C1432">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产生工序</w:t>
                  </w:r>
                </w:p>
              </w:tc>
              <w:tc>
                <w:tcPr>
                  <w:tcW w:w="303" w:type="pct"/>
                  <w:tcBorders>
                    <w:tl2br w:val="nil"/>
                    <w:tr2bl w:val="nil"/>
                  </w:tcBorders>
                  <w:vAlign w:val="center"/>
                </w:tcPr>
                <w:p w14:paraId="2C219602">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形态</w:t>
                  </w:r>
                </w:p>
              </w:tc>
              <w:tc>
                <w:tcPr>
                  <w:tcW w:w="618" w:type="pct"/>
                  <w:tcBorders>
                    <w:tl2br w:val="nil"/>
                    <w:tr2bl w:val="nil"/>
                  </w:tcBorders>
                  <w:vAlign w:val="center"/>
                </w:tcPr>
                <w:p w14:paraId="41C18F65">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主要成分</w:t>
                  </w:r>
                </w:p>
              </w:tc>
              <w:tc>
                <w:tcPr>
                  <w:tcW w:w="494" w:type="pct"/>
                  <w:tcBorders>
                    <w:tl2br w:val="nil"/>
                    <w:tr2bl w:val="nil"/>
                  </w:tcBorders>
                  <w:vAlign w:val="center"/>
                </w:tcPr>
                <w:p w14:paraId="4BF6819D">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危险特性</w:t>
                  </w:r>
                </w:p>
              </w:tc>
              <w:tc>
                <w:tcPr>
                  <w:tcW w:w="479" w:type="pct"/>
                  <w:tcBorders>
                    <w:tl2br w:val="nil"/>
                    <w:tr2bl w:val="nil"/>
                  </w:tcBorders>
                  <w:vAlign w:val="center"/>
                </w:tcPr>
                <w:p w14:paraId="00BF82B0">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废物类别</w:t>
                  </w:r>
                </w:p>
              </w:tc>
              <w:tc>
                <w:tcPr>
                  <w:tcW w:w="822" w:type="pct"/>
                  <w:tcBorders>
                    <w:tl2br w:val="nil"/>
                    <w:tr2bl w:val="nil"/>
                  </w:tcBorders>
                  <w:vAlign w:val="center"/>
                </w:tcPr>
                <w:p w14:paraId="3AA9E1EC">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废物代码</w:t>
                  </w:r>
                </w:p>
              </w:tc>
              <w:tc>
                <w:tcPr>
                  <w:tcW w:w="541" w:type="pct"/>
                  <w:tcBorders>
                    <w:tl2br w:val="nil"/>
                    <w:tr2bl w:val="nil"/>
                  </w:tcBorders>
                  <w:vAlign w:val="center"/>
                </w:tcPr>
                <w:p w14:paraId="01AEF44C">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估算产生量（t/a）</w:t>
                  </w:r>
                </w:p>
              </w:tc>
            </w:tr>
            <w:tr w14:paraId="3389D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shd w:val="clear" w:color="auto" w:fill="auto"/>
                  <w:vAlign w:val="center"/>
                </w:tcPr>
                <w:p w14:paraId="267F94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1</w:t>
                  </w:r>
                </w:p>
              </w:tc>
              <w:tc>
                <w:tcPr>
                  <w:tcW w:w="603" w:type="pct"/>
                  <w:tcBorders>
                    <w:tl2br w:val="nil"/>
                    <w:tr2bl w:val="nil"/>
                  </w:tcBorders>
                  <w:shd w:val="clear" w:color="auto" w:fill="auto"/>
                  <w:vAlign w:val="center"/>
                </w:tcPr>
                <w:p w14:paraId="2B41B9AE">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生活垃圾</w:t>
                  </w:r>
                </w:p>
              </w:tc>
              <w:tc>
                <w:tcPr>
                  <w:tcW w:w="346" w:type="pct"/>
                  <w:tcBorders>
                    <w:tl2br w:val="nil"/>
                    <w:tr2bl w:val="nil"/>
                  </w:tcBorders>
                  <w:shd w:val="clear" w:color="auto" w:fill="auto"/>
                  <w:vAlign w:val="center"/>
                </w:tcPr>
                <w:p w14:paraId="7627623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生活垃圾</w:t>
                  </w:r>
                </w:p>
              </w:tc>
              <w:tc>
                <w:tcPr>
                  <w:tcW w:w="466" w:type="pct"/>
                  <w:tcBorders>
                    <w:tl2br w:val="nil"/>
                    <w:tr2bl w:val="nil"/>
                  </w:tcBorders>
                  <w:shd w:val="clear" w:color="auto" w:fill="auto"/>
                  <w:vAlign w:val="center"/>
                </w:tcPr>
                <w:p w14:paraId="2FB532B3">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rPr>
                    <w:t>员工生活、办公</w:t>
                  </w:r>
                </w:p>
              </w:tc>
              <w:tc>
                <w:tcPr>
                  <w:tcW w:w="303" w:type="pct"/>
                  <w:tcBorders>
                    <w:tl2br w:val="nil"/>
                    <w:tr2bl w:val="nil"/>
                  </w:tcBorders>
                  <w:shd w:val="clear" w:color="auto" w:fill="auto"/>
                  <w:vAlign w:val="center"/>
                </w:tcPr>
                <w:p w14:paraId="4D7AFA32">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固</w:t>
                  </w:r>
                </w:p>
              </w:tc>
              <w:tc>
                <w:tcPr>
                  <w:tcW w:w="618" w:type="pct"/>
                  <w:tcBorders>
                    <w:tl2br w:val="nil"/>
                    <w:tr2bl w:val="nil"/>
                  </w:tcBorders>
                  <w:shd w:val="clear" w:color="auto" w:fill="auto"/>
                  <w:vAlign w:val="center"/>
                </w:tcPr>
                <w:p w14:paraId="225A9914">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办公及生活废物</w:t>
                  </w:r>
                </w:p>
              </w:tc>
              <w:tc>
                <w:tcPr>
                  <w:tcW w:w="494" w:type="pct"/>
                  <w:tcBorders>
                    <w:tl2br w:val="nil"/>
                    <w:tr2bl w:val="nil"/>
                  </w:tcBorders>
                  <w:shd w:val="clear" w:color="auto" w:fill="auto"/>
                  <w:vAlign w:val="center"/>
                </w:tcPr>
                <w:p w14:paraId="0C94C32B">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479" w:type="pct"/>
                  <w:tcBorders>
                    <w:tl2br w:val="nil"/>
                    <w:tr2bl w:val="nil"/>
                  </w:tcBorders>
                  <w:shd w:val="clear" w:color="auto" w:fill="auto"/>
                  <w:vAlign w:val="center"/>
                </w:tcPr>
                <w:p w14:paraId="25BCE1AB">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SW64其他垃圾</w:t>
                  </w:r>
                </w:p>
              </w:tc>
              <w:tc>
                <w:tcPr>
                  <w:tcW w:w="822" w:type="pct"/>
                  <w:tcBorders>
                    <w:tl2br w:val="nil"/>
                    <w:tr2bl w:val="nil"/>
                  </w:tcBorders>
                  <w:shd w:val="clear" w:color="auto" w:fill="auto"/>
                  <w:vAlign w:val="center"/>
                </w:tcPr>
                <w:p w14:paraId="7B86BA3D">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900</w:t>
                  </w:r>
                  <w:r>
                    <w:rPr>
                      <w:rFonts w:hint="default" w:ascii="Times New Roman" w:hAnsi="Times New Roman" w:eastAsia="宋体" w:cs="Times New Roman"/>
                      <w:color w:val="auto"/>
                      <w:sz w:val="21"/>
                      <w:szCs w:val="21"/>
                      <w:highlight w:val="none"/>
                      <w:shd w:val="clear" w:color="auto" w:fill="auto"/>
                    </w:rPr>
                    <w:t>-0</w:t>
                  </w:r>
                  <w:r>
                    <w:rPr>
                      <w:rFonts w:hint="default" w:ascii="Times New Roman" w:hAnsi="Times New Roman" w:eastAsia="宋体" w:cs="Times New Roman"/>
                      <w:color w:val="auto"/>
                      <w:sz w:val="21"/>
                      <w:szCs w:val="21"/>
                      <w:highlight w:val="none"/>
                      <w:shd w:val="clear" w:color="auto" w:fill="auto"/>
                      <w:lang w:val="en-US" w:eastAsia="zh-CN"/>
                    </w:rPr>
                    <w:t>99</w:t>
                  </w:r>
                  <w:r>
                    <w:rPr>
                      <w:rFonts w:hint="default" w:ascii="Times New Roman" w:hAnsi="Times New Roman" w:eastAsia="宋体" w:cs="Times New Roman"/>
                      <w:color w:val="auto"/>
                      <w:sz w:val="21"/>
                      <w:szCs w:val="21"/>
                      <w:highlight w:val="none"/>
                      <w:shd w:val="clear" w:color="auto" w:fill="auto"/>
                    </w:rPr>
                    <w:t>-S64</w:t>
                  </w:r>
                </w:p>
              </w:tc>
              <w:tc>
                <w:tcPr>
                  <w:tcW w:w="541" w:type="pct"/>
                  <w:tcBorders>
                    <w:tl2br w:val="nil"/>
                    <w:tr2bl w:val="nil"/>
                  </w:tcBorders>
                  <w:shd w:val="clear" w:color="auto" w:fill="auto"/>
                  <w:vAlign w:val="center"/>
                </w:tcPr>
                <w:p w14:paraId="5C429645">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3</w:t>
                  </w:r>
                </w:p>
              </w:tc>
            </w:tr>
            <w:tr w14:paraId="58074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shd w:val="clear" w:color="auto" w:fill="auto"/>
                  <w:vAlign w:val="center"/>
                </w:tcPr>
                <w:p w14:paraId="724796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2</w:t>
                  </w:r>
                </w:p>
              </w:tc>
              <w:tc>
                <w:tcPr>
                  <w:tcW w:w="603" w:type="pct"/>
                  <w:tcBorders>
                    <w:tl2br w:val="nil"/>
                    <w:tr2bl w:val="nil"/>
                  </w:tcBorders>
                  <w:shd w:val="clear" w:color="auto" w:fill="auto"/>
                  <w:vAlign w:val="center"/>
                </w:tcPr>
                <w:p w14:paraId="4B8BF25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废包装桶</w:t>
                  </w:r>
                </w:p>
              </w:tc>
              <w:tc>
                <w:tcPr>
                  <w:tcW w:w="346" w:type="pct"/>
                  <w:vMerge w:val="restart"/>
                  <w:tcBorders>
                    <w:tl2br w:val="nil"/>
                    <w:tr2bl w:val="nil"/>
                  </w:tcBorders>
                  <w:vAlign w:val="center"/>
                </w:tcPr>
                <w:p w14:paraId="7F68C4D5">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危险废物</w:t>
                  </w:r>
                </w:p>
              </w:tc>
              <w:tc>
                <w:tcPr>
                  <w:tcW w:w="466" w:type="pct"/>
                  <w:tcBorders>
                    <w:tl2br w:val="nil"/>
                    <w:tr2bl w:val="nil"/>
                  </w:tcBorders>
                  <w:shd w:val="clear" w:color="auto" w:fill="auto"/>
                  <w:vAlign w:val="center"/>
                </w:tcPr>
                <w:p w14:paraId="4D97CADC">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原料包装</w:t>
                  </w:r>
                </w:p>
              </w:tc>
              <w:tc>
                <w:tcPr>
                  <w:tcW w:w="303" w:type="pct"/>
                  <w:tcBorders>
                    <w:tl2br w:val="nil"/>
                    <w:tr2bl w:val="nil"/>
                  </w:tcBorders>
                  <w:shd w:val="clear" w:color="auto" w:fill="auto"/>
                  <w:vAlign w:val="center"/>
                </w:tcPr>
                <w:p w14:paraId="7148ACD3">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618" w:type="pct"/>
                  <w:tcBorders>
                    <w:tl2br w:val="nil"/>
                    <w:tr2bl w:val="nil"/>
                  </w:tcBorders>
                  <w:shd w:val="clear" w:color="auto" w:fill="auto"/>
                  <w:vAlign w:val="center"/>
                </w:tcPr>
                <w:p w14:paraId="248757DE">
                  <w:pPr>
                    <w:widowControl/>
                    <w:jc w:val="center"/>
                    <w:textAlignment w:val="center"/>
                    <w:rPr>
                      <w:rFonts w:hint="default" w:ascii="Times New Roman" w:hAnsi="Times New Roman" w:cs="Times New Roman" w:eastAsiaTheme="minorEastAsia"/>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val="en-US" w:eastAsia="zh-CN" w:bidi="ar"/>
                    </w:rPr>
                    <w:t>金属</w:t>
                  </w:r>
                  <w:r>
                    <w:rPr>
                      <w:rFonts w:hint="eastAsia" w:ascii="Times New Roman" w:hAnsi="Times New Roman" w:eastAsia="宋体" w:cs="Times New Roman"/>
                      <w:color w:val="auto"/>
                      <w:kern w:val="0"/>
                      <w:sz w:val="21"/>
                      <w:szCs w:val="21"/>
                      <w:highlight w:val="none"/>
                      <w:shd w:val="clear" w:color="auto" w:fill="auto"/>
                      <w:lang w:val="en-US" w:eastAsia="zh-CN" w:bidi="ar"/>
                    </w:rPr>
                    <w:t>、有机物</w:t>
                  </w:r>
                </w:p>
              </w:tc>
              <w:tc>
                <w:tcPr>
                  <w:tcW w:w="494" w:type="pct"/>
                  <w:tcBorders>
                    <w:tl2br w:val="nil"/>
                    <w:tr2bl w:val="nil"/>
                  </w:tcBorders>
                  <w:shd w:val="clear" w:color="auto" w:fill="auto"/>
                  <w:vAlign w:val="center"/>
                </w:tcPr>
                <w:p w14:paraId="0503A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T/In</w:t>
                  </w:r>
                </w:p>
              </w:tc>
              <w:tc>
                <w:tcPr>
                  <w:tcW w:w="479" w:type="pct"/>
                  <w:tcBorders>
                    <w:tl2br w:val="nil"/>
                    <w:tr2bl w:val="nil"/>
                  </w:tcBorders>
                  <w:shd w:val="clear" w:color="auto" w:fill="auto"/>
                  <w:vAlign w:val="center"/>
                </w:tcPr>
                <w:p w14:paraId="0BC4339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HW49</w:t>
                  </w:r>
                </w:p>
              </w:tc>
              <w:tc>
                <w:tcPr>
                  <w:tcW w:w="822" w:type="pct"/>
                  <w:tcBorders>
                    <w:tl2br w:val="nil"/>
                    <w:tr2bl w:val="nil"/>
                  </w:tcBorders>
                  <w:shd w:val="clear" w:color="auto" w:fill="auto"/>
                  <w:vAlign w:val="center"/>
                </w:tcPr>
                <w:p w14:paraId="581C080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900-041-49</w:t>
                  </w:r>
                </w:p>
              </w:tc>
              <w:tc>
                <w:tcPr>
                  <w:tcW w:w="541" w:type="pct"/>
                  <w:tcBorders>
                    <w:tl2br w:val="nil"/>
                    <w:tr2bl w:val="nil"/>
                  </w:tcBorders>
                  <w:shd w:val="clear" w:color="auto" w:fill="auto"/>
                  <w:vAlign w:val="center"/>
                </w:tcPr>
                <w:p w14:paraId="384AB0AA">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w:t>
                  </w:r>
                </w:p>
              </w:tc>
            </w:tr>
            <w:tr w14:paraId="67124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shd w:val="clear" w:color="auto" w:fill="auto"/>
                  <w:vAlign w:val="center"/>
                </w:tcPr>
                <w:p w14:paraId="04C6ED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3</w:t>
                  </w:r>
                </w:p>
              </w:tc>
              <w:tc>
                <w:tcPr>
                  <w:tcW w:w="603" w:type="pct"/>
                  <w:tcBorders>
                    <w:tl2br w:val="nil"/>
                    <w:tr2bl w:val="nil"/>
                  </w:tcBorders>
                  <w:shd w:val="clear" w:color="auto" w:fill="auto"/>
                  <w:vAlign w:val="center"/>
                </w:tcPr>
                <w:p w14:paraId="7D3FCEBB">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废抹布</w:t>
                  </w:r>
                </w:p>
              </w:tc>
              <w:tc>
                <w:tcPr>
                  <w:tcW w:w="346" w:type="pct"/>
                  <w:vMerge w:val="continue"/>
                  <w:tcBorders>
                    <w:tl2br w:val="nil"/>
                    <w:tr2bl w:val="nil"/>
                  </w:tcBorders>
                  <w:vAlign w:val="center"/>
                </w:tcPr>
                <w:p w14:paraId="4AFF0112">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466" w:type="pct"/>
                  <w:tcBorders>
                    <w:tl2br w:val="nil"/>
                    <w:tr2bl w:val="nil"/>
                  </w:tcBorders>
                  <w:shd w:val="clear" w:color="auto" w:fill="auto"/>
                  <w:vAlign w:val="center"/>
                </w:tcPr>
                <w:p w14:paraId="6677F09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清洗</w:t>
                  </w:r>
                </w:p>
              </w:tc>
              <w:tc>
                <w:tcPr>
                  <w:tcW w:w="303" w:type="pct"/>
                  <w:tcBorders>
                    <w:tl2br w:val="nil"/>
                    <w:tr2bl w:val="nil"/>
                  </w:tcBorders>
                  <w:shd w:val="clear" w:color="auto" w:fill="auto"/>
                  <w:vAlign w:val="center"/>
                </w:tcPr>
                <w:p w14:paraId="3B08B41A">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kern w:val="0"/>
                      <w:sz w:val="21"/>
                      <w:szCs w:val="21"/>
                      <w:highlight w:val="none"/>
                      <w:shd w:val="clear" w:color="auto" w:fill="auto"/>
                      <w:lang w:val="en-US" w:eastAsia="zh-CN" w:bidi="ar"/>
                    </w:rPr>
                    <w:t>固态</w:t>
                  </w:r>
                </w:p>
              </w:tc>
              <w:tc>
                <w:tcPr>
                  <w:tcW w:w="618" w:type="pct"/>
                  <w:tcBorders>
                    <w:tl2br w:val="nil"/>
                    <w:tr2bl w:val="nil"/>
                  </w:tcBorders>
                  <w:shd w:val="clear" w:color="auto" w:fill="auto"/>
                  <w:vAlign w:val="center"/>
                </w:tcPr>
                <w:p w14:paraId="56DBD335">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494" w:type="pct"/>
                  <w:tcBorders>
                    <w:tl2br w:val="nil"/>
                    <w:tr2bl w:val="nil"/>
                  </w:tcBorders>
                  <w:shd w:val="clear" w:color="auto" w:fill="auto"/>
                  <w:vAlign w:val="center"/>
                </w:tcPr>
                <w:p w14:paraId="16FB2E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T/In</w:t>
                  </w:r>
                </w:p>
              </w:tc>
              <w:tc>
                <w:tcPr>
                  <w:tcW w:w="479" w:type="pct"/>
                  <w:tcBorders>
                    <w:tl2br w:val="nil"/>
                    <w:tr2bl w:val="nil"/>
                  </w:tcBorders>
                  <w:shd w:val="clear" w:color="auto" w:fill="auto"/>
                  <w:vAlign w:val="center"/>
                </w:tcPr>
                <w:p w14:paraId="5267A0E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HW49</w:t>
                  </w:r>
                </w:p>
              </w:tc>
              <w:tc>
                <w:tcPr>
                  <w:tcW w:w="822" w:type="pct"/>
                  <w:tcBorders>
                    <w:tl2br w:val="nil"/>
                    <w:tr2bl w:val="nil"/>
                  </w:tcBorders>
                  <w:shd w:val="clear" w:color="auto" w:fill="auto"/>
                  <w:vAlign w:val="center"/>
                </w:tcPr>
                <w:p w14:paraId="1B7DAF9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900-041-49</w:t>
                  </w:r>
                </w:p>
              </w:tc>
              <w:tc>
                <w:tcPr>
                  <w:tcW w:w="541" w:type="pct"/>
                  <w:tcBorders>
                    <w:tl2br w:val="nil"/>
                    <w:tr2bl w:val="nil"/>
                  </w:tcBorders>
                  <w:shd w:val="clear" w:color="auto" w:fill="auto"/>
                  <w:vAlign w:val="center"/>
                </w:tcPr>
                <w:p w14:paraId="6893D21C">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kern w:val="2"/>
                      <w:sz w:val="21"/>
                      <w:szCs w:val="21"/>
                      <w:highlight w:val="none"/>
                      <w:shd w:val="clear" w:color="auto" w:fill="auto"/>
                      <w:lang w:val="en-US" w:eastAsia="zh-CN" w:bidi="ar-SA"/>
                    </w:rPr>
                    <w:t>4.5</w:t>
                  </w:r>
                </w:p>
              </w:tc>
            </w:tr>
            <w:tr w14:paraId="3EFC7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325" w:type="pct"/>
                  <w:tcBorders>
                    <w:tl2br w:val="nil"/>
                    <w:tr2bl w:val="nil"/>
                  </w:tcBorders>
                  <w:shd w:val="clear" w:color="auto" w:fill="auto"/>
                  <w:vAlign w:val="center"/>
                </w:tcPr>
                <w:p w14:paraId="23D470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4</w:t>
                  </w:r>
                </w:p>
              </w:tc>
              <w:tc>
                <w:tcPr>
                  <w:tcW w:w="603" w:type="pct"/>
                  <w:tcBorders>
                    <w:tl2br w:val="nil"/>
                    <w:tr2bl w:val="nil"/>
                  </w:tcBorders>
                  <w:shd w:val="clear" w:color="auto" w:fill="auto"/>
                  <w:vAlign w:val="center"/>
                </w:tcPr>
                <w:p w14:paraId="3F4BC00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废活性炭</w:t>
                  </w:r>
                </w:p>
              </w:tc>
              <w:tc>
                <w:tcPr>
                  <w:tcW w:w="346" w:type="pct"/>
                  <w:vMerge w:val="continue"/>
                  <w:tcBorders>
                    <w:tl2br w:val="nil"/>
                    <w:tr2bl w:val="nil"/>
                  </w:tcBorders>
                  <w:vAlign w:val="center"/>
                </w:tcPr>
                <w:p w14:paraId="7DDC6877">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466" w:type="pct"/>
                  <w:tcBorders>
                    <w:tl2br w:val="nil"/>
                    <w:tr2bl w:val="nil"/>
                  </w:tcBorders>
                  <w:shd w:val="clear" w:color="auto" w:fill="auto"/>
                  <w:vAlign w:val="center"/>
                </w:tcPr>
                <w:p w14:paraId="4A44E1AF">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废气处理</w:t>
                  </w:r>
                </w:p>
              </w:tc>
              <w:tc>
                <w:tcPr>
                  <w:tcW w:w="303" w:type="pct"/>
                  <w:tcBorders>
                    <w:tl2br w:val="nil"/>
                    <w:tr2bl w:val="nil"/>
                  </w:tcBorders>
                  <w:shd w:val="clear" w:color="auto" w:fill="auto"/>
                  <w:vAlign w:val="center"/>
                </w:tcPr>
                <w:p w14:paraId="5A69E69F">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618" w:type="pct"/>
                  <w:tcBorders>
                    <w:tl2br w:val="nil"/>
                    <w:tr2bl w:val="nil"/>
                  </w:tcBorders>
                  <w:shd w:val="clear" w:color="auto" w:fill="auto"/>
                  <w:vAlign w:val="center"/>
                </w:tcPr>
                <w:p w14:paraId="211AE754">
                  <w:pPr>
                    <w:widowControl/>
                    <w:jc w:val="center"/>
                    <w:textAlignment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lang w:val="en-US" w:eastAsia="zh-CN"/>
                    </w:rPr>
                    <w:t>活性炭</w:t>
                  </w:r>
                  <w:r>
                    <w:rPr>
                      <w:rFonts w:hint="eastAsia" w:ascii="Times New Roman" w:hAnsi="Times New Roman" w:eastAsia="宋体" w:cs="Times New Roman"/>
                      <w:color w:val="auto"/>
                      <w:sz w:val="21"/>
                      <w:szCs w:val="21"/>
                      <w:highlight w:val="none"/>
                      <w:shd w:val="clear" w:color="auto" w:fill="auto"/>
                      <w:lang w:val="en-US" w:eastAsia="zh-CN"/>
                    </w:rPr>
                    <w:t>、有机物</w:t>
                  </w:r>
                </w:p>
              </w:tc>
              <w:tc>
                <w:tcPr>
                  <w:tcW w:w="494" w:type="pct"/>
                  <w:tcBorders>
                    <w:tl2br w:val="nil"/>
                    <w:tr2bl w:val="nil"/>
                  </w:tcBorders>
                  <w:shd w:val="clear" w:color="auto" w:fill="auto"/>
                  <w:vAlign w:val="center"/>
                </w:tcPr>
                <w:p w14:paraId="68B681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T</w:t>
                  </w:r>
                </w:p>
              </w:tc>
              <w:tc>
                <w:tcPr>
                  <w:tcW w:w="479" w:type="pct"/>
                  <w:tcBorders>
                    <w:tl2br w:val="nil"/>
                    <w:tr2bl w:val="nil"/>
                  </w:tcBorders>
                  <w:shd w:val="clear" w:color="auto" w:fill="auto"/>
                  <w:vAlign w:val="center"/>
                </w:tcPr>
                <w:p w14:paraId="6518842F">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822" w:type="pct"/>
                  <w:tcBorders>
                    <w:tl2br w:val="nil"/>
                    <w:tr2bl w:val="nil"/>
                  </w:tcBorders>
                  <w:shd w:val="clear" w:color="auto" w:fill="auto"/>
                  <w:vAlign w:val="center"/>
                </w:tcPr>
                <w:p w14:paraId="23152D47">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rPr>
                    <w:t>-49</w:t>
                  </w:r>
                </w:p>
              </w:tc>
              <w:tc>
                <w:tcPr>
                  <w:tcW w:w="541" w:type="pct"/>
                  <w:tcBorders>
                    <w:tl2br w:val="nil"/>
                    <w:tr2bl w:val="nil"/>
                  </w:tcBorders>
                  <w:shd w:val="clear" w:color="auto" w:fill="auto"/>
                  <w:vAlign w:val="center"/>
                </w:tcPr>
                <w:p w14:paraId="0DEB7D21">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6.2</w:t>
                  </w:r>
                </w:p>
              </w:tc>
            </w:tr>
            <w:tr w14:paraId="3BB17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325" w:type="pct"/>
                  <w:tcBorders>
                    <w:tl2br w:val="nil"/>
                    <w:tr2bl w:val="nil"/>
                  </w:tcBorders>
                  <w:shd w:val="clear" w:color="auto" w:fill="auto"/>
                  <w:vAlign w:val="center"/>
                </w:tcPr>
                <w:p w14:paraId="415D8F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5</w:t>
                  </w:r>
                </w:p>
              </w:tc>
              <w:tc>
                <w:tcPr>
                  <w:tcW w:w="603" w:type="pct"/>
                  <w:tcBorders>
                    <w:tl2br w:val="nil"/>
                    <w:tr2bl w:val="nil"/>
                  </w:tcBorders>
                  <w:shd w:val="clear" w:color="auto" w:fill="auto"/>
                  <w:vAlign w:val="center"/>
                </w:tcPr>
                <w:p w14:paraId="01662437">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含油抹布手套</w:t>
                  </w:r>
                </w:p>
              </w:tc>
              <w:tc>
                <w:tcPr>
                  <w:tcW w:w="346" w:type="pct"/>
                  <w:vMerge w:val="continue"/>
                  <w:tcBorders>
                    <w:tl2br w:val="nil"/>
                    <w:tr2bl w:val="nil"/>
                  </w:tcBorders>
                  <w:vAlign w:val="center"/>
                </w:tcPr>
                <w:p w14:paraId="4674688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466" w:type="pct"/>
                  <w:tcBorders>
                    <w:tl2br w:val="nil"/>
                    <w:tr2bl w:val="nil"/>
                  </w:tcBorders>
                  <w:shd w:val="clear" w:color="auto" w:fill="auto"/>
                  <w:vAlign w:val="center"/>
                </w:tcPr>
                <w:p w14:paraId="399FDA8E">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设备维护</w:t>
                  </w:r>
                </w:p>
              </w:tc>
              <w:tc>
                <w:tcPr>
                  <w:tcW w:w="303" w:type="pct"/>
                  <w:tcBorders>
                    <w:tl2br w:val="nil"/>
                    <w:tr2bl w:val="nil"/>
                  </w:tcBorders>
                  <w:shd w:val="clear" w:color="auto" w:fill="auto"/>
                  <w:vAlign w:val="center"/>
                </w:tcPr>
                <w:p w14:paraId="34A7963D">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618" w:type="pct"/>
                  <w:tcBorders>
                    <w:tl2br w:val="nil"/>
                    <w:tr2bl w:val="nil"/>
                  </w:tcBorders>
                  <w:shd w:val="clear" w:color="auto" w:fill="auto"/>
                  <w:vAlign w:val="center"/>
                </w:tcPr>
                <w:p w14:paraId="49BE07E0">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
                    </w:rPr>
                    <w:t>矿物油</w:t>
                  </w:r>
                </w:p>
              </w:tc>
              <w:tc>
                <w:tcPr>
                  <w:tcW w:w="494" w:type="pct"/>
                  <w:tcBorders>
                    <w:tl2br w:val="nil"/>
                    <w:tr2bl w:val="nil"/>
                  </w:tcBorders>
                  <w:shd w:val="clear" w:color="auto" w:fill="auto"/>
                  <w:vAlign w:val="center"/>
                </w:tcPr>
                <w:p w14:paraId="3E9D9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T/In</w:t>
                  </w:r>
                </w:p>
              </w:tc>
              <w:tc>
                <w:tcPr>
                  <w:tcW w:w="479" w:type="pct"/>
                  <w:tcBorders>
                    <w:tl2br w:val="nil"/>
                    <w:tr2bl w:val="nil"/>
                  </w:tcBorders>
                  <w:shd w:val="clear" w:color="auto" w:fill="auto"/>
                  <w:vAlign w:val="center"/>
                </w:tcPr>
                <w:p w14:paraId="20B2B1D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HW49</w:t>
                  </w:r>
                </w:p>
              </w:tc>
              <w:tc>
                <w:tcPr>
                  <w:tcW w:w="822" w:type="pct"/>
                  <w:tcBorders>
                    <w:tl2br w:val="nil"/>
                    <w:tr2bl w:val="nil"/>
                  </w:tcBorders>
                  <w:shd w:val="clear" w:color="auto" w:fill="auto"/>
                  <w:vAlign w:val="center"/>
                </w:tcPr>
                <w:p w14:paraId="2857AB56">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900-041-49</w:t>
                  </w:r>
                </w:p>
              </w:tc>
              <w:tc>
                <w:tcPr>
                  <w:tcW w:w="541" w:type="pct"/>
                  <w:tcBorders>
                    <w:tl2br w:val="nil"/>
                    <w:tr2bl w:val="nil"/>
                  </w:tcBorders>
                  <w:shd w:val="clear" w:color="auto" w:fill="auto"/>
                  <w:vAlign w:val="center"/>
                </w:tcPr>
                <w:p w14:paraId="29985CF8">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0.01</w:t>
                  </w:r>
                </w:p>
              </w:tc>
            </w:tr>
            <w:tr w14:paraId="25562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shd w:val="clear" w:color="auto" w:fill="auto"/>
                  <w:vAlign w:val="center"/>
                </w:tcPr>
                <w:p w14:paraId="6BA9DA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6</w:t>
                  </w:r>
                </w:p>
              </w:tc>
              <w:tc>
                <w:tcPr>
                  <w:tcW w:w="603" w:type="pct"/>
                  <w:tcBorders>
                    <w:tl2br w:val="nil"/>
                    <w:tr2bl w:val="nil"/>
                  </w:tcBorders>
                  <w:shd w:val="clear" w:color="auto" w:fill="auto"/>
                  <w:vAlign w:val="center"/>
                </w:tcPr>
                <w:p w14:paraId="4203A1C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边角料</w:t>
                  </w:r>
                </w:p>
              </w:tc>
              <w:tc>
                <w:tcPr>
                  <w:tcW w:w="346" w:type="pct"/>
                  <w:vMerge w:val="restart"/>
                  <w:tcBorders>
                    <w:tl2br w:val="nil"/>
                    <w:tr2bl w:val="nil"/>
                  </w:tcBorders>
                  <w:vAlign w:val="center"/>
                </w:tcPr>
                <w:p w14:paraId="69EFB8D6">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一般固废</w:t>
                  </w:r>
                </w:p>
              </w:tc>
              <w:tc>
                <w:tcPr>
                  <w:tcW w:w="466" w:type="pct"/>
                  <w:tcBorders>
                    <w:tl2br w:val="nil"/>
                    <w:tr2bl w:val="nil"/>
                  </w:tcBorders>
                  <w:shd w:val="clear" w:color="auto" w:fill="auto"/>
                  <w:vAlign w:val="center"/>
                </w:tcPr>
                <w:p w14:paraId="53FCBFF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分切</w:t>
                  </w:r>
                </w:p>
              </w:tc>
              <w:tc>
                <w:tcPr>
                  <w:tcW w:w="303" w:type="pct"/>
                  <w:tcBorders>
                    <w:tl2br w:val="nil"/>
                    <w:tr2bl w:val="nil"/>
                  </w:tcBorders>
                  <w:shd w:val="clear" w:color="auto" w:fill="auto"/>
                  <w:vAlign w:val="center"/>
                </w:tcPr>
                <w:p w14:paraId="382C486F">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618" w:type="pct"/>
                  <w:tcBorders>
                    <w:tl2br w:val="nil"/>
                    <w:tr2bl w:val="nil"/>
                  </w:tcBorders>
                  <w:shd w:val="clear" w:color="auto" w:fill="auto"/>
                  <w:vAlign w:val="center"/>
                </w:tcPr>
                <w:p w14:paraId="321C564E">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
                    </w:rPr>
                    <w:t>塑料</w:t>
                  </w:r>
                </w:p>
              </w:tc>
              <w:tc>
                <w:tcPr>
                  <w:tcW w:w="494" w:type="pct"/>
                  <w:tcBorders>
                    <w:tl2br w:val="nil"/>
                    <w:tr2bl w:val="nil"/>
                  </w:tcBorders>
                  <w:vAlign w:val="center"/>
                </w:tcPr>
                <w:p w14:paraId="3CC64340">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79" w:type="pct"/>
                  <w:tcBorders>
                    <w:tl2br w:val="nil"/>
                    <w:tr2bl w:val="nil"/>
                  </w:tcBorders>
                  <w:vAlign w:val="center"/>
                </w:tcPr>
                <w:p w14:paraId="3EB0ED9F">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SW17</w:t>
                  </w:r>
                </w:p>
              </w:tc>
              <w:tc>
                <w:tcPr>
                  <w:tcW w:w="822" w:type="pct"/>
                  <w:tcBorders>
                    <w:tl2br w:val="nil"/>
                    <w:tr2bl w:val="nil"/>
                  </w:tcBorders>
                  <w:vAlign w:val="center"/>
                </w:tcPr>
                <w:p w14:paraId="1B0B8C12">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900</w:t>
                  </w:r>
                  <w:r>
                    <w:rPr>
                      <w:rFonts w:hint="default" w:ascii="Times New Roman" w:hAnsi="Times New Roman" w:eastAsia="宋体" w:cs="Times New Roman"/>
                      <w:color w:val="auto"/>
                      <w:sz w:val="21"/>
                      <w:szCs w:val="21"/>
                      <w:highlight w:val="none"/>
                      <w:shd w:val="clear" w:color="auto" w:fill="auto"/>
                    </w:rPr>
                    <w:t>-00</w:t>
                  </w:r>
                  <w:r>
                    <w:rPr>
                      <w:rFonts w:hint="eastAsia"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rPr>
                    <w:t>-S17</w:t>
                  </w:r>
                </w:p>
              </w:tc>
              <w:tc>
                <w:tcPr>
                  <w:tcW w:w="541" w:type="pct"/>
                  <w:tcBorders>
                    <w:tl2br w:val="nil"/>
                    <w:tr2bl w:val="nil"/>
                  </w:tcBorders>
                  <w:shd w:val="clear" w:color="auto" w:fill="auto"/>
                  <w:vAlign w:val="center"/>
                </w:tcPr>
                <w:p w14:paraId="4831E227">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r>
            <w:tr w14:paraId="5CABF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shd w:val="clear" w:color="auto" w:fill="auto"/>
                  <w:vAlign w:val="center"/>
                </w:tcPr>
                <w:p w14:paraId="3E21D4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7</w:t>
                  </w:r>
                </w:p>
              </w:tc>
              <w:tc>
                <w:tcPr>
                  <w:tcW w:w="603" w:type="pct"/>
                  <w:tcBorders>
                    <w:tl2br w:val="nil"/>
                    <w:tr2bl w:val="nil"/>
                  </w:tcBorders>
                  <w:shd w:val="clear" w:color="auto" w:fill="auto"/>
                  <w:vAlign w:val="center"/>
                </w:tcPr>
                <w:p w14:paraId="510BCDA5">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不合格品</w:t>
                  </w:r>
                </w:p>
              </w:tc>
              <w:tc>
                <w:tcPr>
                  <w:tcW w:w="346" w:type="pct"/>
                  <w:vMerge w:val="continue"/>
                  <w:tcBorders>
                    <w:tl2br w:val="nil"/>
                    <w:tr2bl w:val="nil"/>
                  </w:tcBorders>
                  <w:vAlign w:val="center"/>
                </w:tcPr>
                <w:p w14:paraId="43895765">
                  <w:pPr>
                    <w:jc w:val="center"/>
                    <w:rPr>
                      <w:rFonts w:hint="default" w:ascii="Times New Roman" w:hAnsi="Times New Roman" w:eastAsia="宋体" w:cs="Times New Roman"/>
                      <w:color w:val="auto"/>
                      <w:sz w:val="21"/>
                      <w:szCs w:val="21"/>
                      <w:highlight w:val="none"/>
                      <w:shd w:val="clear" w:color="auto" w:fill="auto"/>
                    </w:rPr>
                  </w:pPr>
                </w:p>
              </w:tc>
              <w:tc>
                <w:tcPr>
                  <w:tcW w:w="466" w:type="pct"/>
                  <w:tcBorders>
                    <w:tl2br w:val="nil"/>
                    <w:tr2bl w:val="nil"/>
                  </w:tcBorders>
                  <w:shd w:val="clear" w:color="auto" w:fill="auto"/>
                  <w:vAlign w:val="center"/>
                </w:tcPr>
                <w:p w14:paraId="1CD479B6">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检验</w:t>
                  </w:r>
                </w:p>
              </w:tc>
              <w:tc>
                <w:tcPr>
                  <w:tcW w:w="303" w:type="pct"/>
                  <w:tcBorders>
                    <w:tl2br w:val="nil"/>
                    <w:tr2bl w:val="nil"/>
                  </w:tcBorders>
                  <w:shd w:val="clear" w:color="auto" w:fill="auto"/>
                  <w:vAlign w:val="center"/>
                </w:tcPr>
                <w:p w14:paraId="2F2D893F">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618" w:type="pct"/>
                  <w:tcBorders>
                    <w:tl2br w:val="nil"/>
                    <w:tr2bl w:val="nil"/>
                  </w:tcBorders>
                  <w:shd w:val="clear" w:color="auto" w:fill="auto"/>
                  <w:vAlign w:val="center"/>
                </w:tcPr>
                <w:p w14:paraId="30D67DA8">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
                    </w:rPr>
                    <w:t>塑料</w:t>
                  </w:r>
                </w:p>
              </w:tc>
              <w:tc>
                <w:tcPr>
                  <w:tcW w:w="494" w:type="pct"/>
                  <w:tcBorders>
                    <w:tl2br w:val="nil"/>
                    <w:tr2bl w:val="nil"/>
                  </w:tcBorders>
                  <w:vAlign w:val="center"/>
                </w:tcPr>
                <w:p w14:paraId="564EEDAF">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79" w:type="pct"/>
                  <w:tcBorders>
                    <w:tl2br w:val="nil"/>
                    <w:tr2bl w:val="nil"/>
                  </w:tcBorders>
                  <w:shd w:val="clear" w:color="auto" w:fill="auto"/>
                  <w:vAlign w:val="center"/>
                </w:tcPr>
                <w:p w14:paraId="40606BE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SW17</w:t>
                  </w:r>
                </w:p>
              </w:tc>
              <w:tc>
                <w:tcPr>
                  <w:tcW w:w="822" w:type="pct"/>
                  <w:tcBorders>
                    <w:tl2br w:val="nil"/>
                    <w:tr2bl w:val="nil"/>
                  </w:tcBorders>
                  <w:shd w:val="clear" w:color="auto" w:fill="auto"/>
                  <w:vAlign w:val="center"/>
                </w:tcPr>
                <w:p w14:paraId="45F2C0D6">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900</w:t>
                  </w:r>
                  <w:r>
                    <w:rPr>
                      <w:rFonts w:hint="default" w:ascii="Times New Roman" w:hAnsi="Times New Roman" w:eastAsia="宋体" w:cs="Times New Roman"/>
                      <w:color w:val="auto"/>
                      <w:sz w:val="21"/>
                      <w:szCs w:val="21"/>
                      <w:highlight w:val="none"/>
                      <w:shd w:val="clear" w:color="auto" w:fill="auto"/>
                    </w:rPr>
                    <w:t>-00</w:t>
                  </w:r>
                  <w:r>
                    <w:rPr>
                      <w:rFonts w:hint="eastAsia"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rPr>
                    <w:t>-S17</w:t>
                  </w:r>
                </w:p>
              </w:tc>
              <w:tc>
                <w:tcPr>
                  <w:tcW w:w="541" w:type="pct"/>
                  <w:tcBorders>
                    <w:tl2br w:val="nil"/>
                    <w:tr2bl w:val="nil"/>
                  </w:tcBorders>
                  <w:shd w:val="clear" w:color="auto" w:fill="auto"/>
                  <w:vAlign w:val="center"/>
                </w:tcPr>
                <w:p w14:paraId="70794138">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r>
            <w:tr w14:paraId="69323F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shd w:val="clear" w:color="auto" w:fill="auto"/>
                  <w:vAlign w:val="center"/>
                </w:tcPr>
                <w:p w14:paraId="36DF9C0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8</w:t>
                  </w:r>
                </w:p>
              </w:tc>
              <w:tc>
                <w:tcPr>
                  <w:tcW w:w="603" w:type="pct"/>
                  <w:tcBorders>
                    <w:tl2br w:val="nil"/>
                    <w:tr2bl w:val="nil"/>
                  </w:tcBorders>
                  <w:shd w:val="clear" w:color="auto" w:fill="auto"/>
                  <w:vAlign w:val="center"/>
                </w:tcPr>
                <w:p w14:paraId="44F973BF">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不合格品</w:t>
                  </w:r>
                </w:p>
              </w:tc>
              <w:tc>
                <w:tcPr>
                  <w:tcW w:w="346" w:type="pct"/>
                  <w:vMerge w:val="continue"/>
                  <w:tcBorders>
                    <w:tl2br w:val="nil"/>
                    <w:tr2bl w:val="nil"/>
                  </w:tcBorders>
                  <w:vAlign w:val="center"/>
                </w:tcPr>
                <w:p w14:paraId="2EBCAB0D">
                  <w:pPr>
                    <w:jc w:val="center"/>
                    <w:rPr>
                      <w:rFonts w:hint="default" w:ascii="Times New Roman" w:hAnsi="Times New Roman" w:eastAsia="宋体" w:cs="Times New Roman"/>
                      <w:color w:val="auto"/>
                      <w:sz w:val="21"/>
                      <w:szCs w:val="21"/>
                      <w:highlight w:val="none"/>
                      <w:shd w:val="clear" w:color="auto" w:fill="auto"/>
                    </w:rPr>
                  </w:pPr>
                </w:p>
              </w:tc>
              <w:tc>
                <w:tcPr>
                  <w:tcW w:w="466" w:type="pct"/>
                  <w:tcBorders>
                    <w:tl2br w:val="nil"/>
                    <w:tr2bl w:val="nil"/>
                  </w:tcBorders>
                  <w:shd w:val="clear" w:color="auto" w:fill="auto"/>
                  <w:vAlign w:val="center"/>
                </w:tcPr>
                <w:p w14:paraId="2B143547">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吹膜</w:t>
                  </w:r>
                </w:p>
              </w:tc>
              <w:tc>
                <w:tcPr>
                  <w:tcW w:w="303" w:type="pct"/>
                  <w:tcBorders>
                    <w:tl2br w:val="nil"/>
                    <w:tr2bl w:val="nil"/>
                  </w:tcBorders>
                  <w:shd w:val="clear" w:color="auto" w:fill="auto"/>
                  <w:vAlign w:val="center"/>
                </w:tcPr>
                <w:p w14:paraId="39F101E2">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618" w:type="pct"/>
                  <w:tcBorders>
                    <w:tl2br w:val="nil"/>
                    <w:tr2bl w:val="nil"/>
                  </w:tcBorders>
                  <w:shd w:val="clear" w:color="auto" w:fill="auto"/>
                  <w:vAlign w:val="center"/>
                </w:tcPr>
                <w:p w14:paraId="16CABFE8">
                  <w:pPr>
                    <w:widowControl/>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
                    </w:rPr>
                    <w:t>塑料</w:t>
                  </w:r>
                </w:p>
              </w:tc>
              <w:tc>
                <w:tcPr>
                  <w:tcW w:w="494" w:type="pct"/>
                  <w:tcBorders>
                    <w:tl2br w:val="nil"/>
                    <w:tr2bl w:val="nil"/>
                  </w:tcBorders>
                  <w:shd w:val="clear" w:color="auto" w:fill="auto"/>
                  <w:vAlign w:val="center"/>
                </w:tcPr>
                <w:p w14:paraId="02F5677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79" w:type="pct"/>
                  <w:tcBorders>
                    <w:tl2br w:val="nil"/>
                    <w:tr2bl w:val="nil"/>
                  </w:tcBorders>
                  <w:shd w:val="clear" w:color="auto" w:fill="auto"/>
                  <w:vAlign w:val="center"/>
                </w:tcPr>
                <w:p w14:paraId="175F30E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SW17</w:t>
                  </w:r>
                </w:p>
              </w:tc>
              <w:tc>
                <w:tcPr>
                  <w:tcW w:w="822" w:type="pct"/>
                  <w:tcBorders>
                    <w:tl2br w:val="nil"/>
                    <w:tr2bl w:val="nil"/>
                  </w:tcBorders>
                  <w:shd w:val="clear" w:color="auto" w:fill="auto"/>
                  <w:vAlign w:val="center"/>
                </w:tcPr>
                <w:p w14:paraId="66F5799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900</w:t>
                  </w:r>
                  <w:r>
                    <w:rPr>
                      <w:rFonts w:hint="default" w:ascii="Times New Roman" w:hAnsi="Times New Roman" w:eastAsia="宋体" w:cs="Times New Roman"/>
                      <w:color w:val="auto"/>
                      <w:sz w:val="21"/>
                      <w:szCs w:val="21"/>
                      <w:highlight w:val="none"/>
                      <w:shd w:val="clear" w:color="auto" w:fill="auto"/>
                    </w:rPr>
                    <w:t>-00</w:t>
                  </w:r>
                  <w:r>
                    <w:rPr>
                      <w:rFonts w:hint="eastAsia"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rPr>
                    <w:t>-S17</w:t>
                  </w:r>
                </w:p>
              </w:tc>
              <w:tc>
                <w:tcPr>
                  <w:tcW w:w="541" w:type="pct"/>
                  <w:tcBorders>
                    <w:tl2br w:val="nil"/>
                    <w:tr2bl w:val="nil"/>
                  </w:tcBorders>
                  <w:shd w:val="clear" w:color="auto" w:fill="auto"/>
                  <w:vAlign w:val="center"/>
                </w:tcPr>
                <w:p w14:paraId="276A69BD">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w:t>
                  </w:r>
                </w:p>
              </w:tc>
            </w:tr>
            <w:tr w14:paraId="2F569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shd w:val="clear" w:color="auto" w:fill="auto"/>
                  <w:vAlign w:val="center"/>
                </w:tcPr>
                <w:p w14:paraId="219AFA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9</w:t>
                  </w:r>
                </w:p>
              </w:tc>
              <w:tc>
                <w:tcPr>
                  <w:tcW w:w="603" w:type="pct"/>
                  <w:tcBorders>
                    <w:tl2br w:val="nil"/>
                    <w:tr2bl w:val="nil"/>
                  </w:tcBorders>
                  <w:shd w:val="clear" w:color="auto" w:fill="auto"/>
                  <w:vAlign w:val="center"/>
                </w:tcPr>
                <w:p w14:paraId="011AE35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废布袋</w:t>
                  </w:r>
                </w:p>
              </w:tc>
              <w:tc>
                <w:tcPr>
                  <w:tcW w:w="346" w:type="pct"/>
                  <w:vMerge w:val="continue"/>
                  <w:tcBorders>
                    <w:tl2br w:val="nil"/>
                    <w:tr2bl w:val="nil"/>
                  </w:tcBorders>
                  <w:vAlign w:val="center"/>
                </w:tcPr>
                <w:p w14:paraId="5A2C655D">
                  <w:pPr>
                    <w:jc w:val="center"/>
                    <w:rPr>
                      <w:rFonts w:hint="default" w:ascii="Times New Roman" w:hAnsi="Times New Roman" w:eastAsia="宋体" w:cs="Times New Roman"/>
                      <w:color w:val="auto"/>
                      <w:sz w:val="21"/>
                      <w:szCs w:val="21"/>
                      <w:highlight w:val="none"/>
                      <w:shd w:val="clear" w:color="auto" w:fill="auto"/>
                    </w:rPr>
                  </w:pPr>
                </w:p>
              </w:tc>
              <w:tc>
                <w:tcPr>
                  <w:tcW w:w="466" w:type="pct"/>
                  <w:tcBorders>
                    <w:tl2br w:val="nil"/>
                    <w:tr2bl w:val="nil"/>
                  </w:tcBorders>
                  <w:shd w:val="clear" w:color="auto" w:fill="auto"/>
                  <w:vAlign w:val="center"/>
                </w:tcPr>
                <w:p w14:paraId="00B6117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废气处理</w:t>
                  </w:r>
                </w:p>
              </w:tc>
              <w:tc>
                <w:tcPr>
                  <w:tcW w:w="303" w:type="pct"/>
                  <w:tcBorders>
                    <w:tl2br w:val="nil"/>
                    <w:tr2bl w:val="nil"/>
                  </w:tcBorders>
                  <w:shd w:val="clear" w:color="auto" w:fill="auto"/>
                  <w:vAlign w:val="center"/>
                </w:tcPr>
                <w:p w14:paraId="28C4D620">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618" w:type="pct"/>
                  <w:tcBorders>
                    <w:tl2br w:val="nil"/>
                    <w:tr2bl w:val="nil"/>
                  </w:tcBorders>
                  <w:shd w:val="clear" w:color="auto" w:fill="auto"/>
                  <w:vAlign w:val="center"/>
                </w:tcPr>
                <w:p w14:paraId="62D2F954">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lang w:val="en-US" w:eastAsia="zh-CN" w:bidi="ar"/>
                    </w:rPr>
                    <w:t>纤维</w:t>
                  </w:r>
                </w:p>
              </w:tc>
              <w:tc>
                <w:tcPr>
                  <w:tcW w:w="494" w:type="pct"/>
                  <w:tcBorders>
                    <w:tl2br w:val="nil"/>
                    <w:tr2bl w:val="nil"/>
                  </w:tcBorders>
                  <w:vAlign w:val="center"/>
                </w:tcPr>
                <w:p w14:paraId="2FFF64D7">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79" w:type="pct"/>
                  <w:tcBorders>
                    <w:tl2br w:val="nil"/>
                    <w:tr2bl w:val="nil"/>
                  </w:tcBorders>
                  <w:vAlign w:val="center"/>
                </w:tcPr>
                <w:p w14:paraId="4DC67834">
                  <w:pPr>
                    <w:pStyle w:val="78"/>
                    <w:ind w:firstLine="0" w:firstLineChars="0"/>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pacing w:val="0"/>
                      <w:kern w:val="0"/>
                      <w:sz w:val="21"/>
                      <w:szCs w:val="21"/>
                      <w:lang w:val="en-US" w:eastAsia="zh-CN"/>
                    </w:rPr>
                    <w:t>S</w:t>
                  </w:r>
                  <w:r>
                    <w:rPr>
                      <w:rFonts w:hint="default" w:ascii="Times New Roman" w:hAnsi="Times New Roman" w:eastAsia="宋体" w:cs="Times New Roman"/>
                      <w:color w:val="auto"/>
                      <w:spacing w:val="0"/>
                      <w:kern w:val="0"/>
                      <w:sz w:val="21"/>
                      <w:szCs w:val="21"/>
                    </w:rPr>
                    <w:t>W</w:t>
                  </w:r>
                  <w:r>
                    <w:rPr>
                      <w:rFonts w:hint="default" w:ascii="Times New Roman" w:hAnsi="Times New Roman" w:eastAsia="宋体" w:cs="Times New Roman"/>
                      <w:color w:val="auto"/>
                      <w:spacing w:val="0"/>
                      <w:kern w:val="0"/>
                      <w:sz w:val="21"/>
                      <w:szCs w:val="21"/>
                      <w:lang w:val="en-US" w:eastAsia="zh-CN"/>
                    </w:rPr>
                    <w:t>5</w:t>
                  </w:r>
                  <w:r>
                    <w:rPr>
                      <w:rFonts w:hint="default" w:ascii="Times New Roman" w:hAnsi="Times New Roman" w:eastAsia="宋体" w:cs="Times New Roman"/>
                      <w:color w:val="auto"/>
                      <w:spacing w:val="0"/>
                      <w:kern w:val="0"/>
                      <w:sz w:val="21"/>
                      <w:szCs w:val="21"/>
                    </w:rPr>
                    <w:t>9</w:t>
                  </w:r>
                </w:p>
              </w:tc>
              <w:tc>
                <w:tcPr>
                  <w:tcW w:w="822" w:type="pct"/>
                  <w:tcBorders>
                    <w:tl2br w:val="nil"/>
                    <w:tr2bl w:val="nil"/>
                  </w:tcBorders>
                  <w:vAlign w:val="center"/>
                </w:tcPr>
                <w:p w14:paraId="5DD51B1F">
                  <w:pPr>
                    <w:pStyle w:val="78"/>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pacing w:val="0"/>
                      <w:kern w:val="0"/>
                      <w:sz w:val="21"/>
                      <w:szCs w:val="21"/>
                    </w:rPr>
                    <w:t>900-0</w:t>
                  </w:r>
                  <w:r>
                    <w:rPr>
                      <w:rFonts w:hint="default" w:ascii="Times New Roman" w:hAnsi="Times New Roman" w:eastAsia="宋体" w:cs="Times New Roman"/>
                      <w:color w:val="auto"/>
                      <w:spacing w:val="0"/>
                      <w:kern w:val="0"/>
                      <w:sz w:val="21"/>
                      <w:szCs w:val="21"/>
                      <w:lang w:val="en-US" w:eastAsia="zh-CN"/>
                    </w:rPr>
                    <w:t>09</w:t>
                  </w:r>
                  <w:r>
                    <w:rPr>
                      <w:rFonts w:hint="default" w:ascii="Times New Roman" w:hAnsi="Times New Roman" w:eastAsia="宋体" w:cs="Times New Roman"/>
                      <w:color w:val="auto"/>
                      <w:spacing w:val="0"/>
                      <w:kern w:val="0"/>
                      <w:sz w:val="21"/>
                      <w:szCs w:val="21"/>
                    </w:rPr>
                    <w:t>-</w:t>
                  </w:r>
                  <w:r>
                    <w:rPr>
                      <w:rFonts w:hint="default" w:ascii="Times New Roman" w:hAnsi="Times New Roman" w:eastAsia="宋体" w:cs="Times New Roman"/>
                      <w:color w:val="auto"/>
                      <w:spacing w:val="0"/>
                      <w:kern w:val="0"/>
                      <w:sz w:val="21"/>
                      <w:szCs w:val="21"/>
                      <w:lang w:val="en-US" w:eastAsia="zh-CN"/>
                    </w:rPr>
                    <w:t>S59</w:t>
                  </w:r>
                </w:p>
              </w:tc>
              <w:tc>
                <w:tcPr>
                  <w:tcW w:w="541" w:type="pct"/>
                  <w:tcBorders>
                    <w:tl2br w:val="nil"/>
                    <w:tr2bl w:val="nil"/>
                  </w:tcBorders>
                  <w:shd w:val="clear" w:color="auto" w:fill="auto"/>
                  <w:vAlign w:val="center"/>
                </w:tcPr>
                <w:p w14:paraId="1DA5C36E">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0.04</w:t>
                  </w:r>
                </w:p>
              </w:tc>
            </w:tr>
            <w:tr w14:paraId="24A0E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5" w:type="pct"/>
                  <w:tcBorders>
                    <w:tl2br w:val="nil"/>
                    <w:tr2bl w:val="nil"/>
                  </w:tcBorders>
                  <w:shd w:val="clear" w:color="auto" w:fill="auto"/>
                  <w:vAlign w:val="center"/>
                </w:tcPr>
                <w:p w14:paraId="1BD809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10</w:t>
                  </w:r>
                </w:p>
              </w:tc>
              <w:tc>
                <w:tcPr>
                  <w:tcW w:w="603" w:type="pct"/>
                  <w:tcBorders>
                    <w:tl2br w:val="nil"/>
                    <w:tr2bl w:val="nil"/>
                  </w:tcBorders>
                  <w:shd w:val="clear" w:color="auto" w:fill="auto"/>
                  <w:vAlign w:val="center"/>
                </w:tcPr>
                <w:p w14:paraId="6F57266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除尘灰</w:t>
                  </w:r>
                </w:p>
              </w:tc>
              <w:tc>
                <w:tcPr>
                  <w:tcW w:w="346" w:type="pct"/>
                  <w:vMerge w:val="continue"/>
                  <w:tcBorders>
                    <w:tl2br w:val="nil"/>
                    <w:tr2bl w:val="nil"/>
                  </w:tcBorders>
                  <w:vAlign w:val="center"/>
                </w:tcPr>
                <w:p w14:paraId="5FEAED3E">
                  <w:pPr>
                    <w:jc w:val="center"/>
                    <w:rPr>
                      <w:rFonts w:hint="default" w:ascii="Times New Roman" w:hAnsi="Times New Roman" w:eastAsia="宋体" w:cs="Times New Roman"/>
                      <w:color w:val="auto"/>
                      <w:sz w:val="21"/>
                      <w:szCs w:val="21"/>
                      <w:highlight w:val="none"/>
                      <w:shd w:val="clear" w:color="auto" w:fill="auto"/>
                    </w:rPr>
                  </w:pPr>
                </w:p>
              </w:tc>
              <w:tc>
                <w:tcPr>
                  <w:tcW w:w="466" w:type="pct"/>
                  <w:tcBorders>
                    <w:tl2br w:val="nil"/>
                    <w:tr2bl w:val="nil"/>
                  </w:tcBorders>
                  <w:shd w:val="clear" w:color="auto" w:fill="auto"/>
                  <w:vAlign w:val="center"/>
                </w:tcPr>
                <w:p w14:paraId="43F25D4C">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废气处理</w:t>
                  </w:r>
                </w:p>
              </w:tc>
              <w:tc>
                <w:tcPr>
                  <w:tcW w:w="303" w:type="pct"/>
                  <w:tcBorders>
                    <w:tl2br w:val="nil"/>
                    <w:tr2bl w:val="nil"/>
                  </w:tcBorders>
                  <w:shd w:val="clear" w:color="auto" w:fill="auto"/>
                  <w:vAlign w:val="center"/>
                </w:tcPr>
                <w:p w14:paraId="2436C322">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highlight w:val="none"/>
                      <w:shd w:val="clear" w:color="auto" w:fill="auto"/>
                      <w:lang w:bidi="ar"/>
                    </w:rPr>
                    <w:t>固态</w:t>
                  </w:r>
                </w:p>
              </w:tc>
              <w:tc>
                <w:tcPr>
                  <w:tcW w:w="618" w:type="pct"/>
                  <w:tcBorders>
                    <w:tl2br w:val="nil"/>
                    <w:tr2bl w:val="nil"/>
                  </w:tcBorders>
                  <w:shd w:val="clear" w:color="auto" w:fill="auto"/>
                  <w:vAlign w:val="center"/>
                </w:tcPr>
                <w:p w14:paraId="4273788A">
                  <w:pPr>
                    <w:widowControl/>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lang w:val="en-US" w:eastAsia="zh-CN" w:bidi="ar"/>
                    </w:rPr>
                    <w:t>塑料</w:t>
                  </w:r>
                </w:p>
              </w:tc>
              <w:tc>
                <w:tcPr>
                  <w:tcW w:w="494" w:type="pct"/>
                  <w:tcBorders>
                    <w:tl2br w:val="nil"/>
                    <w:tr2bl w:val="nil"/>
                  </w:tcBorders>
                  <w:vAlign w:val="center"/>
                </w:tcPr>
                <w:p w14:paraId="2B0E52ED">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479" w:type="pct"/>
                  <w:tcBorders>
                    <w:tl2br w:val="nil"/>
                    <w:tr2bl w:val="nil"/>
                  </w:tcBorders>
                  <w:vAlign w:val="center"/>
                </w:tcPr>
                <w:p w14:paraId="31201A95">
                  <w:pPr>
                    <w:pStyle w:val="78"/>
                    <w:ind w:firstLine="0" w:firstLineChars="0"/>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rPr>
                    <w:t>SW17</w:t>
                  </w:r>
                </w:p>
              </w:tc>
              <w:tc>
                <w:tcPr>
                  <w:tcW w:w="822" w:type="pct"/>
                  <w:tcBorders>
                    <w:tl2br w:val="nil"/>
                    <w:tr2bl w:val="nil"/>
                  </w:tcBorders>
                  <w:vAlign w:val="center"/>
                </w:tcPr>
                <w:p w14:paraId="5F070E42">
                  <w:pPr>
                    <w:pStyle w:val="78"/>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rPr>
                    <w:t>900-0</w:t>
                  </w:r>
                  <w:r>
                    <w:rPr>
                      <w:rFonts w:hint="default" w:ascii="Times New Roman" w:hAnsi="Times New Roman" w:cs="Times New Roman"/>
                      <w:color w:val="auto"/>
                      <w:lang w:val="en-US" w:eastAsia="zh-CN"/>
                    </w:rPr>
                    <w:t>99</w:t>
                  </w:r>
                  <w:r>
                    <w:rPr>
                      <w:rFonts w:hint="default" w:ascii="Times New Roman" w:hAnsi="Times New Roman" w:cs="Times New Roman"/>
                      <w:color w:val="auto"/>
                    </w:rPr>
                    <w:t>-S17</w:t>
                  </w:r>
                </w:p>
              </w:tc>
              <w:tc>
                <w:tcPr>
                  <w:tcW w:w="541" w:type="pct"/>
                  <w:tcBorders>
                    <w:tl2br w:val="nil"/>
                    <w:tr2bl w:val="nil"/>
                  </w:tcBorders>
                  <w:shd w:val="clear" w:color="auto" w:fill="auto"/>
                  <w:vAlign w:val="center"/>
                </w:tcPr>
                <w:p w14:paraId="5289588C">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0.01</w:t>
                  </w:r>
                </w:p>
              </w:tc>
            </w:tr>
          </w:tbl>
          <w:p w14:paraId="30A0CA02">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lang w:val="en-US" w:eastAsia="zh-CN"/>
              </w:rPr>
              <w:t>4</w:t>
            </w:r>
            <w:r>
              <w:rPr>
                <w:rFonts w:hint="default" w:ascii="Times New Roman" w:hAnsi="Times New Roman" w:eastAsia="宋体" w:cs="Times New Roman"/>
                <w:b/>
                <w:color w:val="auto"/>
                <w:sz w:val="24"/>
                <w:highlight w:val="none"/>
                <w:shd w:val="clear" w:color="auto" w:fill="auto"/>
              </w:rPr>
              <w:t>、固体废物贮存和处置方式</w:t>
            </w:r>
          </w:p>
          <w:p w14:paraId="4DA08C8E">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项目生产的固体废物应分类收集、分类贮存、并张贴标签贮存在专门的场所内，危险固废、一般固废和生活垃圾分开，不得混放。本项目产生的危险废物纳入“江苏省危险废物全生命周期监控系统”管理，在项目营运期间按照相关要求进行管理计划申报，在危废产生后进行产废申报与贮存申报。本项目产生的固废经安全收集，都得到妥善处理，不会对周围环境产生二次污染。本项目危废库房建筑面积为</w:t>
            </w:r>
            <w:r>
              <w:rPr>
                <w:rFonts w:hint="eastAsia" w:ascii="Times New Roman" w:hAnsi="Times New Roman" w:eastAsia="宋体" w:cs="Times New Roman"/>
                <w:color w:val="auto"/>
                <w:sz w:val="24"/>
                <w:highlight w:val="none"/>
                <w:shd w:val="clear" w:color="auto" w:fill="auto"/>
                <w:lang w:val="en-US" w:eastAsia="zh-CN"/>
              </w:rPr>
              <w:t>10</w:t>
            </w:r>
            <w:r>
              <w:rPr>
                <w:rFonts w:hint="default" w:ascii="Times New Roman" w:hAnsi="Times New Roman" w:eastAsia="宋体" w:cs="Times New Roman"/>
                <w:color w:val="auto"/>
                <w:sz w:val="24"/>
                <w:highlight w:val="none"/>
                <w:shd w:val="clear" w:color="auto" w:fill="auto"/>
              </w:rPr>
              <w:t>m</w:t>
            </w:r>
            <w:r>
              <w:rPr>
                <w:rFonts w:hint="default" w:ascii="Times New Roman" w:hAnsi="Times New Roman" w:eastAsia="宋体" w:cs="Times New Roman"/>
                <w:color w:val="auto"/>
                <w:sz w:val="24"/>
                <w:highlight w:val="none"/>
                <w:shd w:val="clear" w:color="auto" w:fill="auto"/>
                <w:vertAlign w:val="superscript"/>
              </w:rPr>
              <w:t>2</w:t>
            </w:r>
            <w:r>
              <w:rPr>
                <w:rFonts w:hint="default" w:ascii="Times New Roman" w:hAnsi="Times New Roman" w:eastAsia="宋体" w:cs="Times New Roman"/>
                <w:color w:val="auto"/>
                <w:sz w:val="24"/>
                <w:highlight w:val="none"/>
                <w:shd w:val="clear" w:color="auto" w:fill="auto"/>
              </w:rPr>
              <w:t>，设置合理。实施危险废物转移时，应执行危险废物转移联单制度，并加强对运输单位及处置单位的跟踪检查，确保符合环保要求。</w:t>
            </w:r>
          </w:p>
          <w:p w14:paraId="74E20362">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本项目危险废物贮存场所基本情况详见下表：</w:t>
            </w:r>
          </w:p>
          <w:p w14:paraId="46C805E2">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表4-</w:t>
            </w:r>
            <w:r>
              <w:rPr>
                <w:rFonts w:hint="eastAsia" w:ascii="Times New Roman" w:hAnsi="Times New Roman" w:eastAsia="宋体" w:cs="Times New Roman"/>
                <w:b/>
                <w:color w:val="auto"/>
                <w:sz w:val="24"/>
                <w:highlight w:val="none"/>
                <w:shd w:val="clear" w:color="auto" w:fill="auto"/>
                <w:lang w:val="en-US" w:eastAsia="zh-CN"/>
              </w:rPr>
              <w:t>25</w:t>
            </w:r>
            <w:r>
              <w:rPr>
                <w:rFonts w:hint="default" w:ascii="Times New Roman" w:hAnsi="Times New Roman" w:eastAsia="宋体" w:cs="Times New Roman"/>
                <w:b/>
                <w:color w:val="auto"/>
                <w:sz w:val="24"/>
                <w:highlight w:val="none"/>
                <w:shd w:val="clear" w:color="auto" w:fill="auto"/>
              </w:rPr>
              <w:t xml:space="preserve">  企业危险废物贮存场所（设施）基本情况表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048"/>
              <w:gridCol w:w="1223"/>
              <w:gridCol w:w="1258"/>
              <w:gridCol w:w="690"/>
              <w:gridCol w:w="866"/>
              <w:gridCol w:w="836"/>
              <w:gridCol w:w="964"/>
              <w:gridCol w:w="1008"/>
            </w:tblGrid>
            <w:tr w14:paraId="0C8AE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 w:type="pct"/>
                  <w:tcBorders>
                    <w:tl2br w:val="nil"/>
                    <w:tr2bl w:val="nil"/>
                  </w:tcBorders>
                  <w:vAlign w:val="center"/>
                </w:tcPr>
                <w:p w14:paraId="3FA213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序号</w:t>
                  </w:r>
                </w:p>
              </w:tc>
              <w:tc>
                <w:tcPr>
                  <w:tcW w:w="627" w:type="pct"/>
                  <w:tcBorders>
                    <w:tl2br w:val="nil"/>
                    <w:tr2bl w:val="nil"/>
                  </w:tcBorders>
                  <w:vAlign w:val="center"/>
                </w:tcPr>
                <w:p w14:paraId="05C3BC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贮存场所（设施）名称</w:t>
                  </w:r>
                </w:p>
              </w:tc>
              <w:tc>
                <w:tcPr>
                  <w:tcW w:w="732" w:type="pct"/>
                  <w:tcBorders>
                    <w:tl2br w:val="nil"/>
                    <w:tr2bl w:val="nil"/>
                  </w:tcBorders>
                  <w:vAlign w:val="center"/>
                </w:tcPr>
                <w:p w14:paraId="37A7CA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危险废物</w:t>
                  </w:r>
                </w:p>
                <w:p w14:paraId="48A285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名称</w:t>
                  </w:r>
                </w:p>
              </w:tc>
              <w:tc>
                <w:tcPr>
                  <w:tcW w:w="753" w:type="pct"/>
                  <w:tcBorders>
                    <w:tl2br w:val="nil"/>
                    <w:tr2bl w:val="nil"/>
                  </w:tcBorders>
                  <w:vAlign w:val="center"/>
                </w:tcPr>
                <w:p w14:paraId="5B14F3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危废代码</w:t>
                  </w:r>
                </w:p>
              </w:tc>
              <w:tc>
                <w:tcPr>
                  <w:tcW w:w="413" w:type="pct"/>
                  <w:tcBorders>
                    <w:tl2br w:val="nil"/>
                    <w:tr2bl w:val="nil"/>
                  </w:tcBorders>
                  <w:vAlign w:val="center"/>
                </w:tcPr>
                <w:p w14:paraId="72116B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位置</w:t>
                  </w:r>
                </w:p>
              </w:tc>
              <w:tc>
                <w:tcPr>
                  <w:tcW w:w="518" w:type="pct"/>
                  <w:tcBorders>
                    <w:tl2br w:val="nil"/>
                    <w:tr2bl w:val="nil"/>
                  </w:tcBorders>
                  <w:shd w:val="clear" w:color="auto" w:fill="auto"/>
                  <w:vAlign w:val="center"/>
                </w:tcPr>
                <w:p w14:paraId="2D5600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占地</w:t>
                  </w:r>
                </w:p>
                <w:p w14:paraId="4F8023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lang w:eastAsia="zh-CN"/>
                    </w:rPr>
                  </w:pPr>
                  <w:r>
                    <w:rPr>
                      <w:rFonts w:hint="default" w:ascii="Times New Roman" w:hAnsi="Times New Roman" w:eastAsia="宋体" w:cs="Times New Roman"/>
                      <w:b/>
                      <w:color w:val="auto"/>
                      <w:highlight w:val="none"/>
                      <w:shd w:val="clear" w:color="auto" w:fill="auto"/>
                    </w:rPr>
                    <w:t>面积</w:t>
                  </w:r>
                  <w:r>
                    <w:rPr>
                      <w:rFonts w:hint="default" w:ascii="Times New Roman" w:hAnsi="Times New Roman" w:eastAsia="宋体" w:cs="Times New Roman"/>
                      <w:b/>
                      <w:color w:val="auto"/>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m</w:t>
                  </w:r>
                  <w:r>
                    <w:rPr>
                      <w:rFonts w:hint="default" w:ascii="Times New Roman" w:hAnsi="Times New Roman" w:eastAsia="宋体" w:cs="Times New Roman"/>
                      <w:b/>
                      <w:color w:val="auto"/>
                      <w:highlight w:val="none"/>
                      <w:shd w:val="clear" w:color="auto" w:fill="auto"/>
                      <w:vertAlign w:val="superscript"/>
                    </w:rPr>
                    <w:t>2</w:t>
                  </w:r>
                  <w:r>
                    <w:rPr>
                      <w:rFonts w:hint="default" w:ascii="Times New Roman" w:hAnsi="Times New Roman" w:eastAsia="宋体" w:cs="Times New Roman"/>
                      <w:b/>
                      <w:color w:val="auto"/>
                      <w:highlight w:val="none"/>
                      <w:shd w:val="clear" w:color="auto" w:fill="auto"/>
                      <w:lang w:eastAsia="zh-CN"/>
                    </w:rPr>
                    <w:t>）</w:t>
                  </w:r>
                </w:p>
              </w:tc>
              <w:tc>
                <w:tcPr>
                  <w:tcW w:w="500" w:type="pct"/>
                  <w:tcBorders>
                    <w:tl2br w:val="nil"/>
                    <w:tr2bl w:val="nil"/>
                  </w:tcBorders>
                  <w:shd w:val="clear" w:color="auto" w:fill="auto"/>
                  <w:vAlign w:val="center"/>
                </w:tcPr>
                <w:p w14:paraId="7E1765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贮存能力</w:t>
                  </w:r>
                </w:p>
                <w:p w14:paraId="2E876A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lang w:eastAsia="zh-CN"/>
                    </w:rPr>
                  </w:pPr>
                  <w:r>
                    <w:rPr>
                      <w:rFonts w:hint="default" w:ascii="Times New Roman" w:hAnsi="Times New Roman" w:eastAsia="宋体" w:cs="Times New Roman"/>
                      <w:b/>
                      <w:color w:val="auto"/>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吨</w:t>
                  </w:r>
                  <w:r>
                    <w:rPr>
                      <w:rFonts w:hint="default" w:ascii="Times New Roman" w:hAnsi="Times New Roman" w:eastAsia="宋体" w:cs="Times New Roman"/>
                      <w:b/>
                      <w:color w:val="auto"/>
                      <w:highlight w:val="none"/>
                      <w:shd w:val="clear" w:color="auto" w:fill="auto"/>
                      <w:lang w:eastAsia="zh-CN"/>
                    </w:rPr>
                    <w:t>）</w:t>
                  </w:r>
                </w:p>
              </w:tc>
              <w:tc>
                <w:tcPr>
                  <w:tcW w:w="577" w:type="pct"/>
                  <w:tcBorders>
                    <w:tl2br w:val="nil"/>
                    <w:tr2bl w:val="nil"/>
                  </w:tcBorders>
                  <w:vAlign w:val="center"/>
                </w:tcPr>
                <w:p w14:paraId="11534B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包装方式</w:t>
                  </w:r>
                </w:p>
              </w:tc>
              <w:tc>
                <w:tcPr>
                  <w:tcW w:w="603" w:type="pct"/>
                  <w:tcBorders>
                    <w:tl2br w:val="nil"/>
                    <w:tr2bl w:val="nil"/>
                  </w:tcBorders>
                  <w:vAlign w:val="center"/>
                </w:tcPr>
                <w:p w14:paraId="7BBEEF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贮存</w:t>
                  </w:r>
                </w:p>
                <w:p w14:paraId="2B269E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周期</w:t>
                  </w:r>
                </w:p>
              </w:tc>
            </w:tr>
            <w:tr w14:paraId="7287A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 w:type="pct"/>
                  <w:tcBorders>
                    <w:tl2br w:val="nil"/>
                    <w:tr2bl w:val="nil"/>
                  </w:tcBorders>
                  <w:vAlign w:val="center"/>
                </w:tcPr>
                <w:p w14:paraId="7C3C8180">
                  <w:pPr>
                    <w:keepNext w:val="0"/>
                    <w:keepLines w:val="0"/>
                    <w:widowControl/>
                    <w:suppressLineNumbers w:val="0"/>
                    <w:jc w:val="center"/>
                    <w:textAlignment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1</w:t>
                  </w:r>
                </w:p>
              </w:tc>
              <w:tc>
                <w:tcPr>
                  <w:tcW w:w="627" w:type="pct"/>
                  <w:vMerge w:val="restart"/>
                  <w:tcBorders>
                    <w:tl2br w:val="nil"/>
                    <w:tr2bl w:val="nil"/>
                  </w:tcBorders>
                  <w:vAlign w:val="center"/>
                </w:tcPr>
                <w:p w14:paraId="6BEA83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危废仓库</w:t>
                  </w:r>
                </w:p>
              </w:tc>
              <w:tc>
                <w:tcPr>
                  <w:tcW w:w="732" w:type="pct"/>
                  <w:tcBorders>
                    <w:tl2br w:val="nil"/>
                    <w:tr2bl w:val="nil"/>
                  </w:tcBorders>
                  <w:shd w:val="clear" w:color="auto" w:fill="auto"/>
                  <w:vAlign w:val="center"/>
                </w:tcPr>
                <w:p w14:paraId="7CCC63E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废包装桶</w:t>
                  </w:r>
                </w:p>
              </w:tc>
              <w:tc>
                <w:tcPr>
                  <w:tcW w:w="753" w:type="pct"/>
                  <w:tcBorders>
                    <w:tl2br w:val="nil"/>
                    <w:tr2bl w:val="nil"/>
                  </w:tcBorders>
                  <w:shd w:val="clear" w:color="auto" w:fill="auto"/>
                  <w:vAlign w:val="center"/>
                </w:tcPr>
                <w:p w14:paraId="257DA4D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HW49</w:t>
                  </w:r>
                </w:p>
                <w:p w14:paraId="451A38A5">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900-041-49</w:t>
                  </w:r>
                </w:p>
              </w:tc>
              <w:tc>
                <w:tcPr>
                  <w:tcW w:w="413" w:type="pct"/>
                  <w:vMerge w:val="restart"/>
                  <w:tcBorders>
                    <w:tl2br w:val="nil"/>
                    <w:tr2bl w:val="nil"/>
                  </w:tcBorders>
                  <w:vAlign w:val="center"/>
                </w:tcPr>
                <w:p w14:paraId="32F83A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本项目生产车间内</w:t>
                  </w:r>
                </w:p>
              </w:tc>
              <w:tc>
                <w:tcPr>
                  <w:tcW w:w="518" w:type="pct"/>
                  <w:tcBorders>
                    <w:tl2br w:val="nil"/>
                    <w:tr2bl w:val="nil"/>
                  </w:tcBorders>
                  <w:shd w:val="clear" w:color="auto" w:fill="auto"/>
                  <w:vAlign w:val="center"/>
                </w:tcPr>
                <w:p w14:paraId="20AA04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val="en-US" w:eastAsia="zh-CN"/>
                    </w:rPr>
                    <w:t>2</w:t>
                  </w:r>
                </w:p>
              </w:tc>
              <w:tc>
                <w:tcPr>
                  <w:tcW w:w="500" w:type="pct"/>
                  <w:tcBorders>
                    <w:tl2br w:val="nil"/>
                    <w:tr2bl w:val="nil"/>
                  </w:tcBorders>
                  <w:shd w:val="clear" w:color="auto" w:fill="auto"/>
                  <w:vAlign w:val="center"/>
                </w:tcPr>
                <w:p w14:paraId="3A575EA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1"/>
                      <w:szCs w:val="21"/>
                      <w:u w:val="none"/>
                      <w:shd w:val="clear" w:color="auto" w:fill="auto"/>
                      <w:lang w:val="en-US" w:eastAsia="zh-CN" w:bidi="ar"/>
                    </w:rPr>
                    <w:t>1.25</w:t>
                  </w:r>
                </w:p>
              </w:tc>
              <w:tc>
                <w:tcPr>
                  <w:tcW w:w="577" w:type="pct"/>
                  <w:tcBorders>
                    <w:tl2br w:val="nil"/>
                    <w:tr2bl w:val="nil"/>
                  </w:tcBorders>
                  <w:vAlign w:val="center"/>
                </w:tcPr>
                <w:p w14:paraId="6CB08B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桶</w:t>
                  </w:r>
                </w:p>
              </w:tc>
              <w:tc>
                <w:tcPr>
                  <w:tcW w:w="603" w:type="pct"/>
                  <w:tcBorders>
                    <w:tl2br w:val="nil"/>
                    <w:tr2bl w:val="nil"/>
                  </w:tcBorders>
                  <w:vAlign w:val="center"/>
                </w:tcPr>
                <w:p w14:paraId="116405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3个月</w:t>
                  </w:r>
                </w:p>
              </w:tc>
            </w:tr>
            <w:tr w14:paraId="6F47A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 w:type="pct"/>
                  <w:tcBorders>
                    <w:tl2br w:val="nil"/>
                    <w:tr2bl w:val="nil"/>
                  </w:tcBorders>
                  <w:shd w:val="clear" w:color="auto" w:fill="auto"/>
                  <w:vAlign w:val="center"/>
                </w:tcPr>
                <w:p w14:paraId="7E5A62E6">
                  <w:pPr>
                    <w:keepNext w:val="0"/>
                    <w:keepLines w:val="0"/>
                    <w:widowControl/>
                    <w:suppressLineNumbers w:val="0"/>
                    <w:jc w:val="center"/>
                    <w:textAlignment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2</w:t>
                  </w:r>
                </w:p>
              </w:tc>
              <w:tc>
                <w:tcPr>
                  <w:tcW w:w="627" w:type="pct"/>
                  <w:vMerge w:val="continue"/>
                  <w:tcBorders>
                    <w:tl2br w:val="nil"/>
                    <w:tr2bl w:val="nil"/>
                  </w:tcBorders>
                  <w:vAlign w:val="center"/>
                </w:tcPr>
                <w:p w14:paraId="53C0CB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shd w:val="clear" w:color="auto" w:fill="auto"/>
                    </w:rPr>
                  </w:pPr>
                </w:p>
              </w:tc>
              <w:tc>
                <w:tcPr>
                  <w:tcW w:w="732" w:type="pct"/>
                  <w:tcBorders>
                    <w:tl2br w:val="nil"/>
                    <w:tr2bl w:val="nil"/>
                  </w:tcBorders>
                  <w:shd w:val="clear" w:color="auto" w:fill="auto"/>
                  <w:vAlign w:val="center"/>
                </w:tcPr>
                <w:p w14:paraId="0BC54EAE">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废抹布</w:t>
                  </w:r>
                </w:p>
              </w:tc>
              <w:tc>
                <w:tcPr>
                  <w:tcW w:w="753" w:type="pct"/>
                  <w:tcBorders>
                    <w:tl2br w:val="nil"/>
                    <w:tr2bl w:val="nil"/>
                  </w:tcBorders>
                  <w:shd w:val="clear" w:color="auto" w:fill="auto"/>
                  <w:vAlign w:val="center"/>
                </w:tcPr>
                <w:p w14:paraId="7525B5F8">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HW49</w:t>
                  </w:r>
                </w:p>
                <w:p w14:paraId="1FD35B16">
                  <w:pPr>
                    <w:topLinePun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900-041-49</w:t>
                  </w:r>
                </w:p>
              </w:tc>
              <w:tc>
                <w:tcPr>
                  <w:tcW w:w="413" w:type="pct"/>
                  <w:vMerge w:val="continue"/>
                  <w:tcBorders>
                    <w:tl2br w:val="nil"/>
                    <w:tr2bl w:val="nil"/>
                  </w:tcBorders>
                  <w:vAlign w:val="center"/>
                </w:tcPr>
                <w:p w14:paraId="33B418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shd w:val="clear" w:color="auto" w:fill="auto"/>
                    </w:rPr>
                  </w:pPr>
                </w:p>
              </w:tc>
              <w:tc>
                <w:tcPr>
                  <w:tcW w:w="518" w:type="pct"/>
                  <w:tcBorders>
                    <w:tl2br w:val="nil"/>
                    <w:tr2bl w:val="nil"/>
                  </w:tcBorders>
                  <w:shd w:val="clear" w:color="auto" w:fill="auto"/>
                  <w:vAlign w:val="center"/>
                </w:tcPr>
                <w:p w14:paraId="7C84D6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w:t>
                  </w:r>
                </w:p>
              </w:tc>
              <w:tc>
                <w:tcPr>
                  <w:tcW w:w="500" w:type="pct"/>
                  <w:tcBorders>
                    <w:tl2br w:val="nil"/>
                    <w:tr2bl w:val="nil"/>
                  </w:tcBorders>
                  <w:shd w:val="clear" w:color="auto" w:fill="auto"/>
                  <w:vAlign w:val="center"/>
                </w:tcPr>
                <w:p w14:paraId="0610FE1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i w:val="0"/>
                      <w:iCs w:val="0"/>
                      <w:color w:val="auto"/>
                      <w:kern w:val="0"/>
                      <w:sz w:val="21"/>
                      <w:szCs w:val="21"/>
                      <w:u w:val="none"/>
                      <w:shd w:val="clear" w:color="auto" w:fill="auto"/>
                      <w:lang w:val="en-US" w:eastAsia="zh-CN" w:bidi="ar"/>
                    </w:rPr>
                    <w:t>1.13</w:t>
                  </w:r>
                </w:p>
              </w:tc>
              <w:tc>
                <w:tcPr>
                  <w:tcW w:w="577" w:type="pct"/>
                  <w:tcBorders>
                    <w:tl2br w:val="nil"/>
                    <w:tr2bl w:val="nil"/>
                  </w:tcBorders>
                  <w:shd w:val="clear" w:color="auto" w:fill="auto"/>
                  <w:vAlign w:val="center"/>
                </w:tcPr>
                <w:p w14:paraId="335AF7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lang w:val="en-US" w:eastAsia="zh-CN"/>
                    </w:rPr>
                    <w:t>桶</w:t>
                  </w:r>
                </w:p>
              </w:tc>
              <w:tc>
                <w:tcPr>
                  <w:tcW w:w="603" w:type="pct"/>
                  <w:tcBorders>
                    <w:tl2br w:val="nil"/>
                    <w:tr2bl w:val="nil"/>
                  </w:tcBorders>
                  <w:shd w:val="clear" w:color="auto" w:fill="auto"/>
                  <w:vAlign w:val="center"/>
                </w:tcPr>
                <w:p w14:paraId="24E30B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3个月</w:t>
                  </w:r>
                </w:p>
              </w:tc>
            </w:tr>
            <w:tr w14:paraId="43B1A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 w:type="pct"/>
                  <w:tcBorders>
                    <w:tl2br w:val="nil"/>
                    <w:tr2bl w:val="nil"/>
                  </w:tcBorders>
                  <w:shd w:val="clear" w:color="auto" w:fill="auto"/>
                  <w:vAlign w:val="center"/>
                </w:tcPr>
                <w:p w14:paraId="3AEC7AC2">
                  <w:pPr>
                    <w:keepNext w:val="0"/>
                    <w:keepLines w:val="0"/>
                    <w:widowControl/>
                    <w:suppressLineNumbers w:val="0"/>
                    <w:jc w:val="center"/>
                    <w:textAlignment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3</w:t>
                  </w:r>
                </w:p>
              </w:tc>
              <w:tc>
                <w:tcPr>
                  <w:tcW w:w="627" w:type="pct"/>
                  <w:vMerge w:val="continue"/>
                  <w:tcBorders>
                    <w:tl2br w:val="nil"/>
                    <w:tr2bl w:val="nil"/>
                  </w:tcBorders>
                  <w:shd w:val="clear" w:color="auto" w:fill="auto"/>
                  <w:vAlign w:val="center"/>
                </w:tcPr>
                <w:p w14:paraId="0918D0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p>
              </w:tc>
              <w:tc>
                <w:tcPr>
                  <w:tcW w:w="732" w:type="pct"/>
                  <w:tcBorders>
                    <w:tl2br w:val="nil"/>
                    <w:tr2bl w:val="nil"/>
                  </w:tcBorders>
                  <w:shd w:val="clear" w:color="auto" w:fill="auto"/>
                  <w:vAlign w:val="center"/>
                </w:tcPr>
                <w:p w14:paraId="0BAFEFCF">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废活性炭</w:t>
                  </w:r>
                </w:p>
              </w:tc>
              <w:tc>
                <w:tcPr>
                  <w:tcW w:w="753" w:type="pct"/>
                  <w:tcBorders>
                    <w:tl2br w:val="nil"/>
                    <w:tr2bl w:val="nil"/>
                  </w:tcBorders>
                  <w:shd w:val="clear" w:color="auto" w:fill="auto"/>
                  <w:vAlign w:val="center"/>
                </w:tcPr>
                <w:p w14:paraId="5BB1612C">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HW49</w:t>
                  </w:r>
                </w:p>
                <w:p w14:paraId="76D64F1A">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rPr>
                    <w:t>-49</w:t>
                  </w:r>
                </w:p>
              </w:tc>
              <w:tc>
                <w:tcPr>
                  <w:tcW w:w="413" w:type="pct"/>
                  <w:vMerge w:val="continue"/>
                  <w:tcBorders>
                    <w:tl2br w:val="nil"/>
                    <w:tr2bl w:val="nil"/>
                  </w:tcBorders>
                  <w:shd w:val="clear" w:color="auto" w:fill="auto"/>
                  <w:vAlign w:val="center"/>
                </w:tcPr>
                <w:p w14:paraId="4D3752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p>
              </w:tc>
              <w:tc>
                <w:tcPr>
                  <w:tcW w:w="518" w:type="pct"/>
                  <w:tcBorders>
                    <w:tl2br w:val="nil"/>
                    <w:tr2bl w:val="nil"/>
                  </w:tcBorders>
                  <w:shd w:val="clear" w:color="auto" w:fill="auto"/>
                  <w:vAlign w:val="center"/>
                </w:tcPr>
                <w:p w14:paraId="42175B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kern w:val="2"/>
                      <w:sz w:val="21"/>
                      <w:szCs w:val="22"/>
                      <w:highlight w:val="none"/>
                      <w:shd w:val="clear" w:color="auto" w:fill="auto"/>
                      <w:lang w:val="en-US" w:eastAsia="zh-CN" w:bidi="ar-SA"/>
                    </w:rPr>
                    <w:t>2</w:t>
                  </w:r>
                </w:p>
              </w:tc>
              <w:tc>
                <w:tcPr>
                  <w:tcW w:w="500" w:type="pct"/>
                  <w:tcBorders>
                    <w:tl2br w:val="nil"/>
                    <w:tr2bl w:val="nil"/>
                  </w:tcBorders>
                  <w:shd w:val="clear" w:color="auto" w:fill="auto"/>
                  <w:vAlign w:val="center"/>
                </w:tcPr>
                <w:p w14:paraId="0657494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1"/>
                      <w:szCs w:val="21"/>
                      <w:u w:val="none"/>
                      <w:shd w:val="clear" w:color="auto" w:fill="auto"/>
                      <w:lang w:val="en-US" w:eastAsia="zh-CN" w:bidi="ar"/>
                    </w:rPr>
                    <w:t>1.6</w:t>
                  </w:r>
                </w:p>
              </w:tc>
              <w:tc>
                <w:tcPr>
                  <w:tcW w:w="577" w:type="pct"/>
                  <w:tcBorders>
                    <w:tl2br w:val="nil"/>
                    <w:tr2bl w:val="nil"/>
                  </w:tcBorders>
                  <w:shd w:val="clear" w:color="auto" w:fill="auto"/>
                  <w:vAlign w:val="center"/>
                </w:tcPr>
                <w:p w14:paraId="6E9AFA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lang w:val="en-US" w:eastAsia="zh-CN"/>
                    </w:rPr>
                    <w:t>袋</w:t>
                  </w:r>
                </w:p>
              </w:tc>
              <w:tc>
                <w:tcPr>
                  <w:tcW w:w="603" w:type="pct"/>
                  <w:tcBorders>
                    <w:tl2br w:val="nil"/>
                    <w:tr2bl w:val="nil"/>
                  </w:tcBorders>
                  <w:shd w:val="clear" w:color="auto" w:fill="auto"/>
                  <w:vAlign w:val="center"/>
                </w:tcPr>
                <w:p w14:paraId="4A3156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3个月</w:t>
                  </w:r>
                </w:p>
              </w:tc>
            </w:tr>
            <w:tr w14:paraId="7F5E6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2" w:type="pct"/>
                  <w:tcBorders>
                    <w:tl2br w:val="nil"/>
                    <w:tr2bl w:val="nil"/>
                  </w:tcBorders>
                  <w:shd w:val="clear" w:color="auto" w:fill="auto"/>
                  <w:vAlign w:val="center"/>
                </w:tcPr>
                <w:p w14:paraId="331336BB">
                  <w:pPr>
                    <w:keepNext w:val="0"/>
                    <w:keepLines w:val="0"/>
                    <w:widowControl/>
                    <w:suppressLineNumbers w:val="0"/>
                    <w:jc w:val="center"/>
                    <w:textAlignment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4</w:t>
                  </w:r>
                </w:p>
              </w:tc>
              <w:tc>
                <w:tcPr>
                  <w:tcW w:w="627" w:type="pct"/>
                  <w:vMerge w:val="continue"/>
                  <w:tcBorders>
                    <w:tl2br w:val="nil"/>
                    <w:tr2bl w:val="nil"/>
                  </w:tcBorders>
                  <w:shd w:val="clear" w:color="auto" w:fill="auto"/>
                  <w:vAlign w:val="center"/>
                </w:tcPr>
                <w:p w14:paraId="7770B2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p>
              </w:tc>
              <w:tc>
                <w:tcPr>
                  <w:tcW w:w="732" w:type="pct"/>
                  <w:tcBorders>
                    <w:tl2br w:val="nil"/>
                    <w:tr2bl w:val="nil"/>
                  </w:tcBorders>
                  <w:shd w:val="clear" w:color="auto" w:fill="auto"/>
                  <w:vAlign w:val="center"/>
                </w:tcPr>
                <w:p w14:paraId="0AD1D60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含油抹布手套</w:t>
                  </w:r>
                </w:p>
              </w:tc>
              <w:tc>
                <w:tcPr>
                  <w:tcW w:w="753" w:type="pct"/>
                  <w:tcBorders>
                    <w:tl2br w:val="nil"/>
                    <w:tr2bl w:val="nil"/>
                  </w:tcBorders>
                  <w:shd w:val="clear" w:color="auto" w:fill="auto"/>
                  <w:vAlign w:val="center"/>
                </w:tcPr>
                <w:p w14:paraId="684412D2">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HW49</w:t>
                  </w:r>
                </w:p>
                <w:p w14:paraId="44F4D167">
                  <w:pPr>
                    <w:topLinePun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900-041-49</w:t>
                  </w:r>
                </w:p>
              </w:tc>
              <w:tc>
                <w:tcPr>
                  <w:tcW w:w="413" w:type="pct"/>
                  <w:vMerge w:val="continue"/>
                  <w:tcBorders>
                    <w:tl2br w:val="nil"/>
                    <w:tr2bl w:val="nil"/>
                  </w:tcBorders>
                  <w:shd w:val="clear" w:color="auto" w:fill="auto"/>
                  <w:vAlign w:val="center"/>
                </w:tcPr>
                <w:p w14:paraId="2995F8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p>
              </w:tc>
              <w:tc>
                <w:tcPr>
                  <w:tcW w:w="518" w:type="pct"/>
                  <w:tcBorders>
                    <w:tl2br w:val="nil"/>
                    <w:tr2bl w:val="nil"/>
                  </w:tcBorders>
                  <w:shd w:val="clear" w:color="auto" w:fill="auto"/>
                  <w:vAlign w:val="center"/>
                </w:tcPr>
                <w:p w14:paraId="6C530E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lang w:val="en-US" w:eastAsia="zh-CN"/>
                    </w:rPr>
                    <w:t>1</w:t>
                  </w:r>
                </w:p>
              </w:tc>
              <w:tc>
                <w:tcPr>
                  <w:tcW w:w="500" w:type="pct"/>
                  <w:tcBorders>
                    <w:tl2br w:val="nil"/>
                    <w:tr2bl w:val="nil"/>
                  </w:tcBorders>
                  <w:shd w:val="clear" w:color="auto" w:fill="auto"/>
                  <w:vAlign w:val="center"/>
                </w:tcPr>
                <w:p w14:paraId="5447761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u w:val="none"/>
                      <w:shd w:val="clear" w:color="auto" w:fill="auto"/>
                      <w:lang w:val="en-US" w:eastAsia="zh-CN" w:bidi="ar"/>
                    </w:rPr>
                    <w:t>0.0</w:t>
                  </w:r>
                  <w:r>
                    <w:rPr>
                      <w:rFonts w:hint="eastAsia" w:ascii="Times New Roman" w:hAnsi="Times New Roman" w:eastAsia="宋体" w:cs="Times New Roman"/>
                      <w:i w:val="0"/>
                      <w:iCs w:val="0"/>
                      <w:color w:val="auto"/>
                      <w:kern w:val="0"/>
                      <w:sz w:val="21"/>
                      <w:szCs w:val="21"/>
                      <w:u w:val="none"/>
                      <w:shd w:val="clear" w:color="auto" w:fill="auto"/>
                      <w:lang w:val="en-US" w:eastAsia="zh-CN" w:bidi="ar"/>
                    </w:rPr>
                    <w:t>02</w:t>
                  </w:r>
                  <w:r>
                    <w:rPr>
                      <w:rFonts w:hint="default" w:ascii="Times New Roman" w:hAnsi="Times New Roman" w:eastAsia="宋体" w:cs="Times New Roman"/>
                      <w:i w:val="0"/>
                      <w:iCs w:val="0"/>
                      <w:color w:val="auto"/>
                      <w:kern w:val="0"/>
                      <w:sz w:val="21"/>
                      <w:szCs w:val="21"/>
                      <w:u w:val="none"/>
                      <w:shd w:val="clear" w:color="auto" w:fill="auto"/>
                      <w:lang w:val="en-US" w:eastAsia="zh-CN" w:bidi="ar"/>
                    </w:rPr>
                    <w:t>5</w:t>
                  </w:r>
                </w:p>
              </w:tc>
              <w:tc>
                <w:tcPr>
                  <w:tcW w:w="577" w:type="pct"/>
                  <w:tcBorders>
                    <w:tl2br w:val="nil"/>
                    <w:tr2bl w:val="nil"/>
                  </w:tcBorders>
                  <w:shd w:val="clear" w:color="auto" w:fill="auto"/>
                  <w:vAlign w:val="center"/>
                </w:tcPr>
                <w:p w14:paraId="68E08D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lang w:val="en-US" w:eastAsia="zh-CN"/>
                    </w:rPr>
                    <w:t>桶</w:t>
                  </w:r>
                </w:p>
              </w:tc>
              <w:tc>
                <w:tcPr>
                  <w:tcW w:w="603" w:type="pct"/>
                  <w:tcBorders>
                    <w:tl2br w:val="nil"/>
                    <w:tr2bl w:val="nil"/>
                  </w:tcBorders>
                  <w:shd w:val="clear" w:color="auto" w:fill="auto"/>
                  <w:vAlign w:val="center"/>
                </w:tcPr>
                <w:p w14:paraId="66151F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3个月</w:t>
                  </w:r>
                </w:p>
              </w:tc>
            </w:tr>
            <w:tr w14:paraId="795E2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9" w:type="pct"/>
                  <w:gridSpan w:val="5"/>
                  <w:tcBorders>
                    <w:tl2br w:val="nil"/>
                    <w:tr2bl w:val="nil"/>
                  </w:tcBorders>
                  <w:shd w:val="clear" w:color="auto" w:fill="auto"/>
                  <w:vAlign w:val="center"/>
                </w:tcPr>
                <w:p w14:paraId="13C85D3F">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合计</w:t>
                  </w:r>
                </w:p>
              </w:tc>
              <w:tc>
                <w:tcPr>
                  <w:tcW w:w="518" w:type="pct"/>
                  <w:tcBorders>
                    <w:tl2br w:val="nil"/>
                    <w:tr2bl w:val="nil"/>
                  </w:tcBorders>
                  <w:shd w:val="clear" w:color="auto" w:fill="auto"/>
                  <w:vAlign w:val="center"/>
                </w:tcPr>
                <w:p w14:paraId="6350335F">
                  <w:pPr>
                    <w:jc w:val="center"/>
                    <w:rPr>
                      <w:rFonts w:hint="eastAsia"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7</w:t>
                  </w:r>
                </w:p>
              </w:tc>
              <w:tc>
                <w:tcPr>
                  <w:tcW w:w="500" w:type="pct"/>
                  <w:tcBorders>
                    <w:tl2br w:val="nil"/>
                    <w:tr2bl w:val="nil"/>
                  </w:tcBorders>
                  <w:shd w:val="clear" w:color="auto" w:fill="auto"/>
                  <w:vAlign w:val="center"/>
                </w:tcPr>
                <w:p w14:paraId="412158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shd w:val="clear" w:color="auto" w:fill="auto"/>
                      <w:lang w:val="en-US" w:eastAsia="zh-CN" w:bidi="ar"/>
                    </w:rPr>
                  </w:pPr>
                  <w:r>
                    <w:rPr>
                      <w:rFonts w:hint="eastAsia" w:ascii="Times New Roman" w:hAnsi="Times New Roman" w:eastAsia="宋体" w:cs="Times New Roman"/>
                      <w:i w:val="0"/>
                      <w:iCs w:val="0"/>
                      <w:color w:val="auto"/>
                      <w:kern w:val="0"/>
                      <w:sz w:val="21"/>
                      <w:szCs w:val="21"/>
                      <w:u w:val="none"/>
                      <w:shd w:val="clear" w:color="auto" w:fill="auto"/>
                      <w:lang w:val="en-US" w:eastAsia="zh-CN" w:bidi="ar"/>
                    </w:rPr>
                    <w:t>3.98</w:t>
                  </w:r>
                </w:p>
              </w:tc>
              <w:tc>
                <w:tcPr>
                  <w:tcW w:w="577" w:type="pct"/>
                  <w:tcBorders>
                    <w:tl2br w:val="nil"/>
                    <w:tr2bl w:val="nil"/>
                  </w:tcBorders>
                  <w:shd w:val="clear" w:color="auto" w:fill="auto"/>
                  <w:vAlign w:val="center"/>
                </w:tcPr>
                <w:p w14:paraId="2B6DE7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w:t>
                  </w:r>
                </w:p>
              </w:tc>
              <w:tc>
                <w:tcPr>
                  <w:tcW w:w="603" w:type="pct"/>
                  <w:tcBorders>
                    <w:tl2br w:val="nil"/>
                    <w:tr2bl w:val="nil"/>
                  </w:tcBorders>
                  <w:shd w:val="clear" w:color="auto" w:fill="auto"/>
                  <w:vAlign w:val="center"/>
                </w:tcPr>
                <w:p w14:paraId="6C87F2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3个月</w:t>
                  </w:r>
                </w:p>
              </w:tc>
            </w:tr>
          </w:tbl>
          <w:p w14:paraId="0504967D">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本项目设</w:t>
            </w:r>
            <w:r>
              <w:rPr>
                <w:rFonts w:hint="eastAsia" w:ascii="Times New Roman" w:hAnsi="Times New Roman" w:eastAsia="宋体" w:cs="Times New Roman"/>
                <w:color w:val="auto"/>
                <w:sz w:val="24"/>
                <w:highlight w:val="none"/>
                <w:shd w:val="clear" w:color="auto" w:fill="auto"/>
                <w:lang w:val="en-US" w:eastAsia="zh-CN"/>
              </w:rPr>
              <w:t>10</w:t>
            </w:r>
            <w:r>
              <w:rPr>
                <w:rFonts w:hint="default" w:ascii="Times New Roman" w:hAnsi="Times New Roman" w:eastAsia="宋体" w:cs="Times New Roman"/>
                <w:color w:val="auto"/>
                <w:sz w:val="24"/>
                <w:highlight w:val="none"/>
                <w:shd w:val="clear" w:color="auto" w:fill="auto"/>
              </w:rPr>
              <w:t>m</w:t>
            </w:r>
            <w:r>
              <w:rPr>
                <w:rFonts w:hint="default" w:ascii="Times New Roman" w:hAnsi="Times New Roman" w:eastAsia="宋体" w:cs="Times New Roman"/>
                <w:color w:val="auto"/>
                <w:sz w:val="24"/>
                <w:highlight w:val="none"/>
                <w:shd w:val="clear" w:color="auto" w:fill="auto"/>
                <w:vertAlign w:val="superscript"/>
              </w:rPr>
              <w:t>2</w:t>
            </w:r>
            <w:r>
              <w:rPr>
                <w:rFonts w:hint="default" w:ascii="Times New Roman" w:hAnsi="Times New Roman" w:eastAsia="宋体" w:cs="Times New Roman"/>
                <w:color w:val="auto"/>
                <w:sz w:val="24"/>
                <w:highlight w:val="none"/>
                <w:shd w:val="clear" w:color="auto" w:fill="auto"/>
              </w:rPr>
              <w:t>的</w:t>
            </w:r>
            <w:r>
              <w:rPr>
                <w:rFonts w:hint="eastAsia" w:ascii="Times New Roman" w:hAnsi="Times New Roman" w:eastAsia="宋体" w:cs="Times New Roman"/>
                <w:color w:val="auto"/>
                <w:sz w:val="24"/>
                <w:highlight w:val="none"/>
                <w:shd w:val="clear" w:color="auto" w:fill="auto"/>
                <w:lang w:val="en-US" w:eastAsia="zh-CN"/>
              </w:rPr>
              <w:t>危废仓库</w:t>
            </w:r>
            <w:r>
              <w:rPr>
                <w:rFonts w:hint="default" w:ascii="Times New Roman" w:hAnsi="Times New Roman" w:eastAsia="宋体" w:cs="Times New Roman"/>
                <w:color w:val="auto"/>
                <w:sz w:val="24"/>
                <w:highlight w:val="none"/>
                <w:shd w:val="clear" w:color="auto" w:fill="auto"/>
              </w:rPr>
              <w:t>，最多可容纳约</w:t>
            </w:r>
            <w:r>
              <w:rPr>
                <w:rFonts w:hint="eastAsia" w:ascii="Times New Roman" w:hAnsi="Times New Roman" w:eastAsia="宋体" w:cs="Times New Roman"/>
                <w:color w:val="auto"/>
                <w:sz w:val="24"/>
                <w:highlight w:val="none"/>
                <w:shd w:val="clear" w:color="auto" w:fill="auto"/>
                <w:lang w:val="en-US" w:eastAsia="zh-CN"/>
              </w:rPr>
              <w:t>8</w:t>
            </w:r>
            <w:r>
              <w:rPr>
                <w:rFonts w:hint="default" w:ascii="Times New Roman" w:hAnsi="Times New Roman" w:eastAsia="宋体" w:cs="Times New Roman"/>
                <w:color w:val="auto"/>
                <w:sz w:val="24"/>
                <w:highlight w:val="none"/>
                <w:shd w:val="clear" w:color="auto" w:fill="auto"/>
              </w:rPr>
              <w:t>t危险废物，</w:t>
            </w:r>
            <w:r>
              <w:rPr>
                <w:rFonts w:hint="default" w:ascii="Times New Roman" w:hAnsi="Times New Roman" w:eastAsia="宋体" w:cs="Times New Roman"/>
                <w:color w:val="auto"/>
                <w:sz w:val="24"/>
                <w:highlight w:val="none"/>
                <w:shd w:val="clear" w:color="auto" w:fill="auto"/>
                <w:lang w:val="en-US" w:eastAsia="zh-CN"/>
              </w:rPr>
              <w:t>本</w:t>
            </w:r>
            <w:r>
              <w:rPr>
                <w:rFonts w:hint="default" w:ascii="Times New Roman" w:hAnsi="Times New Roman" w:eastAsia="宋体" w:cs="Times New Roman"/>
                <w:color w:val="auto"/>
                <w:sz w:val="24"/>
                <w:highlight w:val="none"/>
                <w:shd w:val="clear" w:color="auto" w:fill="auto"/>
              </w:rPr>
              <w:t>项目一个贮存周期的危险废物的产生量约为</w:t>
            </w:r>
            <w:r>
              <w:rPr>
                <w:rFonts w:hint="eastAsia" w:ascii="Times New Roman" w:hAnsi="Times New Roman" w:eastAsia="宋体" w:cs="Times New Roman"/>
                <w:color w:val="auto"/>
                <w:sz w:val="24"/>
                <w:highlight w:val="none"/>
                <w:shd w:val="clear" w:color="auto" w:fill="auto"/>
                <w:lang w:val="en-US" w:eastAsia="zh-CN"/>
              </w:rPr>
              <w:t>3.98</w:t>
            </w:r>
            <w:r>
              <w:rPr>
                <w:rFonts w:hint="default" w:ascii="Times New Roman" w:hAnsi="Times New Roman" w:eastAsia="宋体" w:cs="Times New Roman"/>
                <w:color w:val="auto"/>
                <w:sz w:val="24"/>
                <w:highlight w:val="none"/>
                <w:shd w:val="clear" w:color="auto" w:fill="auto"/>
              </w:rPr>
              <w:t>t，因此企业危废暂存场所可以满足项目产生的危废暂存需求。</w:t>
            </w:r>
          </w:p>
          <w:p w14:paraId="7D8F61D6">
            <w:pPr>
              <w:jc w:val="center"/>
              <w:rPr>
                <w:rFonts w:hint="default" w:ascii="Times New Roman" w:hAnsi="Times New Roman" w:eastAsia="宋体" w:cs="Times New Roman"/>
                <w:b/>
                <w:color w:val="auto"/>
                <w:sz w:val="24"/>
                <w:highlight w:val="none"/>
                <w:shd w:val="clear" w:color="auto" w:fill="auto"/>
              </w:rPr>
            </w:pPr>
          </w:p>
          <w:p w14:paraId="7B3F7D4B">
            <w:pPr>
              <w:jc w:val="center"/>
              <w:rPr>
                <w:rFonts w:hint="default" w:ascii="Times New Roman" w:hAnsi="Times New Roman" w:eastAsia="宋体" w:cs="Times New Roman"/>
                <w:b/>
                <w:color w:val="auto"/>
                <w:sz w:val="24"/>
                <w:highlight w:val="none"/>
                <w:shd w:val="clear" w:color="auto" w:fill="auto"/>
              </w:rPr>
            </w:pPr>
          </w:p>
          <w:p w14:paraId="426BBB4A">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表4-</w:t>
            </w:r>
            <w:r>
              <w:rPr>
                <w:rFonts w:hint="eastAsia" w:ascii="Times New Roman" w:hAnsi="Times New Roman" w:eastAsia="宋体" w:cs="Times New Roman"/>
                <w:b/>
                <w:color w:val="auto"/>
                <w:sz w:val="24"/>
                <w:highlight w:val="none"/>
                <w:shd w:val="clear" w:color="auto" w:fill="auto"/>
                <w:lang w:val="en-US" w:eastAsia="zh-CN"/>
              </w:rPr>
              <w:t>26</w:t>
            </w:r>
            <w:r>
              <w:rPr>
                <w:rFonts w:hint="default" w:ascii="Times New Roman" w:hAnsi="Times New Roman" w:eastAsia="宋体" w:cs="Times New Roman"/>
                <w:b/>
                <w:color w:val="auto"/>
                <w:sz w:val="24"/>
                <w:highlight w:val="none"/>
                <w:shd w:val="clear" w:color="auto" w:fill="auto"/>
              </w:rPr>
              <w:t xml:space="preserve">  本项目固体废物利用处置方式评价表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664"/>
              <w:gridCol w:w="1109"/>
              <w:gridCol w:w="1109"/>
              <w:gridCol w:w="1423"/>
              <w:gridCol w:w="949"/>
              <w:gridCol w:w="1544"/>
            </w:tblGrid>
            <w:tr w14:paraId="7DB85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vAlign w:val="center"/>
                </w:tcPr>
                <w:p w14:paraId="0952F23C">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序号</w:t>
                  </w:r>
                </w:p>
              </w:tc>
              <w:tc>
                <w:tcPr>
                  <w:tcW w:w="996" w:type="pct"/>
                  <w:tcBorders>
                    <w:tl2br w:val="nil"/>
                    <w:tr2bl w:val="nil"/>
                  </w:tcBorders>
                  <w:vAlign w:val="center"/>
                </w:tcPr>
                <w:p w14:paraId="6E729FC9">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固废名称</w:t>
                  </w:r>
                </w:p>
              </w:tc>
              <w:tc>
                <w:tcPr>
                  <w:tcW w:w="664" w:type="pct"/>
                  <w:tcBorders>
                    <w:tl2br w:val="nil"/>
                    <w:tr2bl w:val="nil"/>
                  </w:tcBorders>
                  <w:vAlign w:val="center"/>
                </w:tcPr>
                <w:p w14:paraId="11525275">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产生工序</w:t>
                  </w:r>
                </w:p>
              </w:tc>
              <w:tc>
                <w:tcPr>
                  <w:tcW w:w="664" w:type="pct"/>
                  <w:tcBorders>
                    <w:tl2br w:val="nil"/>
                    <w:tr2bl w:val="nil"/>
                  </w:tcBorders>
                  <w:vAlign w:val="center"/>
                </w:tcPr>
                <w:p w14:paraId="18CE325A">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属性</w:t>
                  </w:r>
                </w:p>
              </w:tc>
              <w:tc>
                <w:tcPr>
                  <w:tcW w:w="852" w:type="pct"/>
                  <w:tcBorders>
                    <w:tl2br w:val="nil"/>
                    <w:tr2bl w:val="nil"/>
                  </w:tcBorders>
                  <w:vAlign w:val="center"/>
                </w:tcPr>
                <w:p w14:paraId="3A61FCBB">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危废代码</w:t>
                  </w:r>
                </w:p>
              </w:tc>
              <w:tc>
                <w:tcPr>
                  <w:tcW w:w="568" w:type="pct"/>
                  <w:tcBorders>
                    <w:tl2br w:val="nil"/>
                    <w:tr2bl w:val="nil"/>
                  </w:tcBorders>
                  <w:vAlign w:val="center"/>
                </w:tcPr>
                <w:p w14:paraId="05DEA266">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产生量（t/a）</w:t>
                  </w:r>
                </w:p>
              </w:tc>
              <w:tc>
                <w:tcPr>
                  <w:tcW w:w="924" w:type="pct"/>
                  <w:tcBorders>
                    <w:tl2br w:val="nil"/>
                    <w:tr2bl w:val="nil"/>
                  </w:tcBorders>
                  <w:vAlign w:val="center"/>
                </w:tcPr>
                <w:p w14:paraId="13022519">
                  <w:pPr>
                    <w:jc w:val="center"/>
                    <w:rPr>
                      <w:rFonts w:hint="default" w:ascii="Times New Roman" w:hAnsi="Times New Roman" w:eastAsia="宋体" w:cs="Times New Roman"/>
                      <w:b/>
                      <w:color w:val="auto"/>
                      <w:sz w:val="21"/>
                      <w:szCs w:val="21"/>
                      <w:highlight w:val="none"/>
                      <w:shd w:val="clear" w:color="auto" w:fill="auto"/>
                    </w:rPr>
                  </w:pPr>
                  <w:r>
                    <w:rPr>
                      <w:rFonts w:hint="default" w:ascii="Times New Roman" w:hAnsi="Times New Roman" w:eastAsia="宋体" w:cs="Times New Roman"/>
                      <w:b/>
                      <w:color w:val="auto"/>
                      <w:sz w:val="21"/>
                      <w:szCs w:val="21"/>
                      <w:highlight w:val="none"/>
                      <w:shd w:val="clear" w:color="auto" w:fill="auto"/>
                    </w:rPr>
                    <w:t>利用处置方式</w:t>
                  </w:r>
                </w:p>
              </w:tc>
            </w:tr>
            <w:tr w14:paraId="45AF1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shd w:val="clear" w:color="auto" w:fill="auto"/>
                  <w:vAlign w:val="center"/>
                </w:tcPr>
                <w:p w14:paraId="58862BF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1</w:t>
                  </w:r>
                </w:p>
              </w:tc>
              <w:tc>
                <w:tcPr>
                  <w:tcW w:w="996" w:type="pct"/>
                  <w:tcBorders>
                    <w:tl2br w:val="nil"/>
                    <w:tr2bl w:val="nil"/>
                  </w:tcBorders>
                  <w:shd w:val="clear" w:color="auto" w:fill="auto"/>
                  <w:vAlign w:val="center"/>
                </w:tcPr>
                <w:p w14:paraId="1BE9ABF0">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废包装桶</w:t>
                  </w:r>
                </w:p>
              </w:tc>
              <w:tc>
                <w:tcPr>
                  <w:tcW w:w="664" w:type="pct"/>
                  <w:tcBorders>
                    <w:tl2br w:val="nil"/>
                    <w:tr2bl w:val="nil"/>
                  </w:tcBorders>
                  <w:shd w:val="clear" w:color="auto" w:fill="auto"/>
                  <w:vAlign w:val="center"/>
                </w:tcPr>
                <w:p w14:paraId="5542BC04">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原料包装</w:t>
                  </w:r>
                </w:p>
              </w:tc>
              <w:tc>
                <w:tcPr>
                  <w:tcW w:w="664" w:type="pct"/>
                  <w:vMerge w:val="restart"/>
                  <w:tcBorders>
                    <w:tl2br w:val="nil"/>
                    <w:tr2bl w:val="nil"/>
                  </w:tcBorders>
                  <w:vAlign w:val="center"/>
                </w:tcPr>
                <w:p w14:paraId="6067C4BB">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危险废物</w:t>
                  </w:r>
                </w:p>
              </w:tc>
              <w:tc>
                <w:tcPr>
                  <w:tcW w:w="852" w:type="pct"/>
                  <w:tcBorders>
                    <w:tl2br w:val="nil"/>
                    <w:tr2bl w:val="nil"/>
                  </w:tcBorders>
                  <w:shd w:val="clear" w:color="auto" w:fill="auto"/>
                  <w:vAlign w:val="center"/>
                </w:tcPr>
                <w:p w14:paraId="5EEF31E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HW49</w:t>
                  </w:r>
                </w:p>
                <w:p w14:paraId="0AD562D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900-041-49</w:t>
                  </w:r>
                </w:p>
              </w:tc>
              <w:tc>
                <w:tcPr>
                  <w:tcW w:w="568" w:type="pct"/>
                  <w:tcBorders>
                    <w:tl2br w:val="nil"/>
                    <w:tr2bl w:val="nil"/>
                  </w:tcBorders>
                  <w:shd w:val="clear" w:color="auto" w:fill="auto"/>
                  <w:vAlign w:val="center"/>
                </w:tcPr>
                <w:p w14:paraId="3F91FFDC">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w:t>
                  </w:r>
                </w:p>
              </w:tc>
              <w:tc>
                <w:tcPr>
                  <w:tcW w:w="924" w:type="pct"/>
                  <w:vMerge w:val="restart"/>
                  <w:tcBorders>
                    <w:tl2br w:val="nil"/>
                    <w:tr2bl w:val="nil"/>
                  </w:tcBorders>
                  <w:vAlign w:val="center"/>
                </w:tcPr>
                <w:p w14:paraId="138C710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委托有资质单位处置</w:t>
                  </w:r>
                </w:p>
              </w:tc>
            </w:tr>
            <w:tr w14:paraId="36562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shd w:val="clear" w:color="auto" w:fill="auto"/>
                  <w:vAlign w:val="center"/>
                </w:tcPr>
                <w:p w14:paraId="1F5EDB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2</w:t>
                  </w:r>
                </w:p>
              </w:tc>
              <w:tc>
                <w:tcPr>
                  <w:tcW w:w="996" w:type="pct"/>
                  <w:tcBorders>
                    <w:tl2br w:val="nil"/>
                    <w:tr2bl w:val="nil"/>
                  </w:tcBorders>
                  <w:shd w:val="clear" w:color="auto" w:fill="auto"/>
                  <w:vAlign w:val="center"/>
                </w:tcPr>
                <w:p w14:paraId="4D7EFDA2">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废抹布</w:t>
                  </w:r>
                </w:p>
              </w:tc>
              <w:tc>
                <w:tcPr>
                  <w:tcW w:w="664" w:type="pct"/>
                  <w:tcBorders>
                    <w:tl2br w:val="nil"/>
                    <w:tr2bl w:val="nil"/>
                  </w:tcBorders>
                  <w:shd w:val="clear" w:color="auto" w:fill="auto"/>
                  <w:vAlign w:val="center"/>
                </w:tcPr>
                <w:p w14:paraId="376A4AD8">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清洁</w:t>
                  </w:r>
                </w:p>
              </w:tc>
              <w:tc>
                <w:tcPr>
                  <w:tcW w:w="664" w:type="pct"/>
                  <w:vMerge w:val="continue"/>
                  <w:tcBorders>
                    <w:tl2br w:val="nil"/>
                    <w:tr2bl w:val="nil"/>
                  </w:tcBorders>
                  <w:vAlign w:val="center"/>
                </w:tcPr>
                <w:p w14:paraId="07C96E60">
                  <w:pPr>
                    <w:jc w:val="center"/>
                    <w:rPr>
                      <w:rFonts w:hint="default" w:ascii="Times New Roman" w:hAnsi="Times New Roman" w:eastAsia="宋体" w:cs="Times New Roman"/>
                      <w:color w:val="auto"/>
                      <w:sz w:val="21"/>
                      <w:szCs w:val="21"/>
                      <w:highlight w:val="none"/>
                      <w:shd w:val="clear" w:color="auto" w:fill="auto"/>
                    </w:rPr>
                  </w:pPr>
                </w:p>
              </w:tc>
              <w:tc>
                <w:tcPr>
                  <w:tcW w:w="852" w:type="pct"/>
                  <w:tcBorders>
                    <w:tl2br w:val="nil"/>
                    <w:tr2bl w:val="nil"/>
                  </w:tcBorders>
                  <w:shd w:val="clear" w:color="auto" w:fill="auto"/>
                  <w:vAlign w:val="center"/>
                </w:tcPr>
                <w:p w14:paraId="0BC4799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HW49</w:t>
                  </w:r>
                </w:p>
                <w:p w14:paraId="4A8D7EEE">
                  <w:pPr>
                    <w:topLinePunc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900-041-49</w:t>
                  </w:r>
                </w:p>
              </w:tc>
              <w:tc>
                <w:tcPr>
                  <w:tcW w:w="568" w:type="pct"/>
                  <w:tcBorders>
                    <w:tl2br w:val="nil"/>
                    <w:tr2bl w:val="nil"/>
                  </w:tcBorders>
                  <w:shd w:val="clear" w:color="auto" w:fill="auto"/>
                  <w:vAlign w:val="center"/>
                </w:tcPr>
                <w:p w14:paraId="15603B31">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4.5</w:t>
                  </w:r>
                </w:p>
              </w:tc>
              <w:tc>
                <w:tcPr>
                  <w:tcW w:w="924" w:type="pct"/>
                  <w:vMerge w:val="continue"/>
                  <w:tcBorders>
                    <w:tl2br w:val="nil"/>
                    <w:tr2bl w:val="nil"/>
                  </w:tcBorders>
                  <w:vAlign w:val="center"/>
                </w:tcPr>
                <w:p w14:paraId="6AFEDBF8">
                  <w:pPr>
                    <w:jc w:val="center"/>
                    <w:rPr>
                      <w:rFonts w:hint="default" w:ascii="Times New Roman" w:hAnsi="Times New Roman" w:eastAsia="宋体" w:cs="Times New Roman"/>
                      <w:color w:val="auto"/>
                      <w:sz w:val="21"/>
                      <w:szCs w:val="21"/>
                      <w:highlight w:val="none"/>
                      <w:shd w:val="clear" w:color="auto" w:fill="auto"/>
                    </w:rPr>
                  </w:pPr>
                </w:p>
              </w:tc>
            </w:tr>
            <w:tr w14:paraId="3823F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shd w:val="clear" w:color="auto" w:fill="auto"/>
                  <w:vAlign w:val="center"/>
                </w:tcPr>
                <w:p w14:paraId="5735DD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3</w:t>
                  </w:r>
                </w:p>
              </w:tc>
              <w:tc>
                <w:tcPr>
                  <w:tcW w:w="996" w:type="pct"/>
                  <w:tcBorders>
                    <w:tl2br w:val="nil"/>
                    <w:tr2bl w:val="nil"/>
                  </w:tcBorders>
                  <w:shd w:val="clear" w:color="auto" w:fill="auto"/>
                  <w:vAlign w:val="center"/>
                </w:tcPr>
                <w:p w14:paraId="0294F956">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废活性炭</w:t>
                  </w:r>
                </w:p>
              </w:tc>
              <w:tc>
                <w:tcPr>
                  <w:tcW w:w="664" w:type="pct"/>
                  <w:tcBorders>
                    <w:tl2br w:val="nil"/>
                    <w:tr2bl w:val="nil"/>
                  </w:tcBorders>
                  <w:shd w:val="clear" w:color="auto" w:fill="auto"/>
                  <w:vAlign w:val="center"/>
                </w:tcPr>
                <w:p w14:paraId="5C3AB9E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废气处理</w:t>
                  </w:r>
                </w:p>
              </w:tc>
              <w:tc>
                <w:tcPr>
                  <w:tcW w:w="664" w:type="pct"/>
                  <w:vMerge w:val="continue"/>
                  <w:tcBorders>
                    <w:tl2br w:val="nil"/>
                    <w:tr2bl w:val="nil"/>
                  </w:tcBorders>
                  <w:vAlign w:val="center"/>
                </w:tcPr>
                <w:p w14:paraId="7BAD7232">
                  <w:pPr>
                    <w:jc w:val="center"/>
                    <w:rPr>
                      <w:rFonts w:hint="default" w:ascii="Times New Roman" w:hAnsi="Times New Roman" w:eastAsia="宋体" w:cs="Times New Roman"/>
                      <w:color w:val="auto"/>
                      <w:sz w:val="21"/>
                      <w:szCs w:val="21"/>
                      <w:highlight w:val="none"/>
                      <w:shd w:val="clear" w:color="auto" w:fill="auto"/>
                    </w:rPr>
                  </w:pPr>
                </w:p>
              </w:tc>
              <w:tc>
                <w:tcPr>
                  <w:tcW w:w="852" w:type="pct"/>
                  <w:tcBorders>
                    <w:tl2br w:val="nil"/>
                    <w:tr2bl w:val="nil"/>
                  </w:tcBorders>
                  <w:shd w:val="clear" w:color="auto" w:fill="auto"/>
                  <w:vAlign w:val="center"/>
                </w:tcPr>
                <w:p w14:paraId="4DD2052F">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HW49</w:t>
                  </w:r>
                </w:p>
                <w:p w14:paraId="344E4D4D">
                  <w:pPr>
                    <w:topLinePun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rPr>
                    <w:t>900-0</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rPr>
                    <w:t>-49</w:t>
                  </w:r>
                </w:p>
              </w:tc>
              <w:tc>
                <w:tcPr>
                  <w:tcW w:w="568" w:type="pct"/>
                  <w:tcBorders>
                    <w:tl2br w:val="nil"/>
                    <w:tr2bl w:val="nil"/>
                  </w:tcBorders>
                  <w:shd w:val="clear" w:color="auto" w:fill="auto"/>
                  <w:vAlign w:val="center"/>
                </w:tcPr>
                <w:p w14:paraId="35ED154B">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6.2</w:t>
                  </w:r>
                </w:p>
              </w:tc>
              <w:tc>
                <w:tcPr>
                  <w:tcW w:w="924" w:type="pct"/>
                  <w:vMerge w:val="continue"/>
                  <w:tcBorders>
                    <w:tl2br w:val="nil"/>
                    <w:tr2bl w:val="nil"/>
                  </w:tcBorders>
                  <w:vAlign w:val="center"/>
                </w:tcPr>
                <w:p w14:paraId="6CE4C924">
                  <w:pPr>
                    <w:jc w:val="center"/>
                    <w:rPr>
                      <w:rFonts w:hint="default" w:ascii="Times New Roman" w:hAnsi="Times New Roman" w:eastAsia="宋体" w:cs="Times New Roman"/>
                      <w:color w:val="auto"/>
                      <w:sz w:val="21"/>
                      <w:szCs w:val="21"/>
                      <w:highlight w:val="none"/>
                      <w:shd w:val="clear" w:color="auto" w:fill="auto"/>
                    </w:rPr>
                  </w:pPr>
                </w:p>
              </w:tc>
            </w:tr>
            <w:tr w14:paraId="463B8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shd w:val="clear" w:color="auto" w:fill="auto"/>
                  <w:vAlign w:val="center"/>
                </w:tcPr>
                <w:p w14:paraId="35586D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4</w:t>
                  </w:r>
                </w:p>
              </w:tc>
              <w:tc>
                <w:tcPr>
                  <w:tcW w:w="996" w:type="pct"/>
                  <w:tcBorders>
                    <w:tl2br w:val="nil"/>
                    <w:tr2bl w:val="nil"/>
                  </w:tcBorders>
                  <w:shd w:val="clear" w:color="auto" w:fill="auto"/>
                  <w:vAlign w:val="center"/>
                </w:tcPr>
                <w:p w14:paraId="1D081E2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含油抹布手套</w:t>
                  </w:r>
                </w:p>
              </w:tc>
              <w:tc>
                <w:tcPr>
                  <w:tcW w:w="664" w:type="pct"/>
                  <w:tcBorders>
                    <w:tl2br w:val="nil"/>
                    <w:tr2bl w:val="nil"/>
                  </w:tcBorders>
                  <w:shd w:val="clear" w:color="auto" w:fill="auto"/>
                  <w:vAlign w:val="center"/>
                </w:tcPr>
                <w:p w14:paraId="315ECD59">
                  <w:pPr>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设备维护</w:t>
                  </w:r>
                </w:p>
              </w:tc>
              <w:tc>
                <w:tcPr>
                  <w:tcW w:w="664" w:type="pct"/>
                  <w:vMerge w:val="continue"/>
                  <w:tcBorders>
                    <w:tl2br w:val="nil"/>
                    <w:tr2bl w:val="nil"/>
                  </w:tcBorders>
                  <w:shd w:val="clear" w:color="auto" w:fill="auto"/>
                  <w:vAlign w:val="center"/>
                </w:tcPr>
                <w:p w14:paraId="143F3CE5">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c>
                <w:tcPr>
                  <w:tcW w:w="852" w:type="pct"/>
                  <w:tcBorders>
                    <w:tl2br w:val="nil"/>
                    <w:tr2bl w:val="nil"/>
                  </w:tcBorders>
                  <w:shd w:val="clear" w:color="auto" w:fill="auto"/>
                  <w:vAlign w:val="center"/>
                </w:tcPr>
                <w:p w14:paraId="4E99A9AC">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HW49</w:t>
                  </w:r>
                </w:p>
                <w:p w14:paraId="557D44B4">
                  <w:pPr>
                    <w:topLinePun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900-041-49</w:t>
                  </w:r>
                </w:p>
              </w:tc>
              <w:tc>
                <w:tcPr>
                  <w:tcW w:w="568" w:type="pct"/>
                  <w:tcBorders>
                    <w:tl2br w:val="nil"/>
                    <w:tr2bl w:val="nil"/>
                  </w:tcBorders>
                  <w:shd w:val="clear" w:color="auto" w:fill="auto"/>
                  <w:vAlign w:val="center"/>
                </w:tcPr>
                <w:p w14:paraId="34545A0A">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0.</w:t>
                  </w:r>
                  <w:r>
                    <w:rPr>
                      <w:rFonts w:hint="eastAsia" w:ascii="Times New Roman" w:hAnsi="Times New Roman" w:eastAsia="宋体" w:cs="Times New Roman"/>
                      <w:color w:val="auto"/>
                      <w:kern w:val="2"/>
                      <w:sz w:val="21"/>
                      <w:szCs w:val="21"/>
                      <w:highlight w:val="none"/>
                      <w:shd w:val="clear" w:color="auto" w:fill="auto"/>
                      <w:lang w:val="en-US" w:eastAsia="zh-CN" w:bidi="ar-SA"/>
                    </w:rPr>
                    <w:t>01</w:t>
                  </w:r>
                </w:p>
              </w:tc>
              <w:tc>
                <w:tcPr>
                  <w:tcW w:w="924" w:type="pct"/>
                  <w:vMerge w:val="continue"/>
                  <w:tcBorders>
                    <w:tl2br w:val="nil"/>
                    <w:tr2bl w:val="nil"/>
                  </w:tcBorders>
                  <w:shd w:val="clear" w:color="auto" w:fill="auto"/>
                  <w:vAlign w:val="center"/>
                </w:tcPr>
                <w:p w14:paraId="7129C31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2F74C5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shd w:val="clear" w:color="auto" w:fill="auto"/>
                  <w:vAlign w:val="center"/>
                </w:tcPr>
                <w:p w14:paraId="69118B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5</w:t>
                  </w:r>
                </w:p>
              </w:tc>
              <w:tc>
                <w:tcPr>
                  <w:tcW w:w="996" w:type="pct"/>
                  <w:tcBorders>
                    <w:tl2br w:val="nil"/>
                    <w:tr2bl w:val="nil"/>
                  </w:tcBorders>
                  <w:shd w:val="clear" w:color="auto" w:fill="auto"/>
                  <w:vAlign w:val="center"/>
                </w:tcPr>
                <w:p w14:paraId="0E143AC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边角料</w:t>
                  </w:r>
                </w:p>
              </w:tc>
              <w:tc>
                <w:tcPr>
                  <w:tcW w:w="664" w:type="pct"/>
                  <w:tcBorders>
                    <w:tl2br w:val="nil"/>
                    <w:tr2bl w:val="nil"/>
                  </w:tcBorders>
                  <w:shd w:val="clear" w:color="auto" w:fill="auto"/>
                  <w:vAlign w:val="center"/>
                </w:tcPr>
                <w:p w14:paraId="2296AEDC">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分切</w:t>
                  </w:r>
                </w:p>
              </w:tc>
              <w:tc>
                <w:tcPr>
                  <w:tcW w:w="664" w:type="pct"/>
                  <w:vMerge w:val="restart"/>
                  <w:tcBorders>
                    <w:tl2br w:val="nil"/>
                    <w:tr2bl w:val="nil"/>
                  </w:tcBorders>
                  <w:vAlign w:val="center"/>
                </w:tcPr>
                <w:p w14:paraId="2FA11E38">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一般固废</w:t>
                  </w:r>
                </w:p>
              </w:tc>
              <w:tc>
                <w:tcPr>
                  <w:tcW w:w="852" w:type="pct"/>
                  <w:tcBorders>
                    <w:tl2br w:val="nil"/>
                    <w:tr2bl w:val="nil"/>
                  </w:tcBorders>
                  <w:shd w:val="clear" w:color="auto" w:fill="auto"/>
                  <w:vAlign w:val="center"/>
                </w:tcPr>
                <w:p w14:paraId="139B7EFF">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SW17</w:t>
                  </w:r>
                </w:p>
                <w:p w14:paraId="58AD922A">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900</w:t>
                  </w:r>
                  <w:r>
                    <w:rPr>
                      <w:rFonts w:hint="default" w:ascii="Times New Roman" w:hAnsi="Times New Roman" w:eastAsia="宋体" w:cs="Times New Roman"/>
                      <w:color w:val="auto"/>
                      <w:sz w:val="21"/>
                      <w:szCs w:val="21"/>
                      <w:highlight w:val="none"/>
                      <w:shd w:val="clear" w:color="auto" w:fill="auto"/>
                    </w:rPr>
                    <w:t>-00</w:t>
                  </w:r>
                  <w:r>
                    <w:rPr>
                      <w:rFonts w:hint="eastAsia"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rPr>
                    <w:t>-S17</w:t>
                  </w:r>
                </w:p>
              </w:tc>
              <w:tc>
                <w:tcPr>
                  <w:tcW w:w="568" w:type="pct"/>
                  <w:tcBorders>
                    <w:tl2br w:val="nil"/>
                    <w:tr2bl w:val="nil"/>
                  </w:tcBorders>
                  <w:shd w:val="clear" w:color="auto" w:fill="auto"/>
                  <w:vAlign w:val="center"/>
                </w:tcPr>
                <w:p w14:paraId="67F26A03">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924" w:type="pct"/>
                  <w:vMerge w:val="restart"/>
                  <w:tcBorders>
                    <w:tl2br w:val="nil"/>
                    <w:tr2bl w:val="nil"/>
                  </w:tcBorders>
                  <w:vAlign w:val="center"/>
                </w:tcPr>
                <w:p w14:paraId="23F33B27">
                  <w:pPr>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外售综合利用</w:t>
                  </w:r>
                </w:p>
              </w:tc>
            </w:tr>
            <w:tr w14:paraId="724C0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shd w:val="clear" w:color="auto" w:fill="auto"/>
                  <w:vAlign w:val="center"/>
                </w:tcPr>
                <w:p w14:paraId="28763D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6</w:t>
                  </w:r>
                </w:p>
              </w:tc>
              <w:tc>
                <w:tcPr>
                  <w:tcW w:w="996" w:type="pct"/>
                  <w:tcBorders>
                    <w:tl2br w:val="nil"/>
                    <w:tr2bl w:val="nil"/>
                  </w:tcBorders>
                  <w:shd w:val="clear" w:color="auto" w:fill="auto"/>
                  <w:vAlign w:val="center"/>
                </w:tcPr>
                <w:p w14:paraId="6CE0C388">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不合格品</w:t>
                  </w:r>
                </w:p>
              </w:tc>
              <w:tc>
                <w:tcPr>
                  <w:tcW w:w="664" w:type="pct"/>
                  <w:tcBorders>
                    <w:tl2br w:val="nil"/>
                    <w:tr2bl w:val="nil"/>
                  </w:tcBorders>
                  <w:shd w:val="clear" w:color="auto" w:fill="auto"/>
                  <w:vAlign w:val="center"/>
                </w:tcPr>
                <w:p w14:paraId="6767BB7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检验</w:t>
                  </w:r>
                </w:p>
              </w:tc>
              <w:tc>
                <w:tcPr>
                  <w:tcW w:w="664" w:type="pct"/>
                  <w:vMerge w:val="continue"/>
                  <w:tcBorders>
                    <w:tl2br w:val="nil"/>
                    <w:tr2bl w:val="nil"/>
                  </w:tcBorders>
                  <w:vAlign w:val="center"/>
                </w:tcPr>
                <w:p w14:paraId="595F90A6">
                  <w:pPr>
                    <w:jc w:val="center"/>
                    <w:rPr>
                      <w:rFonts w:hint="default" w:ascii="Times New Roman" w:hAnsi="Times New Roman" w:eastAsia="宋体" w:cs="Times New Roman"/>
                      <w:color w:val="auto"/>
                      <w:sz w:val="21"/>
                      <w:szCs w:val="21"/>
                      <w:highlight w:val="none"/>
                      <w:shd w:val="clear" w:color="auto" w:fill="auto"/>
                    </w:rPr>
                  </w:pPr>
                </w:p>
              </w:tc>
              <w:tc>
                <w:tcPr>
                  <w:tcW w:w="852" w:type="pct"/>
                  <w:tcBorders>
                    <w:tl2br w:val="nil"/>
                    <w:tr2bl w:val="nil"/>
                  </w:tcBorders>
                  <w:shd w:val="clear" w:color="auto" w:fill="auto"/>
                  <w:vAlign w:val="center"/>
                </w:tcPr>
                <w:p w14:paraId="7155402B">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SW17</w:t>
                  </w:r>
                </w:p>
                <w:p w14:paraId="794106A9">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900</w:t>
                  </w:r>
                  <w:r>
                    <w:rPr>
                      <w:rFonts w:hint="default" w:ascii="Times New Roman" w:hAnsi="Times New Roman" w:eastAsia="宋体" w:cs="Times New Roman"/>
                      <w:color w:val="auto"/>
                      <w:sz w:val="21"/>
                      <w:szCs w:val="21"/>
                      <w:highlight w:val="none"/>
                      <w:shd w:val="clear" w:color="auto" w:fill="auto"/>
                    </w:rPr>
                    <w:t>-00</w:t>
                  </w:r>
                  <w:r>
                    <w:rPr>
                      <w:rFonts w:hint="eastAsia"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rPr>
                    <w:t>-S17</w:t>
                  </w:r>
                </w:p>
              </w:tc>
              <w:tc>
                <w:tcPr>
                  <w:tcW w:w="568" w:type="pct"/>
                  <w:tcBorders>
                    <w:tl2br w:val="nil"/>
                    <w:tr2bl w:val="nil"/>
                  </w:tcBorders>
                  <w:shd w:val="clear" w:color="auto" w:fill="auto"/>
                  <w:vAlign w:val="center"/>
                </w:tcPr>
                <w:p w14:paraId="1EB04FF9">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924" w:type="pct"/>
                  <w:vMerge w:val="continue"/>
                  <w:tcBorders>
                    <w:tl2br w:val="nil"/>
                    <w:tr2bl w:val="nil"/>
                  </w:tcBorders>
                  <w:shd w:val="clear" w:color="auto" w:fill="auto"/>
                  <w:vAlign w:val="center"/>
                </w:tcPr>
                <w:p w14:paraId="458A6F0E">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p>
              </w:tc>
            </w:tr>
            <w:tr w14:paraId="01A6B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shd w:val="clear" w:color="auto" w:fill="auto"/>
                  <w:vAlign w:val="center"/>
                </w:tcPr>
                <w:p w14:paraId="035AD0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7</w:t>
                  </w:r>
                </w:p>
              </w:tc>
              <w:tc>
                <w:tcPr>
                  <w:tcW w:w="996" w:type="pct"/>
                  <w:tcBorders>
                    <w:tl2br w:val="nil"/>
                    <w:tr2bl w:val="nil"/>
                  </w:tcBorders>
                  <w:shd w:val="clear" w:color="auto" w:fill="auto"/>
                  <w:vAlign w:val="center"/>
                </w:tcPr>
                <w:p w14:paraId="1F82AF0E">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废布袋</w:t>
                  </w:r>
                </w:p>
              </w:tc>
              <w:tc>
                <w:tcPr>
                  <w:tcW w:w="664" w:type="pct"/>
                  <w:tcBorders>
                    <w:tl2br w:val="nil"/>
                    <w:tr2bl w:val="nil"/>
                  </w:tcBorders>
                  <w:shd w:val="clear" w:color="auto" w:fill="auto"/>
                  <w:vAlign w:val="center"/>
                </w:tcPr>
                <w:p w14:paraId="33A28D7B">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废气处理</w:t>
                  </w:r>
                </w:p>
              </w:tc>
              <w:tc>
                <w:tcPr>
                  <w:tcW w:w="664" w:type="pct"/>
                  <w:vMerge w:val="continue"/>
                  <w:tcBorders>
                    <w:tl2br w:val="nil"/>
                    <w:tr2bl w:val="nil"/>
                  </w:tcBorders>
                  <w:vAlign w:val="center"/>
                </w:tcPr>
                <w:p w14:paraId="0C8FB519">
                  <w:pPr>
                    <w:jc w:val="center"/>
                    <w:rPr>
                      <w:rFonts w:hint="default" w:ascii="Times New Roman" w:hAnsi="Times New Roman" w:eastAsia="宋体" w:cs="Times New Roman"/>
                      <w:color w:val="auto"/>
                      <w:sz w:val="21"/>
                      <w:szCs w:val="21"/>
                      <w:highlight w:val="none"/>
                      <w:shd w:val="clear" w:color="auto" w:fill="auto"/>
                    </w:rPr>
                  </w:pPr>
                </w:p>
              </w:tc>
              <w:tc>
                <w:tcPr>
                  <w:tcW w:w="852" w:type="pct"/>
                  <w:tcBorders>
                    <w:tl2br w:val="nil"/>
                    <w:tr2bl w:val="nil"/>
                  </w:tcBorders>
                  <w:shd w:val="clear" w:color="auto" w:fill="auto"/>
                  <w:vAlign w:val="center"/>
                </w:tcPr>
                <w:p w14:paraId="1B35C44B">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SW</w:t>
                  </w:r>
                  <w:r>
                    <w:rPr>
                      <w:rFonts w:hint="eastAsia" w:ascii="Times New Roman" w:hAnsi="Times New Roman" w:eastAsia="宋体" w:cs="Times New Roman"/>
                      <w:color w:val="auto"/>
                      <w:sz w:val="21"/>
                      <w:szCs w:val="21"/>
                      <w:highlight w:val="none"/>
                      <w:shd w:val="clear" w:color="auto" w:fill="auto"/>
                      <w:lang w:val="en-US" w:eastAsia="zh-CN"/>
                    </w:rPr>
                    <w:t>59</w:t>
                  </w:r>
                </w:p>
                <w:p w14:paraId="64BBA2D6">
                  <w:pPr>
                    <w:pStyle w:val="78"/>
                    <w:ind w:firstLine="0" w:firstLineChars="0"/>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pacing w:val="0"/>
                      <w:kern w:val="0"/>
                      <w:sz w:val="21"/>
                      <w:szCs w:val="21"/>
                    </w:rPr>
                    <w:t>900-0</w:t>
                  </w:r>
                  <w:r>
                    <w:rPr>
                      <w:rFonts w:hint="default" w:ascii="Times New Roman" w:hAnsi="Times New Roman" w:eastAsia="宋体" w:cs="Times New Roman"/>
                      <w:color w:val="auto"/>
                      <w:spacing w:val="0"/>
                      <w:kern w:val="0"/>
                      <w:sz w:val="21"/>
                      <w:szCs w:val="21"/>
                      <w:lang w:val="en-US" w:eastAsia="zh-CN"/>
                    </w:rPr>
                    <w:t>09</w:t>
                  </w:r>
                  <w:r>
                    <w:rPr>
                      <w:rFonts w:hint="default" w:ascii="Times New Roman" w:hAnsi="Times New Roman" w:eastAsia="宋体" w:cs="Times New Roman"/>
                      <w:color w:val="auto"/>
                      <w:spacing w:val="0"/>
                      <w:kern w:val="0"/>
                      <w:sz w:val="21"/>
                      <w:szCs w:val="21"/>
                    </w:rPr>
                    <w:t>-</w:t>
                  </w:r>
                  <w:r>
                    <w:rPr>
                      <w:rFonts w:hint="default" w:ascii="Times New Roman" w:hAnsi="Times New Roman" w:eastAsia="宋体" w:cs="Times New Roman"/>
                      <w:color w:val="auto"/>
                      <w:spacing w:val="0"/>
                      <w:kern w:val="0"/>
                      <w:sz w:val="21"/>
                      <w:szCs w:val="21"/>
                      <w:lang w:val="en-US" w:eastAsia="zh-CN"/>
                    </w:rPr>
                    <w:t>S59</w:t>
                  </w:r>
                </w:p>
              </w:tc>
              <w:tc>
                <w:tcPr>
                  <w:tcW w:w="568" w:type="pct"/>
                  <w:tcBorders>
                    <w:tl2br w:val="nil"/>
                    <w:tr2bl w:val="nil"/>
                  </w:tcBorders>
                  <w:shd w:val="clear" w:color="auto" w:fill="auto"/>
                  <w:vAlign w:val="center"/>
                </w:tcPr>
                <w:p w14:paraId="6916C5DE">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0.04</w:t>
                  </w:r>
                </w:p>
              </w:tc>
              <w:tc>
                <w:tcPr>
                  <w:tcW w:w="924" w:type="pct"/>
                  <w:vMerge w:val="continue"/>
                  <w:tcBorders>
                    <w:tl2br w:val="nil"/>
                    <w:tr2bl w:val="nil"/>
                  </w:tcBorders>
                  <w:shd w:val="clear" w:color="auto" w:fill="auto"/>
                  <w:vAlign w:val="center"/>
                </w:tcPr>
                <w:p w14:paraId="011C837A">
                  <w:pPr>
                    <w:jc w:val="center"/>
                    <w:rPr>
                      <w:rFonts w:hint="default" w:ascii="Times New Roman" w:hAnsi="Times New Roman" w:eastAsia="宋体" w:cs="Times New Roman"/>
                      <w:color w:val="auto"/>
                      <w:sz w:val="21"/>
                      <w:szCs w:val="21"/>
                      <w:highlight w:val="none"/>
                      <w:shd w:val="clear" w:color="auto" w:fill="auto"/>
                    </w:rPr>
                  </w:pPr>
                </w:p>
              </w:tc>
            </w:tr>
            <w:tr w14:paraId="6B143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shd w:val="clear" w:color="auto" w:fill="auto"/>
                  <w:vAlign w:val="center"/>
                </w:tcPr>
                <w:p w14:paraId="7233D8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8</w:t>
                  </w:r>
                </w:p>
              </w:tc>
              <w:tc>
                <w:tcPr>
                  <w:tcW w:w="996" w:type="pct"/>
                  <w:tcBorders>
                    <w:tl2br w:val="nil"/>
                    <w:tr2bl w:val="nil"/>
                  </w:tcBorders>
                  <w:shd w:val="clear" w:color="auto" w:fill="auto"/>
                  <w:vAlign w:val="center"/>
                </w:tcPr>
                <w:p w14:paraId="24D44E04">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除尘灰</w:t>
                  </w:r>
                </w:p>
              </w:tc>
              <w:tc>
                <w:tcPr>
                  <w:tcW w:w="664" w:type="pct"/>
                  <w:tcBorders>
                    <w:tl2br w:val="nil"/>
                    <w:tr2bl w:val="nil"/>
                  </w:tcBorders>
                  <w:shd w:val="clear" w:color="auto" w:fill="auto"/>
                  <w:vAlign w:val="center"/>
                </w:tcPr>
                <w:p w14:paraId="30AB8031">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废气处理</w:t>
                  </w:r>
                </w:p>
              </w:tc>
              <w:tc>
                <w:tcPr>
                  <w:tcW w:w="664" w:type="pct"/>
                  <w:vMerge w:val="continue"/>
                  <w:tcBorders>
                    <w:tl2br w:val="nil"/>
                    <w:tr2bl w:val="nil"/>
                  </w:tcBorders>
                  <w:vAlign w:val="center"/>
                </w:tcPr>
                <w:p w14:paraId="5F5F6AC0">
                  <w:pPr>
                    <w:jc w:val="center"/>
                    <w:rPr>
                      <w:rFonts w:hint="default" w:ascii="Times New Roman" w:hAnsi="Times New Roman" w:eastAsia="宋体" w:cs="Times New Roman"/>
                      <w:color w:val="auto"/>
                      <w:sz w:val="21"/>
                      <w:szCs w:val="21"/>
                      <w:highlight w:val="none"/>
                      <w:shd w:val="clear" w:color="auto" w:fill="auto"/>
                    </w:rPr>
                  </w:pPr>
                </w:p>
              </w:tc>
              <w:tc>
                <w:tcPr>
                  <w:tcW w:w="852" w:type="pct"/>
                  <w:tcBorders>
                    <w:tl2br w:val="nil"/>
                    <w:tr2bl w:val="nil"/>
                  </w:tcBorders>
                  <w:shd w:val="clear" w:color="auto" w:fill="auto"/>
                  <w:vAlign w:val="center"/>
                </w:tcPr>
                <w:p w14:paraId="72040E41">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SW17</w:t>
                  </w:r>
                </w:p>
                <w:p w14:paraId="7CEB3F21">
                  <w:pPr>
                    <w:pStyle w:val="78"/>
                    <w:ind w:firstLine="0" w:firstLineChars="0"/>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cs="Times New Roman"/>
                      <w:color w:val="auto"/>
                    </w:rPr>
                    <w:t>900-0</w:t>
                  </w:r>
                  <w:r>
                    <w:rPr>
                      <w:rFonts w:hint="default" w:ascii="Times New Roman" w:hAnsi="Times New Roman" w:cs="Times New Roman"/>
                      <w:color w:val="auto"/>
                      <w:lang w:val="en-US" w:eastAsia="zh-CN"/>
                    </w:rPr>
                    <w:t>99</w:t>
                  </w:r>
                  <w:r>
                    <w:rPr>
                      <w:rFonts w:hint="default" w:ascii="Times New Roman" w:hAnsi="Times New Roman" w:cs="Times New Roman"/>
                      <w:color w:val="auto"/>
                    </w:rPr>
                    <w:t>-S17</w:t>
                  </w:r>
                </w:p>
              </w:tc>
              <w:tc>
                <w:tcPr>
                  <w:tcW w:w="568" w:type="pct"/>
                  <w:tcBorders>
                    <w:tl2br w:val="nil"/>
                    <w:tr2bl w:val="nil"/>
                  </w:tcBorders>
                  <w:shd w:val="clear" w:color="auto" w:fill="auto"/>
                  <w:vAlign w:val="center"/>
                </w:tcPr>
                <w:p w14:paraId="7BBC5F4C">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0.01</w:t>
                  </w:r>
                </w:p>
              </w:tc>
              <w:tc>
                <w:tcPr>
                  <w:tcW w:w="924" w:type="pct"/>
                  <w:vMerge w:val="continue"/>
                  <w:tcBorders>
                    <w:tl2br w:val="nil"/>
                    <w:tr2bl w:val="nil"/>
                  </w:tcBorders>
                  <w:shd w:val="clear" w:color="auto" w:fill="auto"/>
                  <w:vAlign w:val="center"/>
                </w:tcPr>
                <w:p w14:paraId="44B9EB15">
                  <w:pPr>
                    <w:jc w:val="center"/>
                    <w:rPr>
                      <w:rFonts w:hint="default" w:ascii="Times New Roman" w:hAnsi="Times New Roman" w:eastAsia="宋体" w:cs="Times New Roman"/>
                      <w:color w:val="auto"/>
                      <w:sz w:val="21"/>
                      <w:szCs w:val="21"/>
                      <w:highlight w:val="none"/>
                      <w:shd w:val="clear" w:color="auto" w:fill="auto"/>
                    </w:rPr>
                  </w:pPr>
                </w:p>
              </w:tc>
            </w:tr>
            <w:tr w14:paraId="3AE62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shd w:val="clear" w:color="auto" w:fill="auto"/>
                  <w:vAlign w:val="center"/>
                </w:tcPr>
                <w:p w14:paraId="1C6EB4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9</w:t>
                  </w:r>
                </w:p>
              </w:tc>
              <w:tc>
                <w:tcPr>
                  <w:tcW w:w="996" w:type="pct"/>
                  <w:tcBorders>
                    <w:tl2br w:val="nil"/>
                    <w:tr2bl w:val="nil"/>
                  </w:tcBorders>
                  <w:shd w:val="clear" w:color="auto" w:fill="auto"/>
                  <w:vAlign w:val="center"/>
                </w:tcPr>
                <w:p w14:paraId="701826C8">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不合格品</w:t>
                  </w:r>
                </w:p>
              </w:tc>
              <w:tc>
                <w:tcPr>
                  <w:tcW w:w="664" w:type="pct"/>
                  <w:tcBorders>
                    <w:tl2br w:val="nil"/>
                    <w:tr2bl w:val="nil"/>
                  </w:tcBorders>
                  <w:shd w:val="clear" w:color="auto" w:fill="auto"/>
                  <w:vAlign w:val="center"/>
                </w:tcPr>
                <w:p w14:paraId="7044CB5F">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吹膜</w:t>
                  </w:r>
                </w:p>
              </w:tc>
              <w:tc>
                <w:tcPr>
                  <w:tcW w:w="664" w:type="pct"/>
                  <w:vMerge w:val="continue"/>
                  <w:tcBorders>
                    <w:tl2br w:val="nil"/>
                    <w:tr2bl w:val="nil"/>
                  </w:tcBorders>
                  <w:vAlign w:val="center"/>
                </w:tcPr>
                <w:p w14:paraId="3AD9D171">
                  <w:pPr>
                    <w:jc w:val="center"/>
                    <w:rPr>
                      <w:rFonts w:hint="default" w:ascii="Times New Roman" w:hAnsi="Times New Roman" w:eastAsia="宋体" w:cs="Times New Roman"/>
                      <w:color w:val="auto"/>
                      <w:sz w:val="21"/>
                      <w:szCs w:val="21"/>
                      <w:highlight w:val="none"/>
                      <w:shd w:val="clear" w:color="auto" w:fill="auto"/>
                    </w:rPr>
                  </w:pPr>
                </w:p>
              </w:tc>
              <w:tc>
                <w:tcPr>
                  <w:tcW w:w="852" w:type="pct"/>
                  <w:tcBorders>
                    <w:tl2br w:val="nil"/>
                    <w:tr2bl w:val="nil"/>
                  </w:tcBorders>
                  <w:shd w:val="clear" w:color="auto" w:fill="auto"/>
                  <w:vAlign w:val="center"/>
                </w:tcPr>
                <w:p w14:paraId="2655C632">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SW17</w:t>
                  </w:r>
                </w:p>
                <w:p w14:paraId="150A1DAB">
                  <w:pPr>
                    <w:pStyle w:val="78"/>
                    <w:ind w:firstLine="0" w:firstLineChars="0"/>
                    <w:rPr>
                      <w:rFonts w:hint="default" w:ascii="Times New Roman" w:hAnsi="Times New Roman" w:cs="Times New Roman"/>
                      <w:color w:val="auto"/>
                    </w:rPr>
                  </w:pPr>
                  <w:r>
                    <w:rPr>
                      <w:rFonts w:hint="default" w:ascii="Times New Roman" w:hAnsi="Times New Roman" w:eastAsia="宋体" w:cs="Times New Roman"/>
                      <w:color w:val="auto"/>
                      <w:sz w:val="21"/>
                      <w:szCs w:val="21"/>
                      <w:highlight w:val="none"/>
                      <w:shd w:val="clear" w:color="auto" w:fill="auto"/>
                      <w:lang w:val="en-US" w:eastAsia="zh-CN"/>
                    </w:rPr>
                    <w:t>900</w:t>
                  </w:r>
                  <w:r>
                    <w:rPr>
                      <w:rFonts w:hint="default" w:ascii="Times New Roman" w:hAnsi="Times New Roman" w:eastAsia="宋体" w:cs="Times New Roman"/>
                      <w:color w:val="auto"/>
                      <w:sz w:val="21"/>
                      <w:szCs w:val="21"/>
                      <w:highlight w:val="none"/>
                      <w:shd w:val="clear" w:color="auto" w:fill="auto"/>
                    </w:rPr>
                    <w:t>-00</w:t>
                  </w:r>
                  <w:r>
                    <w:rPr>
                      <w:rFonts w:hint="eastAsia"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rPr>
                    <w:t>-S17</w:t>
                  </w:r>
                </w:p>
              </w:tc>
              <w:tc>
                <w:tcPr>
                  <w:tcW w:w="568" w:type="pct"/>
                  <w:tcBorders>
                    <w:tl2br w:val="nil"/>
                    <w:tr2bl w:val="nil"/>
                  </w:tcBorders>
                  <w:shd w:val="clear" w:color="auto" w:fill="auto"/>
                  <w:vAlign w:val="center"/>
                </w:tcPr>
                <w:p w14:paraId="65A12AC1">
                  <w:pPr>
                    <w:adjustRightInd w:val="0"/>
                    <w:snapToGrid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924" w:type="pct"/>
                  <w:tcBorders>
                    <w:tl2br w:val="nil"/>
                    <w:tr2bl w:val="nil"/>
                  </w:tcBorders>
                  <w:shd w:val="clear" w:color="auto" w:fill="auto"/>
                  <w:vAlign w:val="center"/>
                </w:tcPr>
                <w:p w14:paraId="704FB95B">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企业自行利用</w:t>
                  </w:r>
                </w:p>
              </w:tc>
            </w:tr>
            <w:tr w14:paraId="7B78C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9" w:type="pct"/>
                  <w:tcBorders>
                    <w:tl2br w:val="nil"/>
                    <w:tr2bl w:val="nil"/>
                  </w:tcBorders>
                  <w:shd w:val="clear" w:color="auto" w:fill="auto"/>
                  <w:vAlign w:val="center"/>
                </w:tcPr>
                <w:p w14:paraId="455B16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i w:val="0"/>
                      <w:iCs w:val="0"/>
                      <w:color w:val="auto"/>
                      <w:kern w:val="0"/>
                      <w:sz w:val="21"/>
                      <w:szCs w:val="21"/>
                      <w:highlight w:val="none"/>
                      <w:u w:val="none"/>
                      <w:shd w:val="clear" w:color="auto" w:fill="auto"/>
                      <w:lang w:val="en-US" w:eastAsia="zh-CN" w:bidi="ar"/>
                    </w:rPr>
                    <w:t>10</w:t>
                  </w:r>
                </w:p>
              </w:tc>
              <w:tc>
                <w:tcPr>
                  <w:tcW w:w="996" w:type="pct"/>
                  <w:tcBorders>
                    <w:tl2br w:val="nil"/>
                    <w:tr2bl w:val="nil"/>
                  </w:tcBorders>
                  <w:shd w:val="clear" w:color="auto" w:fill="auto"/>
                  <w:vAlign w:val="center"/>
                </w:tcPr>
                <w:p w14:paraId="1BB5177B">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664" w:type="pct"/>
                  <w:tcBorders>
                    <w:tl2br w:val="nil"/>
                    <w:tr2bl w:val="nil"/>
                  </w:tcBorders>
                  <w:shd w:val="clear" w:color="auto" w:fill="auto"/>
                  <w:vAlign w:val="center"/>
                </w:tcPr>
                <w:p w14:paraId="21EEA9E3">
                  <w:pPr>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员工生活、办公</w:t>
                  </w:r>
                </w:p>
              </w:tc>
              <w:tc>
                <w:tcPr>
                  <w:tcW w:w="664" w:type="pct"/>
                  <w:tcBorders>
                    <w:tl2br w:val="nil"/>
                    <w:tr2bl w:val="nil"/>
                  </w:tcBorders>
                  <w:shd w:val="clear" w:color="auto" w:fill="auto"/>
                  <w:vAlign w:val="center"/>
                </w:tcPr>
                <w:p w14:paraId="570E913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852" w:type="pct"/>
                  <w:tcBorders>
                    <w:tl2br w:val="nil"/>
                    <w:tr2bl w:val="nil"/>
                  </w:tcBorders>
                  <w:shd w:val="clear" w:color="auto" w:fill="auto"/>
                  <w:vAlign w:val="center"/>
                </w:tcPr>
                <w:p w14:paraId="6A804D0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68" w:type="pct"/>
                  <w:tcBorders>
                    <w:tl2br w:val="nil"/>
                    <w:tr2bl w:val="nil"/>
                  </w:tcBorders>
                  <w:shd w:val="clear" w:color="auto" w:fill="auto"/>
                  <w:vAlign w:val="center"/>
                </w:tcPr>
                <w:p w14:paraId="5107EA35">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924" w:type="pct"/>
                  <w:tcBorders>
                    <w:tl2br w:val="nil"/>
                    <w:tr2bl w:val="nil"/>
                  </w:tcBorders>
                  <w:shd w:val="clear" w:color="auto" w:fill="auto"/>
                  <w:vAlign w:val="center"/>
                </w:tcPr>
                <w:p w14:paraId="234D411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环卫部门统一清运</w:t>
                  </w:r>
                </w:p>
              </w:tc>
            </w:tr>
          </w:tbl>
          <w:p w14:paraId="120574D0">
            <w:pPr>
              <w:spacing w:line="360" w:lineRule="auto"/>
              <w:ind w:firstLine="482" w:firstLineChars="200"/>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5、固体废物污染防治措施</w:t>
            </w:r>
          </w:p>
          <w:p w14:paraId="44AC1AC3">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（1）危险固体废物</w:t>
            </w:r>
          </w:p>
          <w:p w14:paraId="0064CE0F">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1）危险废物处置方式</w:t>
            </w:r>
          </w:p>
          <w:p w14:paraId="4F693CB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根据《国家危险废物名录》（202</w:t>
            </w:r>
            <w:r>
              <w:rPr>
                <w:rFonts w:hint="default" w:ascii="Times New Roman" w:hAnsi="Times New Roman" w:eastAsia="宋体" w:cs="Times New Roman"/>
                <w:color w:val="auto"/>
                <w:sz w:val="24"/>
                <w:highlight w:val="none"/>
                <w:shd w:val="clear" w:color="auto" w:fill="auto"/>
                <w:lang w:val="en-US" w:eastAsia="zh-CN"/>
              </w:rPr>
              <w:t>5</w:t>
            </w:r>
            <w:r>
              <w:rPr>
                <w:rFonts w:hint="default" w:ascii="Times New Roman" w:hAnsi="Times New Roman" w:eastAsia="宋体" w:cs="Times New Roman"/>
                <w:color w:val="auto"/>
                <w:sz w:val="24"/>
                <w:highlight w:val="none"/>
                <w:shd w:val="clear" w:color="auto" w:fill="auto"/>
              </w:rPr>
              <w:t>年版）以及危险废物鉴别标准，本项目危险废物须委托具备处置资质和处置能力的单位进行无害化处置，并在本项目正式投产前落实危险废物处置途径，签订危废处置协议。</w:t>
            </w:r>
          </w:p>
          <w:p w14:paraId="12B4253D">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2）贮存场所（设施）污染防治措施</w:t>
            </w:r>
          </w:p>
          <w:p w14:paraId="005FCF8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本项目拟在生产车间</w:t>
            </w:r>
            <w:r>
              <w:rPr>
                <w:rFonts w:hint="default" w:ascii="Times New Roman" w:hAnsi="Times New Roman" w:eastAsia="宋体" w:cs="Times New Roman"/>
                <w:color w:val="auto"/>
                <w:sz w:val="24"/>
                <w:highlight w:val="none"/>
                <w:shd w:val="clear" w:color="auto" w:fill="auto"/>
                <w:lang w:val="en-US" w:eastAsia="zh-CN"/>
              </w:rPr>
              <w:t>北侧</w:t>
            </w:r>
            <w:r>
              <w:rPr>
                <w:rFonts w:hint="default" w:ascii="Times New Roman" w:hAnsi="Times New Roman" w:eastAsia="宋体" w:cs="Times New Roman"/>
                <w:color w:val="auto"/>
                <w:sz w:val="24"/>
                <w:highlight w:val="none"/>
                <w:shd w:val="clear" w:color="auto" w:fill="auto"/>
              </w:rPr>
              <w:t>设置一个占地面积</w:t>
            </w:r>
            <w:r>
              <w:rPr>
                <w:rFonts w:hint="eastAsia" w:ascii="Times New Roman" w:hAnsi="Times New Roman" w:eastAsia="宋体" w:cs="Times New Roman"/>
                <w:color w:val="auto"/>
                <w:sz w:val="24"/>
                <w:highlight w:val="none"/>
                <w:shd w:val="clear" w:color="auto" w:fill="auto"/>
                <w:lang w:val="en-US" w:eastAsia="zh-CN"/>
              </w:rPr>
              <w:t>10</w:t>
            </w:r>
            <w:r>
              <w:rPr>
                <w:rFonts w:hint="default" w:ascii="Times New Roman" w:hAnsi="Times New Roman" w:eastAsia="宋体" w:cs="Times New Roman"/>
                <w:color w:val="auto"/>
                <w:sz w:val="24"/>
                <w:highlight w:val="none"/>
                <w:shd w:val="clear" w:color="auto" w:fill="auto"/>
              </w:rPr>
              <w:t>m</w:t>
            </w:r>
            <w:r>
              <w:rPr>
                <w:rFonts w:hint="default" w:ascii="Times New Roman" w:hAnsi="Times New Roman" w:eastAsia="宋体" w:cs="Times New Roman"/>
                <w:color w:val="auto"/>
                <w:sz w:val="24"/>
                <w:highlight w:val="none"/>
                <w:shd w:val="clear" w:color="auto" w:fill="auto"/>
                <w:vertAlign w:val="superscript"/>
              </w:rPr>
              <w:t>2</w:t>
            </w:r>
            <w:r>
              <w:rPr>
                <w:rFonts w:hint="default" w:ascii="Times New Roman" w:hAnsi="Times New Roman" w:eastAsia="宋体" w:cs="Times New Roman"/>
                <w:color w:val="auto"/>
                <w:sz w:val="24"/>
                <w:highlight w:val="none"/>
                <w:shd w:val="clear" w:color="auto" w:fill="auto"/>
              </w:rPr>
              <w:t>危废</w:t>
            </w:r>
            <w:r>
              <w:rPr>
                <w:rFonts w:hint="default" w:ascii="Times New Roman" w:hAnsi="Times New Roman" w:eastAsia="宋体" w:cs="Times New Roman"/>
                <w:color w:val="auto"/>
                <w:sz w:val="24"/>
                <w:highlight w:val="none"/>
                <w:shd w:val="clear" w:color="auto" w:fill="auto"/>
                <w:lang w:val="en-US" w:eastAsia="zh-CN"/>
              </w:rPr>
              <w:t>仓库</w:t>
            </w:r>
            <w:r>
              <w:rPr>
                <w:rFonts w:hint="default" w:ascii="Times New Roman" w:hAnsi="Times New Roman" w:eastAsia="宋体" w:cs="Times New Roman"/>
                <w:color w:val="auto"/>
                <w:sz w:val="24"/>
                <w:highlight w:val="none"/>
                <w:shd w:val="clear" w:color="auto" w:fill="auto"/>
              </w:rPr>
              <w:t>对各类危险废物进行安全暂存。危废仓库应按《危险废物贮存污染控制标准》（GB18597-2023）、《危险废物识别标志设置技术规范》（HJ1276-2022）、省生态环境厅关于印发《江苏省固体废物全过程环境监管工作意见》的通知&gt;（苏环办</w:t>
            </w:r>
            <w:r>
              <w:rPr>
                <w:rFonts w:hint="default" w:ascii="Times New Roman" w:hAnsi="Times New Roman" w:eastAsia="宋体" w:cs="Times New Roman"/>
                <w:color w:val="auto"/>
                <w:sz w:val="24"/>
                <w:highlight w:val="none"/>
                <w:shd w:val="clear" w:color="auto" w:fill="auto"/>
                <w:lang w:eastAsia="zh-CN"/>
              </w:rPr>
              <w:t>〔2024〕16号</w:t>
            </w:r>
            <w:r>
              <w:rPr>
                <w:rFonts w:hint="default" w:ascii="Times New Roman" w:hAnsi="Times New Roman" w:eastAsia="宋体" w:cs="Times New Roman"/>
                <w:color w:val="auto"/>
                <w:sz w:val="24"/>
                <w:highlight w:val="none"/>
                <w:shd w:val="clear" w:color="auto" w:fill="auto"/>
              </w:rPr>
              <w:t>）等要求进行设置</w:t>
            </w:r>
            <w:r>
              <w:rPr>
                <w:rFonts w:hint="default" w:ascii="Times New Roman" w:hAnsi="Times New Roman" w:eastAsia="宋体" w:cs="Times New Roman"/>
                <w:color w:val="auto"/>
                <w:sz w:val="24"/>
                <w:highlight w:val="none"/>
                <w:shd w:val="clear" w:color="auto" w:fill="auto"/>
                <w:lang w:eastAsia="zh-CN"/>
              </w:rPr>
              <w:t>：</w:t>
            </w:r>
          </w:p>
          <w:p w14:paraId="1ED3DC22">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①企业可根据实际情况选择采用危险废物贮存设施或贮存点两类方式进行贮存，符合相应的污染控制标准；不具备建设贮存设施条件、选用贮存点方式的， 除符合国家关于贮存点控制要求外，还要执行《江苏省危险废物集中收集体系建设工作方案（试行）》（苏环办〔2021〕290号）中关于贮存周期和贮存量的要求，I级</w:t>
            </w:r>
            <w:r>
              <w:rPr>
                <w:rFonts w:hint="default" w:ascii="Times New Roman" w:hAnsi="Times New Roman" w:eastAsia="宋体" w:cs="Times New Roman"/>
                <w:color w:val="auto"/>
                <w:sz w:val="24"/>
                <w:highlight w:val="none"/>
                <w:shd w:val="clear" w:color="auto" w:fill="auto"/>
                <w:lang w:eastAsia="zh-CN"/>
              </w:rPr>
              <w:t>、</w:t>
            </w:r>
            <w:r>
              <w:rPr>
                <w:rFonts w:hint="default" w:ascii="Times New Roman" w:hAnsi="Times New Roman" w:eastAsia="宋体" w:cs="Times New Roman"/>
                <w:color w:val="auto"/>
                <w:sz w:val="24"/>
                <w:highlight w:val="none"/>
                <w:shd w:val="clear" w:color="auto" w:fill="auto"/>
              </w:rPr>
              <w:t>II级、III级危险废物贮存时间分别不得超过30天、60天、90天，最大贮存量不得超过1吨。</w:t>
            </w:r>
          </w:p>
          <w:p w14:paraId="1C872773">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lang w:val="en-US" w:eastAsia="zh-CN"/>
              </w:rPr>
              <w:t>②</w:t>
            </w:r>
            <w:r>
              <w:rPr>
                <w:rFonts w:hint="default" w:ascii="Times New Roman" w:hAnsi="Times New Roman" w:eastAsia="宋体" w:cs="Times New Roman"/>
                <w:color w:val="auto"/>
                <w:sz w:val="24"/>
                <w:highlight w:val="none"/>
                <w:shd w:val="clear" w:color="auto" w:fill="auto"/>
              </w:rPr>
              <w:t>按照《环境保护图形标志—固体废物贮存（处置）场》（GB15562.2-1995）（2023年修订）和《危险废物识别标志设置技术规范》（HJ1276-2022）设置标志，并配备通讯设备、照明设施和消防设施。</w:t>
            </w:r>
          </w:p>
          <w:p w14:paraId="51A44E15">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③贮存设施应根据危险废物的形态、物理化学性质、包装形式和污染物迁移途径，采取必要的防风、防晒、防雨、防漏、防渗、防腐以及其他环境污染防治措施，不应露天堆放危险废物。</w:t>
            </w:r>
          </w:p>
          <w:p w14:paraId="20BDC1F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④贮存设施应根据危险废物的类别、数量、形态、物理化学性质和污染防治等要求设置必要的贮存分区，避免不相容的危险废物接触、混合。</w:t>
            </w:r>
          </w:p>
          <w:p w14:paraId="1B2B6BF0">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⑤贮存设施或贮存分区内地面、墙面</w:t>
            </w:r>
            <w:r>
              <w:rPr>
                <w:rFonts w:hint="default" w:ascii="Times New Roman" w:hAnsi="Times New Roman" w:eastAsia="宋体" w:cs="Times New Roman"/>
                <w:color w:val="auto"/>
                <w:sz w:val="24"/>
                <w:highlight w:val="none"/>
                <w:shd w:val="clear" w:color="auto" w:fill="auto"/>
                <w:lang w:eastAsia="zh-CN"/>
              </w:rPr>
              <w:t>裙角</w:t>
            </w:r>
            <w:r>
              <w:rPr>
                <w:rFonts w:hint="default" w:ascii="Times New Roman" w:hAnsi="Times New Roman" w:eastAsia="宋体" w:cs="Times New Roman"/>
                <w:color w:val="auto"/>
                <w:sz w:val="24"/>
                <w:highlight w:val="none"/>
                <w:shd w:val="clear" w:color="auto" w:fill="auto"/>
              </w:rPr>
              <w:t>、堵截泄漏的围堰、接触危险废物的隔板和墙体等应采用坚固的材料建造，表面无裂缝。</w:t>
            </w:r>
          </w:p>
          <w:p w14:paraId="2FBF1D8C">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⑥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highlight w:val="none"/>
                <w:shd w:val="clear" w:color="auto" w:fill="auto"/>
                <w:vertAlign w:val="superscript"/>
              </w:rPr>
              <w:t>-7</w:t>
            </w:r>
            <w:r>
              <w:rPr>
                <w:rFonts w:hint="default" w:ascii="Times New Roman" w:hAnsi="Times New Roman" w:eastAsia="宋体" w:cs="Times New Roman"/>
                <w:color w:val="auto"/>
                <w:sz w:val="24"/>
                <w:highlight w:val="none"/>
                <w:shd w:val="clear" w:color="auto" w:fill="auto"/>
              </w:rPr>
              <w:t>cm/s)，或至少2mm厚高密度聚乙烯膜等人工防渗材料(渗透系数不大于10</w:t>
            </w:r>
            <w:r>
              <w:rPr>
                <w:rFonts w:hint="default" w:ascii="Times New Roman" w:hAnsi="Times New Roman" w:eastAsia="宋体" w:cs="Times New Roman"/>
                <w:color w:val="auto"/>
                <w:sz w:val="24"/>
                <w:highlight w:val="none"/>
                <w:shd w:val="clear" w:color="auto" w:fill="auto"/>
                <w:vertAlign w:val="superscript"/>
              </w:rPr>
              <w:t>-10</w:t>
            </w:r>
            <w:r>
              <w:rPr>
                <w:rFonts w:hint="default" w:ascii="Times New Roman" w:hAnsi="Times New Roman" w:eastAsia="宋体" w:cs="Times New Roman"/>
                <w:color w:val="auto"/>
                <w:sz w:val="24"/>
                <w:highlight w:val="none"/>
                <w:shd w:val="clear" w:color="auto" w:fill="auto"/>
              </w:rPr>
              <w:t>cm/s），或其他防渗性能等效的材料。</w:t>
            </w:r>
          </w:p>
          <w:p w14:paraId="2087AE3E">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⑦同一贮存设施宜采用相同的防渗、防腐工艺（包括防渗、防腐结构或材料），防渗、防腐材料应覆盖所有可能与废物及其渗滤液、渗漏液等接触的构筑物表面；采用不同防渗、防腐工艺应分别建设贮存分区。</w:t>
            </w:r>
          </w:p>
          <w:p w14:paraId="7109012D">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⑧贮存设施应采取技术和管理措施防止无关人员进入。</w:t>
            </w:r>
          </w:p>
          <w:p w14:paraId="5E5C668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⑨贮存库内不同贮存分区之间应采取隔离措施。隔离措施可根据危险废物特性采用过道、隔板或隔墙等方式。</w:t>
            </w:r>
          </w:p>
          <w:p w14:paraId="38CD1D8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⑩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732E83CA">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⑪贮存易产生粉尘、VOCs、酸雾、有毒有害大气污染物和刺激性气味气体的危险废物贮存库，应设置气体收集装置和气体净化设施；气体净化设施的排气筒高度应符合GB 16297要求。</w:t>
            </w:r>
          </w:p>
          <w:p w14:paraId="73A5CA03">
            <w:pPr>
              <w:spacing w:line="360" w:lineRule="auto"/>
              <w:ind w:firstLine="42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t>⑫</w:t>
            </w:r>
            <w:r>
              <w:rPr>
                <w:rFonts w:hint="default" w:ascii="Times New Roman" w:hAnsi="Times New Roman" w:eastAsia="宋体" w:cs="Times New Roman"/>
                <w:color w:val="auto"/>
                <w:sz w:val="24"/>
                <w:highlight w:val="none"/>
                <w:shd w:val="clear" w:color="auto" w:fill="auto"/>
              </w:rPr>
              <w:t>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p w14:paraId="243DB64C">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b/>
                <w:bCs/>
                <w:color w:val="auto"/>
                <w:sz w:val="24"/>
                <w:highlight w:val="none"/>
                <w:shd w:val="clear" w:color="auto" w:fill="auto"/>
                <w:lang w:val="en-US" w:eastAsia="zh-CN"/>
              </w:rPr>
            </w:pPr>
            <w:r>
              <w:rPr>
                <w:rFonts w:hint="default" w:ascii="Times New Roman" w:hAnsi="Times New Roman" w:eastAsia="宋体" w:cs="Times New Roman"/>
                <w:b/>
                <w:color w:val="auto"/>
                <w:spacing w:val="0"/>
                <w:sz w:val="24"/>
                <w:szCs w:val="24"/>
                <w:highlight w:val="none"/>
                <w:shd w:val="clear" w:color="auto" w:fill="auto"/>
                <w:lang w:val="en-US" w:eastAsia="zh-CN"/>
              </w:rPr>
              <w:t>危废仓库</w:t>
            </w:r>
            <w:r>
              <w:rPr>
                <w:rFonts w:hint="default" w:ascii="Times New Roman" w:hAnsi="Times New Roman" w:eastAsia="宋体" w:cs="Times New Roman"/>
                <w:b/>
                <w:bCs/>
                <w:color w:val="auto"/>
                <w:sz w:val="24"/>
                <w:highlight w:val="none"/>
                <w:shd w:val="clear" w:color="auto" w:fill="auto"/>
                <w:lang w:val="en-US" w:eastAsia="zh-CN"/>
              </w:rPr>
              <w:t>安全设置要求：</w:t>
            </w:r>
          </w:p>
          <w:p w14:paraId="5305E6D4">
            <w:pPr>
              <w:pStyle w:val="46"/>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按照《危险废物收集、贮存、运输技术规范》（HJ2025-2012）、《建筑防火设计规范》（GB50016-2014（2018年版））安全设置规定，本项目对拟建危废仓库提出以下要求：</w:t>
            </w:r>
          </w:p>
          <w:p w14:paraId="6FA852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shd w:val="clear" w:color="auto" w:fill="auto"/>
                <w:lang w:val="en-US" w:eastAsia="zh-CN"/>
              </w:rPr>
            </w:pPr>
            <w:r>
              <w:rPr>
                <w:rFonts w:hint="default" w:ascii="Times New Roman" w:hAnsi="Times New Roman" w:eastAsia="宋体" w:cs="Times New Roman"/>
                <w:b w:val="0"/>
                <w:bCs w:val="0"/>
                <w:color w:val="auto"/>
                <w:sz w:val="24"/>
                <w:highlight w:val="none"/>
                <w:shd w:val="clear" w:color="auto" w:fill="auto"/>
                <w:lang w:val="en-US" w:eastAsia="zh-CN"/>
              </w:rPr>
              <w:t>①配电箱及开关应设置在仓库外。</w:t>
            </w:r>
          </w:p>
          <w:p w14:paraId="755A65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b w:val="0"/>
                <w:bCs w:val="0"/>
                <w:color w:val="auto"/>
                <w:sz w:val="24"/>
                <w:highlight w:val="none"/>
                <w:shd w:val="clear" w:color="auto" w:fill="auto"/>
                <w:lang w:val="en-US" w:eastAsia="zh-CN"/>
              </w:rPr>
              <w:t>②在危险废物的收集和转运过程中，应采取相应的安全防护和污染防治措施，包括防爆、防火、防中毒、防感染、防泄漏、防飞扬、防雨或其它防止污染环境的措施。</w:t>
            </w:r>
          </w:p>
          <w:p w14:paraId="54DEFB3D">
            <w:pPr>
              <w:spacing w:line="360" w:lineRule="auto"/>
              <w:ind w:firstLine="482" w:firstLineChars="200"/>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贮存能力可行性分析：</w:t>
            </w:r>
          </w:p>
          <w:p w14:paraId="5469780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本项目拟设置一个占地面积约为</w:t>
            </w:r>
            <w:r>
              <w:rPr>
                <w:rFonts w:hint="eastAsia" w:ascii="Times New Roman" w:hAnsi="Times New Roman" w:eastAsia="宋体" w:cs="Times New Roman"/>
                <w:color w:val="auto"/>
                <w:sz w:val="24"/>
                <w:highlight w:val="none"/>
                <w:shd w:val="clear" w:color="auto" w:fill="auto"/>
                <w:lang w:val="en-US" w:eastAsia="zh-CN"/>
              </w:rPr>
              <w:t>10</w:t>
            </w:r>
            <w:r>
              <w:rPr>
                <w:rFonts w:hint="default" w:ascii="Times New Roman" w:hAnsi="Times New Roman" w:eastAsia="宋体" w:cs="Times New Roman"/>
                <w:color w:val="auto"/>
                <w:sz w:val="24"/>
                <w:highlight w:val="none"/>
                <w:shd w:val="clear" w:color="auto" w:fill="auto"/>
              </w:rPr>
              <w:t>m</w:t>
            </w:r>
            <w:r>
              <w:rPr>
                <w:rFonts w:hint="default" w:ascii="Times New Roman" w:hAnsi="Times New Roman" w:eastAsia="宋体" w:cs="Times New Roman"/>
                <w:color w:val="auto"/>
                <w:sz w:val="24"/>
                <w:highlight w:val="none"/>
                <w:shd w:val="clear" w:color="auto" w:fill="auto"/>
                <w:vertAlign w:val="superscript"/>
              </w:rPr>
              <w:t>2</w:t>
            </w:r>
            <w:r>
              <w:rPr>
                <w:rFonts w:hint="default" w:ascii="Times New Roman" w:hAnsi="Times New Roman" w:eastAsia="宋体" w:cs="Times New Roman"/>
                <w:color w:val="auto"/>
                <w:sz w:val="24"/>
                <w:highlight w:val="none"/>
                <w:shd w:val="clear" w:color="auto" w:fill="auto"/>
              </w:rPr>
              <w:t>的危废</w:t>
            </w:r>
            <w:r>
              <w:rPr>
                <w:rFonts w:hint="default" w:ascii="Times New Roman" w:hAnsi="Times New Roman" w:eastAsia="宋体" w:cs="Times New Roman"/>
                <w:color w:val="auto"/>
                <w:sz w:val="24"/>
                <w:highlight w:val="none"/>
                <w:shd w:val="clear" w:color="auto" w:fill="auto"/>
                <w:lang w:val="en-US" w:eastAsia="zh-CN"/>
              </w:rPr>
              <w:t>仓库</w:t>
            </w:r>
            <w:r>
              <w:rPr>
                <w:rFonts w:hint="default" w:ascii="Times New Roman" w:hAnsi="Times New Roman" w:eastAsia="宋体" w:cs="Times New Roman"/>
                <w:color w:val="auto"/>
                <w:sz w:val="24"/>
                <w:highlight w:val="none"/>
                <w:shd w:val="clear" w:color="auto" w:fill="auto"/>
              </w:rPr>
              <w:t>对危废进行暂存，危废</w:t>
            </w:r>
            <w:r>
              <w:rPr>
                <w:rFonts w:hint="default" w:ascii="Times New Roman" w:hAnsi="Times New Roman" w:eastAsia="宋体" w:cs="Times New Roman"/>
                <w:color w:val="auto"/>
                <w:sz w:val="24"/>
                <w:highlight w:val="none"/>
                <w:shd w:val="clear" w:color="auto" w:fill="auto"/>
                <w:lang w:val="en-US" w:eastAsia="zh-CN"/>
              </w:rPr>
              <w:t>仓库</w:t>
            </w:r>
            <w:r>
              <w:rPr>
                <w:rFonts w:hint="default" w:ascii="Times New Roman" w:hAnsi="Times New Roman" w:eastAsia="宋体" w:cs="Times New Roman"/>
                <w:color w:val="auto"/>
                <w:sz w:val="24"/>
                <w:highlight w:val="none"/>
                <w:shd w:val="clear" w:color="auto" w:fill="auto"/>
              </w:rPr>
              <w:t>所应做到“四防”，即：防风、防雨、防晒、防渗漏，危废仓库地面与裙脚为坚固、防渗材料，建筑材料与危险废物相容。</w:t>
            </w:r>
          </w:p>
          <w:p w14:paraId="59C29FCE">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本项目设</w:t>
            </w:r>
            <w:r>
              <w:rPr>
                <w:rFonts w:hint="eastAsia" w:ascii="Times New Roman" w:hAnsi="Times New Roman" w:eastAsia="宋体" w:cs="Times New Roman"/>
                <w:color w:val="auto"/>
                <w:sz w:val="24"/>
                <w:highlight w:val="none"/>
                <w:shd w:val="clear" w:color="auto" w:fill="auto"/>
                <w:lang w:val="en-US" w:eastAsia="zh-CN"/>
              </w:rPr>
              <w:t>10</w:t>
            </w:r>
            <w:r>
              <w:rPr>
                <w:rFonts w:hint="default" w:ascii="Times New Roman" w:hAnsi="Times New Roman" w:eastAsia="宋体" w:cs="Times New Roman"/>
                <w:color w:val="auto"/>
                <w:sz w:val="24"/>
                <w:highlight w:val="none"/>
                <w:shd w:val="clear" w:color="auto" w:fill="auto"/>
              </w:rPr>
              <w:t>m</w:t>
            </w:r>
            <w:r>
              <w:rPr>
                <w:rFonts w:hint="default" w:ascii="Times New Roman" w:hAnsi="Times New Roman" w:eastAsia="宋体" w:cs="Times New Roman"/>
                <w:color w:val="auto"/>
                <w:sz w:val="24"/>
                <w:highlight w:val="none"/>
                <w:shd w:val="clear" w:color="auto" w:fill="auto"/>
                <w:vertAlign w:val="superscript"/>
              </w:rPr>
              <w:t>2</w:t>
            </w:r>
            <w:r>
              <w:rPr>
                <w:rFonts w:hint="default" w:ascii="Times New Roman" w:hAnsi="Times New Roman" w:eastAsia="宋体" w:cs="Times New Roman"/>
                <w:color w:val="auto"/>
                <w:sz w:val="24"/>
                <w:highlight w:val="none"/>
                <w:shd w:val="clear" w:color="auto" w:fill="auto"/>
              </w:rPr>
              <w:t>的</w:t>
            </w:r>
            <w:r>
              <w:rPr>
                <w:rFonts w:hint="eastAsia" w:ascii="Times New Roman" w:hAnsi="Times New Roman" w:eastAsia="宋体" w:cs="Times New Roman"/>
                <w:color w:val="auto"/>
                <w:sz w:val="24"/>
                <w:highlight w:val="none"/>
                <w:shd w:val="clear" w:color="auto" w:fill="auto"/>
                <w:lang w:val="en-US" w:eastAsia="zh-CN"/>
              </w:rPr>
              <w:t>危废仓库</w:t>
            </w:r>
            <w:r>
              <w:rPr>
                <w:rFonts w:hint="default" w:ascii="Times New Roman" w:hAnsi="Times New Roman" w:eastAsia="宋体" w:cs="Times New Roman"/>
                <w:color w:val="auto"/>
                <w:sz w:val="24"/>
                <w:highlight w:val="none"/>
                <w:shd w:val="clear" w:color="auto" w:fill="auto"/>
              </w:rPr>
              <w:t>，最多可容纳约</w:t>
            </w:r>
            <w:r>
              <w:rPr>
                <w:rFonts w:hint="eastAsia" w:ascii="Times New Roman" w:hAnsi="Times New Roman" w:eastAsia="宋体" w:cs="Times New Roman"/>
                <w:color w:val="auto"/>
                <w:sz w:val="24"/>
                <w:highlight w:val="none"/>
                <w:shd w:val="clear" w:color="auto" w:fill="auto"/>
                <w:lang w:val="en-US" w:eastAsia="zh-CN"/>
              </w:rPr>
              <w:t>8</w:t>
            </w:r>
            <w:r>
              <w:rPr>
                <w:rFonts w:hint="default" w:ascii="Times New Roman" w:hAnsi="Times New Roman" w:eastAsia="宋体" w:cs="Times New Roman"/>
                <w:color w:val="auto"/>
                <w:sz w:val="24"/>
                <w:highlight w:val="none"/>
                <w:shd w:val="clear" w:color="auto" w:fill="auto"/>
              </w:rPr>
              <w:t>t危险废物，项目全厂一个贮存周期的危险废物的产生量约为</w:t>
            </w:r>
            <w:r>
              <w:rPr>
                <w:rFonts w:hint="eastAsia" w:ascii="Times New Roman" w:hAnsi="Times New Roman" w:eastAsia="宋体" w:cs="Times New Roman"/>
                <w:color w:val="auto"/>
                <w:sz w:val="24"/>
                <w:highlight w:val="none"/>
                <w:shd w:val="clear" w:color="auto" w:fill="auto"/>
                <w:lang w:val="en-US" w:eastAsia="zh-CN"/>
              </w:rPr>
              <w:t>3.98</w:t>
            </w:r>
            <w:r>
              <w:rPr>
                <w:rFonts w:hint="default" w:ascii="Times New Roman" w:hAnsi="Times New Roman" w:eastAsia="宋体" w:cs="Times New Roman"/>
                <w:color w:val="auto"/>
                <w:sz w:val="24"/>
                <w:highlight w:val="none"/>
                <w:shd w:val="clear" w:color="auto" w:fill="auto"/>
              </w:rPr>
              <w:t>t，因此企业危废暂存场所可以满足项目产生的危废暂存需求。</w:t>
            </w:r>
          </w:p>
          <w:p w14:paraId="7A55944E">
            <w:pPr>
              <w:spacing w:line="360" w:lineRule="auto"/>
              <w:ind w:firstLine="482" w:firstLineChars="200"/>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贮存安全可行性分析：</w:t>
            </w:r>
          </w:p>
          <w:p w14:paraId="09790AB4">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本项目产生并贮存于危废仓库的危险废物主要为</w:t>
            </w:r>
            <w:r>
              <w:rPr>
                <w:rFonts w:hint="default" w:ascii="Times New Roman" w:hAnsi="Times New Roman" w:eastAsia="宋体" w:cs="Times New Roman"/>
                <w:b w:val="0"/>
                <w:bCs/>
                <w:color w:val="auto"/>
                <w:sz w:val="24"/>
                <w:highlight w:val="none"/>
                <w:shd w:val="clear" w:color="auto" w:fill="auto"/>
                <w:lang w:eastAsia="zh-CN"/>
              </w:rPr>
              <w:t>废包装桶</w:t>
            </w:r>
            <w:r>
              <w:rPr>
                <w:rFonts w:hint="eastAsia"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lang w:eastAsia="zh-CN"/>
              </w:rPr>
              <w:t>废抹布</w:t>
            </w:r>
            <w:r>
              <w:rPr>
                <w:rFonts w:hint="eastAsia" w:ascii="Times New Roman" w:hAnsi="Times New Roman" w:eastAsia="宋体" w:cs="Times New Roman"/>
                <w:b w:val="0"/>
                <w:bCs/>
                <w:color w:val="auto"/>
                <w:sz w:val="24"/>
                <w:highlight w:val="none"/>
                <w:shd w:val="clear" w:color="auto" w:fill="auto"/>
                <w:lang w:eastAsia="zh-CN"/>
              </w:rPr>
              <w:t>、</w:t>
            </w:r>
            <w:r>
              <w:rPr>
                <w:rFonts w:hint="default" w:ascii="Times New Roman" w:hAnsi="Times New Roman" w:eastAsia="宋体" w:cs="Times New Roman"/>
                <w:b w:val="0"/>
                <w:bCs/>
                <w:color w:val="auto"/>
                <w:sz w:val="24"/>
                <w:highlight w:val="none"/>
                <w:shd w:val="clear" w:color="auto" w:fill="auto"/>
                <w:lang w:eastAsia="zh-CN"/>
              </w:rPr>
              <w:t>废活性炭</w:t>
            </w:r>
            <w:r>
              <w:rPr>
                <w:rFonts w:hint="eastAsia" w:ascii="Times New Roman" w:hAnsi="Times New Roman" w:eastAsia="宋体" w:cs="Times New Roman"/>
                <w:b w:val="0"/>
                <w:bCs/>
                <w:color w:val="auto"/>
                <w:sz w:val="24"/>
                <w:highlight w:val="none"/>
                <w:shd w:val="clear" w:color="auto" w:fill="auto"/>
                <w:lang w:eastAsia="zh-CN"/>
              </w:rPr>
              <w:t>、</w:t>
            </w:r>
            <w:r>
              <w:rPr>
                <w:rFonts w:hint="eastAsia" w:ascii="Times New Roman" w:hAnsi="Times New Roman" w:eastAsia="宋体" w:cs="Times New Roman"/>
                <w:b w:val="0"/>
                <w:bCs/>
                <w:color w:val="auto"/>
                <w:sz w:val="24"/>
                <w:highlight w:val="none"/>
                <w:shd w:val="clear" w:color="auto" w:fill="auto"/>
                <w:lang w:val="en-US" w:eastAsia="zh-CN"/>
              </w:rPr>
              <w:t>含油抹布手套</w:t>
            </w:r>
            <w:r>
              <w:rPr>
                <w:rFonts w:hint="default" w:ascii="Times New Roman" w:hAnsi="Times New Roman" w:eastAsia="宋体" w:cs="Times New Roman"/>
                <w:color w:val="auto"/>
                <w:sz w:val="24"/>
                <w:highlight w:val="none"/>
                <w:shd w:val="clear" w:color="auto" w:fill="auto"/>
                <w:lang w:val="en-US" w:eastAsia="zh-CN"/>
              </w:rPr>
              <w:t>等</w:t>
            </w:r>
            <w:r>
              <w:rPr>
                <w:rFonts w:hint="default" w:ascii="Times New Roman" w:hAnsi="Times New Roman" w:eastAsia="宋体" w:cs="Times New Roman"/>
                <w:color w:val="auto"/>
                <w:sz w:val="24"/>
                <w:highlight w:val="none"/>
                <w:shd w:val="clear" w:color="auto" w:fill="auto"/>
              </w:rPr>
              <w:t>，企业根据各危险废物的形态和危险特性，用专用编织袋</w:t>
            </w:r>
            <w:r>
              <w:rPr>
                <w:rFonts w:hint="default" w:ascii="Times New Roman" w:hAnsi="Times New Roman" w:eastAsia="宋体" w:cs="Times New Roman"/>
                <w:color w:val="auto"/>
                <w:sz w:val="24"/>
                <w:highlight w:val="none"/>
                <w:shd w:val="clear" w:color="auto" w:fill="auto"/>
                <w:lang w:val="en-US" w:eastAsia="zh-CN"/>
              </w:rPr>
              <w:t>和密封吨桶</w:t>
            </w:r>
            <w:r>
              <w:rPr>
                <w:rFonts w:hint="default" w:ascii="Times New Roman" w:hAnsi="Times New Roman" w:eastAsia="宋体" w:cs="Times New Roman"/>
                <w:color w:val="auto"/>
                <w:sz w:val="24"/>
                <w:highlight w:val="none"/>
                <w:shd w:val="clear" w:color="auto" w:fill="auto"/>
              </w:rPr>
              <w:t>等包装容器盛装，并在盛装容器上粘贴标签，分开存放。贮存场所内设有隔离间隔断，并设置危险废物识别标志，且应满足“四防”。综上所述，本项目危废按上述要求贮存于该危废仓库可行。</w:t>
            </w:r>
          </w:p>
          <w:p w14:paraId="5E2B075B">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3）容器和包装物污染控制要求</w:t>
            </w:r>
          </w:p>
          <w:p w14:paraId="501BD612">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根据《危险废物贮存污染控制标准》（GB 18597-2023），危险废物容器和包装物污染控制要求如下：</w:t>
            </w:r>
          </w:p>
          <w:p w14:paraId="19177CBD">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①容器和包装物材质、内衬应与盛装的危险废物相容。</w:t>
            </w:r>
          </w:p>
          <w:p w14:paraId="3372C69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②针对不同类别、形态、物理化学性质的危险废物，其容器和包装物应满足相应的防渗、防漏、防腐和强度等要求。</w:t>
            </w:r>
          </w:p>
          <w:p w14:paraId="4FBDBA9B">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③硬质容器和包装物及其支护结构堆叠码放时不应有明显变形，无破损泄漏。</w:t>
            </w:r>
          </w:p>
          <w:p w14:paraId="2C16123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④柔性容器和包装物堆叠码放时应封口严密，无破损泄漏。</w:t>
            </w:r>
          </w:p>
          <w:p w14:paraId="13466D49">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⑤使用容器盛装液态、半固态危险废物时，容器内部应留有适当的空间，以适应因温度变化等可能引发的收缩和膨胀，防止其导致容器渗漏或永久变形。</w:t>
            </w:r>
          </w:p>
          <w:p w14:paraId="79C84005">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⑥容器和包装物外表面应保持清洁。</w:t>
            </w:r>
          </w:p>
          <w:p w14:paraId="22FD75F4">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4）贮存过程要求</w:t>
            </w:r>
          </w:p>
          <w:p w14:paraId="6857624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根据《危险废物贮存污染控制标准》（GB 18597-2023），危险废物贮存过程污染控制要求如下：</w:t>
            </w:r>
          </w:p>
          <w:p w14:paraId="71BA08D7">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①在常温常压下不易水解、不易挥发的固态危险废物可分类堆放贮存，其他固态危险废物应装入容器或包装物内贮存。</w:t>
            </w:r>
          </w:p>
          <w:p w14:paraId="29D89605">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②液态危险废物应装入容器内贮存，或直接采用贮存池、贮存罐区贮存。</w:t>
            </w:r>
          </w:p>
          <w:p w14:paraId="6B6AAAFE">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③半固态危险废物应装入容器或包装袋内贮存，或者采用贮存池贮存。</w:t>
            </w:r>
          </w:p>
          <w:p w14:paraId="1D09591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④具有热塑性的危险废物应装入容器或包装袋内进行贮存。</w:t>
            </w:r>
          </w:p>
          <w:p w14:paraId="1F2D357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lang w:val="en-US" w:eastAsia="zh-CN"/>
              </w:rPr>
              <w:t>⑤</w:t>
            </w:r>
            <w:r>
              <w:rPr>
                <w:rFonts w:hint="default" w:ascii="Times New Roman" w:hAnsi="Times New Roman" w:eastAsia="宋体" w:cs="Times New Roman"/>
                <w:color w:val="auto"/>
                <w:sz w:val="24"/>
                <w:highlight w:val="none"/>
                <w:shd w:val="clear" w:color="auto" w:fill="auto"/>
              </w:rPr>
              <w:t>危险废物贮存过程中易产生粉尘等无组织排放的，应采取抑尘等有效措施。</w:t>
            </w:r>
          </w:p>
          <w:p w14:paraId="7EC94D75">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5）运输过程的污染防治措施</w:t>
            </w:r>
          </w:p>
          <w:p w14:paraId="5C45926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危险废物运输必须按照《危险废物收集 贮存 运输技术规范》（HJ2025-2012）的要求并做到以下几点：</w:t>
            </w:r>
          </w:p>
          <w:p w14:paraId="311F8A17">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①危险废物运输应由持有危险废物经营许可证的单位按照其许可证的经营范围组织实施，承担危险废物运输的单位应获得交通运输部门颁发的危险货物运输资质。</w:t>
            </w:r>
          </w:p>
          <w:p w14:paraId="4241E0A3">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②危险废物公路运输应按照《道路危险货物运输管理规定》（交通部令[2015年]第9号）、JT617以及JT618执行。</w:t>
            </w:r>
          </w:p>
          <w:p w14:paraId="4F96D85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③运输单位在承运危险废物时，应在危险废物包装上按照GB18597附录A设置标志。</w:t>
            </w:r>
          </w:p>
          <w:p w14:paraId="76A0BD90">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④危险废物公路运输时，运输车辆按GB13392设置车辆标志。铁路运输和水路运输危险废物时应在集装箱外按GB190规定悬挂标志。</w:t>
            </w:r>
          </w:p>
          <w:p w14:paraId="590BC19D">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⑤危险废物运输时的中转、装卸过程应遵守如下技术要求：</w:t>
            </w:r>
          </w:p>
          <w:p w14:paraId="6BE87CAF">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装卸区的工作人员应熟悉废物的危险特性，并配备适当的个人防护装备，装卸剧毒废物应配备特殊的防护装备；</w:t>
            </w:r>
          </w:p>
          <w:p w14:paraId="3050A899">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装卸区应配备必要的消防设备和设施，并设置明显的指示标志；</w:t>
            </w:r>
          </w:p>
          <w:p w14:paraId="735E6E6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危险废物装卸区应设置隔离设施，液态废物装卸区应设置收集槽和缓冲罐。</w:t>
            </w:r>
          </w:p>
          <w:p w14:paraId="734E8A6F">
            <w:pPr>
              <w:numPr>
                <w:ilvl w:val="0"/>
                <w:numId w:val="10"/>
              </w:num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eastAsia" w:ascii="Times New Roman" w:hAnsi="Times New Roman" w:eastAsia="宋体" w:cs="Times New Roman"/>
                <w:color w:val="auto"/>
                <w:sz w:val="24"/>
                <w:highlight w:val="none"/>
                <w:shd w:val="clear" w:color="auto" w:fill="auto"/>
                <w:lang w:val="en-US" w:eastAsia="zh-CN"/>
              </w:rPr>
              <w:t>危险废物处置可行性</w:t>
            </w:r>
          </w:p>
          <w:p w14:paraId="196AF90C">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经多年引导培育，全市已经形成资源化利用优先、无害化处置托底的危险废物处置体系。截至2024年底，全市危险废物经营许可单位75家，经营范围涉及《国家危险废物名录》46大类中的39种，利用处置能力超250万吨/年，满足处置需求。</w:t>
            </w:r>
          </w:p>
          <w:p w14:paraId="65FE4760">
            <w:pPr>
              <w:spacing w:line="360" w:lineRule="auto"/>
              <w:ind w:firstLine="482" w:firstLineChars="200"/>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（2）一般工业固体废物</w:t>
            </w:r>
          </w:p>
          <w:p w14:paraId="3B46D3D4">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本项目一般工业固废定期外卖综合利用。一般固废仓库应按照《一般工业固体废物贮存和填埋污染控制标准》（GB18599-2020）、《省生态环境厅关于进一步完善一般工业固体废物环境管理的通知》（苏环办</w:t>
            </w:r>
            <w:r>
              <w:rPr>
                <w:rFonts w:hint="default" w:ascii="Times New Roman" w:hAnsi="Times New Roman" w:eastAsia="宋体" w:cs="Times New Roman"/>
                <w:color w:val="auto"/>
                <w:sz w:val="24"/>
                <w:highlight w:val="none"/>
                <w:shd w:val="clear" w:color="auto" w:fill="auto"/>
                <w:lang w:eastAsia="zh-CN"/>
              </w:rPr>
              <w:t>〔2023〕327号</w:t>
            </w:r>
            <w:r>
              <w:rPr>
                <w:rFonts w:hint="default" w:ascii="Times New Roman" w:hAnsi="Times New Roman" w:eastAsia="宋体" w:cs="Times New Roman"/>
                <w:color w:val="auto"/>
                <w:sz w:val="24"/>
                <w:highlight w:val="none"/>
                <w:shd w:val="clear" w:color="auto" w:fill="auto"/>
              </w:rPr>
              <w:t>）要求建设，具体技术要求如下：</w:t>
            </w:r>
          </w:p>
          <w:p w14:paraId="74B66775">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①根据建设、运行、封场等污染控制技术要求不同，贮存场、填埋场分为I类场和</w:t>
            </w:r>
            <w:r>
              <w:rPr>
                <w:rFonts w:hint="default" w:ascii="Times New Roman" w:hAnsi="Times New Roman" w:eastAsia="宋体" w:cs="Times New Roman"/>
                <w:color w:val="auto"/>
                <w:sz w:val="24"/>
                <w:highlight w:val="none"/>
                <w:shd w:val="clear" w:color="auto" w:fill="auto"/>
                <w:lang w:eastAsia="zh-CN"/>
              </w:rPr>
              <w:t>Ⅱ类</w:t>
            </w:r>
            <w:r>
              <w:rPr>
                <w:rFonts w:hint="default" w:ascii="Times New Roman" w:hAnsi="Times New Roman" w:eastAsia="宋体" w:cs="Times New Roman"/>
                <w:color w:val="auto"/>
                <w:sz w:val="24"/>
                <w:highlight w:val="none"/>
                <w:shd w:val="clear" w:color="auto" w:fill="auto"/>
              </w:rPr>
              <w:t>场。</w:t>
            </w:r>
          </w:p>
          <w:p w14:paraId="55F908BE">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②贮存场、填埋场的防洪标准应按重现期不小于50年一遇的洪水位设计，国家已有标准提出更高要求的除外。</w:t>
            </w:r>
          </w:p>
          <w:p w14:paraId="6D6C9935">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③贮存场和填埋场一般应包括以下单元：</w:t>
            </w:r>
          </w:p>
          <w:p w14:paraId="6124138A">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 xml:space="preserve">a)防渗系统、渗滤液收集和导排系统； </w:t>
            </w:r>
          </w:p>
          <w:p w14:paraId="6B2291CF">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 xml:space="preserve">b)雨污分流系统； </w:t>
            </w:r>
          </w:p>
          <w:p w14:paraId="0E6A4AB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 xml:space="preserve">c)分析化验与环境监测系统； </w:t>
            </w:r>
          </w:p>
          <w:p w14:paraId="69D18AC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 xml:space="preserve">d)公用工程和配套设施； </w:t>
            </w:r>
          </w:p>
          <w:p w14:paraId="0FEFB473">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e)地下水导排系统和废水处理系统（根据具体情况选择设置）。</w:t>
            </w:r>
          </w:p>
          <w:p w14:paraId="63737E6D">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④贮存场及填埋场施工方案中应包括施工质量保证和施工质量控制内容，明确环保条款和责任，作为项目竣工环境保护验收的依据，同时可作为建设环境监理的主要内容。</w:t>
            </w:r>
          </w:p>
          <w:p w14:paraId="573A5735">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⑤贮存场及填埋场在施工完毕后应保存施工报告、全套竣工图、所有材料的现场及实验室检测报告。采用高密度聚乙烯膜作为人工合成材料衬层的贮存场及填埋场还应提交人工防渗衬层完整性检测报告。上述材料连同施工质量保证书作为竣工环境保护验收的依据。</w:t>
            </w:r>
          </w:p>
          <w:p w14:paraId="3C8C15DE">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⑥贮存场及填埋场渗滤液收集池的防渗要求应不低于对应贮存场、填埋场的防渗要求。</w:t>
            </w:r>
          </w:p>
          <w:p w14:paraId="0E3BC29B">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⑦贮存场除应符合标准规定污染控制技术要求之外，其设计、施工、运行、封场等还应符合相关行政法规规定、国家及行业标准要求。</w:t>
            </w:r>
          </w:p>
          <w:p w14:paraId="29410B62">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⑧食品制造业、纺织服装和服饰业、造纸和纸制品业、农副食品加工业等为日常生活提供服务的活动中产生的与生活垃圾性质相近的一般工业固体废物，以及有机质含量超过5%的一般工业固体废物（煤矸石除外），其直接贮存、填埋处置应符合GB16889要求。</w:t>
            </w:r>
          </w:p>
          <w:p w14:paraId="6EAC7CC0">
            <w:pPr>
              <w:spacing w:line="360" w:lineRule="auto"/>
              <w:ind w:firstLine="482" w:firstLineChars="200"/>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（3）生活垃圾</w:t>
            </w:r>
          </w:p>
          <w:p w14:paraId="6D2EC033">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职工生活垃圾</w:t>
            </w:r>
            <w:r>
              <w:rPr>
                <w:rFonts w:hint="eastAsia" w:ascii="Times New Roman" w:hAnsi="Times New Roman" w:eastAsia="宋体" w:cs="Times New Roman"/>
                <w:color w:val="auto"/>
                <w:sz w:val="24"/>
                <w:highlight w:val="none"/>
                <w:shd w:val="clear" w:color="auto" w:fill="auto"/>
                <w:lang w:val="en-US" w:eastAsia="zh-CN"/>
              </w:rPr>
              <w:t>3</w:t>
            </w:r>
            <w:r>
              <w:rPr>
                <w:rFonts w:hint="default" w:ascii="Times New Roman" w:hAnsi="Times New Roman" w:eastAsia="宋体" w:cs="Times New Roman"/>
                <w:color w:val="auto"/>
                <w:sz w:val="24"/>
                <w:highlight w:val="none"/>
                <w:shd w:val="clear" w:color="auto" w:fill="auto"/>
              </w:rPr>
              <w:t>t/a，由环卫部门定期清运，可得到有效处置。</w:t>
            </w:r>
          </w:p>
          <w:p w14:paraId="1901090C">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综上，本项目产生的各类固废均可得到有效处置，固废污染防治措施可行，对周围环境影响较小。</w:t>
            </w:r>
          </w:p>
          <w:p w14:paraId="42C71687">
            <w:pPr>
              <w:spacing w:line="360" w:lineRule="auto"/>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五、地下水、土壤</w:t>
            </w:r>
          </w:p>
          <w:p w14:paraId="73D5C6E2">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1、污染源、污染类型、污染途径</w:t>
            </w:r>
          </w:p>
          <w:p w14:paraId="23ADB6FB">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本项目土壤和地下水污染源主要为液态辅料（</w:t>
            </w:r>
            <w:r>
              <w:rPr>
                <w:rFonts w:hint="eastAsia" w:ascii="Times New Roman" w:hAnsi="Times New Roman" w:eastAsia="宋体" w:cs="Times New Roman"/>
                <w:color w:val="auto"/>
                <w:sz w:val="24"/>
                <w:highlight w:val="none"/>
                <w:shd w:val="clear" w:color="auto" w:fill="auto"/>
                <w:lang w:val="en-US" w:eastAsia="zh-CN"/>
              </w:rPr>
              <w:t>水性油墨、油性油墨、乙酸乙酯、双组份无溶剂聚氨酯粘合剂</w:t>
            </w:r>
            <w:r>
              <w:rPr>
                <w:rFonts w:hint="default" w:ascii="Times New Roman" w:hAnsi="Times New Roman" w:eastAsia="宋体" w:cs="Times New Roman"/>
                <w:color w:val="auto"/>
                <w:sz w:val="24"/>
                <w:highlight w:val="none"/>
                <w:shd w:val="clear" w:color="auto" w:fill="auto"/>
              </w:rPr>
              <w:t>）；可能产生土壤和地下水污染的设施、设备主要为</w:t>
            </w:r>
            <w:r>
              <w:rPr>
                <w:rFonts w:hint="default" w:ascii="Times New Roman" w:hAnsi="Times New Roman" w:eastAsia="宋体" w:cs="Times New Roman"/>
                <w:color w:val="auto"/>
                <w:sz w:val="24"/>
                <w:highlight w:val="none"/>
                <w:shd w:val="clear" w:color="auto" w:fill="auto"/>
                <w:lang w:val="en-US" w:eastAsia="zh-CN"/>
              </w:rPr>
              <w:t>原辅料</w:t>
            </w:r>
            <w:r>
              <w:rPr>
                <w:rFonts w:hint="default" w:ascii="Times New Roman" w:hAnsi="Times New Roman" w:eastAsia="宋体" w:cs="Times New Roman"/>
                <w:color w:val="auto"/>
                <w:sz w:val="24"/>
                <w:highlight w:val="none"/>
                <w:shd w:val="clear" w:color="auto" w:fill="auto"/>
              </w:rPr>
              <w:t>仓库和危废仓库。</w:t>
            </w:r>
          </w:p>
          <w:p w14:paraId="0FB6E7D8">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lang w:val="en-US" w:eastAsia="zh-CN"/>
              </w:rPr>
              <w:t>本项目废水主要为生活污水</w:t>
            </w:r>
            <w:r>
              <w:rPr>
                <w:rFonts w:hint="eastAsia" w:ascii="Times New Roman" w:hAnsi="Times New Roman" w:eastAsia="宋体" w:cs="Times New Roman"/>
                <w:color w:val="auto"/>
                <w:sz w:val="24"/>
                <w:highlight w:val="none"/>
                <w:shd w:val="clear" w:color="auto" w:fill="auto"/>
                <w:lang w:val="en-US" w:eastAsia="zh-CN"/>
              </w:rPr>
              <w:t>，</w:t>
            </w:r>
            <w:r>
              <w:rPr>
                <w:rFonts w:hint="default" w:ascii="Times New Roman" w:hAnsi="Times New Roman" w:eastAsia="宋体" w:cs="Times New Roman"/>
                <w:color w:val="auto"/>
                <w:sz w:val="24"/>
                <w:highlight w:val="none"/>
                <w:shd w:val="clear" w:color="auto" w:fill="auto"/>
                <w:lang w:val="en-US" w:eastAsia="zh-CN"/>
              </w:rPr>
              <w:t>污染物浓度较低</w:t>
            </w:r>
            <w:r>
              <w:rPr>
                <w:rFonts w:hint="default" w:ascii="Times New Roman" w:hAnsi="Times New Roman" w:eastAsia="宋体" w:cs="Times New Roman"/>
                <w:color w:val="auto"/>
                <w:sz w:val="24"/>
                <w:highlight w:val="none"/>
                <w:shd w:val="clear" w:color="auto" w:fill="auto"/>
              </w:rPr>
              <w:t>，不会对土壤和地下水造成不利影响。</w:t>
            </w:r>
          </w:p>
          <w:p w14:paraId="773780EC">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本项目运营期间可能出现的土壤和地下水污染情况分析：</w:t>
            </w:r>
          </w:p>
          <w:p w14:paraId="2C62B3FC">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①本项目</w:t>
            </w:r>
            <w:r>
              <w:rPr>
                <w:rFonts w:hint="eastAsia" w:ascii="Times New Roman" w:hAnsi="Times New Roman" w:eastAsia="宋体" w:cs="Times New Roman"/>
                <w:color w:val="auto"/>
                <w:sz w:val="24"/>
                <w:highlight w:val="none"/>
                <w:shd w:val="clear" w:color="auto" w:fill="auto"/>
                <w:lang w:val="en-US" w:eastAsia="zh-CN"/>
              </w:rPr>
              <w:t>水性油墨、油性油墨、乙酸乙酯、双组份无溶剂聚氨酯粘合剂</w:t>
            </w:r>
            <w:r>
              <w:rPr>
                <w:rFonts w:hint="default" w:ascii="Times New Roman" w:hAnsi="Times New Roman" w:eastAsia="宋体" w:cs="Times New Roman"/>
                <w:color w:val="auto"/>
                <w:sz w:val="24"/>
                <w:highlight w:val="none"/>
                <w:shd w:val="clear" w:color="auto" w:fill="auto"/>
              </w:rPr>
              <w:t>的单桶包装规格均较小，全厂地面均设置防腐水泥、防渗漏涂层等措施；液体物料一旦发生泄漏均可控制在厂界范围内，不存在可能造成土壤和地下水污染的途径。</w:t>
            </w:r>
          </w:p>
          <w:p w14:paraId="69014E2F">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②厂内若发生火灾、爆炸事故，事故状态下事故废水外溢，通过地表漫流途径及地下水渗流途径导致项目周边土壤和地下水的污染。</w:t>
            </w:r>
          </w:p>
          <w:p w14:paraId="771AF437">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2、土壤、地下水环境保护污染防控措施</w:t>
            </w:r>
          </w:p>
          <w:p w14:paraId="547F17D9">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地下水及土壤保护以预防为主，减少污染物进入地下水含水层几率和途径，一旦发现地下水遭受污染，应及时采取补救措施。针对本项目可能发生的地下水污染，地下水污染防治措施按照“源头控制、分区防护、污染监控、应急响应”相结合的原则，从污染物的产生、入渗、扩散、应急响应全方位进行控制。</w:t>
            </w:r>
          </w:p>
          <w:p w14:paraId="63FC1D8A">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①源头控制</w:t>
            </w:r>
          </w:p>
          <w:p w14:paraId="3D1A935E">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采取低挥发的原料，保证各废气处理措施运行良好，可有效降低挥发性有机物对环境的排放，降低大气沉降对土壤的影响。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616C7AC7">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②过程控制措施</w:t>
            </w:r>
          </w:p>
          <w:p w14:paraId="1F83DBCD">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对于地上设施，在事故情况和降雨情况下产生的废水会发生地面漫流，进一步污染土壤。企业按照要求在各阀门、溢流井等调控控制事故废水。全面防控事故废水和可能受污染的雨水发生地面漫流，进入土壤。正常工况下，由于车间及厂区地面均由水泥硬化，危废库等区域均采取了防渗措施，一般情况下不会发生液态物料</w:t>
            </w:r>
            <w:r>
              <w:rPr>
                <w:rFonts w:hint="default" w:ascii="Times New Roman" w:hAnsi="Times New Roman" w:eastAsia="宋体" w:cs="Times New Roman"/>
                <w:color w:val="auto"/>
                <w:sz w:val="24"/>
                <w:highlight w:val="none"/>
                <w:shd w:val="clear" w:color="auto" w:fill="auto"/>
                <w:lang w:eastAsia="zh-CN"/>
              </w:rPr>
              <w:t>泄漏</w:t>
            </w:r>
            <w:r>
              <w:rPr>
                <w:rFonts w:hint="default" w:ascii="Times New Roman" w:hAnsi="Times New Roman" w:eastAsia="宋体" w:cs="Times New Roman"/>
                <w:color w:val="auto"/>
                <w:sz w:val="24"/>
                <w:highlight w:val="none"/>
                <w:shd w:val="clear" w:color="auto" w:fill="auto"/>
              </w:rPr>
              <w:t>污染土壤及地下水的情况。涉及地面漫流途径须设置防渗、地面硬化等措施。对于项目事故状态的废水，必须保证在未经处理满足要求的前提下不得流出厂界。项目须贯彻“围、追、堵、截”的原则，采取多级防护措施，确保事故废水未经处理不得出厂界。</w:t>
            </w:r>
          </w:p>
          <w:p w14:paraId="5A742B77">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③分区防控</w:t>
            </w:r>
          </w:p>
          <w:p w14:paraId="772D2B0B">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根据防渗参照的标准和规范，结合目前施工过程中的可操作性和技术水平，针对不同的防渗区域采用典型防渗措施，在具体设计中将根据实际情况在满足防渗标准的前提下做必要的调整。</w:t>
            </w:r>
          </w:p>
          <w:p w14:paraId="156D45F1">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本项目针对污染特点设置土壤、地下水一般污染防渗区和重点防渗区，防渗分区情况下表。</w:t>
            </w:r>
          </w:p>
          <w:p w14:paraId="394AFFDF">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表4</w:t>
            </w:r>
            <w:r>
              <w:rPr>
                <w:rFonts w:hint="default" w:ascii="Times New Roman" w:hAnsi="Times New Roman" w:eastAsia="宋体" w:cs="Times New Roman"/>
                <w:b/>
                <w:color w:val="auto"/>
                <w:sz w:val="24"/>
                <w:highlight w:val="none"/>
                <w:shd w:val="clear" w:color="auto" w:fill="auto"/>
                <w:lang w:val="en-US" w:eastAsia="zh-CN"/>
              </w:rPr>
              <w:t>-</w:t>
            </w:r>
            <w:r>
              <w:rPr>
                <w:rFonts w:hint="eastAsia" w:ascii="Times New Roman" w:hAnsi="Times New Roman" w:eastAsia="宋体" w:cs="Times New Roman"/>
                <w:b/>
                <w:color w:val="auto"/>
                <w:sz w:val="24"/>
                <w:highlight w:val="none"/>
                <w:shd w:val="clear" w:color="auto" w:fill="auto"/>
                <w:lang w:val="en-US" w:eastAsia="zh-CN"/>
              </w:rPr>
              <w:t>27</w:t>
            </w:r>
            <w:r>
              <w:rPr>
                <w:rFonts w:hint="default" w:ascii="Times New Roman" w:hAnsi="Times New Roman" w:eastAsia="宋体" w:cs="Times New Roman"/>
                <w:b/>
                <w:color w:val="auto"/>
                <w:sz w:val="24"/>
                <w:highlight w:val="none"/>
                <w:shd w:val="clear" w:color="auto" w:fill="auto"/>
              </w:rPr>
              <w:t xml:space="preserve">  本项目污染防渗区划分</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9"/>
              <w:gridCol w:w="952"/>
              <w:gridCol w:w="1987"/>
              <w:gridCol w:w="2554"/>
              <w:gridCol w:w="2293"/>
            </w:tblGrid>
            <w:tr w14:paraId="2B12A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 w:type="pct"/>
                  <w:gridSpan w:val="2"/>
                  <w:tcBorders>
                    <w:tl2br w:val="nil"/>
                    <w:tr2bl w:val="nil"/>
                  </w:tcBorders>
                  <w:vAlign w:val="center"/>
                </w:tcPr>
                <w:p w14:paraId="3F697081">
                  <w:pPr>
                    <w:pStyle w:val="24"/>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分区</w:t>
                  </w:r>
                </w:p>
              </w:tc>
              <w:tc>
                <w:tcPr>
                  <w:tcW w:w="1190" w:type="pct"/>
                  <w:tcBorders>
                    <w:tl2br w:val="nil"/>
                    <w:tr2bl w:val="nil"/>
                  </w:tcBorders>
                  <w:vAlign w:val="center"/>
                </w:tcPr>
                <w:p w14:paraId="4109F3E7">
                  <w:pPr>
                    <w:pStyle w:val="24"/>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定义</w:t>
                  </w:r>
                </w:p>
              </w:tc>
              <w:tc>
                <w:tcPr>
                  <w:tcW w:w="1530" w:type="pct"/>
                  <w:tcBorders>
                    <w:tl2br w:val="nil"/>
                    <w:tr2bl w:val="nil"/>
                  </w:tcBorders>
                  <w:vAlign w:val="center"/>
                </w:tcPr>
                <w:p w14:paraId="390D44EC">
                  <w:pPr>
                    <w:pStyle w:val="24"/>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厂内分区</w:t>
                  </w:r>
                </w:p>
              </w:tc>
              <w:tc>
                <w:tcPr>
                  <w:tcW w:w="1373" w:type="pct"/>
                  <w:tcBorders>
                    <w:tl2br w:val="nil"/>
                    <w:tr2bl w:val="nil"/>
                  </w:tcBorders>
                  <w:vAlign w:val="center"/>
                </w:tcPr>
                <w:p w14:paraId="2799307D">
                  <w:pPr>
                    <w:pStyle w:val="24"/>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防渗等级</w:t>
                  </w:r>
                </w:p>
              </w:tc>
            </w:tr>
            <w:tr w14:paraId="7B577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5" w:type="pct"/>
                  <w:vMerge w:val="restart"/>
                  <w:tcBorders>
                    <w:tl2br w:val="nil"/>
                    <w:tr2bl w:val="nil"/>
                  </w:tcBorders>
                  <w:vAlign w:val="center"/>
                </w:tcPr>
                <w:p w14:paraId="7882F069">
                  <w:pPr>
                    <w:pStyle w:val="24"/>
                    <w:jc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污染区</w:t>
                  </w:r>
                </w:p>
              </w:tc>
              <w:tc>
                <w:tcPr>
                  <w:tcW w:w="569" w:type="pct"/>
                  <w:tcBorders>
                    <w:tl2br w:val="nil"/>
                    <w:tr2bl w:val="nil"/>
                  </w:tcBorders>
                  <w:vAlign w:val="center"/>
                </w:tcPr>
                <w:p w14:paraId="55632D9C">
                  <w:pPr>
                    <w:pStyle w:val="24"/>
                    <w:jc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重点防渗区</w:t>
                  </w:r>
                </w:p>
              </w:tc>
              <w:tc>
                <w:tcPr>
                  <w:tcW w:w="1190" w:type="pct"/>
                  <w:tcBorders>
                    <w:tl2br w:val="nil"/>
                    <w:tr2bl w:val="nil"/>
                  </w:tcBorders>
                  <w:vAlign w:val="center"/>
                </w:tcPr>
                <w:p w14:paraId="7F01AA57">
                  <w:pPr>
                    <w:pStyle w:val="24"/>
                    <w:jc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危害性大，污染物较大的生产装置区，污染控制难度较难</w:t>
                  </w:r>
                </w:p>
              </w:tc>
              <w:tc>
                <w:tcPr>
                  <w:tcW w:w="1530" w:type="pct"/>
                  <w:tcBorders>
                    <w:tl2br w:val="nil"/>
                    <w:tr2bl w:val="nil"/>
                  </w:tcBorders>
                  <w:vAlign w:val="center"/>
                </w:tcPr>
                <w:p w14:paraId="1AF74628">
                  <w:pPr>
                    <w:pStyle w:val="24"/>
                    <w:jc w:val="center"/>
                    <w:rPr>
                      <w:rFonts w:hint="default" w:ascii="Times New Roman" w:hAnsi="Times New Roman" w:eastAsia="宋体" w:cs="Times New Roman"/>
                      <w:b w:val="0"/>
                      <w:color w:val="auto"/>
                      <w:sz w:val="21"/>
                      <w:szCs w:val="21"/>
                      <w:highlight w:val="none"/>
                      <w:shd w:val="clear" w:color="auto" w:fill="auto"/>
                      <w:lang w:val="en-US" w:eastAsia="zh-CN"/>
                    </w:rPr>
                  </w:pPr>
                  <w:r>
                    <w:rPr>
                      <w:rFonts w:hint="eastAsia" w:ascii="Times New Roman" w:hAnsi="Times New Roman" w:cs="Times New Roman"/>
                      <w:b w:val="0"/>
                      <w:color w:val="auto"/>
                      <w:sz w:val="21"/>
                      <w:szCs w:val="21"/>
                      <w:highlight w:val="none"/>
                      <w:shd w:val="clear" w:color="auto" w:fill="auto"/>
                      <w:lang w:val="en-US" w:eastAsia="zh-CN"/>
                    </w:rPr>
                    <w:t>油墨间、化学品</w:t>
                  </w:r>
                  <w:r>
                    <w:rPr>
                      <w:rFonts w:hint="default" w:ascii="Times New Roman" w:hAnsi="Times New Roman" w:eastAsia="宋体" w:cs="Times New Roman"/>
                      <w:b w:val="0"/>
                      <w:color w:val="auto"/>
                      <w:sz w:val="21"/>
                      <w:szCs w:val="21"/>
                      <w:highlight w:val="none"/>
                      <w:shd w:val="clear" w:color="auto" w:fill="auto"/>
                      <w:lang w:val="en-US" w:eastAsia="zh-CN"/>
                    </w:rPr>
                    <w:t>仓库</w:t>
                  </w:r>
                  <w:r>
                    <w:rPr>
                      <w:rFonts w:hint="default" w:ascii="Times New Roman" w:hAnsi="Times New Roman" w:eastAsia="宋体" w:cs="Times New Roman"/>
                      <w:b w:val="0"/>
                      <w:color w:val="auto"/>
                      <w:sz w:val="21"/>
                      <w:szCs w:val="21"/>
                      <w:highlight w:val="none"/>
                      <w:shd w:val="clear" w:color="auto" w:fill="auto"/>
                    </w:rPr>
                    <w:t>、危废仓库、</w:t>
                  </w:r>
                  <w:r>
                    <w:rPr>
                      <w:rFonts w:hint="eastAsia" w:ascii="Times New Roman" w:hAnsi="Times New Roman" w:cs="Times New Roman"/>
                      <w:b w:val="0"/>
                      <w:color w:val="auto"/>
                      <w:sz w:val="21"/>
                      <w:szCs w:val="21"/>
                      <w:highlight w:val="none"/>
                      <w:shd w:val="clear" w:color="auto" w:fill="auto"/>
                      <w:lang w:val="en-US" w:eastAsia="zh-CN"/>
                    </w:rPr>
                    <w:t>印刷</w:t>
                  </w:r>
                  <w:r>
                    <w:rPr>
                      <w:rFonts w:hint="default" w:ascii="Times New Roman" w:hAnsi="Times New Roman" w:eastAsia="宋体" w:cs="Times New Roman"/>
                      <w:b w:val="0"/>
                      <w:color w:val="auto"/>
                      <w:sz w:val="21"/>
                      <w:szCs w:val="21"/>
                      <w:highlight w:val="none"/>
                      <w:shd w:val="clear" w:color="auto" w:fill="auto"/>
                      <w:lang w:val="en-US" w:eastAsia="zh-CN"/>
                    </w:rPr>
                    <w:t>区</w:t>
                  </w:r>
                  <w:r>
                    <w:rPr>
                      <w:rFonts w:hint="eastAsia" w:ascii="Times New Roman" w:hAnsi="Times New Roman" w:cs="Times New Roman"/>
                      <w:b w:val="0"/>
                      <w:color w:val="auto"/>
                      <w:sz w:val="21"/>
                      <w:szCs w:val="21"/>
                      <w:highlight w:val="none"/>
                      <w:shd w:val="clear" w:color="auto" w:fill="auto"/>
                      <w:lang w:val="en-US" w:eastAsia="zh-CN"/>
                    </w:rPr>
                    <w:t>、复合区</w:t>
                  </w:r>
                </w:p>
              </w:tc>
              <w:tc>
                <w:tcPr>
                  <w:tcW w:w="1373" w:type="pct"/>
                  <w:tcBorders>
                    <w:tl2br w:val="nil"/>
                    <w:tr2bl w:val="nil"/>
                  </w:tcBorders>
                  <w:vAlign w:val="center"/>
                </w:tcPr>
                <w:p w14:paraId="47A94796">
                  <w:pPr>
                    <w:pStyle w:val="24"/>
                    <w:jc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设计渗透系数≤1.0</w:t>
                  </w:r>
                  <w:r>
                    <w:rPr>
                      <w:rFonts w:hint="default" w:ascii="Times New Roman" w:hAnsi="Times New Roman" w:eastAsia="宋体" w:cs="Times New Roman"/>
                      <w:b w:val="0"/>
                      <w:color w:val="auto"/>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10</w:t>
                  </w:r>
                  <w:r>
                    <w:rPr>
                      <w:rFonts w:hint="default" w:ascii="Times New Roman" w:hAnsi="Times New Roman" w:eastAsia="宋体" w:cs="Times New Roman"/>
                      <w:b w:val="0"/>
                      <w:color w:val="auto"/>
                      <w:sz w:val="21"/>
                      <w:szCs w:val="21"/>
                      <w:highlight w:val="none"/>
                      <w:shd w:val="clear" w:color="auto" w:fill="auto"/>
                      <w:vertAlign w:val="superscript"/>
                    </w:rPr>
                    <w:t>-10</w:t>
                  </w:r>
                  <w:r>
                    <w:rPr>
                      <w:rFonts w:hint="default" w:ascii="Times New Roman" w:hAnsi="Times New Roman" w:eastAsia="宋体" w:cs="Times New Roman"/>
                      <w:b w:val="0"/>
                      <w:color w:val="auto"/>
                      <w:sz w:val="21"/>
                      <w:szCs w:val="21"/>
                      <w:highlight w:val="none"/>
                      <w:shd w:val="clear" w:color="auto" w:fill="auto"/>
                    </w:rPr>
                    <w:t>cm/s，等效黏土防渗层Mb≥6.0m</w:t>
                  </w:r>
                </w:p>
              </w:tc>
            </w:tr>
            <w:tr w14:paraId="3C158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5" w:type="pct"/>
                  <w:vMerge w:val="continue"/>
                  <w:tcBorders>
                    <w:tl2br w:val="nil"/>
                    <w:tr2bl w:val="nil"/>
                  </w:tcBorders>
                  <w:vAlign w:val="center"/>
                </w:tcPr>
                <w:p w14:paraId="5AF224B3">
                  <w:pPr>
                    <w:pStyle w:val="24"/>
                    <w:jc w:val="center"/>
                    <w:rPr>
                      <w:rFonts w:hint="default" w:ascii="Times New Roman" w:hAnsi="Times New Roman" w:eastAsia="宋体" w:cs="Times New Roman"/>
                      <w:b w:val="0"/>
                      <w:color w:val="auto"/>
                      <w:sz w:val="21"/>
                      <w:szCs w:val="21"/>
                      <w:highlight w:val="none"/>
                      <w:shd w:val="clear" w:color="auto" w:fill="auto"/>
                    </w:rPr>
                  </w:pPr>
                </w:p>
              </w:tc>
              <w:tc>
                <w:tcPr>
                  <w:tcW w:w="569" w:type="pct"/>
                  <w:tcBorders>
                    <w:tl2br w:val="nil"/>
                    <w:tr2bl w:val="nil"/>
                  </w:tcBorders>
                  <w:vAlign w:val="center"/>
                </w:tcPr>
                <w:p w14:paraId="7AE126BA">
                  <w:pPr>
                    <w:pStyle w:val="24"/>
                    <w:jc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一般防渗区</w:t>
                  </w:r>
                </w:p>
              </w:tc>
              <w:tc>
                <w:tcPr>
                  <w:tcW w:w="1190" w:type="pct"/>
                  <w:tcBorders>
                    <w:tl2br w:val="nil"/>
                    <w:tr2bl w:val="nil"/>
                  </w:tcBorders>
                  <w:vAlign w:val="center"/>
                </w:tcPr>
                <w:p w14:paraId="7A2C23EB">
                  <w:pPr>
                    <w:pStyle w:val="24"/>
                    <w:jc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无毒性或毒性小的生产装置区、装置区外管廊区，污染控制难度较易</w:t>
                  </w:r>
                </w:p>
              </w:tc>
              <w:tc>
                <w:tcPr>
                  <w:tcW w:w="1530" w:type="pct"/>
                  <w:tcBorders>
                    <w:tl2br w:val="nil"/>
                    <w:tr2bl w:val="nil"/>
                  </w:tcBorders>
                  <w:vAlign w:val="center"/>
                </w:tcPr>
                <w:p w14:paraId="0B7E9D79">
                  <w:pPr>
                    <w:pStyle w:val="24"/>
                    <w:jc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除重点防渗区以外</w:t>
                  </w:r>
                </w:p>
              </w:tc>
              <w:tc>
                <w:tcPr>
                  <w:tcW w:w="1373" w:type="pct"/>
                  <w:tcBorders>
                    <w:tl2br w:val="nil"/>
                    <w:tr2bl w:val="nil"/>
                  </w:tcBorders>
                  <w:vAlign w:val="center"/>
                </w:tcPr>
                <w:p w14:paraId="64B7AD81">
                  <w:pPr>
                    <w:pStyle w:val="24"/>
                    <w:jc w:val="center"/>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设计渗透系数＜1.0</w:t>
                  </w:r>
                  <w:r>
                    <w:rPr>
                      <w:rFonts w:hint="default"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10</w:t>
                  </w:r>
                  <w:r>
                    <w:rPr>
                      <w:rFonts w:hint="default" w:ascii="Times New Roman" w:hAnsi="Times New Roman" w:eastAsia="宋体" w:cs="Times New Roman"/>
                      <w:b w:val="0"/>
                      <w:color w:val="auto"/>
                      <w:sz w:val="21"/>
                      <w:szCs w:val="21"/>
                      <w:highlight w:val="none"/>
                      <w:shd w:val="clear" w:color="auto" w:fill="auto"/>
                      <w:vertAlign w:val="superscript"/>
                    </w:rPr>
                    <w:t>-7</w:t>
                  </w:r>
                  <w:r>
                    <w:rPr>
                      <w:rFonts w:hint="default" w:ascii="Times New Roman" w:hAnsi="Times New Roman" w:eastAsia="宋体" w:cs="Times New Roman"/>
                      <w:b w:val="0"/>
                      <w:color w:val="auto"/>
                      <w:sz w:val="21"/>
                      <w:szCs w:val="21"/>
                      <w:highlight w:val="none"/>
                      <w:shd w:val="clear" w:color="auto" w:fill="auto"/>
                    </w:rPr>
                    <w:t>cm/s，等效黏土防渗层Mb≥1.5m</w:t>
                  </w:r>
                </w:p>
              </w:tc>
            </w:tr>
          </w:tbl>
          <w:p w14:paraId="49B19282">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一般防渗区自上而下采用人工大理石或水泥防渗结构，车间地面全部进行</w:t>
            </w:r>
            <w:r>
              <w:rPr>
                <w:rFonts w:hint="default" w:ascii="Times New Roman" w:hAnsi="Times New Roman" w:eastAsia="宋体" w:cs="Times New Roman"/>
                <w:color w:val="auto"/>
                <w:sz w:val="24"/>
                <w:highlight w:val="none"/>
                <w:shd w:val="clear" w:color="auto" w:fill="auto"/>
                <w:lang w:eastAsia="zh-CN"/>
              </w:rPr>
              <w:t>黏土</w:t>
            </w:r>
            <w:r>
              <w:rPr>
                <w:rFonts w:hint="default" w:ascii="Times New Roman" w:hAnsi="Times New Roman" w:eastAsia="宋体" w:cs="Times New Roman"/>
                <w:color w:val="auto"/>
                <w:sz w:val="24"/>
                <w:highlight w:val="none"/>
                <w:shd w:val="clear" w:color="auto" w:fill="auto"/>
              </w:rPr>
              <w:t>夯实、混凝硬化。如采取粘土铺底，再在上层铺10~15cm的水泥进行硬化。重点污染区的防渗设计参照《危险废物填埋污染控制标准》要求，采取三层叠加防渗层的防渗措施。具体为：底层铺设10cm~50cm厚成品水泥混凝土，中层铺设1cm~5cm厚的成品普通防腐水泥，上层铺设≥0.1mm~0.2mm厚的环氧树脂涂层。防渗剖面见图4-</w:t>
            </w:r>
            <w:r>
              <w:rPr>
                <w:rFonts w:hint="eastAsia" w:ascii="Times New Roman" w:hAnsi="Times New Roman" w:eastAsia="宋体" w:cs="Times New Roman"/>
                <w:color w:val="auto"/>
                <w:sz w:val="24"/>
                <w:highlight w:val="none"/>
                <w:shd w:val="clear" w:color="auto" w:fill="auto"/>
                <w:lang w:val="en-US" w:eastAsia="zh-CN"/>
              </w:rPr>
              <w:t>4</w:t>
            </w:r>
            <w:r>
              <w:rPr>
                <w:rFonts w:hint="default" w:ascii="Times New Roman" w:hAnsi="Times New Roman" w:eastAsia="宋体" w:cs="Times New Roman"/>
                <w:color w:val="auto"/>
                <w:sz w:val="24"/>
                <w:highlight w:val="none"/>
                <w:shd w:val="clear" w:color="auto" w:fill="auto"/>
              </w:rPr>
              <w:t>。</w:t>
            </w:r>
          </w:p>
          <w:p w14:paraId="139E6ED8">
            <w:pPr>
              <w:spacing w:line="360" w:lineRule="auto"/>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highlight w:val="none"/>
                <w:shd w:val="clear" w:color="auto" w:fill="auto"/>
              </w:rPr>
              <w:drawing>
                <wp:inline distT="0" distB="0" distL="0" distR="0">
                  <wp:extent cx="5170805" cy="18853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171429" cy="1885714"/>
                          </a:xfrm>
                          <a:prstGeom prst="rect">
                            <a:avLst/>
                          </a:prstGeom>
                        </pic:spPr>
                      </pic:pic>
                    </a:graphicData>
                  </a:graphic>
                </wp:inline>
              </w:drawing>
            </w:r>
          </w:p>
          <w:p w14:paraId="61B3B37D">
            <w:pPr>
              <w:spacing w:line="360" w:lineRule="auto"/>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图4-</w:t>
            </w:r>
            <w:r>
              <w:rPr>
                <w:rFonts w:hint="default" w:ascii="Times New Roman" w:hAnsi="Times New Roman" w:eastAsia="宋体" w:cs="Times New Roman"/>
                <w:b/>
                <w:color w:val="auto"/>
                <w:sz w:val="24"/>
                <w:highlight w:val="none"/>
                <w:shd w:val="clear" w:color="auto" w:fill="auto"/>
                <w:lang w:val="en-US" w:eastAsia="zh-CN"/>
              </w:rPr>
              <w:t>4</w:t>
            </w:r>
            <w:r>
              <w:rPr>
                <w:rFonts w:hint="default" w:ascii="Times New Roman" w:hAnsi="Times New Roman" w:eastAsia="宋体" w:cs="Times New Roman"/>
                <w:b/>
                <w:color w:val="auto"/>
                <w:sz w:val="24"/>
                <w:highlight w:val="none"/>
                <w:shd w:val="clear" w:color="auto" w:fill="auto"/>
              </w:rPr>
              <w:t xml:space="preserve">  重点区域防渗层剖面图</w:t>
            </w:r>
          </w:p>
          <w:p w14:paraId="4E7D4C32">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④应急响应措施</w:t>
            </w:r>
          </w:p>
          <w:p w14:paraId="4F7546D3">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一旦发生泄漏、火灾或爆炸等突发环境事件，应立即启动突发环境事件应急预案，采取切断污染源、防止污染物扩散、减少和消除污染物等一系列应急措施，同时应密切关注地下水水质变化情况。对突发环境事件现场进行调查、监测、处理，对突发环境事件发生后果进行评估，并制定防止类似事件发生的措施。</w:t>
            </w:r>
          </w:p>
          <w:p w14:paraId="1AFA835E">
            <w:pPr>
              <w:spacing w:line="360" w:lineRule="auto"/>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六、环境风险</w:t>
            </w:r>
          </w:p>
          <w:p w14:paraId="79322B03">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1、建设项目风险源调查</w:t>
            </w:r>
          </w:p>
          <w:p w14:paraId="650CAEAD">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参照《建设项目环境风险评价技术导则》（HJ169-2018）及其附录B，本项目所涉及的危险物质主要为原辅料中的</w:t>
            </w:r>
            <w:r>
              <w:rPr>
                <w:rFonts w:hint="eastAsia" w:ascii="Times New Roman" w:hAnsi="Times New Roman" w:eastAsia="宋体" w:cs="Times New Roman"/>
                <w:color w:val="auto"/>
                <w:sz w:val="24"/>
                <w:highlight w:val="none"/>
                <w:shd w:val="clear" w:color="auto" w:fill="auto"/>
                <w:lang w:val="en-US" w:eastAsia="zh-CN"/>
              </w:rPr>
              <w:t>水性油墨、油性油墨、乙酸乙酯、双组份无溶剂聚氨酯粘合剂、黄油</w:t>
            </w:r>
            <w:r>
              <w:rPr>
                <w:rFonts w:hint="default" w:ascii="Times New Roman" w:hAnsi="Times New Roman" w:eastAsia="宋体" w:cs="Times New Roman"/>
                <w:color w:val="auto"/>
                <w:sz w:val="24"/>
                <w:highlight w:val="none"/>
                <w:shd w:val="clear" w:color="auto" w:fill="auto"/>
                <w:lang w:val="en-US" w:eastAsia="zh-CN"/>
              </w:rPr>
              <w:t>以及危险废物</w:t>
            </w:r>
            <w:r>
              <w:rPr>
                <w:rFonts w:hint="default" w:ascii="Times New Roman" w:hAnsi="Times New Roman" w:eastAsia="宋体" w:cs="Times New Roman"/>
                <w:color w:val="auto"/>
                <w:sz w:val="24"/>
                <w:highlight w:val="none"/>
                <w:shd w:val="clear" w:color="auto" w:fill="auto"/>
              </w:rPr>
              <w:t>。危险物质危险性识别见下表。</w:t>
            </w:r>
          </w:p>
          <w:p w14:paraId="2DC5C976">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表4</w:t>
            </w:r>
            <w:r>
              <w:rPr>
                <w:rFonts w:hint="default" w:ascii="Times New Roman" w:hAnsi="Times New Roman" w:eastAsia="宋体" w:cs="Times New Roman"/>
                <w:b/>
                <w:color w:val="auto"/>
                <w:sz w:val="24"/>
                <w:highlight w:val="none"/>
                <w:shd w:val="clear" w:color="auto" w:fill="auto"/>
                <w:lang w:val="en-US" w:eastAsia="zh-CN"/>
              </w:rPr>
              <w:t>-</w:t>
            </w:r>
            <w:r>
              <w:rPr>
                <w:rFonts w:hint="eastAsia" w:ascii="Times New Roman" w:hAnsi="Times New Roman" w:eastAsia="宋体" w:cs="Times New Roman"/>
                <w:b/>
                <w:color w:val="auto"/>
                <w:sz w:val="24"/>
                <w:highlight w:val="none"/>
                <w:shd w:val="clear" w:color="auto" w:fill="auto"/>
                <w:lang w:val="en-US" w:eastAsia="zh-CN"/>
              </w:rPr>
              <w:t>28</w:t>
            </w:r>
            <w:r>
              <w:rPr>
                <w:rFonts w:hint="default" w:ascii="Times New Roman" w:hAnsi="Times New Roman" w:eastAsia="宋体" w:cs="Times New Roman"/>
                <w:b/>
                <w:color w:val="auto"/>
                <w:sz w:val="24"/>
                <w:highlight w:val="none"/>
                <w:shd w:val="clear" w:color="auto" w:fill="auto"/>
              </w:rPr>
              <w:t xml:space="preserve">  危险物质危险性识别表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971"/>
              <w:gridCol w:w="3103"/>
              <w:gridCol w:w="2020"/>
            </w:tblGrid>
            <w:tr w14:paraId="4C6C3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vAlign w:val="center"/>
                </w:tcPr>
                <w:p w14:paraId="40C81291">
                  <w:pPr>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物质类别</w:t>
                  </w:r>
                </w:p>
              </w:tc>
              <w:tc>
                <w:tcPr>
                  <w:tcW w:w="1180" w:type="pct"/>
                  <w:tcBorders>
                    <w:tl2br w:val="nil"/>
                    <w:tr2bl w:val="nil"/>
                  </w:tcBorders>
                  <w:vAlign w:val="center"/>
                </w:tcPr>
                <w:p w14:paraId="576F0D54">
                  <w:pPr>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物质名称</w:t>
                  </w:r>
                </w:p>
              </w:tc>
              <w:tc>
                <w:tcPr>
                  <w:tcW w:w="1858" w:type="pct"/>
                  <w:tcBorders>
                    <w:tl2br w:val="nil"/>
                    <w:tr2bl w:val="nil"/>
                  </w:tcBorders>
                  <w:vAlign w:val="center"/>
                </w:tcPr>
                <w:p w14:paraId="4C901E27">
                  <w:pPr>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毒理性质</w:t>
                  </w:r>
                </w:p>
              </w:tc>
              <w:tc>
                <w:tcPr>
                  <w:tcW w:w="1209" w:type="pct"/>
                  <w:tcBorders>
                    <w:tl2br w:val="nil"/>
                    <w:tr2bl w:val="nil"/>
                  </w:tcBorders>
                  <w:vAlign w:val="center"/>
                </w:tcPr>
                <w:p w14:paraId="00161647">
                  <w:pPr>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燃爆性质</w:t>
                  </w:r>
                </w:p>
              </w:tc>
            </w:tr>
            <w:tr w14:paraId="7EE94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restart"/>
                  <w:tcBorders>
                    <w:tl2br w:val="nil"/>
                    <w:tr2bl w:val="nil"/>
                  </w:tcBorders>
                  <w:vAlign w:val="center"/>
                </w:tcPr>
                <w:p w14:paraId="797408DC">
                  <w:pPr>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原辅材料</w:t>
                  </w:r>
                </w:p>
              </w:tc>
              <w:tc>
                <w:tcPr>
                  <w:tcW w:w="1180" w:type="pct"/>
                  <w:tcBorders>
                    <w:tl2br w:val="nil"/>
                    <w:tr2bl w:val="nil"/>
                  </w:tcBorders>
                  <w:shd w:val="clear" w:color="auto" w:fill="auto"/>
                  <w:vAlign w:val="center"/>
                </w:tcPr>
                <w:p w14:paraId="4F374744">
                  <w:pPr>
                    <w:widowControl/>
                    <w:jc w:val="center"/>
                    <w:textAlignment w:val="center"/>
                    <w:rPr>
                      <w:rFonts w:hint="default" w:ascii="Times New Roman" w:hAnsi="Times New Roman" w:eastAsia="宋体" w:cs="Times New Roman"/>
                      <w:bCs/>
                      <w:color w:val="auto"/>
                      <w:kern w:val="2"/>
                      <w:sz w:val="21"/>
                      <w:szCs w:val="21"/>
                      <w:shd w:val="clear" w:color="auto" w:fill="auto"/>
                      <w:lang w:val="en-US" w:eastAsia="zh-CN" w:bidi="ar-SA"/>
                    </w:rPr>
                  </w:pPr>
                  <w:r>
                    <w:rPr>
                      <w:rFonts w:hint="eastAsia" w:ascii="Times New Roman" w:hAnsi="Times New Roman" w:eastAsia="宋体" w:cs="Times New Roman"/>
                      <w:bCs/>
                      <w:color w:val="auto"/>
                      <w:szCs w:val="21"/>
                      <w:shd w:val="clear" w:color="auto" w:fill="auto"/>
                      <w:lang w:val="en-US" w:eastAsia="zh-CN"/>
                    </w:rPr>
                    <w:t>水性油墨</w:t>
                  </w:r>
                </w:p>
              </w:tc>
              <w:tc>
                <w:tcPr>
                  <w:tcW w:w="3103" w:type="dxa"/>
                  <w:tcBorders>
                    <w:tl2br w:val="nil"/>
                    <w:tr2bl w:val="nil"/>
                  </w:tcBorders>
                  <w:shd w:val="clear" w:color="auto" w:fill="auto"/>
                  <w:vAlign w:val="center"/>
                </w:tcPr>
                <w:p w14:paraId="685833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无资料</w:t>
                  </w:r>
                </w:p>
              </w:tc>
              <w:tc>
                <w:tcPr>
                  <w:tcW w:w="1209" w:type="pct"/>
                  <w:tcBorders>
                    <w:tl2br w:val="nil"/>
                    <w:tr2bl w:val="nil"/>
                  </w:tcBorders>
                  <w:shd w:val="clear" w:color="auto" w:fill="auto"/>
                  <w:vAlign w:val="center"/>
                </w:tcPr>
                <w:p w14:paraId="545199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不燃</w:t>
                  </w:r>
                </w:p>
              </w:tc>
            </w:tr>
            <w:tr w14:paraId="4888E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tl2br w:val="nil"/>
                    <w:tr2bl w:val="nil"/>
                  </w:tcBorders>
                  <w:vAlign w:val="center"/>
                </w:tcPr>
                <w:p w14:paraId="52CBAF7A">
                  <w:pPr>
                    <w:jc w:val="center"/>
                    <w:rPr>
                      <w:rFonts w:hint="default" w:ascii="Times New Roman" w:hAnsi="Times New Roman" w:eastAsia="宋体" w:cs="Times New Roman"/>
                      <w:bCs/>
                      <w:color w:val="auto"/>
                      <w:sz w:val="21"/>
                      <w:szCs w:val="21"/>
                      <w:highlight w:val="none"/>
                      <w:shd w:val="clear" w:color="auto" w:fill="auto"/>
                    </w:rPr>
                  </w:pPr>
                </w:p>
              </w:tc>
              <w:tc>
                <w:tcPr>
                  <w:tcW w:w="1180" w:type="pct"/>
                  <w:tcBorders>
                    <w:tl2br w:val="nil"/>
                    <w:tr2bl w:val="nil"/>
                  </w:tcBorders>
                  <w:shd w:val="clear" w:color="auto" w:fill="auto"/>
                  <w:vAlign w:val="center"/>
                </w:tcPr>
                <w:p w14:paraId="3058AD19">
                  <w:pPr>
                    <w:pStyle w:val="8"/>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kern w:val="2"/>
                      <w:sz w:val="21"/>
                      <w:szCs w:val="22"/>
                      <w:highlight w:val="none"/>
                      <w:shd w:val="clear" w:color="auto" w:fill="auto"/>
                      <w:lang w:val="en-US" w:eastAsia="zh-CN" w:bidi="ar-SA"/>
                    </w:rPr>
                    <w:t>油性油墨</w:t>
                  </w:r>
                </w:p>
              </w:tc>
              <w:tc>
                <w:tcPr>
                  <w:tcW w:w="3103" w:type="dxa"/>
                  <w:tcBorders>
                    <w:tl2br w:val="nil"/>
                    <w:tr2bl w:val="nil"/>
                  </w:tcBorders>
                  <w:shd w:val="clear" w:color="auto" w:fill="auto"/>
                  <w:vAlign w:val="center"/>
                </w:tcPr>
                <w:p w14:paraId="419C8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LD</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5620mg/kg (大鼠经口)；4940mg/kg (兔经口) 。LC</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5760mg/m</w:t>
                  </w:r>
                  <w:r>
                    <w:rPr>
                      <w:rFonts w:hint="default" w:ascii="Times New Roman" w:hAnsi="Times New Roman" w:eastAsia="宋体" w:cs="Times New Roman"/>
                      <w:color w:val="auto"/>
                      <w:kern w:val="2"/>
                      <w:sz w:val="21"/>
                      <w:szCs w:val="21"/>
                      <w:highlight w:val="none"/>
                      <w:shd w:val="clear" w:color="auto" w:fill="auto"/>
                      <w:vertAlign w:val="superscript"/>
                      <w:lang w:val="en-US" w:eastAsia="zh-CN" w:bidi="ar-SA"/>
                    </w:rPr>
                    <w:t>3</w:t>
                  </w:r>
                  <w:r>
                    <w:rPr>
                      <w:rFonts w:hint="default" w:ascii="Times New Roman" w:hAnsi="Times New Roman" w:eastAsia="宋体" w:cs="Times New Roman"/>
                      <w:color w:val="auto"/>
                      <w:kern w:val="2"/>
                      <w:sz w:val="21"/>
                      <w:szCs w:val="21"/>
                      <w:highlight w:val="none"/>
                      <w:shd w:val="clear" w:color="auto" w:fill="auto"/>
                      <w:lang w:val="en-US" w:eastAsia="zh-CN" w:bidi="ar-SA"/>
                    </w:rPr>
                    <w:t>，8小时</w:t>
                  </w: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大鼠吸入</w:t>
                  </w:r>
                  <w:r>
                    <w:rPr>
                      <w:rFonts w:hint="eastAsia" w:ascii="Times New Roman" w:hAnsi="Times New Roman" w:eastAsia="宋体" w:cs="Times New Roman"/>
                      <w:color w:val="auto"/>
                      <w:kern w:val="2"/>
                      <w:sz w:val="21"/>
                      <w:szCs w:val="21"/>
                      <w:highlight w:val="none"/>
                      <w:shd w:val="clear" w:color="auto" w:fill="auto"/>
                      <w:lang w:val="en-US" w:eastAsia="zh-CN" w:bidi="ar-SA"/>
                    </w:rPr>
                    <w:t>）</w:t>
                  </w:r>
                </w:p>
              </w:tc>
              <w:tc>
                <w:tcPr>
                  <w:tcW w:w="1209" w:type="pct"/>
                  <w:tcBorders>
                    <w:tl2br w:val="nil"/>
                    <w:tr2bl w:val="nil"/>
                  </w:tcBorders>
                  <w:shd w:val="clear" w:color="auto" w:fill="auto"/>
                  <w:vAlign w:val="center"/>
                </w:tcPr>
                <w:p w14:paraId="530431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lang w:val="en-US" w:eastAsia="zh-CN"/>
                    </w:rPr>
                    <w:t>易</w:t>
                  </w:r>
                  <w:r>
                    <w:rPr>
                      <w:rFonts w:hint="default" w:ascii="Times New Roman" w:hAnsi="Times New Roman" w:eastAsia="宋体" w:cs="Times New Roman"/>
                      <w:color w:val="auto"/>
                      <w:sz w:val="21"/>
                      <w:szCs w:val="21"/>
                      <w:highlight w:val="none"/>
                    </w:rPr>
                    <w:t>燃</w:t>
                  </w:r>
                </w:p>
              </w:tc>
            </w:tr>
            <w:tr w14:paraId="2C104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tl2br w:val="nil"/>
                    <w:tr2bl w:val="nil"/>
                  </w:tcBorders>
                  <w:vAlign w:val="center"/>
                </w:tcPr>
                <w:p w14:paraId="58FC669B">
                  <w:pPr>
                    <w:jc w:val="center"/>
                    <w:rPr>
                      <w:rFonts w:hint="default" w:ascii="Times New Roman" w:hAnsi="Times New Roman" w:eastAsia="宋体" w:cs="Times New Roman"/>
                      <w:bCs/>
                      <w:color w:val="auto"/>
                      <w:sz w:val="21"/>
                      <w:szCs w:val="21"/>
                      <w:highlight w:val="none"/>
                      <w:shd w:val="clear" w:color="auto" w:fill="auto"/>
                    </w:rPr>
                  </w:pPr>
                </w:p>
              </w:tc>
              <w:tc>
                <w:tcPr>
                  <w:tcW w:w="1180" w:type="pct"/>
                  <w:tcBorders>
                    <w:tl2br w:val="nil"/>
                    <w:tr2bl w:val="nil"/>
                  </w:tcBorders>
                  <w:shd w:val="clear" w:color="auto" w:fill="auto"/>
                  <w:vAlign w:val="center"/>
                </w:tcPr>
                <w:p w14:paraId="459867B3">
                  <w:pPr>
                    <w:pStyle w:val="8"/>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kern w:val="2"/>
                      <w:sz w:val="21"/>
                      <w:szCs w:val="22"/>
                      <w:highlight w:val="none"/>
                      <w:shd w:val="clear" w:color="auto" w:fill="auto"/>
                      <w:lang w:val="en-US" w:eastAsia="zh-CN" w:bidi="ar-SA"/>
                    </w:rPr>
                    <w:t>乙酸乙酯</w:t>
                  </w:r>
                </w:p>
              </w:tc>
              <w:tc>
                <w:tcPr>
                  <w:tcW w:w="1858" w:type="pct"/>
                  <w:tcBorders>
                    <w:tl2br w:val="nil"/>
                    <w:tr2bl w:val="nil"/>
                  </w:tcBorders>
                  <w:shd w:val="clear" w:color="auto" w:fill="auto"/>
                  <w:vAlign w:val="center"/>
                </w:tcPr>
                <w:p w14:paraId="337719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rPr>
                    <w:t>LD</w:t>
                  </w:r>
                  <w:r>
                    <w:rPr>
                      <w:rFonts w:hint="default" w:ascii="Times New Roman" w:hAnsi="Times New Roman" w:eastAsia="宋体" w:cs="Times New Roman"/>
                      <w:color w:val="auto"/>
                      <w:sz w:val="21"/>
                      <w:szCs w:val="21"/>
                      <w:vertAlign w:val="subscript"/>
                    </w:rPr>
                    <w:t>50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27</w:t>
                  </w:r>
                  <w:r>
                    <w:rPr>
                      <w:rFonts w:hint="default" w:ascii="Times New Roman" w:hAnsi="Times New Roman" w:eastAsia="宋体" w:cs="Times New Roman"/>
                      <w:color w:val="auto"/>
                      <w:sz w:val="21"/>
                      <w:szCs w:val="21"/>
                    </w:rPr>
                    <w:t>40 mg/kg</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兔经</w:t>
                  </w:r>
                  <w:r>
                    <w:rPr>
                      <w:rFonts w:hint="eastAsia" w:ascii="Times New Roman" w:hAnsi="Times New Roman" w:eastAsia="宋体" w:cs="Times New Roman"/>
                      <w:color w:val="auto"/>
                      <w:sz w:val="21"/>
                      <w:szCs w:val="21"/>
                      <w:lang w:val="en-US" w:eastAsia="zh-CN"/>
                    </w:rPr>
                    <w:t>皮</w:t>
                  </w:r>
                  <w:r>
                    <w:rPr>
                      <w:rFonts w:hint="default" w:ascii="Times New Roman" w:hAnsi="Times New Roman" w:eastAsia="宋体" w:cs="Times New Roman"/>
                      <w:color w:val="auto"/>
                      <w:sz w:val="21"/>
                      <w:szCs w:val="21"/>
                      <w:lang w:eastAsia="zh-CN"/>
                    </w:rPr>
                    <w:t>）</w:t>
                  </w:r>
                </w:p>
              </w:tc>
              <w:tc>
                <w:tcPr>
                  <w:tcW w:w="1209" w:type="pct"/>
                  <w:tcBorders>
                    <w:tl2br w:val="nil"/>
                    <w:tr2bl w:val="nil"/>
                  </w:tcBorders>
                  <w:vAlign w:val="center"/>
                </w:tcPr>
                <w:p w14:paraId="51F4E326">
                  <w:pPr>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rPr>
                    <w:t>易燃，其蒸气与空气可形成爆炸性混合物。遇明火、高热能引起燃烧爆炸。与氧化剂接触会猛烈反应。</w:t>
                  </w:r>
                </w:p>
              </w:tc>
            </w:tr>
            <w:tr w14:paraId="4D92F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tl2br w:val="nil"/>
                    <w:tr2bl w:val="nil"/>
                  </w:tcBorders>
                  <w:vAlign w:val="center"/>
                </w:tcPr>
                <w:p w14:paraId="303AC280">
                  <w:pPr>
                    <w:jc w:val="center"/>
                    <w:rPr>
                      <w:rFonts w:hint="default" w:ascii="Times New Roman" w:hAnsi="Times New Roman" w:eastAsia="宋体" w:cs="Times New Roman"/>
                      <w:bCs/>
                      <w:color w:val="auto"/>
                      <w:sz w:val="21"/>
                      <w:szCs w:val="21"/>
                      <w:highlight w:val="none"/>
                      <w:shd w:val="clear" w:color="auto" w:fill="auto"/>
                    </w:rPr>
                  </w:pPr>
                </w:p>
              </w:tc>
              <w:tc>
                <w:tcPr>
                  <w:tcW w:w="1180" w:type="pct"/>
                  <w:tcBorders>
                    <w:tl2br w:val="nil"/>
                    <w:tr2bl w:val="nil"/>
                  </w:tcBorders>
                  <w:shd w:val="clear" w:color="auto" w:fill="auto"/>
                  <w:vAlign w:val="center"/>
                </w:tcPr>
                <w:p w14:paraId="0877BBAD">
                  <w:pPr>
                    <w:pStyle w:val="8"/>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双组份无溶剂聚氨酯粘合剂</w:t>
                  </w:r>
                </w:p>
              </w:tc>
              <w:tc>
                <w:tcPr>
                  <w:tcW w:w="1858" w:type="pct"/>
                  <w:tcBorders>
                    <w:tl2br w:val="nil"/>
                    <w:tr2bl w:val="nil"/>
                  </w:tcBorders>
                  <w:shd w:val="clear" w:color="auto" w:fill="auto"/>
                  <w:vAlign w:val="center"/>
                </w:tcPr>
                <w:p w14:paraId="721891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LD</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default" w:ascii="Times New Roman" w:hAnsi="Times New Roman" w:eastAsia="宋体" w:cs="Times New Roman"/>
                      <w:color w:val="auto"/>
                      <w:kern w:val="2"/>
                      <w:sz w:val="21"/>
                      <w:szCs w:val="21"/>
                      <w:highlight w:val="none"/>
                      <w:shd w:val="clear" w:color="auto" w:fill="auto"/>
                      <w:lang w:val="en-US" w:eastAsia="zh-CN" w:bidi="ar-SA"/>
                    </w:rPr>
                    <w:t>:</w:t>
                  </w:r>
                  <w:r>
                    <w:rPr>
                      <w:rFonts w:hint="eastAsia" w:ascii="Times New Roman" w:hAnsi="Times New Roman" w:eastAsia="宋体" w:cs="Times New Roman"/>
                      <w:color w:val="auto"/>
                      <w:kern w:val="2"/>
                      <w:sz w:val="21"/>
                      <w:szCs w:val="21"/>
                      <w:highlight w:val="none"/>
                      <w:shd w:val="clear" w:color="auto" w:fill="auto"/>
                      <w:lang w:val="en-US" w:eastAsia="zh-CN" w:bidi="ar-SA"/>
                    </w:rPr>
                    <w:t>582</w:t>
                  </w:r>
                  <w:r>
                    <w:rPr>
                      <w:rFonts w:hint="default" w:ascii="Times New Roman" w:hAnsi="Times New Roman" w:eastAsia="宋体" w:cs="Times New Roman"/>
                      <w:color w:val="auto"/>
                      <w:kern w:val="2"/>
                      <w:sz w:val="21"/>
                      <w:szCs w:val="21"/>
                      <w:highlight w:val="none"/>
                      <w:shd w:val="clear" w:color="auto" w:fill="auto"/>
                      <w:lang w:val="en-US" w:eastAsia="zh-CN" w:bidi="ar-SA"/>
                    </w:rPr>
                    <w:t>0mg/kg（大鼠经口）</w:t>
                  </w:r>
                  <w:r>
                    <w:rPr>
                      <w:rFonts w:hint="eastAsia" w:ascii="Times New Roman" w:hAnsi="Times New Roman" w:eastAsia="宋体" w:cs="Times New Roman"/>
                      <w:color w:val="auto"/>
                      <w:kern w:val="2"/>
                      <w:sz w:val="21"/>
                      <w:szCs w:val="21"/>
                      <w:highlight w:val="none"/>
                      <w:shd w:val="clear" w:color="auto" w:fill="auto"/>
                      <w:lang w:val="en-US" w:eastAsia="zh-CN" w:bidi="ar-SA"/>
                    </w:rPr>
                    <w:t>；5240mg</w:t>
                  </w:r>
                  <w:r>
                    <w:rPr>
                      <w:rFonts w:hint="default" w:ascii="Times New Roman" w:hAnsi="Times New Roman" w:eastAsia="宋体" w:cs="Times New Roman"/>
                      <w:color w:val="auto"/>
                      <w:kern w:val="2"/>
                      <w:sz w:val="21"/>
                      <w:szCs w:val="21"/>
                      <w:highlight w:val="none"/>
                      <w:shd w:val="clear" w:color="auto" w:fill="auto"/>
                      <w:lang w:val="en-US" w:eastAsia="zh-CN" w:bidi="ar-SA"/>
                    </w:rPr>
                    <w:t>/kg（兔经皮）</w:t>
                  </w:r>
                  <w:r>
                    <w:rPr>
                      <w:rFonts w:hint="eastAsia" w:ascii="Times New Roman" w:hAnsi="Times New Roman" w:eastAsia="宋体" w:cs="Times New Roman"/>
                      <w:color w:val="auto"/>
                      <w:kern w:val="2"/>
                      <w:sz w:val="21"/>
                      <w:szCs w:val="21"/>
                      <w:highlight w:val="none"/>
                      <w:shd w:val="clear" w:color="auto" w:fill="auto"/>
                      <w:lang w:val="en-US" w:eastAsia="zh-CN" w:bidi="ar-SA"/>
                    </w:rPr>
                    <w:t>。</w:t>
                  </w:r>
                </w:p>
                <w:p w14:paraId="3DD0CB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kern w:val="2"/>
                      <w:sz w:val="21"/>
                      <w:szCs w:val="21"/>
                      <w:highlight w:val="none"/>
                      <w:shd w:val="clear" w:color="auto" w:fill="auto"/>
                      <w:lang w:val="en-US" w:eastAsia="zh-CN" w:bidi="ar-SA"/>
                    </w:rPr>
                    <w:t>L</w:t>
                  </w:r>
                  <w:r>
                    <w:rPr>
                      <w:rFonts w:hint="eastAsia" w:ascii="Times New Roman" w:hAnsi="Times New Roman" w:eastAsia="宋体" w:cs="Times New Roman"/>
                      <w:color w:val="auto"/>
                      <w:kern w:val="2"/>
                      <w:sz w:val="21"/>
                      <w:szCs w:val="21"/>
                      <w:highlight w:val="none"/>
                      <w:shd w:val="clear" w:color="auto" w:fill="auto"/>
                      <w:lang w:val="en-US" w:eastAsia="zh-CN" w:bidi="ar-SA"/>
                    </w:rPr>
                    <w:t>C</w:t>
                  </w:r>
                  <w:r>
                    <w:rPr>
                      <w:rFonts w:hint="default" w:ascii="Times New Roman" w:hAnsi="Times New Roman" w:eastAsia="宋体" w:cs="Times New Roman"/>
                      <w:color w:val="auto"/>
                      <w:kern w:val="2"/>
                      <w:sz w:val="21"/>
                      <w:szCs w:val="21"/>
                      <w:highlight w:val="none"/>
                      <w:shd w:val="clear" w:color="auto" w:fill="auto"/>
                      <w:vertAlign w:val="subscript"/>
                      <w:lang w:val="en-US" w:eastAsia="zh-CN" w:bidi="ar-SA"/>
                    </w:rPr>
                    <w:t>50</w:t>
                  </w:r>
                  <w:r>
                    <w:rPr>
                      <w:rFonts w:hint="default" w:ascii="Times New Roman" w:hAnsi="Times New Roman" w:eastAsia="宋体" w:cs="Times New Roman"/>
                      <w:color w:val="auto"/>
                      <w:kern w:val="2"/>
                      <w:sz w:val="21"/>
                      <w:szCs w:val="21"/>
                      <w:highlight w:val="none"/>
                      <w:shd w:val="clear" w:color="auto" w:fill="auto"/>
                      <w:lang w:val="en-US" w:eastAsia="zh-CN" w:bidi="ar-SA"/>
                    </w:rPr>
                    <w:t>:</w:t>
                  </w:r>
                  <w:r>
                    <w:rPr>
                      <w:rFonts w:hint="eastAsia" w:ascii="Times New Roman" w:hAnsi="Times New Roman" w:eastAsia="宋体" w:cs="Times New Roman"/>
                      <w:color w:val="auto"/>
                      <w:kern w:val="2"/>
                      <w:sz w:val="21"/>
                      <w:szCs w:val="21"/>
                      <w:highlight w:val="none"/>
                      <w:shd w:val="clear" w:color="auto" w:fill="auto"/>
                      <w:lang w:val="en-US" w:eastAsia="zh-CN" w:bidi="ar-SA"/>
                    </w:rPr>
                    <w:t>596</w:t>
                  </w:r>
                  <w:r>
                    <w:rPr>
                      <w:rFonts w:hint="default" w:ascii="Times New Roman" w:hAnsi="Times New Roman" w:eastAsia="宋体" w:cs="Times New Roman"/>
                      <w:color w:val="auto"/>
                      <w:kern w:val="2"/>
                      <w:sz w:val="21"/>
                      <w:szCs w:val="21"/>
                      <w:highlight w:val="none"/>
                      <w:shd w:val="clear" w:color="auto" w:fill="auto"/>
                      <w:lang w:val="en-US" w:eastAsia="zh-CN" w:bidi="ar-SA"/>
                    </w:rPr>
                    <w:t>0mg/</w:t>
                  </w:r>
                  <w:r>
                    <w:rPr>
                      <w:rFonts w:hint="eastAsia" w:ascii="Times New Roman" w:hAnsi="Times New Roman" w:eastAsia="宋体" w:cs="Times New Roman"/>
                      <w:color w:val="auto"/>
                      <w:kern w:val="2"/>
                      <w:sz w:val="21"/>
                      <w:szCs w:val="21"/>
                      <w:highlight w:val="none"/>
                      <w:shd w:val="clear" w:color="auto" w:fill="auto"/>
                      <w:lang w:val="en-US" w:eastAsia="zh-CN" w:bidi="ar-SA"/>
                    </w:rPr>
                    <w:t>m</w:t>
                  </w:r>
                  <w:r>
                    <w:rPr>
                      <w:rFonts w:hint="eastAsia" w:ascii="Times New Roman" w:hAnsi="Times New Roman" w:eastAsia="宋体" w:cs="Times New Roman"/>
                      <w:color w:val="auto"/>
                      <w:kern w:val="2"/>
                      <w:sz w:val="21"/>
                      <w:szCs w:val="21"/>
                      <w:highlight w:val="none"/>
                      <w:shd w:val="clear" w:color="auto" w:fill="auto"/>
                      <w:vertAlign w:val="superscript"/>
                      <w:lang w:val="en-US" w:eastAsia="zh-CN" w:bidi="ar-SA"/>
                    </w:rPr>
                    <w:t>3</w:t>
                  </w:r>
                  <w:r>
                    <w:rPr>
                      <w:rFonts w:hint="eastAsia" w:ascii="Times New Roman" w:hAnsi="Times New Roman" w:eastAsia="宋体" w:cs="Times New Roman"/>
                      <w:color w:val="auto"/>
                      <w:kern w:val="2"/>
                      <w:sz w:val="21"/>
                      <w:szCs w:val="21"/>
                      <w:highlight w:val="none"/>
                      <w:shd w:val="clear" w:color="auto" w:fill="auto"/>
                      <w:lang w:val="en-US" w:eastAsia="zh-CN" w:bidi="ar-SA"/>
                    </w:rPr>
                    <w:t xml:space="preserve"> 8小时</w:t>
                  </w:r>
                  <w:r>
                    <w:rPr>
                      <w:rFonts w:hint="default" w:ascii="Times New Roman" w:hAnsi="Times New Roman" w:eastAsia="宋体" w:cs="Times New Roman"/>
                      <w:color w:val="auto"/>
                      <w:kern w:val="2"/>
                      <w:sz w:val="21"/>
                      <w:szCs w:val="21"/>
                      <w:highlight w:val="none"/>
                      <w:shd w:val="clear" w:color="auto" w:fill="auto"/>
                      <w:lang w:val="en-US" w:eastAsia="zh-CN" w:bidi="ar-SA"/>
                    </w:rPr>
                    <w:t>（</w:t>
                  </w:r>
                  <w:r>
                    <w:rPr>
                      <w:rFonts w:hint="eastAsia" w:ascii="Times New Roman" w:hAnsi="Times New Roman" w:eastAsia="宋体" w:cs="Times New Roman"/>
                      <w:color w:val="auto"/>
                      <w:kern w:val="2"/>
                      <w:sz w:val="21"/>
                      <w:szCs w:val="21"/>
                      <w:highlight w:val="none"/>
                      <w:shd w:val="clear" w:color="auto" w:fill="auto"/>
                      <w:lang w:val="en-US" w:eastAsia="zh-CN" w:bidi="ar-SA"/>
                    </w:rPr>
                    <w:t>大鼠吸入</w:t>
                  </w:r>
                  <w:r>
                    <w:rPr>
                      <w:rFonts w:hint="default" w:ascii="Times New Roman" w:hAnsi="Times New Roman" w:eastAsia="宋体" w:cs="Times New Roman"/>
                      <w:color w:val="auto"/>
                      <w:kern w:val="2"/>
                      <w:sz w:val="21"/>
                      <w:szCs w:val="21"/>
                      <w:highlight w:val="none"/>
                      <w:shd w:val="clear" w:color="auto" w:fill="auto"/>
                      <w:lang w:val="en-US" w:eastAsia="zh-CN" w:bidi="ar-SA"/>
                    </w:rPr>
                    <w:t>）</w:t>
                  </w:r>
                </w:p>
              </w:tc>
              <w:tc>
                <w:tcPr>
                  <w:tcW w:w="1209" w:type="pct"/>
                  <w:tcBorders>
                    <w:tl2br w:val="nil"/>
                    <w:tr2bl w:val="nil"/>
                  </w:tcBorders>
                  <w:vAlign w:val="center"/>
                </w:tcPr>
                <w:p w14:paraId="6D2D4A2F">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可燃</w:t>
                  </w:r>
                </w:p>
              </w:tc>
            </w:tr>
            <w:tr w14:paraId="5ECC7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vMerge w:val="continue"/>
                  <w:tcBorders>
                    <w:tl2br w:val="nil"/>
                    <w:tr2bl w:val="nil"/>
                  </w:tcBorders>
                  <w:vAlign w:val="center"/>
                </w:tcPr>
                <w:p w14:paraId="6B712A70">
                  <w:pPr>
                    <w:jc w:val="center"/>
                    <w:rPr>
                      <w:rFonts w:hint="default" w:ascii="Times New Roman" w:hAnsi="Times New Roman" w:eastAsia="宋体" w:cs="Times New Roman"/>
                      <w:bCs/>
                      <w:color w:val="auto"/>
                      <w:sz w:val="21"/>
                      <w:szCs w:val="21"/>
                      <w:highlight w:val="none"/>
                      <w:shd w:val="clear" w:color="auto" w:fill="auto"/>
                    </w:rPr>
                  </w:pPr>
                </w:p>
              </w:tc>
              <w:tc>
                <w:tcPr>
                  <w:tcW w:w="1180" w:type="pct"/>
                  <w:tcBorders>
                    <w:tl2br w:val="nil"/>
                    <w:tr2bl w:val="nil"/>
                  </w:tcBorders>
                  <w:shd w:val="clear" w:color="auto" w:fill="auto"/>
                  <w:vAlign w:val="center"/>
                </w:tcPr>
                <w:p w14:paraId="6E71A593">
                  <w:pPr>
                    <w:pStyle w:val="8"/>
                    <w:bidi w:val="0"/>
                    <w:ind w:left="0" w:leftChars="0" w:firstLine="0" w:firstLineChars="0"/>
                    <w:jc w:val="center"/>
                    <w:rPr>
                      <w:rFonts w:hint="default" w:ascii="Times New Roman" w:hAnsi="Times New Roman" w:eastAsia="宋体" w:cs="Times New Roman"/>
                      <w:color w:val="auto"/>
                      <w:kern w:val="2"/>
                      <w:sz w:val="21"/>
                      <w:szCs w:val="22"/>
                      <w:highlight w:val="none"/>
                      <w:shd w:val="clear" w:color="auto" w:fill="auto"/>
                      <w:lang w:val="en-US" w:eastAsia="zh-CN" w:bidi="ar-SA"/>
                    </w:rPr>
                  </w:pPr>
                  <w:r>
                    <w:rPr>
                      <w:rFonts w:hint="eastAsia" w:ascii="Times New Roman" w:hAnsi="Times New Roman" w:eastAsia="宋体" w:cs="Times New Roman"/>
                      <w:color w:val="auto"/>
                      <w:highlight w:val="none"/>
                      <w:shd w:val="clear" w:color="auto" w:fill="auto"/>
                      <w:lang w:val="en-US" w:eastAsia="zh-CN"/>
                    </w:rPr>
                    <w:t>黄油</w:t>
                  </w:r>
                </w:p>
              </w:tc>
              <w:tc>
                <w:tcPr>
                  <w:tcW w:w="1858" w:type="pct"/>
                  <w:tcBorders>
                    <w:tl2br w:val="nil"/>
                    <w:tr2bl w:val="nil"/>
                  </w:tcBorders>
                  <w:shd w:val="clear" w:color="auto" w:fill="auto"/>
                  <w:vAlign w:val="center"/>
                </w:tcPr>
                <w:p w14:paraId="5700DE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lang w:val="en-US" w:eastAsia="zh-CN"/>
                    </w:rPr>
                    <w:t>/</w:t>
                  </w:r>
                </w:p>
              </w:tc>
              <w:tc>
                <w:tcPr>
                  <w:tcW w:w="1209" w:type="pct"/>
                  <w:tcBorders>
                    <w:tl2br w:val="nil"/>
                    <w:tr2bl w:val="nil"/>
                  </w:tcBorders>
                  <w:vAlign w:val="center"/>
                </w:tcPr>
                <w:p w14:paraId="63CB3DF2">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可燃</w:t>
                  </w:r>
                </w:p>
              </w:tc>
            </w:tr>
            <w:tr w14:paraId="4A17A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1" w:type="pct"/>
                  <w:tcBorders>
                    <w:tl2br w:val="nil"/>
                    <w:tr2bl w:val="nil"/>
                  </w:tcBorders>
                  <w:vAlign w:val="center"/>
                </w:tcPr>
                <w:p w14:paraId="0A984039">
                  <w:pPr>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危险废物</w:t>
                  </w:r>
                </w:p>
              </w:tc>
              <w:tc>
                <w:tcPr>
                  <w:tcW w:w="1180" w:type="pct"/>
                  <w:tcBorders>
                    <w:tl2br w:val="nil"/>
                    <w:tr2bl w:val="nil"/>
                  </w:tcBorders>
                  <w:vAlign w:val="center"/>
                </w:tcPr>
                <w:p w14:paraId="4574B26E">
                  <w:pPr>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1858" w:type="pct"/>
                  <w:tcBorders>
                    <w:tl2br w:val="nil"/>
                    <w:tr2bl w:val="nil"/>
                  </w:tcBorders>
                  <w:vAlign w:val="center"/>
                </w:tcPr>
                <w:p w14:paraId="2B647A68">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1209" w:type="pct"/>
                  <w:tcBorders>
                    <w:tl2br w:val="nil"/>
                    <w:tr2bl w:val="nil"/>
                  </w:tcBorders>
                  <w:shd w:val="clear" w:color="auto" w:fill="auto"/>
                  <w:vAlign w:val="center"/>
                </w:tcPr>
                <w:p w14:paraId="0CEBA4B1">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rPr>
                    <w:t>可燃</w:t>
                  </w:r>
                </w:p>
              </w:tc>
            </w:tr>
          </w:tbl>
          <w:p w14:paraId="7614FA96">
            <w:pPr>
              <w:spacing w:before="156" w:beforeLines="50"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2、危险物质数量与临界量比值</w:t>
            </w:r>
          </w:p>
          <w:p w14:paraId="19AA19C9">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参照《建设项目环境风险评价技术导则》（HJ169-2018）附录C，计算所涉及的每种危险物质在厂界内的最大存在总量与其在附录B中对应临界量的比值Q。</w:t>
            </w:r>
          </w:p>
          <w:p w14:paraId="68E7F85A">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当存在多种危险物质时，使用以下公式计算物质总量与临界量的比值Q：</w:t>
            </w:r>
          </w:p>
          <w:p w14:paraId="3A637A20">
            <w:pPr>
              <w:spacing w:line="360" w:lineRule="auto"/>
              <w:jc w:val="center"/>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highlight w:val="none"/>
                <w:shd w:val="clear" w:color="auto" w:fill="auto"/>
              </w:rPr>
              <w:drawing>
                <wp:inline distT="0" distB="0" distL="0" distR="0">
                  <wp:extent cx="1657350" cy="428625"/>
                  <wp:effectExtent l="1905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23"/>
                          <a:srcRect/>
                          <a:stretch>
                            <a:fillRect/>
                          </a:stretch>
                        </pic:blipFill>
                        <pic:spPr>
                          <a:xfrm>
                            <a:off x="0" y="0"/>
                            <a:ext cx="1657350" cy="428625"/>
                          </a:xfrm>
                          <a:prstGeom prst="rect">
                            <a:avLst/>
                          </a:prstGeom>
                          <a:noFill/>
                          <a:ln w="9525" cmpd="sng">
                            <a:noFill/>
                            <a:miter lim="800000"/>
                            <a:headEnd/>
                            <a:tailEnd/>
                          </a:ln>
                        </pic:spPr>
                      </pic:pic>
                    </a:graphicData>
                  </a:graphic>
                </wp:inline>
              </w:drawing>
            </w:r>
          </w:p>
          <w:p w14:paraId="5F867AFD">
            <w:pPr>
              <w:spacing w:line="360" w:lineRule="auto"/>
              <w:ind w:firstLine="480" w:firstLineChars="200"/>
              <w:rPr>
                <w:rFonts w:hint="default" w:ascii="Times New Roman" w:hAnsi="Times New Roman" w:eastAsia="宋体" w:cs="Times New Roman"/>
                <w:bCs/>
                <w:color w:val="auto"/>
                <w:sz w:val="24"/>
                <w:highlight w:val="none"/>
                <w:shd w:val="clear" w:color="auto" w:fill="auto"/>
              </w:rPr>
            </w:pPr>
            <w:r>
              <w:rPr>
                <w:rFonts w:hint="default" w:ascii="Times New Roman" w:hAnsi="Times New Roman" w:eastAsia="宋体" w:cs="Times New Roman"/>
                <w:bCs/>
                <w:color w:val="auto"/>
                <w:sz w:val="24"/>
                <w:highlight w:val="none"/>
                <w:shd w:val="clear" w:color="auto" w:fill="auto"/>
              </w:rPr>
              <w:t>式中：</w:t>
            </w:r>
          </w:p>
          <w:p w14:paraId="2693BE45">
            <w:pPr>
              <w:spacing w:line="360" w:lineRule="auto"/>
              <w:ind w:firstLine="480" w:firstLineChars="200"/>
              <w:rPr>
                <w:rFonts w:hint="default" w:ascii="Times New Roman" w:hAnsi="Times New Roman" w:eastAsia="宋体" w:cs="Times New Roman"/>
                <w:bCs/>
                <w:color w:val="auto"/>
                <w:sz w:val="24"/>
                <w:highlight w:val="none"/>
                <w:shd w:val="clear" w:color="auto" w:fill="auto"/>
              </w:rPr>
            </w:pPr>
            <w:r>
              <w:rPr>
                <w:rFonts w:hint="default" w:ascii="Times New Roman" w:hAnsi="Times New Roman" w:eastAsia="宋体" w:cs="Times New Roman"/>
                <w:bCs/>
                <w:color w:val="auto"/>
                <w:sz w:val="24"/>
                <w:highlight w:val="none"/>
                <w:shd w:val="clear" w:color="auto" w:fill="auto"/>
              </w:rPr>
              <w:t>q</w:t>
            </w:r>
            <w:r>
              <w:rPr>
                <w:rFonts w:hint="default" w:ascii="Times New Roman" w:hAnsi="Times New Roman" w:eastAsia="宋体" w:cs="Times New Roman"/>
                <w:bCs/>
                <w:color w:val="auto"/>
                <w:sz w:val="24"/>
                <w:highlight w:val="none"/>
                <w:shd w:val="clear" w:color="auto" w:fill="auto"/>
                <w:vertAlign w:val="subscript"/>
              </w:rPr>
              <w:t>1</w:t>
            </w:r>
            <w:r>
              <w:rPr>
                <w:rFonts w:hint="default" w:ascii="Times New Roman" w:hAnsi="Times New Roman" w:eastAsia="宋体" w:cs="Times New Roman"/>
                <w:bCs/>
                <w:color w:val="auto"/>
                <w:sz w:val="24"/>
                <w:highlight w:val="none"/>
                <w:shd w:val="clear" w:color="auto" w:fill="auto"/>
              </w:rPr>
              <w:t>，q</w:t>
            </w:r>
            <w:r>
              <w:rPr>
                <w:rFonts w:hint="default" w:ascii="Times New Roman" w:hAnsi="Times New Roman" w:eastAsia="宋体" w:cs="Times New Roman"/>
                <w:bCs/>
                <w:color w:val="auto"/>
                <w:sz w:val="24"/>
                <w:highlight w:val="none"/>
                <w:shd w:val="clear" w:color="auto" w:fill="auto"/>
                <w:vertAlign w:val="subscript"/>
              </w:rPr>
              <w:t>2</w:t>
            </w:r>
            <w:r>
              <w:rPr>
                <w:rFonts w:hint="default" w:ascii="Times New Roman" w:hAnsi="Times New Roman" w:eastAsia="宋体" w:cs="Times New Roman"/>
                <w:bCs/>
                <w:color w:val="auto"/>
                <w:sz w:val="24"/>
                <w:highlight w:val="none"/>
                <w:shd w:val="clear" w:color="auto" w:fill="auto"/>
              </w:rPr>
              <w:t>，...，q</w:t>
            </w:r>
            <w:r>
              <w:rPr>
                <w:rFonts w:hint="default" w:ascii="Times New Roman" w:hAnsi="Times New Roman" w:eastAsia="宋体" w:cs="Times New Roman"/>
                <w:bCs/>
                <w:color w:val="auto"/>
                <w:sz w:val="24"/>
                <w:highlight w:val="none"/>
                <w:shd w:val="clear" w:color="auto" w:fill="auto"/>
                <w:vertAlign w:val="subscript"/>
              </w:rPr>
              <w:t>n</w:t>
            </w:r>
            <w:r>
              <w:rPr>
                <w:rFonts w:hint="default" w:ascii="Times New Roman" w:hAnsi="Times New Roman" w:eastAsia="宋体" w:cs="Times New Roman"/>
                <w:bCs/>
                <w:color w:val="auto"/>
                <w:sz w:val="24"/>
                <w:highlight w:val="none"/>
                <w:shd w:val="clear" w:color="auto" w:fill="auto"/>
              </w:rPr>
              <w:t>——每种危险物质的最大存在总量，t；</w:t>
            </w:r>
          </w:p>
          <w:p w14:paraId="581F8A31">
            <w:pPr>
              <w:spacing w:line="360" w:lineRule="auto"/>
              <w:ind w:firstLine="480" w:firstLineChars="200"/>
              <w:rPr>
                <w:rFonts w:hint="default" w:ascii="Times New Roman" w:hAnsi="Times New Roman" w:eastAsia="宋体" w:cs="Times New Roman"/>
                <w:bCs/>
                <w:color w:val="auto"/>
                <w:sz w:val="24"/>
                <w:highlight w:val="none"/>
                <w:shd w:val="clear" w:color="auto" w:fill="auto"/>
              </w:rPr>
            </w:pPr>
            <w:r>
              <w:rPr>
                <w:rFonts w:hint="default" w:ascii="Times New Roman" w:hAnsi="Times New Roman" w:eastAsia="宋体" w:cs="Times New Roman"/>
                <w:bCs/>
                <w:color w:val="auto"/>
                <w:sz w:val="24"/>
                <w:highlight w:val="none"/>
                <w:shd w:val="clear" w:color="auto" w:fill="auto"/>
              </w:rPr>
              <w:t>Q</w:t>
            </w:r>
            <w:r>
              <w:rPr>
                <w:rFonts w:hint="default" w:ascii="Times New Roman" w:hAnsi="Times New Roman" w:eastAsia="宋体" w:cs="Times New Roman"/>
                <w:bCs/>
                <w:color w:val="auto"/>
                <w:sz w:val="24"/>
                <w:highlight w:val="none"/>
                <w:shd w:val="clear" w:color="auto" w:fill="auto"/>
                <w:vertAlign w:val="subscript"/>
              </w:rPr>
              <w:t>1</w:t>
            </w:r>
            <w:r>
              <w:rPr>
                <w:rFonts w:hint="default" w:ascii="Times New Roman" w:hAnsi="Times New Roman" w:eastAsia="宋体" w:cs="Times New Roman"/>
                <w:bCs/>
                <w:color w:val="auto"/>
                <w:sz w:val="24"/>
                <w:highlight w:val="none"/>
                <w:shd w:val="clear" w:color="auto" w:fill="auto"/>
              </w:rPr>
              <w:t>，Q</w:t>
            </w:r>
            <w:r>
              <w:rPr>
                <w:rFonts w:hint="default" w:ascii="Times New Roman" w:hAnsi="Times New Roman" w:eastAsia="宋体" w:cs="Times New Roman"/>
                <w:bCs/>
                <w:color w:val="auto"/>
                <w:sz w:val="24"/>
                <w:highlight w:val="none"/>
                <w:shd w:val="clear" w:color="auto" w:fill="auto"/>
                <w:vertAlign w:val="subscript"/>
              </w:rPr>
              <w:t>2</w:t>
            </w:r>
            <w:r>
              <w:rPr>
                <w:rFonts w:hint="default" w:ascii="Times New Roman" w:hAnsi="Times New Roman" w:eastAsia="宋体" w:cs="Times New Roman"/>
                <w:bCs/>
                <w:color w:val="auto"/>
                <w:sz w:val="24"/>
                <w:highlight w:val="none"/>
                <w:shd w:val="clear" w:color="auto" w:fill="auto"/>
              </w:rPr>
              <w:t>，...，Q</w:t>
            </w:r>
            <w:r>
              <w:rPr>
                <w:rFonts w:hint="default" w:ascii="Times New Roman" w:hAnsi="Times New Roman" w:eastAsia="宋体" w:cs="Times New Roman"/>
                <w:bCs/>
                <w:color w:val="auto"/>
                <w:sz w:val="24"/>
                <w:highlight w:val="none"/>
                <w:shd w:val="clear" w:color="auto" w:fill="auto"/>
                <w:vertAlign w:val="subscript"/>
              </w:rPr>
              <w:t>n</w:t>
            </w:r>
            <w:r>
              <w:rPr>
                <w:rFonts w:hint="default" w:ascii="Times New Roman" w:hAnsi="Times New Roman" w:eastAsia="宋体" w:cs="Times New Roman"/>
                <w:bCs/>
                <w:color w:val="auto"/>
                <w:sz w:val="24"/>
                <w:highlight w:val="none"/>
                <w:shd w:val="clear" w:color="auto" w:fill="auto"/>
              </w:rPr>
              <w:t>——每种危险物质的临界量，t。</w:t>
            </w:r>
          </w:p>
          <w:p w14:paraId="58ADDA22">
            <w:pPr>
              <w:spacing w:line="360" w:lineRule="auto"/>
              <w:ind w:firstLine="480" w:firstLineChars="200"/>
              <w:rPr>
                <w:rFonts w:hint="default" w:ascii="Times New Roman" w:hAnsi="Times New Roman" w:eastAsia="宋体" w:cs="Times New Roman"/>
                <w:bCs/>
                <w:color w:val="auto"/>
                <w:sz w:val="24"/>
                <w:highlight w:val="none"/>
                <w:shd w:val="clear" w:color="auto" w:fill="auto"/>
              </w:rPr>
            </w:pPr>
            <w:r>
              <w:rPr>
                <w:rFonts w:hint="default" w:ascii="Times New Roman" w:hAnsi="Times New Roman" w:eastAsia="宋体" w:cs="Times New Roman"/>
                <w:bCs/>
                <w:color w:val="auto"/>
                <w:sz w:val="24"/>
                <w:highlight w:val="none"/>
                <w:shd w:val="clear" w:color="auto" w:fill="auto"/>
              </w:rPr>
              <w:t>当Q＜1时，该项目环境风险潜势为Ⅰ。</w:t>
            </w:r>
          </w:p>
          <w:p w14:paraId="6554E338">
            <w:pPr>
              <w:spacing w:line="360" w:lineRule="auto"/>
              <w:ind w:firstLine="480" w:firstLineChars="200"/>
              <w:rPr>
                <w:rFonts w:hint="default" w:ascii="Times New Roman" w:hAnsi="Times New Roman" w:eastAsia="宋体" w:cs="Times New Roman"/>
                <w:bCs/>
                <w:color w:val="auto"/>
                <w:sz w:val="24"/>
                <w:highlight w:val="none"/>
                <w:shd w:val="clear" w:color="auto" w:fill="auto"/>
              </w:rPr>
            </w:pPr>
            <w:r>
              <w:rPr>
                <w:rFonts w:hint="default" w:ascii="Times New Roman" w:hAnsi="Times New Roman" w:eastAsia="宋体" w:cs="Times New Roman"/>
                <w:bCs/>
                <w:color w:val="auto"/>
                <w:sz w:val="24"/>
                <w:highlight w:val="none"/>
                <w:shd w:val="clear" w:color="auto" w:fill="auto"/>
              </w:rPr>
              <w:t>当Q≥1时，将Q值划分为：（1）1≤Q＜10；（2）10≤Q＜100；（3）Q≥100。</w:t>
            </w:r>
          </w:p>
          <w:p w14:paraId="4EA0B1B3">
            <w:pPr>
              <w:spacing w:line="360" w:lineRule="auto"/>
              <w:ind w:firstLine="480" w:firstLineChars="200"/>
              <w:rPr>
                <w:rFonts w:hint="default" w:ascii="Times New Roman" w:hAnsi="Times New Roman" w:eastAsia="宋体" w:cs="Times New Roman"/>
                <w:bCs/>
                <w:color w:val="auto"/>
                <w:sz w:val="24"/>
                <w:highlight w:val="none"/>
                <w:shd w:val="clear" w:color="auto" w:fill="auto"/>
              </w:rPr>
            </w:pPr>
            <w:r>
              <w:rPr>
                <w:rFonts w:hint="default" w:ascii="Times New Roman" w:hAnsi="Times New Roman" w:eastAsia="宋体" w:cs="Times New Roman"/>
                <w:bCs/>
                <w:color w:val="auto"/>
                <w:sz w:val="24"/>
                <w:highlight w:val="none"/>
                <w:shd w:val="clear" w:color="auto" w:fill="auto"/>
              </w:rPr>
              <w:t>本项目Q值计算结果见下表。</w:t>
            </w:r>
          </w:p>
          <w:p w14:paraId="165C142A">
            <w:pPr>
              <w:jc w:val="center"/>
              <w:rPr>
                <w:rFonts w:hint="default" w:ascii="Times New Roman" w:hAnsi="Times New Roman" w:eastAsia="宋体" w:cs="Times New Roman"/>
                <w:b/>
                <w:bCs/>
                <w:color w:val="auto"/>
                <w:sz w:val="24"/>
                <w:highlight w:val="none"/>
                <w:shd w:val="clear" w:color="auto" w:fill="auto"/>
              </w:rPr>
            </w:pPr>
            <w:r>
              <w:rPr>
                <w:rFonts w:hint="default" w:ascii="Times New Roman" w:hAnsi="Times New Roman" w:eastAsia="宋体" w:cs="Times New Roman"/>
                <w:b/>
                <w:bCs/>
                <w:color w:val="auto"/>
                <w:sz w:val="24"/>
                <w:highlight w:val="none"/>
                <w:shd w:val="clear" w:color="auto" w:fill="auto"/>
              </w:rPr>
              <w:t>表4</w:t>
            </w:r>
            <w:r>
              <w:rPr>
                <w:rFonts w:hint="default" w:ascii="Times New Roman" w:hAnsi="Times New Roman" w:eastAsia="宋体" w:cs="Times New Roman"/>
                <w:b/>
                <w:bCs/>
                <w:color w:val="auto"/>
                <w:sz w:val="24"/>
                <w:highlight w:val="none"/>
                <w:shd w:val="clear" w:color="auto" w:fill="auto"/>
                <w:lang w:val="en-US" w:eastAsia="zh-CN"/>
              </w:rPr>
              <w:t>-</w:t>
            </w:r>
            <w:r>
              <w:rPr>
                <w:rFonts w:hint="eastAsia" w:ascii="Times New Roman" w:hAnsi="Times New Roman" w:eastAsia="宋体" w:cs="Times New Roman"/>
                <w:b/>
                <w:bCs/>
                <w:color w:val="auto"/>
                <w:sz w:val="24"/>
                <w:highlight w:val="none"/>
                <w:shd w:val="clear" w:color="auto" w:fill="auto"/>
                <w:lang w:val="en-US" w:eastAsia="zh-CN"/>
              </w:rPr>
              <w:t>29</w:t>
            </w:r>
            <w:r>
              <w:rPr>
                <w:rFonts w:hint="default" w:ascii="Times New Roman" w:hAnsi="Times New Roman" w:eastAsia="宋体" w:cs="Times New Roman"/>
                <w:b/>
                <w:bCs/>
                <w:color w:val="auto"/>
                <w:sz w:val="24"/>
                <w:highlight w:val="none"/>
                <w:shd w:val="clear" w:color="auto" w:fill="auto"/>
              </w:rPr>
              <w:t xml:space="preserve">  危险物质数量与临界量比值结果表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477"/>
              <w:gridCol w:w="1311"/>
              <w:gridCol w:w="2603"/>
              <w:gridCol w:w="1338"/>
            </w:tblGrid>
            <w:tr w14:paraId="6FDF9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vAlign w:val="center"/>
                </w:tcPr>
                <w:p w14:paraId="1E68AD7B">
                  <w:pPr>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危险物质名称</w:t>
                  </w:r>
                </w:p>
              </w:tc>
              <w:tc>
                <w:tcPr>
                  <w:tcW w:w="884" w:type="pct"/>
                  <w:tcBorders>
                    <w:tl2br w:val="nil"/>
                    <w:tr2bl w:val="nil"/>
                  </w:tcBorders>
                  <w:vAlign w:val="center"/>
                </w:tcPr>
                <w:p w14:paraId="57ECFDB8">
                  <w:pPr>
                    <w:jc w:val="center"/>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最大储存量 t</w:t>
                  </w:r>
                </w:p>
              </w:tc>
              <w:tc>
                <w:tcPr>
                  <w:tcW w:w="785" w:type="pct"/>
                  <w:tcBorders>
                    <w:tl2br w:val="nil"/>
                    <w:tr2bl w:val="nil"/>
                  </w:tcBorders>
                  <w:vAlign w:val="center"/>
                </w:tcPr>
                <w:p w14:paraId="216766A9">
                  <w:pPr>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临界量 t</w:t>
                  </w:r>
                </w:p>
              </w:tc>
              <w:tc>
                <w:tcPr>
                  <w:tcW w:w="1559" w:type="pct"/>
                  <w:tcBorders>
                    <w:tl2br w:val="nil"/>
                    <w:tr2bl w:val="nil"/>
                  </w:tcBorders>
                  <w:vAlign w:val="center"/>
                </w:tcPr>
                <w:p w14:paraId="4A2A920A">
                  <w:pPr>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临界量依据</w:t>
                  </w:r>
                </w:p>
              </w:tc>
              <w:tc>
                <w:tcPr>
                  <w:tcW w:w="801" w:type="pct"/>
                  <w:tcBorders>
                    <w:tl2br w:val="nil"/>
                    <w:tr2bl w:val="nil"/>
                  </w:tcBorders>
                  <w:vAlign w:val="center"/>
                </w:tcPr>
                <w:p w14:paraId="3B99AB4C">
                  <w:pPr>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q/Q</w:t>
                  </w:r>
                </w:p>
              </w:tc>
            </w:tr>
            <w:tr w14:paraId="08EB8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6C1CE949">
                  <w:pPr>
                    <w:widowControl/>
                    <w:jc w:val="center"/>
                    <w:textAlignment w:val="center"/>
                    <w:rPr>
                      <w:rFonts w:hint="default" w:ascii="Times New Roman" w:hAnsi="Times New Roman" w:eastAsia="宋体" w:cs="Times New Roman"/>
                      <w:bCs/>
                      <w:color w:val="auto"/>
                      <w:kern w:val="2"/>
                      <w:sz w:val="21"/>
                      <w:szCs w:val="21"/>
                      <w:shd w:val="clear" w:color="auto" w:fill="auto"/>
                      <w:lang w:val="en-US" w:eastAsia="zh-CN" w:bidi="ar-SA"/>
                    </w:rPr>
                  </w:pPr>
                  <w:r>
                    <w:rPr>
                      <w:rFonts w:hint="eastAsia" w:ascii="Times New Roman" w:hAnsi="Times New Roman" w:eastAsia="宋体" w:cs="Times New Roman"/>
                      <w:bCs/>
                      <w:color w:val="auto"/>
                      <w:sz w:val="21"/>
                      <w:szCs w:val="21"/>
                      <w:shd w:val="clear" w:color="auto" w:fill="auto"/>
                      <w:lang w:val="en-US" w:eastAsia="zh-CN"/>
                    </w:rPr>
                    <w:t>水性油墨</w:t>
                  </w:r>
                </w:p>
              </w:tc>
              <w:tc>
                <w:tcPr>
                  <w:tcW w:w="884" w:type="pct"/>
                  <w:tcBorders>
                    <w:tl2br w:val="nil"/>
                    <w:tr2bl w:val="nil"/>
                  </w:tcBorders>
                  <w:vAlign w:val="center"/>
                </w:tcPr>
                <w:p w14:paraId="3EAFA67E">
                  <w:pPr>
                    <w:pStyle w:val="8"/>
                    <w:bidi w:val="0"/>
                    <w:ind w:left="0" w:lef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785" w:type="pct"/>
                  <w:tcBorders>
                    <w:tl2br w:val="nil"/>
                    <w:tr2bl w:val="nil"/>
                  </w:tcBorders>
                  <w:vAlign w:val="center"/>
                </w:tcPr>
                <w:p w14:paraId="475ED476">
                  <w:pPr>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5</w:t>
                  </w:r>
                  <w:r>
                    <w:rPr>
                      <w:rFonts w:hint="default" w:ascii="Times New Roman" w:hAnsi="Times New Roman" w:eastAsia="宋体" w:cs="Times New Roman"/>
                      <w:bCs/>
                      <w:color w:val="auto"/>
                      <w:sz w:val="21"/>
                      <w:szCs w:val="21"/>
                      <w:highlight w:val="none"/>
                      <w:shd w:val="clear" w:color="auto" w:fill="auto"/>
                      <w:lang w:val="en-US" w:eastAsia="zh-CN"/>
                    </w:rPr>
                    <w:t>0</w:t>
                  </w:r>
                </w:p>
              </w:tc>
              <w:tc>
                <w:tcPr>
                  <w:tcW w:w="1559" w:type="pct"/>
                  <w:vMerge w:val="restart"/>
                  <w:tcBorders>
                    <w:tl2br w:val="nil"/>
                    <w:tr2bl w:val="nil"/>
                  </w:tcBorders>
                  <w:vAlign w:val="center"/>
                </w:tcPr>
                <w:p w14:paraId="7BD9653E">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HJ169-2018附录</w:t>
                  </w:r>
                </w:p>
              </w:tc>
              <w:tc>
                <w:tcPr>
                  <w:tcW w:w="1338" w:type="dxa"/>
                  <w:tcBorders>
                    <w:tl2br w:val="nil"/>
                    <w:tr2bl w:val="nil"/>
                  </w:tcBorders>
                  <w:shd w:val="clear" w:color="auto" w:fill="auto"/>
                  <w:vAlign w:val="center"/>
                </w:tcPr>
                <w:p w14:paraId="092B766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4B04A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63B9151F">
                  <w:pPr>
                    <w:pStyle w:val="8"/>
                    <w:bidi w:val="0"/>
                    <w:ind w:left="0" w:lef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油性油墨</w:t>
                  </w:r>
                </w:p>
              </w:tc>
              <w:tc>
                <w:tcPr>
                  <w:tcW w:w="884" w:type="pct"/>
                  <w:tcBorders>
                    <w:tl2br w:val="nil"/>
                    <w:tr2bl w:val="nil"/>
                  </w:tcBorders>
                  <w:vAlign w:val="center"/>
                </w:tcPr>
                <w:p w14:paraId="06A3B3E4">
                  <w:pPr>
                    <w:pStyle w:val="8"/>
                    <w:bidi w:val="0"/>
                    <w:ind w:left="0" w:lef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785" w:type="pct"/>
                  <w:tcBorders>
                    <w:tl2br w:val="nil"/>
                    <w:tr2bl w:val="nil"/>
                  </w:tcBorders>
                  <w:vAlign w:val="center"/>
                </w:tcPr>
                <w:p w14:paraId="40372597">
                  <w:pPr>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50</w:t>
                  </w:r>
                </w:p>
              </w:tc>
              <w:tc>
                <w:tcPr>
                  <w:tcW w:w="1559" w:type="pct"/>
                  <w:vMerge w:val="continue"/>
                  <w:tcBorders>
                    <w:tl2br w:val="nil"/>
                    <w:tr2bl w:val="nil"/>
                  </w:tcBorders>
                  <w:vAlign w:val="center"/>
                </w:tcPr>
                <w:p w14:paraId="53FA46AE">
                  <w:pPr>
                    <w:jc w:val="center"/>
                    <w:rPr>
                      <w:rFonts w:hint="default" w:ascii="Times New Roman" w:hAnsi="Times New Roman" w:eastAsia="宋体" w:cs="Times New Roman"/>
                      <w:bCs/>
                      <w:color w:val="auto"/>
                      <w:sz w:val="21"/>
                      <w:szCs w:val="21"/>
                      <w:highlight w:val="none"/>
                      <w:shd w:val="clear" w:color="auto" w:fill="auto"/>
                    </w:rPr>
                  </w:pPr>
                </w:p>
              </w:tc>
              <w:tc>
                <w:tcPr>
                  <w:tcW w:w="1338" w:type="dxa"/>
                  <w:tcBorders>
                    <w:tl2br w:val="nil"/>
                    <w:tr2bl w:val="nil"/>
                  </w:tcBorders>
                  <w:shd w:val="clear" w:color="auto" w:fill="auto"/>
                  <w:vAlign w:val="center"/>
                </w:tcPr>
                <w:p w14:paraId="2B5638F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7BF6B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5912D685">
                  <w:pPr>
                    <w:pStyle w:val="8"/>
                    <w:bidi w:val="0"/>
                    <w:ind w:left="0" w:lef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乙酸乙酯</w:t>
                  </w:r>
                </w:p>
              </w:tc>
              <w:tc>
                <w:tcPr>
                  <w:tcW w:w="884" w:type="pct"/>
                  <w:tcBorders>
                    <w:tl2br w:val="nil"/>
                    <w:tr2bl w:val="nil"/>
                  </w:tcBorders>
                  <w:vAlign w:val="center"/>
                </w:tcPr>
                <w:p w14:paraId="7ECAF1D0">
                  <w:pPr>
                    <w:pStyle w:val="8"/>
                    <w:bidi w:val="0"/>
                    <w:ind w:left="0" w:lef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0.4</w:t>
                  </w:r>
                </w:p>
              </w:tc>
              <w:tc>
                <w:tcPr>
                  <w:tcW w:w="785" w:type="pct"/>
                  <w:tcBorders>
                    <w:tl2br w:val="nil"/>
                    <w:tr2bl w:val="nil"/>
                  </w:tcBorders>
                  <w:vAlign w:val="center"/>
                </w:tcPr>
                <w:p w14:paraId="464E0DF5">
                  <w:pPr>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1</w:t>
                  </w:r>
                  <w:r>
                    <w:rPr>
                      <w:rFonts w:hint="default" w:ascii="Times New Roman" w:hAnsi="Times New Roman" w:eastAsia="宋体" w:cs="Times New Roman"/>
                      <w:bCs/>
                      <w:color w:val="auto"/>
                      <w:sz w:val="21"/>
                      <w:szCs w:val="21"/>
                      <w:highlight w:val="none"/>
                      <w:shd w:val="clear" w:color="auto" w:fill="auto"/>
                      <w:lang w:val="en-US" w:eastAsia="zh-CN"/>
                    </w:rPr>
                    <w:t>0</w:t>
                  </w:r>
                </w:p>
              </w:tc>
              <w:tc>
                <w:tcPr>
                  <w:tcW w:w="1559" w:type="pct"/>
                  <w:vMerge w:val="continue"/>
                  <w:tcBorders>
                    <w:tl2br w:val="nil"/>
                    <w:tr2bl w:val="nil"/>
                  </w:tcBorders>
                  <w:vAlign w:val="center"/>
                </w:tcPr>
                <w:p w14:paraId="72A62018">
                  <w:pPr>
                    <w:jc w:val="center"/>
                    <w:rPr>
                      <w:rFonts w:hint="default" w:ascii="Times New Roman" w:hAnsi="Times New Roman" w:eastAsia="宋体" w:cs="Times New Roman"/>
                      <w:bCs/>
                      <w:color w:val="auto"/>
                      <w:sz w:val="21"/>
                      <w:szCs w:val="21"/>
                      <w:highlight w:val="none"/>
                      <w:shd w:val="clear" w:color="auto" w:fill="auto"/>
                    </w:rPr>
                  </w:pPr>
                </w:p>
              </w:tc>
              <w:tc>
                <w:tcPr>
                  <w:tcW w:w="1338" w:type="dxa"/>
                  <w:tcBorders>
                    <w:tl2br w:val="nil"/>
                    <w:tr2bl w:val="nil"/>
                  </w:tcBorders>
                  <w:shd w:val="clear" w:color="auto" w:fill="auto"/>
                  <w:vAlign w:val="center"/>
                </w:tcPr>
                <w:p w14:paraId="4BFA19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w:t>
                  </w:r>
                </w:p>
              </w:tc>
            </w:tr>
            <w:tr w14:paraId="5D879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15D5965A">
                  <w:pPr>
                    <w:pStyle w:val="8"/>
                    <w:bidi w:val="0"/>
                    <w:ind w:left="0" w:lef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双组份无溶剂聚氨酯粘合剂</w:t>
                  </w:r>
                </w:p>
              </w:tc>
              <w:tc>
                <w:tcPr>
                  <w:tcW w:w="884" w:type="pct"/>
                  <w:tcBorders>
                    <w:tl2br w:val="nil"/>
                    <w:tr2bl w:val="nil"/>
                  </w:tcBorders>
                  <w:vAlign w:val="center"/>
                </w:tcPr>
                <w:p w14:paraId="5DF69D4F">
                  <w:pPr>
                    <w:pStyle w:val="8"/>
                    <w:bidi w:val="0"/>
                    <w:ind w:left="0" w:lef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785" w:type="pct"/>
                  <w:tcBorders>
                    <w:tl2br w:val="nil"/>
                    <w:tr2bl w:val="nil"/>
                  </w:tcBorders>
                  <w:vAlign w:val="center"/>
                </w:tcPr>
                <w:p w14:paraId="69A7B1EA">
                  <w:pPr>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50</w:t>
                  </w:r>
                </w:p>
              </w:tc>
              <w:tc>
                <w:tcPr>
                  <w:tcW w:w="1559" w:type="pct"/>
                  <w:vMerge w:val="continue"/>
                  <w:tcBorders>
                    <w:tl2br w:val="nil"/>
                    <w:tr2bl w:val="nil"/>
                  </w:tcBorders>
                  <w:vAlign w:val="center"/>
                </w:tcPr>
                <w:p w14:paraId="76079DFA">
                  <w:pPr>
                    <w:jc w:val="center"/>
                    <w:rPr>
                      <w:rFonts w:hint="default" w:ascii="Times New Roman" w:hAnsi="Times New Roman" w:eastAsia="宋体" w:cs="Times New Roman"/>
                      <w:bCs/>
                      <w:color w:val="auto"/>
                      <w:sz w:val="21"/>
                      <w:szCs w:val="21"/>
                      <w:highlight w:val="none"/>
                      <w:shd w:val="clear" w:color="auto" w:fill="auto"/>
                    </w:rPr>
                  </w:pPr>
                </w:p>
              </w:tc>
              <w:tc>
                <w:tcPr>
                  <w:tcW w:w="1338" w:type="dxa"/>
                  <w:tcBorders>
                    <w:tl2br w:val="nil"/>
                    <w:tr2bl w:val="nil"/>
                  </w:tcBorders>
                  <w:shd w:val="clear" w:color="auto" w:fill="auto"/>
                  <w:vAlign w:val="center"/>
                </w:tcPr>
                <w:p w14:paraId="32DE26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r>
            <w:tr w14:paraId="175AD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2FAF87E5">
                  <w:pPr>
                    <w:pStyle w:val="8"/>
                    <w:bidi w:val="0"/>
                    <w:ind w:left="0" w:lef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黄油</w:t>
                  </w:r>
                </w:p>
              </w:tc>
              <w:tc>
                <w:tcPr>
                  <w:tcW w:w="884" w:type="pct"/>
                  <w:tcBorders>
                    <w:tl2br w:val="nil"/>
                    <w:tr2bl w:val="nil"/>
                  </w:tcBorders>
                  <w:vAlign w:val="center"/>
                </w:tcPr>
                <w:p w14:paraId="6E5CD471">
                  <w:pPr>
                    <w:pStyle w:val="8"/>
                    <w:bidi w:val="0"/>
                    <w:ind w:left="0" w:leftChars="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0.015</w:t>
                  </w:r>
                </w:p>
              </w:tc>
              <w:tc>
                <w:tcPr>
                  <w:tcW w:w="785" w:type="pct"/>
                  <w:tcBorders>
                    <w:tl2br w:val="nil"/>
                    <w:tr2bl w:val="nil"/>
                  </w:tcBorders>
                  <w:vAlign w:val="center"/>
                </w:tcPr>
                <w:p w14:paraId="34E61FF3">
                  <w:pPr>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2</w:t>
                  </w:r>
                  <w:r>
                    <w:rPr>
                      <w:rFonts w:hint="default" w:ascii="Times New Roman" w:hAnsi="Times New Roman" w:eastAsia="宋体" w:cs="Times New Roman"/>
                      <w:bCs/>
                      <w:color w:val="auto"/>
                      <w:sz w:val="21"/>
                      <w:szCs w:val="21"/>
                      <w:highlight w:val="none"/>
                      <w:shd w:val="clear" w:color="auto" w:fill="auto"/>
                      <w:lang w:val="en-US" w:eastAsia="zh-CN"/>
                    </w:rPr>
                    <w:t>50</w:t>
                  </w:r>
                  <w:r>
                    <w:rPr>
                      <w:rFonts w:hint="eastAsia" w:ascii="Times New Roman" w:hAnsi="Times New Roman" w:eastAsia="宋体" w:cs="Times New Roman"/>
                      <w:bCs/>
                      <w:color w:val="auto"/>
                      <w:sz w:val="21"/>
                      <w:szCs w:val="21"/>
                      <w:highlight w:val="none"/>
                      <w:shd w:val="clear" w:color="auto" w:fill="auto"/>
                      <w:lang w:val="en-US" w:eastAsia="zh-CN"/>
                    </w:rPr>
                    <w:t>0</w:t>
                  </w:r>
                </w:p>
              </w:tc>
              <w:tc>
                <w:tcPr>
                  <w:tcW w:w="1559" w:type="pct"/>
                  <w:vMerge w:val="continue"/>
                  <w:tcBorders>
                    <w:tl2br w:val="nil"/>
                    <w:tr2bl w:val="nil"/>
                  </w:tcBorders>
                  <w:vAlign w:val="center"/>
                </w:tcPr>
                <w:p w14:paraId="1426F6C6">
                  <w:pPr>
                    <w:jc w:val="center"/>
                    <w:rPr>
                      <w:rFonts w:hint="default" w:ascii="Times New Roman" w:hAnsi="Times New Roman" w:eastAsia="宋体" w:cs="Times New Roman"/>
                      <w:bCs/>
                      <w:color w:val="auto"/>
                      <w:sz w:val="21"/>
                      <w:szCs w:val="21"/>
                      <w:highlight w:val="none"/>
                      <w:shd w:val="clear" w:color="auto" w:fill="auto"/>
                    </w:rPr>
                  </w:pPr>
                </w:p>
              </w:tc>
              <w:tc>
                <w:tcPr>
                  <w:tcW w:w="1338" w:type="dxa"/>
                  <w:tcBorders>
                    <w:tl2br w:val="nil"/>
                    <w:tr2bl w:val="nil"/>
                  </w:tcBorders>
                  <w:shd w:val="clear" w:color="auto" w:fill="auto"/>
                  <w:vAlign w:val="center"/>
                </w:tcPr>
                <w:p w14:paraId="3077CD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0.000006</w:t>
                  </w:r>
                </w:p>
              </w:tc>
            </w:tr>
            <w:tr w14:paraId="19E8B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9" w:type="pct"/>
                  <w:tcBorders>
                    <w:tl2br w:val="nil"/>
                    <w:tr2bl w:val="nil"/>
                  </w:tcBorders>
                  <w:shd w:val="clear" w:color="auto" w:fill="auto"/>
                  <w:vAlign w:val="center"/>
                </w:tcPr>
                <w:p w14:paraId="5726F5FB">
                  <w:pPr>
                    <w:pStyle w:val="8"/>
                    <w:bidi w:val="0"/>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危险废物</w:t>
                  </w:r>
                </w:p>
              </w:tc>
              <w:tc>
                <w:tcPr>
                  <w:tcW w:w="884" w:type="pct"/>
                  <w:tcBorders>
                    <w:tl2br w:val="nil"/>
                    <w:tr2bl w:val="nil"/>
                  </w:tcBorders>
                  <w:vAlign w:val="center"/>
                </w:tcPr>
                <w:p w14:paraId="1AA9189B">
                  <w:pPr>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3.98</w:t>
                  </w:r>
                </w:p>
              </w:tc>
              <w:tc>
                <w:tcPr>
                  <w:tcW w:w="785" w:type="pct"/>
                  <w:tcBorders>
                    <w:tl2br w:val="nil"/>
                    <w:tr2bl w:val="nil"/>
                  </w:tcBorders>
                  <w:shd w:val="clear" w:color="auto" w:fill="auto"/>
                  <w:vAlign w:val="center"/>
                </w:tcPr>
                <w:p w14:paraId="367F63D9">
                  <w:pPr>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50</w:t>
                  </w:r>
                </w:p>
              </w:tc>
              <w:tc>
                <w:tcPr>
                  <w:tcW w:w="1559" w:type="pct"/>
                  <w:vMerge w:val="continue"/>
                  <w:tcBorders>
                    <w:tl2br w:val="nil"/>
                    <w:tr2bl w:val="nil"/>
                  </w:tcBorders>
                  <w:shd w:val="clear" w:color="auto" w:fill="auto"/>
                  <w:vAlign w:val="center"/>
                </w:tcPr>
                <w:p w14:paraId="71CA297A">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p>
              </w:tc>
              <w:tc>
                <w:tcPr>
                  <w:tcW w:w="1338" w:type="dxa"/>
                  <w:tcBorders>
                    <w:tl2br w:val="nil"/>
                    <w:tr2bl w:val="nil"/>
                  </w:tcBorders>
                  <w:shd w:val="clear" w:color="auto" w:fill="auto"/>
                  <w:vAlign w:val="center"/>
                </w:tcPr>
                <w:p w14:paraId="445A28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796</w:t>
                  </w:r>
                </w:p>
              </w:tc>
            </w:tr>
            <w:tr w14:paraId="66BE5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98" w:type="pct"/>
                  <w:gridSpan w:val="4"/>
                  <w:tcBorders>
                    <w:tl2br w:val="nil"/>
                    <w:tr2bl w:val="nil"/>
                  </w:tcBorders>
                  <w:vAlign w:val="center"/>
                </w:tcPr>
                <w:p w14:paraId="3C43B392">
                  <w:pPr>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bCs/>
                      <w:color w:val="auto"/>
                      <w:sz w:val="21"/>
                      <w:szCs w:val="21"/>
                      <w:highlight w:val="none"/>
                      <w:shd w:val="clear" w:color="auto" w:fill="auto"/>
                    </w:rPr>
                    <w:t>合计</w:t>
                  </w:r>
                </w:p>
              </w:tc>
              <w:tc>
                <w:tcPr>
                  <w:tcW w:w="1338" w:type="dxa"/>
                  <w:tcBorders>
                    <w:tl2br w:val="nil"/>
                    <w:tr2bl w:val="nil"/>
                  </w:tcBorders>
                  <w:shd w:val="clear" w:color="auto" w:fill="auto"/>
                  <w:vAlign w:val="center"/>
                </w:tcPr>
                <w:p w14:paraId="54D221E6">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shd w:val="clear" w:color="auto" w:fill="auto"/>
                      <w:lang w:val="en-US"/>
                    </w:rPr>
                  </w:pPr>
                  <w:r>
                    <w:rPr>
                      <w:rFonts w:hint="default" w:ascii="Times New Roman" w:hAnsi="Times New Roman" w:eastAsia="宋体" w:cs="Times New Roman"/>
                      <w:color w:val="auto"/>
                      <w:kern w:val="0"/>
                      <w:szCs w:val="21"/>
                      <w:u w:val="none"/>
                      <w:lang w:bidi="ar"/>
                    </w:rPr>
                    <w:t>0.179606</w:t>
                  </w:r>
                </w:p>
              </w:tc>
            </w:tr>
          </w:tbl>
          <w:p w14:paraId="311B9796">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由上表可知，本项目Q=0.179606＜1，故不设置风险专项。</w:t>
            </w:r>
          </w:p>
          <w:p w14:paraId="0FB0C233">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3、风险源分布情况分析</w:t>
            </w:r>
          </w:p>
          <w:p w14:paraId="062D43EB">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本项目风险源识别结果见下表。</w:t>
            </w:r>
          </w:p>
          <w:p w14:paraId="51096D73">
            <w:pPr>
              <w:jc w:val="center"/>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表4</w:t>
            </w:r>
            <w:r>
              <w:rPr>
                <w:rFonts w:hint="default" w:ascii="Times New Roman" w:hAnsi="Times New Roman" w:eastAsia="宋体" w:cs="Times New Roman"/>
                <w:b/>
                <w:color w:val="auto"/>
                <w:sz w:val="24"/>
                <w:highlight w:val="none"/>
                <w:shd w:val="clear" w:color="auto" w:fill="auto"/>
                <w:lang w:val="en-US" w:eastAsia="zh-CN"/>
              </w:rPr>
              <w:t>-</w:t>
            </w:r>
            <w:r>
              <w:rPr>
                <w:rFonts w:hint="eastAsia" w:ascii="Times New Roman" w:hAnsi="Times New Roman" w:eastAsia="宋体" w:cs="Times New Roman"/>
                <w:b/>
                <w:color w:val="auto"/>
                <w:sz w:val="24"/>
                <w:highlight w:val="none"/>
                <w:shd w:val="clear" w:color="auto" w:fill="auto"/>
                <w:lang w:val="en-US" w:eastAsia="zh-CN"/>
              </w:rPr>
              <w:t>30</w:t>
            </w:r>
            <w:r>
              <w:rPr>
                <w:rFonts w:hint="default" w:ascii="Times New Roman" w:hAnsi="Times New Roman" w:eastAsia="宋体" w:cs="Times New Roman"/>
                <w:b/>
                <w:color w:val="auto"/>
                <w:sz w:val="24"/>
                <w:highlight w:val="none"/>
                <w:shd w:val="clear" w:color="auto" w:fill="auto"/>
              </w:rPr>
              <w:t xml:space="preserve">  环境风险源识别结果及影响途径汇总表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512"/>
              <w:gridCol w:w="2417"/>
              <w:gridCol w:w="1814"/>
              <w:gridCol w:w="1815"/>
            </w:tblGrid>
            <w:tr w14:paraId="17D58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3" w:type="pct"/>
                  <w:tcBorders>
                    <w:tl2br w:val="nil"/>
                    <w:tr2bl w:val="nil"/>
                  </w:tcBorders>
                  <w:vAlign w:val="center"/>
                </w:tcPr>
                <w:p w14:paraId="6A22F616">
                  <w:pPr>
                    <w:jc w:val="center"/>
                    <w:rPr>
                      <w:rFonts w:hint="default" w:ascii="Times New Roman" w:hAnsi="Times New Roman" w:eastAsia="宋体" w:cs="Times New Roman"/>
                      <w:b/>
                      <w:bCs/>
                      <w:color w:val="auto"/>
                      <w:szCs w:val="21"/>
                      <w:highlight w:val="none"/>
                      <w:shd w:val="clear" w:color="auto" w:fill="auto"/>
                    </w:rPr>
                  </w:pPr>
                  <w:r>
                    <w:rPr>
                      <w:rFonts w:hint="default" w:ascii="Times New Roman" w:hAnsi="Times New Roman" w:eastAsia="宋体" w:cs="Times New Roman"/>
                      <w:b/>
                      <w:bCs/>
                      <w:color w:val="auto"/>
                      <w:szCs w:val="21"/>
                      <w:highlight w:val="none"/>
                      <w:shd w:val="clear" w:color="auto" w:fill="auto"/>
                    </w:rPr>
                    <w:t>序号</w:t>
                  </w:r>
                </w:p>
              </w:tc>
              <w:tc>
                <w:tcPr>
                  <w:tcW w:w="905" w:type="pct"/>
                  <w:tcBorders>
                    <w:tl2br w:val="nil"/>
                    <w:tr2bl w:val="nil"/>
                  </w:tcBorders>
                  <w:vAlign w:val="center"/>
                </w:tcPr>
                <w:p w14:paraId="7A941E3D">
                  <w:pPr>
                    <w:jc w:val="center"/>
                    <w:rPr>
                      <w:rFonts w:hint="default" w:ascii="Times New Roman" w:hAnsi="Times New Roman" w:eastAsia="宋体" w:cs="Times New Roman"/>
                      <w:b/>
                      <w:bCs/>
                      <w:color w:val="auto"/>
                      <w:szCs w:val="21"/>
                      <w:highlight w:val="none"/>
                      <w:shd w:val="clear" w:color="auto" w:fill="auto"/>
                    </w:rPr>
                  </w:pPr>
                  <w:r>
                    <w:rPr>
                      <w:rFonts w:hint="default" w:ascii="Times New Roman" w:hAnsi="Times New Roman" w:eastAsia="宋体" w:cs="Times New Roman"/>
                      <w:b/>
                      <w:bCs/>
                      <w:color w:val="auto"/>
                      <w:szCs w:val="21"/>
                      <w:highlight w:val="none"/>
                      <w:shd w:val="clear" w:color="auto" w:fill="auto"/>
                    </w:rPr>
                    <w:t>风险源</w:t>
                  </w:r>
                </w:p>
              </w:tc>
              <w:tc>
                <w:tcPr>
                  <w:tcW w:w="1447" w:type="pct"/>
                  <w:tcBorders>
                    <w:tl2br w:val="nil"/>
                    <w:tr2bl w:val="nil"/>
                  </w:tcBorders>
                  <w:vAlign w:val="center"/>
                </w:tcPr>
                <w:p w14:paraId="3ACBFA6B">
                  <w:pPr>
                    <w:jc w:val="center"/>
                    <w:rPr>
                      <w:rFonts w:hint="default" w:ascii="Times New Roman" w:hAnsi="Times New Roman" w:eastAsia="宋体" w:cs="Times New Roman"/>
                      <w:b/>
                      <w:bCs/>
                      <w:color w:val="auto"/>
                      <w:szCs w:val="21"/>
                      <w:highlight w:val="none"/>
                      <w:shd w:val="clear" w:color="auto" w:fill="auto"/>
                    </w:rPr>
                  </w:pPr>
                  <w:r>
                    <w:rPr>
                      <w:rFonts w:hint="default" w:ascii="Times New Roman" w:hAnsi="Times New Roman" w:eastAsia="宋体" w:cs="Times New Roman"/>
                      <w:b/>
                      <w:bCs/>
                      <w:color w:val="auto"/>
                      <w:szCs w:val="21"/>
                      <w:highlight w:val="none"/>
                      <w:shd w:val="clear" w:color="auto" w:fill="auto"/>
                    </w:rPr>
                    <w:t>主要危险物质</w:t>
                  </w:r>
                </w:p>
              </w:tc>
              <w:tc>
                <w:tcPr>
                  <w:tcW w:w="1086" w:type="pct"/>
                  <w:tcBorders>
                    <w:tl2br w:val="nil"/>
                    <w:tr2bl w:val="nil"/>
                  </w:tcBorders>
                  <w:vAlign w:val="center"/>
                </w:tcPr>
                <w:p w14:paraId="7D5C1780">
                  <w:pPr>
                    <w:jc w:val="center"/>
                    <w:rPr>
                      <w:rFonts w:hint="default" w:ascii="Times New Roman" w:hAnsi="Times New Roman" w:eastAsia="宋体" w:cs="Times New Roman"/>
                      <w:b/>
                      <w:bCs/>
                      <w:color w:val="auto"/>
                      <w:szCs w:val="21"/>
                      <w:highlight w:val="none"/>
                      <w:shd w:val="clear" w:color="auto" w:fill="auto"/>
                    </w:rPr>
                  </w:pPr>
                  <w:r>
                    <w:rPr>
                      <w:rFonts w:hint="default" w:ascii="Times New Roman" w:hAnsi="Times New Roman" w:eastAsia="宋体" w:cs="Times New Roman"/>
                      <w:b/>
                      <w:bCs/>
                      <w:color w:val="auto"/>
                      <w:szCs w:val="21"/>
                      <w:highlight w:val="none"/>
                      <w:shd w:val="clear" w:color="auto" w:fill="auto"/>
                    </w:rPr>
                    <w:t>环境风险类型</w:t>
                  </w:r>
                </w:p>
              </w:tc>
              <w:tc>
                <w:tcPr>
                  <w:tcW w:w="1086" w:type="pct"/>
                  <w:tcBorders>
                    <w:tl2br w:val="nil"/>
                    <w:tr2bl w:val="nil"/>
                  </w:tcBorders>
                  <w:vAlign w:val="center"/>
                </w:tcPr>
                <w:p w14:paraId="586B588C">
                  <w:pPr>
                    <w:jc w:val="center"/>
                    <w:rPr>
                      <w:rFonts w:hint="default" w:ascii="Times New Roman" w:hAnsi="Times New Roman" w:eastAsia="宋体" w:cs="Times New Roman"/>
                      <w:b/>
                      <w:bCs/>
                      <w:color w:val="auto"/>
                      <w:szCs w:val="21"/>
                      <w:highlight w:val="none"/>
                      <w:shd w:val="clear" w:color="auto" w:fill="auto"/>
                    </w:rPr>
                  </w:pPr>
                  <w:r>
                    <w:rPr>
                      <w:rFonts w:hint="default" w:ascii="Times New Roman" w:hAnsi="Times New Roman" w:eastAsia="宋体" w:cs="Times New Roman"/>
                      <w:b/>
                      <w:bCs/>
                      <w:color w:val="auto"/>
                      <w:szCs w:val="21"/>
                      <w:highlight w:val="none"/>
                      <w:shd w:val="clear" w:color="auto" w:fill="auto"/>
                    </w:rPr>
                    <w:t>环境影响途径</w:t>
                  </w:r>
                </w:p>
              </w:tc>
            </w:tr>
            <w:tr w14:paraId="365DC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3" w:type="pct"/>
                  <w:tcBorders>
                    <w:tl2br w:val="nil"/>
                    <w:tr2bl w:val="nil"/>
                  </w:tcBorders>
                  <w:vAlign w:val="center"/>
                </w:tcPr>
                <w:p w14:paraId="21DBBC6D">
                  <w:pPr>
                    <w:jc w:val="center"/>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1</w:t>
                  </w:r>
                </w:p>
              </w:tc>
              <w:tc>
                <w:tcPr>
                  <w:tcW w:w="905" w:type="pct"/>
                  <w:tcBorders>
                    <w:tl2br w:val="nil"/>
                    <w:tr2bl w:val="nil"/>
                  </w:tcBorders>
                  <w:vAlign w:val="center"/>
                </w:tcPr>
                <w:p w14:paraId="402BCA77">
                  <w:pPr>
                    <w:jc w:val="center"/>
                    <w:rPr>
                      <w:rFonts w:hint="default" w:ascii="Times New Roman" w:hAnsi="Times New Roman" w:eastAsia="宋体" w:cs="Times New Roman"/>
                      <w:bCs/>
                      <w:color w:val="auto"/>
                      <w:szCs w:val="21"/>
                      <w:highlight w:val="none"/>
                      <w:shd w:val="clear" w:color="auto" w:fill="auto"/>
                      <w:lang w:val="en-US" w:eastAsia="zh-CN"/>
                    </w:rPr>
                  </w:pPr>
                  <w:r>
                    <w:rPr>
                      <w:rFonts w:hint="eastAsia" w:ascii="Times New Roman" w:hAnsi="Times New Roman" w:eastAsia="宋体" w:cs="Times New Roman"/>
                      <w:bCs/>
                      <w:color w:val="auto"/>
                      <w:szCs w:val="21"/>
                      <w:highlight w:val="none"/>
                      <w:shd w:val="clear" w:color="auto" w:fill="auto"/>
                      <w:lang w:val="en-US" w:eastAsia="zh-CN"/>
                    </w:rPr>
                    <w:t>油墨间</w:t>
                  </w:r>
                </w:p>
              </w:tc>
              <w:tc>
                <w:tcPr>
                  <w:tcW w:w="1447" w:type="pct"/>
                  <w:tcBorders>
                    <w:tl2br w:val="nil"/>
                    <w:tr2bl w:val="nil"/>
                  </w:tcBorders>
                  <w:vAlign w:val="center"/>
                </w:tcPr>
                <w:p w14:paraId="6CBB6C5E">
                  <w:pPr>
                    <w:jc w:val="center"/>
                    <w:rPr>
                      <w:rFonts w:hint="default" w:ascii="Times New Roman" w:hAnsi="Times New Roman" w:eastAsia="宋体" w:cs="Times New Roman"/>
                      <w:bCs/>
                      <w:color w:val="auto"/>
                      <w:szCs w:val="21"/>
                      <w:highlight w:val="none"/>
                      <w:shd w:val="clear" w:color="auto" w:fill="auto"/>
                      <w:lang w:val="en-US"/>
                    </w:rPr>
                  </w:pPr>
                  <w:r>
                    <w:rPr>
                      <w:rFonts w:hint="default" w:ascii="Times New Roman" w:hAnsi="Times New Roman" w:eastAsia="宋体" w:cs="Times New Roman"/>
                      <w:bCs/>
                      <w:color w:val="auto"/>
                      <w:szCs w:val="21"/>
                      <w:highlight w:val="none"/>
                      <w:shd w:val="clear" w:color="auto" w:fill="auto"/>
                      <w:lang w:val="en-US" w:eastAsia="zh-CN"/>
                    </w:rPr>
                    <w:t>水性油墨</w:t>
                  </w:r>
                  <w:r>
                    <w:rPr>
                      <w:rFonts w:hint="eastAsia" w:ascii="Times New Roman" w:hAnsi="Times New Roman" w:eastAsia="宋体" w:cs="Times New Roman"/>
                      <w:bCs/>
                      <w:color w:val="auto"/>
                      <w:szCs w:val="21"/>
                      <w:highlight w:val="none"/>
                      <w:shd w:val="clear" w:color="auto" w:fill="auto"/>
                      <w:lang w:val="en-US" w:eastAsia="zh-CN"/>
                    </w:rPr>
                    <w:t>、</w:t>
                  </w:r>
                  <w:r>
                    <w:rPr>
                      <w:rFonts w:hint="default" w:ascii="Times New Roman" w:hAnsi="Times New Roman" w:eastAsia="宋体" w:cs="Times New Roman"/>
                      <w:bCs/>
                      <w:color w:val="auto"/>
                      <w:szCs w:val="21"/>
                      <w:highlight w:val="none"/>
                      <w:shd w:val="clear" w:color="auto" w:fill="auto"/>
                      <w:lang w:val="en-US" w:eastAsia="zh-CN"/>
                    </w:rPr>
                    <w:t>油性油墨</w:t>
                  </w:r>
                </w:p>
              </w:tc>
              <w:tc>
                <w:tcPr>
                  <w:tcW w:w="1086" w:type="pct"/>
                  <w:tcBorders>
                    <w:tl2br w:val="nil"/>
                    <w:tr2bl w:val="nil"/>
                  </w:tcBorders>
                  <w:vAlign w:val="center"/>
                </w:tcPr>
                <w:p w14:paraId="350C8FE4">
                  <w:pPr>
                    <w:jc w:val="center"/>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泄漏、火灾、爆炸、中毒</w:t>
                  </w:r>
                </w:p>
              </w:tc>
              <w:tc>
                <w:tcPr>
                  <w:tcW w:w="1086" w:type="pct"/>
                  <w:tcBorders>
                    <w:tl2br w:val="nil"/>
                    <w:tr2bl w:val="nil"/>
                  </w:tcBorders>
                  <w:vAlign w:val="center"/>
                </w:tcPr>
                <w:p w14:paraId="2D541E13">
                  <w:pPr>
                    <w:jc w:val="center"/>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大气、地表水、地下水、土壤</w:t>
                  </w:r>
                </w:p>
              </w:tc>
            </w:tr>
            <w:tr w14:paraId="35489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3" w:type="pct"/>
                  <w:tcBorders>
                    <w:tl2br w:val="nil"/>
                    <w:tr2bl w:val="nil"/>
                  </w:tcBorders>
                  <w:vAlign w:val="center"/>
                </w:tcPr>
                <w:p w14:paraId="39936DC8">
                  <w:pPr>
                    <w:jc w:val="center"/>
                    <w:rPr>
                      <w:rFonts w:hint="eastAsia" w:ascii="Times New Roman" w:hAnsi="Times New Roman" w:eastAsia="宋体" w:cs="Times New Roman"/>
                      <w:bCs/>
                      <w:color w:val="auto"/>
                      <w:szCs w:val="21"/>
                      <w:highlight w:val="none"/>
                      <w:shd w:val="clear" w:color="auto" w:fill="auto"/>
                      <w:lang w:val="en-US" w:eastAsia="zh-CN"/>
                    </w:rPr>
                  </w:pPr>
                  <w:r>
                    <w:rPr>
                      <w:rFonts w:hint="eastAsia" w:ascii="Times New Roman" w:hAnsi="Times New Roman" w:eastAsia="宋体" w:cs="Times New Roman"/>
                      <w:bCs/>
                      <w:color w:val="auto"/>
                      <w:szCs w:val="21"/>
                      <w:highlight w:val="none"/>
                      <w:shd w:val="clear" w:color="auto" w:fill="auto"/>
                      <w:lang w:val="en-US" w:eastAsia="zh-CN"/>
                    </w:rPr>
                    <w:t>2</w:t>
                  </w:r>
                </w:p>
              </w:tc>
              <w:tc>
                <w:tcPr>
                  <w:tcW w:w="905" w:type="pct"/>
                  <w:tcBorders>
                    <w:tl2br w:val="nil"/>
                    <w:tr2bl w:val="nil"/>
                  </w:tcBorders>
                  <w:shd w:val="clear" w:color="auto" w:fill="auto"/>
                  <w:vAlign w:val="center"/>
                </w:tcPr>
                <w:p w14:paraId="2A07F471">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eastAsia" w:ascii="Times New Roman" w:hAnsi="Times New Roman" w:eastAsia="宋体" w:cs="Times New Roman"/>
                      <w:bCs/>
                      <w:color w:val="auto"/>
                      <w:szCs w:val="21"/>
                      <w:highlight w:val="none"/>
                      <w:shd w:val="clear" w:color="auto" w:fill="auto"/>
                      <w:lang w:val="en-US" w:eastAsia="zh-CN"/>
                    </w:rPr>
                    <w:t>化学品仓库</w:t>
                  </w:r>
                </w:p>
              </w:tc>
              <w:tc>
                <w:tcPr>
                  <w:tcW w:w="1447" w:type="pct"/>
                  <w:tcBorders>
                    <w:tl2br w:val="nil"/>
                    <w:tr2bl w:val="nil"/>
                  </w:tcBorders>
                  <w:shd w:val="clear" w:color="auto" w:fill="auto"/>
                  <w:vAlign w:val="center"/>
                </w:tcPr>
                <w:p w14:paraId="4FD3CEA1">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Cs w:val="21"/>
                      <w:highlight w:val="none"/>
                      <w:shd w:val="clear" w:color="auto" w:fill="auto"/>
                      <w:lang w:val="en-US" w:eastAsia="zh-CN"/>
                    </w:rPr>
                    <w:t>乙酸乙酯</w:t>
                  </w:r>
                  <w:r>
                    <w:rPr>
                      <w:rFonts w:hint="eastAsia" w:ascii="Times New Roman" w:hAnsi="Times New Roman" w:eastAsia="宋体" w:cs="Times New Roman"/>
                      <w:bCs/>
                      <w:color w:val="auto"/>
                      <w:szCs w:val="21"/>
                      <w:highlight w:val="none"/>
                      <w:shd w:val="clear" w:color="auto" w:fill="auto"/>
                      <w:lang w:val="en-US" w:eastAsia="zh-CN"/>
                    </w:rPr>
                    <w:t>、双组份无溶剂聚氨酯粘合剂、</w:t>
                  </w:r>
                  <w:r>
                    <w:rPr>
                      <w:rFonts w:hint="default" w:ascii="Times New Roman" w:hAnsi="Times New Roman" w:eastAsia="宋体" w:cs="Times New Roman"/>
                      <w:bCs/>
                      <w:color w:val="auto"/>
                      <w:szCs w:val="21"/>
                      <w:highlight w:val="none"/>
                      <w:shd w:val="clear" w:color="auto" w:fill="auto"/>
                      <w:lang w:val="en-US" w:eastAsia="zh-CN"/>
                    </w:rPr>
                    <w:t>黄油</w:t>
                  </w:r>
                </w:p>
              </w:tc>
              <w:tc>
                <w:tcPr>
                  <w:tcW w:w="1086" w:type="pct"/>
                  <w:tcBorders>
                    <w:tl2br w:val="nil"/>
                    <w:tr2bl w:val="nil"/>
                  </w:tcBorders>
                  <w:shd w:val="clear" w:color="auto" w:fill="auto"/>
                  <w:vAlign w:val="center"/>
                </w:tcPr>
                <w:p w14:paraId="2E75F01E">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Cs w:val="21"/>
                      <w:highlight w:val="none"/>
                      <w:shd w:val="clear" w:color="auto" w:fill="auto"/>
                    </w:rPr>
                    <w:t>泄漏、火灾、爆炸、中毒</w:t>
                  </w:r>
                </w:p>
              </w:tc>
              <w:tc>
                <w:tcPr>
                  <w:tcW w:w="1086" w:type="pct"/>
                  <w:tcBorders>
                    <w:tl2br w:val="nil"/>
                    <w:tr2bl w:val="nil"/>
                  </w:tcBorders>
                  <w:shd w:val="clear" w:color="auto" w:fill="auto"/>
                  <w:vAlign w:val="center"/>
                </w:tcPr>
                <w:p w14:paraId="0D71BD8E">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Cs w:val="21"/>
                      <w:highlight w:val="none"/>
                      <w:shd w:val="clear" w:color="auto" w:fill="auto"/>
                    </w:rPr>
                    <w:t>大气、地表水、地下水、土壤</w:t>
                  </w:r>
                </w:p>
              </w:tc>
            </w:tr>
            <w:tr w14:paraId="58AFC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3" w:type="pct"/>
                  <w:tcBorders>
                    <w:tl2br w:val="nil"/>
                    <w:tr2bl w:val="nil"/>
                  </w:tcBorders>
                  <w:vAlign w:val="center"/>
                </w:tcPr>
                <w:p w14:paraId="2BB1ACB8">
                  <w:pPr>
                    <w:jc w:val="center"/>
                    <w:rPr>
                      <w:rFonts w:hint="default" w:ascii="Times New Roman" w:hAnsi="Times New Roman" w:eastAsia="宋体" w:cs="Times New Roman"/>
                      <w:bCs/>
                      <w:color w:val="auto"/>
                      <w:szCs w:val="21"/>
                      <w:highlight w:val="none"/>
                      <w:shd w:val="clear" w:color="auto" w:fill="auto"/>
                      <w:lang w:val="en-US" w:eastAsia="zh-CN"/>
                    </w:rPr>
                  </w:pPr>
                  <w:r>
                    <w:rPr>
                      <w:rFonts w:hint="eastAsia" w:ascii="Times New Roman" w:hAnsi="Times New Roman" w:eastAsia="宋体" w:cs="Times New Roman"/>
                      <w:bCs/>
                      <w:color w:val="auto"/>
                      <w:szCs w:val="21"/>
                      <w:highlight w:val="none"/>
                      <w:shd w:val="clear" w:color="auto" w:fill="auto"/>
                      <w:lang w:val="en-US" w:eastAsia="zh-CN"/>
                    </w:rPr>
                    <w:t>3</w:t>
                  </w:r>
                </w:p>
              </w:tc>
              <w:tc>
                <w:tcPr>
                  <w:tcW w:w="905" w:type="pct"/>
                  <w:tcBorders>
                    <w:tl2br w:val="nil"/>
                    <w:tr2bl w:val="nil"/>
                  </w:tcBorders>
                  <w:vAlign w:val="center"/>
                </w:tcPr>
                <w:p w14:paraId="3EC00D2A">
                  <w:pPr>
                    <w:jc w:val="center"/>
                    <w:rPr>
                      <w:rFonts w:hint="default" w:ascii="Times New Roman" w:hAnsi="Times New Roman" w:eastAsia="宋体" w:cs="Times New Roman"/>
                      <w:bCs/>
                      <w:color w:val="auto"/>
                      <w:szCs w:val="21"/>
                      <w:highlight w:val="none"/>
                      <w:shd w:val="clear" w:color="auto" w:fill="auto"/>
                      <w:lang w:val="en-US" w:eastAsia="zh-CN"/>
                    </w:rPr>
                  </w:pPr>
                  <w:r>
                    <w:rPr>
                      <w:rFonts w:hint="eastAsia" w:ascii="Times New Roman" w:hAnsi="Times New Roman" w:eastAsia="宋体" w:cs="Times New Roman"/>
                      <w:bCs/>
                      <w:color w:val="auto"/>
                      <w:szCs w:val="21"/>
                      <w:highlight w:val="none"/>
                      <w:shd w:val="clear" w:color="auto" w:fill="auto"/>
                      <w:lang w:val="en-US" w:eastAsia="zh-CN"/>
                    </w:rPr>
                    <w:t>危废仓库</w:t>
                  </w:r>
                </w:p>
              </w:tc>
              <w:tc>
                <w:tcPr>
                  <w:tcW w:w="1447" w:type="pct"/>
                  <w:tcBorders>
                    <w:tl2br w:val="nil"/>
                    <w:tr2bl w:val="nil"/>
                  </w:tcBorders>
                  <w:vAlign w:val="center"/>
                </w:tcPr>
                <w:p w14:paraId="40BBA66C">
                  <w:pPr>
                    <w:jc w:val="center"/>
                    <w:rPr>
                      <w:rFonts w:hint="default" w:ascii="Times New Roman" w:hAnsi="Times New Roman" w:eastAsia="宋体" w:cs="Times New Roman"/>
                      <w:bCs/>
                      <w:color w:val="auto"/>
                      <w:szCs w:val="21"/>
                      <w:highlight w:val="none"/>
                      <w:shd w:val="clear" w:color="auto" w:fill="auto"/>
                      <w:lang w:val="en-US" w:eastAsia="zh-CN"/>
                    </w:rPr>
                  </w:pPr>
                  <w:r>
                    <w:rPr>
                      <w:rFonts w:hint="default" w:ascii="Times New Roman" w:hAnsi="Times New Roman" w:eastAsia="宋体" w:cs="Times New Roman"/>
                      <w:bCs/>
                      <w:color w:val="auto"/>
                      <w:szCs w:val="21"/>
                      <w:highlight w:val="none"/>
                      <w:shd w:val="clear" w:color="auto" w:fill="auto"/>
                      <w:lang w:val="en-US" w:eastAsia="zh-CN"/>
                    </w:rPr>
                    <w:t>废包装桶</w:t>
                  </w:r>
                  <w:r>
                    <w:rPr>
                      <w:rFonts w:hint="eastAsia" w:ascii="Times New Roman" w:hAnsi="Times New Roman" w:eastAsia="宋体" w:cs="Times New Roman"/>
                      <w:bCs/>
                      <w:color w:val="auto"/>
                      <w:szCs w:val="21"/>
                      <w:highlight w:val="none"/>
                      <w:shd w:val="clear" w:color="auto" w:fill="auto"/>
                      <w:lang w:val="en-US" w:eastAsia="zh-CN"/>
                    </w:rPr>
                    <w:t>、废抹布、</w:t>
                  </w:r>
                  <w:r>
                    <w:rPr>
                      <w:rFonts w:hint="default" w:ascii="Times New Roman" w:hAnsi="Times New Roman" w:eastAsia="宋体" w:cs="Times New Roman"/>
                      <w:bCs/>
                      <w:color w:val="auto"/>
                      <w:szCs w:val="21"/>
                      <w:highlight w:val="none"/>
                      <w:shd w:val="clear" w:color="auto" w:fill="auto"/>
                      <w:lang w:val="en-US" w:eastAsia="zh-CN"/>
                    </w:rPr>
                    <w:t>废活性炭</w:t>
                  </w:r>
                  <w:r>
                    <w:rPr>
                      <w:rFonts w:hint="eastAsia" w:ascii="Times New Roman" w:hAnsi="Times New Roman" w:eastAsia="宋体" w:cs="Times New Roman"/>
                      <w:bCs/>
                      <w:color w:val="auto"/>
                      <w:szCs w:val="21"/>
                      <w:highlight w:val="none"/>
                      <w:shd w:val="clear" w:color="auto" w:fill="auto"/>
                      <w:lang w:val="en-US" w:eastAsia="zh-CN"/>
                    </w:rPr>
                    <w:t>、含油抹布手套</w:t>
                  </w:r>
                  <w:r>
                    <w:rPr>
                      <w:rFonts w:hint="default" w:ascii="Times New Roman" w:hAnsi="Times New Roman" w:eastAsia="宋体" w:cs="Times New Roman"/>
                      <w:bCs/>
                      <w:color w:val="auto"/>
                      <w:szCs w:val="21"/>
                      <w:highlight w:val="none"/>
                      <w:shd w:val="clear" w:color="auto" w:fill="auto"/>
                      <w:lang w:val="en-US" w:eastAsia="zh-CN"/>
                    </w:rPr>
                    <w:t>等</w:t>
                  </w:r>
                </w:p>
              </w:tc>
              <w:tc>
                <w:tcPr>
                  <w:tcW w:w="1086" w:type="pct"/>
                  <w:tcBorders>
                    <w:tl2br w:val="nil"/>
                    <w:tr2bl w:val="nil"/>
                  </w:tcBorders>
                  <w:vAlign w:val="center"/>
                </w:tcPr>
                <w:p w14:paraId="4E9F942C">
                  <w:pPr>
                    <w:jc w:val="center"/>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泄漏、火灾、爆炸</w:t>
                  </w:r>
                </w:p>
              </w:tc>
              <w:tc>
                <w:tcPr>
                  <w:tcW w:w="1086" w:type="pct"/>
                  <w:tcBorders>
                    <w:tl2br w:val="nil"/>
                    <w:tr2bl w:val="nil"/>
                  </w:tcBorders>
                  <w:vAlign w:val="center"/>
                </w:tcPr>
                <w:p w14:paraId="3D31EEBC">
                  <w:pPr>
                    <w:jc w:val="center"/>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大气、地表水、地下水、土壤</w:t>
                  </w:r>
                </w:p>
              </w:tc>
            </w:tr>
          </w:tbl>
          <w:p w14:paraId="6DF37248">
            <w:pPr>
              <w:spacing w:line="360" w:lineRule="auto"/>
              <w:ind w:firstLine="482" w:firstLineChars="200"/>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4、风险事故影响途径分析</w:t>
            </w:r>
          </w:p>
          <w:p w14:paraId="3A2742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①火灾</w:t>
            </w:r>
            <w:r>
              <w:rPr>
                <w:rFonts w:hint="default"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爆炸</w:t>
            </w:r>
            <w:r>
              <w:rPr>
                <w:rFonts w:hint="default" w:ascii="Times New Roman" w:hAnsi="Times New Roman" w:eastAsia="宋体" w:cs="Times New Roman"/>
                <w:color w:val="auto"/>
                <w:kern w:val="0"/>
                <w:sz w:val="24"/>
                <w:szCs w:val="24"/>
                <w:highlight w:val="none"/>
                <w:shd w:val="clear" w:color="auto" w:fill="auto"/>
              </w:rPr>
              <w:t>影响</w:t>
            </w:r>
          </w:p>
          <w:p w14:paraId="4C6092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lang w:val="en-US" w:eastAsia="zh-CN"/>
              </w:rPr>
              <w:t>本项目部分原辅材料是可燃物质。发生火灾爆炸时产生的环境危害主要是震荡作用、冲击波、碎片冲击和造成火灾等影响，不仅会造成财产损失、停产等，而且有可能造成人员伤亡。爆炸起火后将通过热辐射方式影响周围环境，在近距离范围内将对建筑物和人员造成严重伤害。</w:t>
            </w:r>
          </w:p>
          <w:p w14:paraId="30ACDA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eastAsia="zh-CN"/>
              </w:rPr>
            </w:pPr>
            <w:r>
              <w:rPr>
                <w:rFonts w:hint="default" w:ascii="Times New Roman" w:hAnsi="Times New Roman" w:eastAsia="宋体" w:cs="Times New Roman"/>
                <w:color w:val="auto"/>
                <w:kern w:val="0"/>
                <w:sz w:val="24"/>
                <w:szCs w:val="24"/>
                <w:highlight w:val="none"/>
                <w:shd w:val="clear" w:color="auto" w:fill="auto"/>
              </w:rPr>
              <w:t>②</w:t>
            </w:r>
            <w:r>
              <w:rPr>
                <w:rFonts w:hint="default" w:ascii="Times New Roman" w:hAnsi="Times New Roman" w:eastAsia="宋体" w:cs="Times New Roman"/>
                <w:color w:val="auto"/>
                <w:kern w:val="0"/>
                <w:sz w:val="24"/>
                <w:szCs w:val="24"/>
                <w:highlight w:val="none"/>
                <w:shd w:val="clear" w:color="auto" w:fill="auto"/>
                <w:lang w:eastAsia="zh-CN"/>
              </w:rPr>
              <w:t>泄露影响</w:t>
            </w:r>
          </w:p>
          <w:p w14:paraId="09698A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eastAsia="zh-CN"/>
              </w:rPr>
            </w:pPr>
            <w:r>
              <w:rPr>
                <w:rFonts w:hint="default" w:ascii="Times New Roman" w:hAnsi="Times New Roman" w:eastAsia="宋体" w:cs="Times New Roman"/>
                <w:color w:val="auto"/>
                <w:kern w:val="0"/>
                <w:sz w:val="24"/>
                <w:szCs w:val="24"/>
                <w:highlight w:val="none"/>
                <w:shd w:val="clear" w:color="auto" w:fill="auto"/>
              </w:rPr>
              <w:t>本项目使用</w:t>
            </w:r>
            <w:r>
              <w:rPr>
                <w:rFonts w:hint="default" w:ascii="Times New Roman" w:hAnsi="Times New Roman" w:eastAsia="宋体" w:cs="Times New Roman"/>
                <w:color w:val="auto"/>
                <w:kern w:val="0"/>
                <w:sz w:val="24"/>
                <w:szCs w:val="24"/>
                <w:highlight w:val="none"/>
                <w:shd w:val="clear" w:color="auto" w:fill="auto"/>
                <w:lang w:val="en-US" w:eastAsia="zh-CN"/>
              </w:rPr>
              <w:t>各类</w:t>
            </w:r>
            <w:r>
              <w:rPr>
                <w:rFonts w:hint="default" w:ascii="Times New Roman" w:hAnsi="Times New Roman" w:eastAsia="宋体" w:cs="Times New Roman"/>
                <w:color w:val="auto"/>
                <w:kern w:val="0"/>
                <w:sz w:val="24"/>
                <w:szCs w:val="24"/>
                <w:highlight w:val="none"/>
                <w:shd w:val="clear" w:color="auto" w:fill="auto"/>
                <w:lang w:eastAsia="zh-CN"/>
              </w:rPr>
              <w:t>原料</w:t>
            </w:r>
            <w:r>
              <w:rPr>
                <w:rFonts w:hint="default" w:ascii="Times New Roman" w:hAnsi="Times New Roman" w:eastAsia="宋体" w:cs="Times New Roman"/>
                <w:color w:val="auto"/>
                <w:kern w:val="0"/>
                <w:sz w:val="24"/>
                <w:szCs w:val="24"/>
                <w:highlight w:val="none"/>
                <w:shd w:val="clear" w:color="auto" w:fill="auto"/>
                <w:lang w:val="en-US" w:eastAsia="zh-CN"/>
              </w:rPr>
              <w:t>存放</w:t>
            </w:r>
            <w:r>
              <w:rPr>
                <w:rFonts w:hint="default" w:ascii="Times New Roman" w:hAnsi="Times New Roman" w:eastAsia="宋体" w:cs="Times New Roman"/>
                <w:color w:val="auto"/>
                <w:kern w:val="0"/>
                <w:sz w:val="24"/>
                <w:szCs w:val="24"/>
                <w:highlight w:val="none"/>
                <w:shd w:val="clear" w:color="auto" w:fill="auto"/>
              </w:rPr>
              <w:t>于</w:t>
            </w:r>
            <w:r>
              <w:rPr>
                <w:rFonts w:hint="default" w:ascii="Times New Roman" w:hAnsi="Times New Roman" w:eastAsia="宋体" w:cs="Times New Roman"/>
                <w:color w:val="auto"/>
                <w:kern w:val="0"/>
                <w:sz w:val="24"/>
                <w:szCs w:val="24"/>
                <w:highlight w:val="none"/>
                <w:shd w:val="clear" w:color="auto" w:fill="auto"/>
                <w:lang w:eastAsia="zh-CN"/>
              </w:rPr>
              <w:t>生产车间内的</w:t>
            </w:r>
            <w:r>
              <w:rPr>
                <w:rFonts w:hint="eastAsia" w:ascii="Times New Roman" w:hAnsi="Times New Roman" w:eastAsia="宋体" w:cs="Times New Roman"/>
                <w:color w:val="auto"/>
                <w:kern w:val="0"/>
                <w:sz w:val="24"/>
                <w:szCs w:val="24"/>
                <w:highlight w:val="none"/>
                <w:shd w:val="clear" w:color="auto" w:fill="auto"/>
                <w:lang w:val="en-US" w:eastAsia="zh-CN"/>
              </w:rPr>
              <w:t>化学品</w:t>
            </w:r>
            <w:r>
              <w:rPr>
                <w:rFonts w:hint="default" w:ascii="Times New Roman" w:hAnsi="Times New Roman" w:eastAsia="宋体" w:cs="Times New Roman"/>
                <w:color w:val="auto"/>
                <w:kern w:val="0"/>
                <w:sz w:val="24"/>
                <w:szCs w:val="24"/>
                <w:highlight w:val="none"/>
                <w:shd w:val="clear" w:color="auto" w:fill="auto"/>
                <w:lang w:val="en-US" w:eastAsia="zh-CN"/>
              </w:rPr>
              <w:t>仓</w:t>
            </w:r>
            <w:r>
              <w:rPr>
                <w:rFonts w:hint="eastAsia" w:ascii="Times New Roman" w:hAnsi="Times New Roman" w:eastAsia="宋体" w:cs="Times New Roman"/>
                <w:color w:val="auto"/>
                <w:kern w:val="0"/>
                <w:sz w:val="24"/>
                <w:szCs w:val="24"/>
                <w:highlight w:val="none"/>
                <w:shd w:val="clear" w:color="auto" w:fill="auto"/>
                <w:lang w:val="en-US" w:eastAsia="zh-CN"/>
              </w:rPr>
              <w:t>库和油墨间</w:t>
            </w:r>
            <w:r>
              <w:rPr>
                <w:rFonts w:hint="default" w:ascii="Times New Roman" w:hAnsi="Times New Roman" w:eastAsia="宋体" w:cs="Times New Roman"/>
                <w:color w:val="auto"/>
                <w:kern w:val="0"/>
                <w:sz w:val="24"/>
                <w:szCs w:val="24"/>
                <w:highlight w:val="none"/>
                <w:shd w:val="clear" w:color="auto" w:fill="auto"/>
                <w:lang w:eastAsia="zh-CN"/>
              </w:rPr>
              <w:t>，危废存放于危废仓库</w:t>
            </w:r>
            <w:r>
              <w:rPr>
                <w:rFonts w:hint="default" w:ascii="Times New Roman" w:hAnsi="Times New Roman" w:eastAsia="宋体" w:cs="Times New Roman"/>
                <w:color w:val="auto"/>
                <w:kern w:val="0"/>
                <w:sz w:val="24"/>
                <w:szCs w:val="24"/>
                <w:highlight w:val="none"/>
                <w:shd w:val="clear" w:color="auto" w:fill="auto"/>
              </w:rPr>
              <w:t>，包装桶破损易导致各类液体原料或危废</w:t>
            </w:r>
            <w:r>
              <w:rPr>
                <w:rFonts w:hint="default" w:ascii="Times New Roman" w:hAnsi="Times New Roman" w:eastAsia="宋体" w:cs="Times New Roman"/>
                <w:color w:val="auto"/>
                <w:kern w:val="0"/>
                <w:sz w:val="24"/>
                <w:szCs w:val="24"/>
                <w:highlight w:val="none"/>
                <w:shd w:val="clear" w:color="auto" w:fill="auto"/>
                <w:lang w:eastAsia="zh-CN"/>
              </w:rPr>
              <w:t>泄漏</w:t>
            </w:r>
            <w:r>
              <w:rPr>
                <w:rFonts w:hint="default" w:ascii="Times New Roman" w:hAnsi="Times New Roman" w:eastAsia="宋体" w:cs="Times New Roman"/>
                <w:color w:val="auto"/>
                <w:kern w:val="0"/>
                <w:sz w:val="24"/>
                <w:szCs w:val="24"/>
                <w:highlight w:val="none"/>
                <w:shd w:val="clear" w:color="auto" w:fill="auto"/>
              </w:rPr>
              <w:t>，通过地表径流，影响地表水、地下水以及土壤影响环境</w:t>
            </w:r>
            <w:r>
              <w:rPr>
                <w:rFonts w:hint="default" w:ascii="Times New Roman" w:hAnsi="Times New Roman" w:eastAsia="宋体" w:cs="Times New Roman"/>
                <w:color w:val="auto"/>
                <w:kern w:val="0"/>
                <w:sz w:val="24"/>
                <w:szCs w:val="24"/>
                <w:highlight w:val="none"/>
                <w:shd w:val="clear" w:color="auto" w:fill="auto"/>
                <w:lang w:eastAsia="zh-CN"/>
              </w:rPr>
              <w:t>。</w:t>
            </w:r>
          </w:p>
          <w:p w14:paraId="27C408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③火灾爆炸事故次生/伴生影响分析</w:t>
            </w:r>
          </w:p>
          <w:p w14:paraId="4246BB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发生火灾、爆炸也必须具备如下三个条件：一是爆炸性气体、液体蒸汽和空气混合后达到爆炸极限范围；二是场所内有足以激发混合物爆炸的能量；三是要有足够的助燃物。</w:t>
            </w:r>
          </w:p>
          <w:p w14:paraId="0E3D67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火灾爆炸事故发生有如下几种类型：</w:t>
            </w:r>
          </w:p>
          <w:p w14:paraId="496096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立即起火：如果泄漏点处存在引火源，易燃气体从容器中往外泄出时即被点燃，发生扩散燃烧，产生喷射性火焰或形成火球，它能迅速地危及泄漏现场，但很少会影响到厂区的外部。</w:t>
            </w:r>
          </w:p>
          <w:p w14:paraId="4B9F1BD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滞后起火：如果泄漏点处无引火源，易燃气体泄出后与空气混合形成可燃蒸气云团，并随风飘移，遇火源发生爆炸或爆轰，能引起较大范围的破坏。</w:t>
            </w:r>
          </w:p>
          <w:p w14:paraId="0F9767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常温常压下液体泄漏后聚集在防护堤内或地势低洼处形成液池，液体由于池表面风的对流而缓慢蒸发，若遇引火源就会发生池火灾。</w:t>
            </w:r>
          </w:p>
          <w:p w14:paraId="58608D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本项目中有可能存在的点火源为：</w:t>
            </w:r>
          </w:p>
          <w:p w14:paraId="7B788A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a</w:t>
            </w:r>
            <w:r>
              <w:rPr>
                <w:rFonts w:hint="default" w:ascii="Times New Roman" w:hAnsi="Times New Roman" w:eastAsia="宋体" w:cs="Times New Roman"/>
                <w:color w:val="auto"/>
                <w:highlight w:val="none"/>
                <w:shd w:val="clear" w:color="auto" w:fill="auto"/>
                <w:lang w:val="en-US"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明火：如违章使用的明火、吸烟、打火机火种等；</w:t>
            </w:r>
          </w:p>
          <w:p w14:paraId="72522E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b.电气火花：非防爆型设备、仪表、照明、电气线路、开关、通风设备或其故障产生的火花；电气设备绝缘不良、安装不符合规程要求，发生短路、超负荷，接触电阻过大等产生的电气火花（甚至电气火灾）等；</w:t>
            </w:r>
          </w:p>
          <w:p w14:paraId="14518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c.静电火花；</w:t>
            </w:r>
          </w:p>
          <w:p w14:paraId="1CF821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d.车辆火花：由于机动车辆未安装防火罩产生的火花；</w:t>
            </w:r>
          </w:p>
          <w:p w14:paraId="6C4079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e.工具火花：工具为易产生火花型，由于敲击而产生的火花；</w:t>
            </w:r>
          </w:p>
          <w:p w14:paraId="4D0387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f.雷击；</w:t>
            </w:r>
          </w:p>
          <w:p w14:paraId="65C94C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g.外部散发进入的火种（如烟花爆竹、锅炉飞灰火星等）;</w:t>
            </w:r>
          </w:p>
          <w:p w14:paraId="6B1D88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5947E3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本项目火灾事故主要为①电气设备操作不当引起的；②原辅料存储不当引起的。</w:t>
            </w:r>
          </w:p>
          <w:p w14:paraId="59B39C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eastAsia="zh-CN"/>
              </w:rPr>
            </w:pPr>
            <w:r>
              <w:rPr>
                <w:rFonts w:hint="default" w:ascii="Times New Roman" w:hAnsi="Times New Roman" w:eastAsia="宋体" w:cs="Times New Roman"/>
                <w:color w:val="auto"/>
                <w:kern w:val="0"/>
                <w:sz w:val="24"/>
                <w:szCs w:val="24"/>
                <w:highlight w:val="none"/>
                <w:shd w:val="clear" w:color="auto" w:fill="auto"/>
                <w:lang w:val="en-US" w:eastAsia="zh-CN"/>
              </w:rPr>
              <w:t>本项目有潜在可燃物料（如</w:t>
            </w:r>
            <w:r>
              <w:rPr>
                <w:rFonts w:hint="eastAsia" w:ascii="Times New Roman" w:hAnsi="Times New Roman" w:eastAsia="宋体" w:cs="Times New Roman"/>
                <w:color w:val="auto"/>
                <w:sz w:val="24"/>
                <w:highlight w:val="none"/>
                <w:shd w:val="clear" w:color="auto" w:fill="auto"/>
                <w:lang w:val="en-US" w:eastAsia="zh-CN"/>
              </w:rPr>
              <w:t>油性油墨、乙酸乙酯、黄油</w:t>
            </w:r>
            <w:r>
              <w:rPr>
                <w:rFonts w:hint="default" w:ascii="Times New Roman" w:hAnsi="Times New Roman" w:eastAsia="宋体" w:cs="Times New Roman"/>
                <w:color w:val="auto"/>
                <w:kern w:val="0"/>
                <w:sz w:val="24"/>
                <w:szCs w:val="24"/>
                <w:highlight w:val="none"/>
                <w:shd w:val="clear" w:color="auto" w:fill="auto"/>
                <w:lang w:val="en-US" w:eastAsia="zh-CN"/>
              </w:rPr>
              <w:t>等）泄漏的可能，如果点火源与物料泄漏同时存在，就势必会发生火灾爆炸事故的发生，因此，本项目必须采取各种管理、技术、安全防范措施，禁止一切火种产生，防止生产过程中易燃易爆物料的泄漏，以防止火灾爆炸发生必要条件的产生。</w:t>
            </w:r>
          </w:p>
          <w:p w14:paraId="3ACC5B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shd w:val="clear" w:color="auto" w:fill="auto"/>
                <w:lang w:eastAsia="zh-CN"/>
              </w:rPr>
            </w:pPr>
            <w:r>
              <w:rPr>
                <w:rFonts w:hint="default" w:ascii="Times New Roman" w:hAnsi="Times New Roman" w:eastAsia="宋体" w:cs="Times New Roman"/>
                <w:color w:val="auto"/>
                <w:kern w:val="0"/>
                <w:sz w:val="24"/>
                <w:szCs w:val="24"/>
                <w:highlight w:val="none"/>
                <w:shd w:val="clear" w:color="auto" w:fill="auto"/>
                <w:lang w:eastAsia="zh-CN"/>
              </w:rPr>
              <w:t>生产车间或</w:t>
            </w:r>
            <w:r>
              <w:rPr>
                <w:rFonts w:hint="default" w:ascii="Times New Roman" w:hAnsi="Times New Roman" w:eastAsia="宋体" w:cs="Times New Roman"/>
                <w:color w:val="auto"/>
                <w:kern w:val="0"/>
                <w:sz w:val="24"/>
                <w:szCs w:val="24"/>
                <w:highlight w:val="none"/>
                <w:shd w:val="clear" w:color="auto" w:fill="auto"/>
                <w:lang w:val="en-US" w:eastAsia="zh-CN"/>
              </w:rPr>
              <w:t>仓库</w:t>
            </w:r>
            <w:r>
              <w:rPr>
                <w:rFonts w:hint="default" w:ascii="Times New Roman" w:hAnsi="Times New Roman" w:eastAsia="宋体" w:cs="Times New Roman"/>
                <w:color w:val="auto"/>
                <w:kern w:val="0"/>
                <w:sz w:val="24"/>
                <w:szCs w:val="24"/>
                <w:highlight w:val="none"/>
                <w:shd w:val="clear" w:color="auto" w:fill="auto"/>
                <w:lang w:eastAsia="zh-CN"/>
              </w:rPr>
              <w:t>中的易燃物料若发生火灾事故，燃烧烟气中的一氧化碳</w:t>
            </w:r>
            <w:r>
              <w:rPr>
                <w:rFonts w:hint="default" w:ascii="Times New Roman" w:hAnsi="Times New Roman" w:eastAsia="宋体" w:cs="Times New Roman"/>
                <w:color w:val="auto"/>
                <w:kern w:val="0"/>
                <w:sz w:val="24"/>
                <w:szCs w:val="24"/>
                <w:highlight w:val="none"/>
                <w:shd w:val="clear" w:color="auto" w:fill="auto"/>
                <w:lang w:val="en-US" w:eastAsia="zh-CN"/>
              </w:rPr>
              <w:t>等次生污染物。这些次生污染物</w:t>
            </w:r>
            <w:r>
              <w:rPr>
                <w:rFonts w:hint="default" w:ascii="Times New Roman" w:hAnsi="Times New Roman" w:eastAsia="宋体" w:cs="Times New Roman"/>
                <w:color w:val="auto"/>
                <w:kern w:val="0"/>
                <w:sz w:val="24"/>
                <w:szCs w:val="24"/>
                <w:highlight w:val="none"/>
                <w:shd w:val="clear" w:color="auto" w:fill="auto"/>
                <w:lang w:eastAsia="zh-CN"/>
              </w:rPr>
              <w:t>有可能会对周围大气环境造成一定的污染。考虑到项目易燃物料的日常储存量较小，企业运营经验丰富，其火灾爆炸事故发生的几率较小，一是防雷击防火等防范可靠性强，二是即使发生雷击火灾，车间配置有完善的灭火系统，燃烧形成的烟气量较小，经扩散稀释后对周围大气环境的影响较小。</w:t>
            </w:r>
          </w:p>
          <w:p w14:paraId="2FA2D08E">
            <w:pPr>
              <w:pStyle w:val="13"/>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kern w:val="0"/>
                <w:sz w:val="24"/>
                <w:szCs w:val="24"/>
                <w:highlight w:val="none"/>
                <w:shd w:val="clear" w:color="auto" w:fill="auto"/>
              </w:rPr>
            </w:pPr>
            <w:r>
              <w:rPr>
                <w:rFonts w:hint="default" w:ascii="Times New Roman" w:hAnsi="Times New Roman" w:eastAsia="宋体" w:cs="Times New Roman"/>
                <w:b/>
                <w:color w:val="auto"/>
                <w:sz w:val="24"/>
                <w:szCs w:val="24"/>
                <w:highlight w:val="none"/>
                <w:shd w:val="clear" w:color="auto" w:fill="auto"/>
                <w:lang w:val="en-US" w:eastAsia="zh-CN"/>
              </w:rPr>
              <w:t>6</w:t>
            </w:r>
            <w:r>
              <w:rPr>
                <w:rFonts w:hint="default" w:ascii="Times New Roman" w:hAnsi="Times New Roman" w:eastAsia="宋体" w:cs="Times New Roman"/>
                <w:b/>
                <w:color w:val="auto"/>
                <w:sz w:val="24"/>
                <w:szCs w:val="24"/>
                <w:highlight w:val="none"/>
                <w:shd w:val="clear" w:color="auto" w:fill="auto"/>
              </w:rPr>
              <w:t>、</w:t>
            </w:r>
            <w:r>
              <w:rPr>
                <w:rFonts w:hint="default" w:ascii="Times New Roman" w:hAnsi="Times New Roman" w:eastAsia="宋体" w:cs="Times New Roman"/>
                <w:b/>
                <w:bCs/>
                <w:color w:val="auto"/>
                <w:kern w:val="0"/>
                <w:sz w:val="24"/>
                <w:szCs w:val="24"/>
                <w:highlight w:val="none"/>
                <w:shd w:val="clear" w:color="auto" w:fill="auto"/>
              </w:rPr>
              <w:t>环境风险防范措施及应急要求</w:t>
            </w:r>
          </w:p>
          <w:p w14:paraId="4971F006">
            <w:pPr>
              <w:pStyle w:val="13"/>
              <w:keepNext w:val="0"/>
              <w:keepLines w:val="0"/>
              <w:pageBreakBefore w:val="0"/>
              <w:kinsoku/>
              <w:wordWrap/>
              <w:overflowPunct/>
              <w:topLinePunct w:val="0"/>
              <w:bidi w:val="0"/>
              <w:adjustRightInd/>
              <w:snapToGrid/>
              <w:spacing w:after="0" w:line="360" w:lineRule="auto"/>
              <w:ind w:left="0" w:leftChars="0" w:right="0" w:rightChars="0" w:firstLine="482" w:firstLineChars="200"/>
              <w:jc w:val="left"/>
              <w:rPr>
                <w:rFonts w:hint="default" w:ascii="Times New Roman" w:hAnsi="Times New Roman" w:eastAsia="宋体" w:cs="Times New Roman"/>
                <w:b/>
                <w:bCs/>
                <w:color w:val="auto"/>
                <w:kern w:val="0"/>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rPr>
              <w:fldChar w:fldCharType="begin"/>
            </w:r>
            <w:r>
              <w:rPr>
                <w:rFonts w:hint="default" w:ascii="Times New Roman" w:hAnsi="Times New Roman" w:eastAsia="宋体" w:cs="Times New Roman"/>
                <w:b/>
                <w:bCs/>
                <w:color w:val="auto"/>
                <w:kern w:val="0"/>
                <w:sz w:val="24"/>
                <w:szCs w:val="24"/>
                <w:highlight w:val="none"/>
                <w:shd w:val="clear" w:color="auto" w:fill="auto"/>
              </w:rPr>
              <w:instrText xml:space="preserve"> = 1 \* GB3 \* MERGEFORMAT </w:instrText>
            </w:r>
            <w:r>
              <w:rPr>
                <w:rFonts w:hint="default" w:ascii="Times New Roman" w:hAnsi="Times New Roman" w:eastAsia="宋体" w:cs="Times New Roman"/>
                <w:b/>
                <w:bCs/>
                <w:color w:val="auto"/>
                <w:kern w:val="0"/>
                <w:sz w:val="24"/>
                <w:szCs w:val="24"/>
                <w:highlight w:val="none"/>
                <w:shd w:val="clear" w:color="auto" w:fill="auto"/>
              </w:rPr>
              <w:fldChar w:fldCharType="separate"/>
            </w:r>
            <w:r>
              <w:rPr>
                <w:rFonts w:hint="default" w:ascii="Times New Roman" w:hAnsi="Times New Roman" w:eastAsia="宋体" w:cs="Times New Roman"/>
                <w:b/>
                <w:bCs/>
                <w:color w:val="auto"/>
                <w:kern w:val="0"/>
                <w:sz w:val="24"/>
                <w:szCs w:val="24"/>
                <w:highlight w:val="none"/>
                <w:shd w:val="clear" w:color="auto" w:fill="auto"/>
              </w:rPr>
              <w:t>①</w:t>
            </w:r>
            <w:r>
              <w:rPr>
                <w:rFonts w:hint="default" w:ascii="Times New Roman" w:hAnsi="Times New Roman" w:eastAsia="宋体" w:cs="Times New Roman"/>
                <w:b/>
                <w:bCs/>
                <w:color w:val="auto"/>
                <w:kern w:val="0"/>
                <w:sz w:val="24"/>
                <w:szCs w:val="24"/>
                <w:highlight w:val="none"/>
                <w:shd w:val="clear" w:color="auto" w:fill="auto"/>
              </w:rPr>
              <w:fldChar w:fldCharType="end"/>
            </w:r>
            <w:r>
              <w:rPr>
                <w:rFonts w:hint="default" w:ascii="Times New Roman" w:hAnsi="Times New Roman" w:eastAsia="宋体" w:cs="Times New Roman"/>
                <w:b/>
                <w:bCs/>
                <w:color w:val="auto"/>
                <w:kern w:val="0"/>
                <w:sz w:val="24"/>
                <w:szCs w:val="24"/>
                <w:highlight w:val="none"/>
                <w:shd w:val="clear" w:color="auto" w:fill="auto"/>
              </w:rPr>
              <w:t>环境风险防范措施</w:t>
            </w:r>
          </w:p>
          <w:p w14:paraId="3E080CA0">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rPr>
              <w:t>1）泄漏事故风险防范措施</w:t>
            </w:r>
          </w:p>
          <w:p w14:paraId="4F062DF1">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本项目</w:t>
            </w:r>
            <w:r>
              <w:rPr>
                <w:rFonts w:hint="eastAsia" w:ascii="Times New Roman" w:hAnsi="Times New Roman" w:eastAsia="宋体" w:cs="Times New Roman"/>
                <w:color w:val="auto"/>
                <w:sz w:val="24"/>
                <w:highlight w:val="none"/>
                <w:shd w:val="clear" w:color="auto" w:fill="auto"/>
                <w:lang w:val="en-US" w:eastAsia="zh-CN"/>
              </w:rPr>
              <w:t>水性油墨、油性油墨</w:t>
            </w:r>
            <w:r>
              <w:rPr>
                <w:rFonts w:hint="default" w:ascii="Times New Roman" w:hAnsi="Times New Roman" w:eastAsia="宋体" w:cs="Times New Roman"/>
                <w:color w:val="auto"/>
                <w:kern w:val="0"/>
                <w:sz w:val="24"/>
                <w:szCs w:val="24"/>
                <w:highlight w:val="none"/>
                <w:shd w:val="clear" w:color="auto" w:fill="auto"/>
              </w:rPr>
              <w:t>暂存于车间</w:t>
            </w:r>
            <w:r>
              <w:rPr>
                <w:rFonts w:hint="eastAsia" w:ascii="Times New Roman" w:hAnsi="Times New Roman" w:eastAsia="宋体" w:cs="Times New Roman"/>
                <w:color w:val="auto"/>
                <w:kern w:val="0"/>
                <w:sz w:val="24"/>
                <w:szCs w:val="24"/>
                <w:highlight w:val="none"/>
                <w:shd w:val="clear" w:color="auto" w:fill="auto"/>
                <w:lang w:val="en-US" w:eastAsia="zh-CN"/>
              </w:rPr>
              <w:t>油墨间，</w:t>
            </w:r>
            <w:r>
              <w:rPr>
                <w:rFonts w:hint="eastAsia" w:ascii="Times New Roman" w:hAnsi="Times New Roman" w:eastAsia="宋体" w:cs="Times New Roman"/>
                <w:color w:val="auto"/>
                <w:sz w:val="24"/>
                <w:highlight w:val="none"/>
                <w:shd w:val="clear" w:color="auto" w:fill="auto"/>
                <w:lang w:val="en-US" w:eastAsia="zh-CN"/>
              </w:rPr>
              <w:t>乙酸乙酯、双组份无溶剂聚氨酯粘合剂、黄油</w:t>
            </w:r>
            <w:r>
              <w:rPr>
                <w:rFonts w:hint="default" w:ascii="Times New Roman" w:hAnsi="Times New Roman" w:eastAsia="宋体" w:cs="Times New Roman"/>
                <w:color w:val="auto"/>
                <w:sz w:val="24"/>
                <w:highlight w:val="none"/>
                <w:shd w:val="clear" w:color="auto" w:fill="auto"/>
                <w:lang w:val="en-US" w:eastAsia="zh-CN"/>
              </w:rPr>
              <w:t>等原料</w:t>
            </w:r>
            <w:r>
              <w:rPr>
                <w:rFonts w:hint="default" w:ascii="Times New Roman" w:hAnsi="Times New Roman" w:eastAsia="宋体" w:cs="Times New Roman"/>
                <w:color w:val="auto"/>
                <w:kern w:val="0"/>
                <w:sz w:val="24"/>
                <w:szCs w:val="24"/>
                <w:highlight w:val="none"/>
                <w:shd w:val="clear" w:color="auto" w:fill="auto"/>
              </w:rPr>
              <w:t>暂存于车间</w:t>
            </w:r>
            <w:r>
              <w:rPr>
                <w:rFonts w:hint="eastAsia" w:ascii="Times New Roman" w:hAnsi="Times New Roman" w:eastAsia="宋体" w:cs="Times New Roman"/>
                <w:color w:val="auto"/>
                <w:kern w:val="0"/>
                <w:sz w:val="24"/>
                <w:szCs w:val="24"/>
                <w:highlight w:val="none"/>
                <w:shd w:val="clear" w:color="auto" w:fill="auto"/>
                <w:lang w:val="en-US" w:eastAsia="zh-CN"/>
              </w:rPr>
              <w:t>化学品</w:t>
            </w:r>
            <w:r>
              <w:rPr>
                <w:rFonts w:hint="default" w:ascii="Times New Roman" w:hAnsi="Times New Roman" w:eastAsia="宋体" w:cs="Times New Roman"/>
                <w:color w:val="auto"/>
                <w:kern w:val="0"/>
                <w:sz w:val="24"/>
                <w:szCs w:val="24"/>
                <w:highlight w:val="none"/>
                <w:shd w:val="clear" w:color="auto" w:fill="auto"/>
                <w:lang w:val="en-US" w:eastAsia="zh-CN"/>
              </w:rPr>
              <w:t>仓库</w:t>
            </w:r>
            <w:r>
              <w:rPr>
                <w:rFonts w:hint="default"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rPr>
              <w:t>桶底部设有托盘，桶底部设有托盘，且仓库地面作防渗处理，同时加强车间巡检，关注各包装桶破损泄漏情况，及时更换破损包装桶，减少泄漏事故的发生。</w:t>
            </w:r>
          </w:p>
          <w:p w14:paraId="5E33DFC3">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企业使用</w:t>
            </w:r>
            <w:r>
              <w:rPr>
                <w:rFonts w:hint="eastAsia" w:ascii="Times New Roman" w:hAnsi="Times New Roman" w:eastAsia="宋体" w:cs="Times New Roman"/>
                <w:color w:val="auto"/>
                <w:kern w:val="0"/>
                <w:sz w:val="24"/>
                <w:szCs w:val="24"/>
                <w:highlight w:val="none"/>
                <w:shd w:val="clear" w:color="auto" w:fill="auto"/>
                <w:lang w:val="en-US" w:eastAsia="zh-CN"/>
              </w:rPr>
              <w:t>化学品</w:t>
            </w:r>
            <w:r>
              <w:rPr>
                <w:rFonts w:hint="default" w:ascii="Times New Roman" w:hAnsi="Times New Roman" w:eastAsia="宋体" w:cs="Times New Roman"/>
                <w:color w:val="auto"/>
                <w:kern w:val="0"/>
                <w:sz w:val="24"/>
                <w:szCs w:val="24"/>
                <w:highlight w:val="none"/>
                <w:shd w:val="clear" w:color="auto" w:fill="auto"/>
              </w:rPr>
              <w:t>均</w:t>
            </w:r>
            <w:r>
              <w:rPr>
                <w:rFonts w:hint="eastAsia" w:ascii="Times New Roman" w:hAnsi="Times New Roman" w:eastAsia="宋体" w:cs="Times New Roman"/>
                <w:color w:val="auto"/>
                <w:kern w:val="0"/>
                <w:sz w:val="24"/>
                <w:szCs w:val="24"/>
                <w:highlight w:val="none"/>
                <w:shd w:val="clear" w:color="auto" w:fill="auto"/>
                <w:lang w:val="en-US" w:eastAsia="zh-CN"/>
              </w:rPr>
              <w:t>用</w:t>
            </w:r>
            <w:r>
              <w:rPr>
                <w:rFonts w:hint="default" w:ascii="Times New Roman" w:hAnsi="Times New Roman" w:eastAsia="宋体" w:cs="Times New Roman"/>
                <w:color w:val="auto"/>
                <w:kern w:val="0"/>
                <w:sz w:val="24"/>
                <w:szCs w:val="24"/>
                <w:highlight w:val="none"/>
                <w:shd w:val="clear" w:color="auto" w:fill="auto"/>
              </w:rPr>
              <w:t>包装桶包装，进厂装卸发生泄漏的可能性极小。物料在生产车间内存储，不露天堆放。生产车间地面全部硬化</w:t>
            </w:r>
            <w:r>
              <w:rPr>
                <w:rFonts w:hint="eastAsia" w:ascii="Times New Roman" w:hAnsi="Times New Roman" w:eastAsia="宋体" w:cs="Times New Roman"/>
                <w:color w:val="auto"/>
                <w:kern w:val="0"/>
                <w:sz w:val="24"/>
                <w:szCs w:val="24"/>
                <w:highlight w:val="none"/>
                <w:shd w:val="clear" w:color="auto" w:fill="auto"/>
                <w:lang w:val="en-US" w:eastAsia="zh-CN"/>
              </w:rPr>
              <w:t>作防渗漏处理，</w:t>
            </w:r>
            <w:r>
              <w:rPr>
                <w:rFonts w:hint="default" w:ascii="Times New Roman" w:hAnsi="Times New Roman" w:eastAsia="宋体" w:cs="Times New Roman"/>
                <w:color w:val="auto"/>
                <w:kern w:val="0"/>
                <w:sz w:val="24"/>
                <w:szCs w:val="24"/>
                <w:highlight w:val="none"/>
                <w:shd w:val="clear" w:color="auto" w:fill="auto"/>
              </w:rPr>
              <w:t>并定期</w:t>
            </w:r>
            <w:r>
              <w:rPr>
                <w:rFonts w:hint="eastAsia" w:ascii="Times New Roman" w:hAnsi="Times New Roman" w:eastAsia="宋体" w:cs="Times New Roman"/>
                <w:color w:val="auto"/>
                <w:kern w:val="0"/>
                <w:sz w:val="24"/>
                <w:szCs w:val="24"/>
                <w:highlight w:val="none"/>
                <w:shd w:val="clear" w:color="auto" w:fill="auto"/>
                <w:lang w:val="en-US" w:eastAsia="zh-CN"/>
              </w:rPr>
              <w:t>清扫</w:t>
            </w:r>
            <w:r>
              <w:rPr>
                <w:rFonts w:hint="default" w:ascii="Times New Roman" w:hAnsi="Times New Roman" w:eastAsia="宋体" w:cs="Times New Roman"/>
                <w:color w:val="auto"/>
                <w:kern w:val="0"/>
                <w:sz w:val="24"/>
                <w:szCs w:val="24"/>
                <w:highlight w:val="none"/>
                <w:shd w:val="clear" w:color="auto" w:fill="auto"/>
              </w:rPr>
              <w:t>地面</w:t>
            </w:r>
            <w:r>
              <w:rPr>
                <w:rFonts w:hint="eastAsia"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rPr>
              <w:t>进行</w:t>
            </w:r>
            <w:r>
              <w:rPr>
                <w:rFonts w:hint="eastAsia" w:ascii="Times New Roman" w:hAnsi="Times New Roman" w:eastAsia="宋体" w:cs="Times New Roman"/>
                <w:color w:val="auto"/>
                <w:kern w:val="0"/>
                <w:sz w:val="24"/>
                <w:szCs w:val="24"/>
                <w:highlight w:val="none"/>
                <w:shd w:val="clear" w:color="auto" w:fill="auto"/>
                <w:lang w:val="en-US" w:eastAsia="zh-CN"/>
              </w:rPr>
              <w:t>印刷、复合及清洗</w:t>
            </w:r>
            <w:r>
              <w:rPr>
                <w:rFonts w:hint="default" w:ascii="Times New Roman" w:hAnsi="Times New Roman" w:eastAsia="宋体" w:cs="Times New Roman"/>
                <w:color w:val="auto"/>
                <w:kern w:val="0"/>
                <w:sz w:val="24"/>
                <w:szCs w:val="24"/>
                <w:highlight w:val="none"/>
                <w:shd w:val="clear" w:color="auto" w:fill="auto"/>
              </w:rPr>
              <w:t>的设备均</w:t>
            </w:r>
            <w:r>
              <w:rPr>
                <w:rFonts w:hint="eastAsia" w:ascii="Times New Roman" w:hAnsi="Times New Roman" w:eastAsia="宋体" w:cs="Times New Roman"/>
                <w:color w:val="auto"/>
                <w:kern w:val="0"/>
                <w:sz w:val="24"/>
                <w:szCs w:val="24"/>
                <w:highlight w:val="none"/>
                <w:shd w:val="clear" w:color="auto" w:fill="auto"/>
                <w:lang w:val="en-US" w:eastAsia="zh-CN"/>
              </w:rPr>
              <w:t>在洁净车间进行</w:t>
            </w:r>
            <w:r>
              <w:rPr>
                <w:rFonts w:hint="default" w:ascii="Times New Roman" w:hAnsi="Times New Roman" w:eastAsia="宋体" w:cs="Times New Roman"/>
                <w:color w:val="auto"/>
                <w:kern w:val="0"/>
                <w:sz w:val="24"/>
                <w:szCs w:val="24"/>
                <w:highlight w:val="none"/>
                <w:shd w:val="clear" w:color="auto" w:fill="auto"/>
              </w:rPr>
              <w:t>，</w:t>
            </w:r>
            <w:r>
              <w:rPr>
                <w:rFonts w:hint="eastAsia" w:ascii="Times New Roman" w:hAnsi="Times New Roman" w:eastAsia="宋体" w:cs="Times New Roman"/>
                <w:color w:val="auto"/>
                <w:kern w:val="0"/>
                <w:sz w:val="24"/>
                <w:szCs w:val="24"/>
                <w:highlight w:val="none"/>
                <w:shd w:val="clear" w:color="auto" w:fill="auto"/>
                <w:lang w:val="en-US" w:eastAsia="zh-CN"/>
              </w:rPr>
              <w:t>几乎不会对</w:t>
            </w:r>
            <w:r>
              <w:rPr>
                <w:rFonts w:hint="default" w:ascii="Times New Roman" w:hAnsi="Times New Roman" w:eastAsia="宋体" w:cs="Times New Roman"/>
                <w:color w:val="auto"/>
                <w:kern w:val="0"/>
                <w:sz w:val="24"/>
                <w:szCs w:val="24"/>
                <w:highlight w:val="none"/>
                <w:shd w:val="clear" w:color="auto" w:fill="auto"/>
              </w:rPr>
              <w:t>地表水、地下水以及土壤</w:t>
            </w:r>
            <w:r>
              <w:rPr>
                <w:rFonts w:hint="eastAsia" w:ascii="Times New Roman" w:hAnsi="Times New Roman" w:eastAsia="宋体" w:cs="Times New Roman"/>
                <w:color w:val="auto"/>
                <w:kern w:val="0"/>
                <w:sz w:val="24"/>
                <w:szCs w:val="24"/>
                <w:highlight w:val="none"/>
                <w:shd w:val="clear" w:color="auto" w:fill="auto"/>
                <w:lang w:val="en-US" w:eastAsia="zh-CN"/>
              </w:rPr>
              <w:t>造成</w:t>
            </w:r>
            <w:r>
              <w:rPr>
                <w:rFonts w:hint="default" w:ascii="Times New Roman" w:hAnsi="Times New Roman" w:eastAsia="宋体" w:cs="Times New Roman"/>
                <w:color w:val="auto"/>
                <w:kern w:val="0"/>
                <w:sz w:val="24"/>
                <w:szCs w:val="24"/>
                <w:highlight w:val="none"/>
                <w:shd w:val="clear" w:color="auto" w:fill="auto"/>
              </w:rPr>
              <w:t>影响。因此初期雨水可以不用收集。</w:t>
            </w:r>
          </w:p>
          <w:p w14:paraId="599942F7">
            <w:pPr>
              <w:keepNext w:val="0"/>
              <w:keepLines w:val="0"/>
              <w:pageBreakBefore w:val="0"/>
              <w:widowControl/>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rPr>
              <w:t>2）火灾爆炸事故风险防范措施</w:t>
            </w:r>
          </w:p>
          <w:p w14:paraId="0CABD5F6">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本项目</w:t>
            </w:r>
            <w:r>
              <w:rPr>
                <w:rFonts w:hint="eastAsia" w:ascii="Times New Roman" w:hAnsi="Times New Roman" w:eastAsia="宋体" w:cs="Times New Roman"/>
                <w:color w:val="auto"/>
                <w:sz w:val="24"/>
                <w:highlight w:val="none"/>
                <w:shd w:val="clear" w:color="auto" w:fill="auto"/>
                <w:lang w:val="en-US" w:eastAsia="zh-CN"/>
              </w:rPr>
              <w:t>油性油墨、乙酸乙酯、黄油</w:t>
            </w:r>
            <w:r>
              <w:rPr>
                <w:rFonts w:hint="default" w:ascii="Times New Roman" w:hAnsi="Times New Roman" w:eastAsia="宋体" w:cs="Times New Roman"/>
                <w:color w:val="auto"/>
                <w:sz w:val="24"/>
                <w:highlight w:val="none"/>
                <w:shd w:val="clear" w:color="auto" w:fill="auto"/>
                <w:lang w:val="en-US" w:eastAsia="zh-CN"/>
              </w:rPr>
              <w:t>等</w:t>
            </w:r>
            <w:r>
              <w:rPr>
                <w:rFonts w:hint="default" w:ascii="Times New Roman" w:hAnsi="Times New Roman" w:eastAsia="宋体" w:cs="Times New Roman"/>
                <w:color w:val="auto"/>
                <w:sz w:val="24"/>
                <w:szCs w:val="24"/>
                <w:highlight w:val="none"/>
                <w:shd w:val="clear" w:color="auto" w:fill="auto"/>
              </w:rPr>
              <w:t>具备可燃</w:t>
            </w:r>
            <w:r>
              <w:rPr>
                <w:rFonts w:hint="default" w:ascii="Times New Roman" w:hAnsi="Times New Roman" w:eastAsia="宋体" w:cs="Times New Roman"/>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lang w:val="en-US" w:eastAsia="zh-CN"/>
              </w:rPr>
              <w:t>易燃</w:t>
            </w:r>
            <w:r>
              <w:rPr>
                <w:rFonts w:hint="default" w:ascii="Times New Roman" w:hAnsi="Times New Roman" w:eastAsia="宋体" w:cs="Times New Roman"/>
                <w:color w:val="auto"/>
                <w:sz w:val="24"/>
                <w:szCs w:val="24"/>
                <w:highlight w:val="none"/>
                <w:shd w:val="clear" w:color="auto" w:fill="auto"/>
              </w:rPr>
              <w:t>性。因此建设单位应当做好防范措施。为减少事故的发生和影响建设单位应采取以下措施。</w:t>
            </w:r>
          </w:p>
          <w:p w14:paraId="5926480D">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建设单位需建立健全安全操作规程及值勤制度，设置通讯、报警装置，并确保其处于完好状态；厂区配置合格的消防器材，并确保其处于完好状态。</w:t>
            </w:r>
          </w:p>
          <w:p w14:paraId="796112F9">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加强火源的管理，严禁烟火带入，对设备需进行维修焊接，应经安全部门确认、准许，并有记录。机动车在厂内行驶，须安装阻火器，必要设备安装防火、防爆装置。</w:t>
            </w:r>
          </w:p>
          <w:p w14:paraId="49C8687E">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设备的安全管理：定期对设备进行安全检测，检测内容、时间、人员应有记录保存。安全检测应根据设备的安全性、危险性设定检测频次。</w:t>
            </w:r>
          </w:p>
          <w:p w14:paraId="7A8A518A">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rPr>
              <w:t>3）危废仓库风险防范措施</w:t>
            </w:r>
          </w:p>
          <w:p w14:paraId="4A3884DF">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危废暂存场地必须按《危险废物贮存污染控制标准》（GB18597-2023）的要求进行设置。危险废物分类存放到危废仓库，做好进出库管理，及时登记，账物相符，并做好贮存场所和危废包装的标识工作。危废堆场要采取必要的防风、防晒、防雨、防漏、防渗、防腐以及其他环境污染防治措施；地面与裙脚要用坚固、防渗的材料建造，建筑材料必须与危险废物相容。通道、出入口和通向消防设施的道路保持畅通，同时配置合格的消防器材，并确保其处于完好状态。</w:t>
            </w:r>
          </w:p>
          <w:p w14:paraId="55612D37">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fldChar w:fldCharType="begin"/>
            </w:r>
            <w:r>
              <w:rPr>
                <w:rFonts w:hint="default" w:ascii="Times New Roman" w:hAnsi="Times New Roman" w:eastAsia="宋体" w:cs="Times New Roman"/>
                <w:b/>
                <w:bCs/>
                <w:color w:val="auto"/>
                <w:sz w:val="24"/>
                <w:szCs w:val="24"/>
                <w:highlight w:val="none"/>
                <w:shd w:val="clear" w:color="auto" w:fill="auto"/>
              </w:rPr>
              <w:instrText xml:space="preserve"> = 2 \* GB3 \* MERGEFORMAT </w:instrText>
            </w:r>
            <w:r>
              <w:rPr>
                <w:rFonts w:hint="default" w:ascii="Times New Roman" w:hAnsi="Times New Roman" w:eastAsia="宋体" w:cs="Times New Roman"/>
                <w:b/>
                <w:bCs/>
                <w:color w:val="auto"/>
                <w:sz w:val="24"/>
                <w:szCs w:val="24"/>
                <w:highlight w:val="none"/>
                <w:shd w:val="clear" w:color="auto" w:fill="auto"/>
              </w:rPr>
              <w:fldChar w:fldCharType="separate"/>
            </w:r>
            <w:r>
              <w:rPr>
                <w:rFonts w:hint="default" w:ascii="Times New Roman" w:hAnsi="Times New Roman" w:eastAsia="宋体" w:cs="Times New Roman"/>
                <w:b/>
                <w:bCs/>
                <w:color w:val="auto"/>
                <w:sz w:val="24"/>
                <w:szCs w:val="24"/>
                <w:highlight w:val="none"/>
                <w:shd w:val="clear" w:color="auto" w:fill="auto"/>
              </w:rPr>
              <w:t>②</w:t>
            </w:r>
            <w:r>
              <w:rPr>
                <w:rFonts w:hint="default" w:ascii="Times New Roman" w:hAnsi="Times New Roman" w:eastAsia="宋体" w:cs="Times New Roman"/>
                <w:b/>
                <w:bCs/>
                <w:color w:val="auto"/>
                <w:sz w:val="24"/>
                <w:szCs w:val="24"/>
                <w:highlight w:val="none"/>
                <w:shd w:val="clear" w:color="auto" w:fill="auto"/>
              </w:rPr>
              <w:fldChar w:fldCharType="end"/>
            </w:r>
            <w:r>
              <w:rPr>
                <w:rFonts w:hint="default" w:ascii="Times New Roman" w:hAnsi="Times New Roman" w:eastAsia="宋体" w:cs="Times New Roman"/>
                <w:b/>
                <w:bCs/>
                <w:color w:val="auto"/>
                <w:sz w:val="24"/>
                <w:szCs w:val="24"/>
                <w:highlight w:val="none"/>
                <w:shd w:val="clear" w:color="auto" w:fill="auto"/>
              </w:rPr>
              <w:t>环境风险应急措施</w:t>
            </w:r>
          </w:p>
          <w:p w14:paraId="26A14EB2">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t>1）火灾和爆炸事故应急措施</w:t>
            </w:r>
          </w:p>
          <w:p w14:paraId="30C48FF3">
            <w:pPr>
              <w:pStyle w:val="2"/>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00C351B2">
            <w:pPr>
              <w:pStyle w:val="2"/>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火灾爆炸衍生的消防尾水：</w:t>
            </w:r>
          </w:p>
          <w:p w14:paraId="5EDDCB35">
            <w:pPr>
              <w:pageBreakBefore w:val="0"/>
              <w:kinsoku/>
              <w:wordWrap/>
              <w:overflowPunct/>
              <w:topLinePunct w:val="0"/>
              <w:bidi w:val="0"/>
              <w:spacing w:line="480" w:lineRule="exact"/>
              <w:ind w:firstLine="480" w:firstLineChars="200"/>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参照《化工建设项目环境保护工程设计标准》（GB/T50483-2019）和《水体环境风险防控要点》（中国石化安环[2006]10号）中相关规定来确定企业所需事故应急池的容积。</w:t>
            </w:r>
          </w:p>
          <w:p w14:paraId="29D96003">
            <w:pPr>
              <w:pageBreakBefore w:val="0"/>
              <w:kinsoku/>
              <w:wordWrap/>
              <w:overflowPunct/>
              <w:topLinePunct w:val="0"/>
              <w:bidi w:val="0"/>
              <w:spacing w:line="480" w:lineRule="exact"/>
              <w:ind w:firstLine="480" w:firstLineChars="200"/>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事故储存设施总有效容积计算公式：</w:t>
            </w:r>
          </w:p>
          <w:p w14:paraId="2D1E440E">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Va=(V1+V2-V3)max+V4+V5</w:t>
            </w:r>
          </w:p>
          <w:p w14:paraId="5E0DCFFE">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[注：(V1+V2-V3)max是指对收集系统范围内不同罐组或装置分别计算V1+V2-V3，取其中最大值。]</w:t>
            </w:r>
          </w:p>
          <w:p w14:paraId="4D9E5EAB">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Va：事故应急池容积，m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p>
          <w:p w14:paraId="4C43E3D6">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V1：事故一个罐或一个装置物料量，m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p>
          <w:p w14:paraId="1106D00E">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V2：事故状态下最大消防水量，m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p>
          <w:p w14:paraId="47F89069">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V3：事故时可以转输到其它储存或处理设施的物料量，m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p>
          <w:p w14:paraId="2811F37E">
            <w:pPr>
              <w:keepNext w:val="0"/>
              <w:keepLines w:val="0"/>
              <w:pageBreakBefore w:val="0"/>
              <w:widowControl w:val="0"/>
              <w:tabs>
                <w:tab w:val="left" w:pos="2205"/>
                <w:tab w:val="center" w:pos="4532"/>
              </w:tabs>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V4：发生事故时必须进入该收集系统的生产废水量，m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p>
          <w:p w14:paraId="1A7B7558">
            <w:pPr>
              <w:pageBreakBefore w:val="0"/>
              <w:kinsoku/>
              <w:wordWrap/>
              <w:overflowPunct/>
              <w:topLinePunct w:val="0"/>
              <w:bidi w:val="0"/>
              <w:spacing w:line="480" w:lineRule="exact"/>
              <w:ind w:firstLine="480" w:firstLineChars="200"/>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V5：发生事故时可能进入该收集系统的降雨量，m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p>
          <w:p w14:paraId="4C1814D2">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V1：厂区</w:t>
            </w:r>
            <w:r>
              <w:rPr>
                <w:rFonts w:hint="eastAsia" w:ascii="Times New Roman" w:hAnsi="Times New Roman" w:eastAsia="宋体" w:cs="Times New Roman"/>
                <w:b w:val="0"/>
                <w:color w:val="auto"/>
                <w:kern w:val="0"/>
                <w:sz w:val="24"/>
                <w:szCs w:val="24"/>
                <w:highlight w:val="none"/>
                <w:shd w:val="clear" w:color="auto" w:fill="auto"/>
                <w:lang w:val="en-US" w:eastAsia="zh-CN" w:bidi="ar-SA"/>
              </w:rPr>
              <w:t>不</w:t>
            </w:r>
            <w:r>
              <w:rPr>
                <w:rFonts w:hint="default" w:ascii="Times New Roman" w:hAnsi="Times New Roman" w:eastAsia="宋体" w:cs="Times New Roman"/>
                <w:b w:val="0"/>
                <w:color w:val="auto"/>
                <w:kern w:val="0"/>
                <w:sz w:val="24"/>
                <w:szCs w:val="24"/>
                <w:highlight w:val="none"/>
                <w:shd w:val="clear" w:color="auto" w:fill="auto"/>
                <w:lang w:val="en-US" w:eastAsia="zh-CN" w:bidi="ar-SA"/>
              </w:rPr>
              <w:t>设置</w:t>
            </w:r>
            <w:r>
              <w:rPr>
                <w:rFonts w:hint="eastAsia" w:ascii="Times New Roman" w:hAnsi="Times New Roman" w:eastAsia="宋体" w:cs="Times New Roman"/>
                <w:b w:val="0"/>
                <w:color w:val="auto"/>
                <w:kern w:val="0"/>
                <w:sz w:val="24"/>
                <w:szCs w:val="24"/>
                <w:highlight w:val="none"/>
                <w:shd w:val="clear" w:color="auto" w:fill="auto"/>
                <w:lang w:val="en-US" w:eastAsia="zh-CN" w:bidi="ar-SA"/>
              </w:rPr>
              <w:t>储罐</w:t>
            </w:r>
            <w:r>
              <w:rPr>
                <w:rFonts w:hint="default" w:ascii="Times New Roman" w:hAnsi="Times New Roman" w:eastAsia="宋体" w:cs="Times New Roman"/>
                <w:b w:val="0"/>
                <w:color w:val="auto"/>
                <w:kern w:val="0"/>
                <w:sz w:val="24"/>
                <w:szCs w:val="24"/>
                <w:highlight w:val="none"/>
                <w:shd w:val="clear" w:color="auto" w:fill="auto"/>
                <w:lang w:val="en-US" w:eastAsia="zh-CN" w:bidi="ar-SA"/>
              </w:rPr>
              <w:t>，V1取</w:t>
            </w:r>
            <w:r>
              <w:rPr>
                <w:rFonts w:hint="eastAsia" w:ascii="Times New Roman" w:hAnsi="Times New Roman" w:eastAsia="宋体" w:cs="Times New Roman"/>
                <w:b w:val="0"/>
                <w:color w:val="auto"/>
                <w:kern w:val="0"/>
                <w:sz w:val="24"/>
                <w:szCs w:val="24"/>
                <w:highlight w:val="none"/>
                <w:shd w:val="clear" w:color="auto" w:fill="auto"/>
                <w:lang w:val="en-US" w:eastAsia="zh-CN" w:bidi="ar-SA"/>
              </w:rPr>
              <w:t>0</w:t>
            </w:r>
            <w:r>
              <w:rPr>
                <w:rFonts w:hint="default" w:ascii="Times New Roman" w:hAnsi="Times New Roman" w:eastAsia="宋体" w:cs="Times New Roman"/>
                <w:b w:val="0"/>
                <w:color w:val="auto"/>
                <w:kern w:val="0"/>
                <w:sz w:val="24"/>
                <w:szCs w:val="24"/>
                <w:highlight w:val="none"/>
                <w:shd w:val="clear" w:color="auto" w:fill="auto"/>
                <w:lang w:val="en-US" w:eastAsia="zh-CN" w:bidi="ar-SA"/>
              </w:rPr>
              <w:t>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p>
          <w:p w14:paraId="377470D7">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2：根据《建筑设计防火规范》（GB50016-2014）（2018年修订）及《消防给水及消火栓系统技术规范》（GB50974-2014）第3.5.2条，室内消火栓用水量为10L/s，根据《消防给水及消火栓系统技术规范》（GB50974-2014）的第3.6.2条，火灾延续时间以</w:t>
            </w:r>
            <w:r>
              <w:rPr>
                <w:rFonts w:hint="eastAsia" w:ascii="Times New Roman" w:hAnsi="Times New Roman" w:eastAsia="宋体" w:cs="Times New Roman"/>
                <w:b w:val="0"/>
                <w:color w:val="auto"/>
                <w:kern w:val="0"/>
                <w:sz w:val="24"/>
                <w:szCs w:val="24"/>
                <w:highlight w:val="none"/>
                <w:shd w:val="clear" w:color="auto" w:fill="auto"/>
                <w:lang w:val="en-US" w:eastAsia="zh-CN" w:bidi="ar-SA"/>
              </w:rPr>
              <w:t>2</w:t>
            </w:r>
            <w:r>
              <w:rPr>
                <w:rFonts w:hint="default" w:ascii="Times New Roman" w:hAnsi="Times New Roman" w:eastAsia="宋体" w:cs="Times New Roman"/>
                <w:b w:val="0"/>
                <w:color w:val="auto"/>
                <w:kern w:val="0"/>
                <w:sz w:val="24"/>
                <w:szCs w:val="24"/>
                <w:highlight w:val="none"/>
                <w:shd w:val="clear" w:color="auto" w:fill="auto"/>
                <w:lang w:val="en-US" w:eastAsia="zh-CN" w:bidi="ar-SA"/>
              </w:rPr>
              <w:t>h计，则消防水量为V2=0.010×3600×</w:t>
            </w:r>
            <w:r>
              <w:rPr>
                <w:rFonts w:hint="eastAsia" w:ascii="Times New Roman" w:hAnsi="Times New Roman" w:eastAsia="宋体" w:cs="Times New Roman"/>
                <w:b w:val="0"/>
                <w:color w:val="auto"/>
                <w:kern w:val="0"/>
                <w:sz w:val="24"/>
                <w:szCs w:val="24"/>
                <w:highlight w:val="none"/>
                <w:shd w:val="clear" w:color="auto" w:fill="auto"/>
                <w:lang w:val="en-US" w:eastAsia="zh-CN" w:bidi="ar-SA"/>
              </w:rPr>
              <w:t>2</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r>
              <w:rPr>
                <w:rFonts w:hint="eastAsia" w:ascii="Times New Roman" w:hAnsi="Times New Roman" w:eastAsia="宋体" w:cs="Times New Roman"/>
                <w:b w:val="0"/>
                <w:color w:val="auto"/>
                <w:kern w:val="0"/>
                <w:sz w:val="24"/>
                <w:szCs w:val="24"/>
                <w:highlight w:val="none"/>
                <w:shd w:val="clear" w:color="auto" w:fill="auto"/>
                <w:lang w:val="en-US" w:eastAsia="zh-CN" w:bidi="ar-SA"/>
              </w:rPr>
              <w:t>72</w:t>
            </w:r>
            <w:r>
              <w:rPr>
                <w:rFonts w:hint="default" w:ascii="Times New Roman" w:hAnsi="Times New Roman" w:eastAsia="宋体" w:cs="Times New Roman"/>
                <w:b w:val="0"/>
                <w:color w:val="auto"/>
                <w:kern w:val="0"/>
                <w:sz w:val="24"/>
                <w:szCs w:val="24"/>
                <w:highlight w:val="none"/>
                <w:shd w:val="clear" w:color="auto" w:fill="auto"/>
                <w:lang w:val="en-US" w:eastAsia="zh-CN" w:bidi="ar-SA"/>
              </w:rPr>
              <w:t>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p>
          <w:p w14:paraId="5FD53BA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V3：公司所在</w:t>
            </w:r>
            <w:r>
              <w:rPr>
                <w:rFonts w:hint="eastAsia" w:ascii="Times New Roman" w:hAnsi="Times New Roman" w:eastAsia="宋体" w:cs="Times New Roman"/>
                <w:b w:val="0"/>
                <w:color w:val="auto"/>
                <w:kern w:val="0"/>
                <w:sz w:val="24"/>
                <w:szCs w:val="24"/>
                <w:highlight w:val="none"/>
                <w:shd w:val="clear" w:color="auto" w:fill="auto"/>
                <w:lang w:val="en-US" w:eastAsia="zh-CN" w:bidi="ar-SA"/>
              </w:rPr>
              <w:t>厂</w:t>
            </w:r>
            <w:r>
              <w:rPr>
                <w:rFonts w:hint="default" w:ascii="Times New Roman" w:hAnsi="Times New Roman" w:eastAsia="宋体" w:cs="Times New Roman"/>
                <w:b w:val="0"/>
                <w:color w:val="auto"/>
                <w:kern w:val="0"/>
                <w:sz w:val="24"/>
                <w:szCs w:val="24"/>
                <w:highlight w:val="none"/>
                <w:shd w:val="clear" w:color="auto" w:fill="auto"/>
                <w:lang w:val="en-US" w:eastAsia="zh-CN" w:bidi="ar-SA"/>
              </w:rPr>
              <w:t>区内雨水管网总长度约为</w:t>
            </w:r>
            <w:r>
              <w:rPr>
                <w:rFonts w:hint="eastAsia" w:ascii="Times New Roman" w:hAnsi="Times New Roman" w:eastAsia="宋体" w:cs="Times New Roman"/>
                <w:b w:val="0"/>
                <w:color w:val="auto"/>
                <w:kern w:val="0"/>
                <w:sz w:val="24"/>
                <w:szCs w:val="24"/>
                <w:highlight w:val="none"/>
                <w:shd w:val="clear" w:color="auto" w:fill="auto"/>
                <w:lang w:val="en-US" w:eastAsia="zh-CN" w:bidi="ar-SA"/>
              </w:rPr>
              <w:t>8</w:t>
            </w:r>
            <w:r>
              <w:rPr>
                <w:rFonts w:hint="default" w:ascii="Times New Roman" w:hAnsi="Times New Roman" w:eastAsia="宋体" w:cs="Times New Roman"/>
                <w:b w:val="0"/>
                <w:color w:val="auto"/>
                <w:kern w:val="0"/>
                <w:sz w:val="24"/>
                <w:szCs w:val="24"/>
                <w:highlight w:val="none"/>
                <w:shd w:val="clear" w:color="auto" w:fill="auto"/>
                <w:lang w:val="en-US" w:eastAsia="zh-CN" w:bidi="ar-SA"/>
              </w:rPr>
              <w:t>00m，管内径为0.4m，则雨水管网总容积为</w:t>
            </w:r>
            <w:r>
              <w:rPr>
                <w:rFonts w:hint="eastAsia" w:ascii="Times New Roman" w:hAnsi="Times New Roman" w:eastAsia="宋体" w:cs="Times New Roman"/>
                <w:b w:val="0"/>
                <w:color w:val="auto"/>
                <w:kern w:val="0"/>
                <w:sz w:val="24"/>
                <w:szCs w:val="24"/>
                <w:highlight w:val="none"/>
                <w:shd w:val="clear" w:color="auto" w:fill="auto"/>
                <w:lang w:val="en-US" w:eastAsia="zh-CN" w:bidi="ar-SA"/>
              </w:rPr>
              <w:t>100.48</w:t>
            </w:r>
            <w:r>
              <w:rPr>
                <w:rFonts w:hint="default" w:ascii="Times New Roman" w:hAnsi="Times New Roman" w:eastAsia="宋体" w:cs="Times New Roman"/>
                <w:b w:val="0"/>
                <w:color w:val="auto"/>
                <w:kern w:val="0"/>
                <w:sz w:val="24"/>
                <w:szCs w:val="24"/>
                <w:highlight w:val="none"/>
                <w:shd w:val="clear" w:color="auto" w:fill="auto"/>
                <w:lang w:val="en-US" w:eastAsia="zh-CN" w:bidi="ar-SA"/>
              </w:rPr>
              <w:t>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，事故时可容纳消防尾水量为</w:t>
            </w:r>
            <w:r>
              <w:rPr>
                <w:rFonts w:hint="eastAsia" w:ascii="Times New Roman" w:hAnsi="Times New Roman" w:eastAsia="宋体" w:cs="Times New Roman"/>
                <w:b w:val="0"/>
                <w:color w:val="auto"/>
                <w:kern w:val="0"/>
                <w:sz w:val="24"/>
                <w:szCs w:val="24"/>
                <w:highlight w:val="none"/>
                <w:shd w:val="clear" w:color="auto" w:fill="auto"/>
                <w:lang w:val="en-US" w:eastAsia="zh-CN" w:bidi="ar-SA"/>
              </w:rPr>
              <w:t>80.38</w:t>
            </w:r>
            <w:r>
              <w:rPr>
                <w:rFonts w:hint="default" w:ascii="Times New Roman" w:hAnsi="Times New Roman" w:eastAsia="宋体" w:cs="Times New Roman"/>
                <w:b w:val="0"/>
                <w:color w:val="auto"/>
                <w:kern w:val="0"/>
                <w:sz w:val="24"/>
                <w:szCs w:val="24"/>
                <w:highlight w:val="none"/>
                <w:shd w:val="clear" w:color="auto" w:fill="auto"/>
                <w:lang w:val="en-US" w:eastAsia="zh-CN" w:bidi="ar-SA"/>
              </w:rPr>
              <w:t>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（以雨水管网总容积的80%计），则V3＝</w:t>
            </w:r>
            <w:r>
              <w:rPr>
                <w:rFonts w:hint="eastAsia" w:ascii="Times New Roman" w:hAnsi="Times New Roman" w:eastAsia="宋体" w:cs="Times New Roman"/>
                <w:b w:val="0"/>
                <w:color w:val="auto"/>
                <w:kern w:val="0"/>
                <w:sz w:val="24"/>
                <w:szCs w:val="24"/>
                <w:highlight w:val="none"/>
                <w:shd w:val="clear" w:color="auto" w:fill="auto"/>
                <w:lang w:val="en-US" w:eastAsia="zh-CN" w:bidi="ar-SA"/>
              </w:rPr>
              <w:t>80.38</w:t>
            </w:r>
            <w:r>
              <w:rPr>
                <w:rFonts w:hint="default" w:ascii="Times New Roman" w:hAnsi="Times New Roman" w:eastAsia="宋体" w:cs="Times New Roman"/>
                <w:b w:val="0"/>
                <w:color w:val="auto"/>
                <w:kern w:val="0"/>
                <w:sz w:val="24"/>
                <w:szCs w:val="24"/>
                <w:highlight w:val="none"/>
                <w:shd w:val="clear" w:color="auto" w:fill="auto"/>
                <w:lang w:val="en-US" w:eastAsia="zh-CN" w:bidi="ar-SA"/>
              </w:rPr>
              <w:t>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p>
          <w:p w14:paraId="2018FE4C">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V4：发生事故时必须进入收集系统的生产废水量取0m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p>
          <w:p w14:paraId="56500A36">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V5：发生事故时可能进入该收集系统的降雨量，V5=10qF；</w:t>
            </w:r>
          </w:p>
          <w:p w14:paraId="3524ED3D">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q：降雨强度，mm；按平均日降雨量；</w:t>
            </w:r>
          </w:p>
          <w:p w14:paraId="572D97A3">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q=qa/n</w:t>
            </w:r>
          </w:p>
          <w:p w14:paraId="0BCB94E8">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qa：年平均降雨量，取1106.7mm；</w:t>
            </w:r>
          </w:p>
          <w:p w14:paraId="4DF4C7B7">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n：年平均降雨日数，取126天；</w:t>
            </w:r>
          </w:p>
          <w:p w14:paraId="657D6F14">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F：必须进入事故废水收集系统的雨水汇水面积ha，汇水面积取</w:t>
            </w:r>
            <w:r>
              <w:rPr>
                <w:rFonts w:hint="eastAsia" w:ascii="Times New Roman" w:hAnsi="Times New Roman" w:eastAsia="宋体" w:cs="Times New Roman"/>
                <w:b w:val="0"/>
                <w:color w:val="auto"/>
                <w:kern w:val="0"/>
                <w:sz w:val="24"/>
                <w:szCs w:val="24"/>
                <w:highlight w:val="none"/>
                <w:shd w:val="clear" w:color="auto" w:fill="auto"/>
                <w:lang w:val="en-US" w:eastAsia="zh-CN" w:bidi="ar-SA"/>
              </w:rPr>
              <w:t>0.3</w:t>
            </w:r>
            <w:r>
              <w:rPr>
                <w:rFonts w:hint="default" w:ascii="Times New Roman" w:hAnsi="Times New Roman" w:eastAsia="宋体" w:cs="Times New Roman"/>
                <w:b w:val="0"/>
                <w:color w:val="auto"/>
                <w:kern w:val="0"/>
                <w:sz w:val="24"/>
                <w:szCs w:val="24"/>
                <w:highlight w:val="none"/>
                <w:shd w:val="clear" w:color="auto" w:fill="auto"/>
                <w:lang w:val="en-US" w:eastAsia="zh-CN" w:bidi="ar-SA"/>
              </w:rPr>
              <w:t>ha；</w:t>
            </w:r>
          </w:p>
          <w:p w14:paraId="7E620CF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由此计算V5为</w:t>
            </w:r>
            <w:r>
              <w:rPr>
                <w:rFonts w:hint="eastAsia" w:ascii="Times New Roman" w:hAnsi="Times New Roman" w:eastAsia="宋体" w:cs="Times New Roman"/>
                <w:b w:val="0"/>
                <w:color w:val="auto"/>
                <w:kern w:val="0"/>
                <w:sz w:val="24"/>
                <w:szCs w:val="24"/>
                <w:highlight w:val="none"/>
                <w:shd w:val="clear" w:color="auto" w:fill="auto"/>
                <w:lang w:val="en-US" w:eastAsia="zh-CN" w:bidi="ar-SA"/>
              </w:rPr>
              <w:t>26.35</w:t>
            </w:r>
            <w:r>
              <w:rPr>
                <w:rFonts w:hint="default" w:ascii="Times New Roman" w:hAnsi="Times New Roman" w:eastAsia="宋体" w:cs="Times New Roman"/>
                <w:b w:val="0"/>
                <w:color w:val="auto"/>
                <w:kern w:val="0"/>
                <w:sz w:val="24"/>
                <w:szCs w:val="24"/>
                <w:highlight w:val="none"/>
                <w:shd w:val="clear" w:color="auto" w:fill="auto"/>
                <w:lang w:val="en-US" w:eastAsia="zh-CN" w:bidi="ar-SA"/>
              </w:rPr>
              <w:t>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p>
          <w:p w14:paraId="017B9FF5">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color w:val="auto"/>
                <w:kern w:val="0"/>
                <w:sz w:val="24"/>
                <w:szCs w:val="24"/>
                <w:highlight w:val="none"/>
                <w:shd w:val="clear" w:color="auto" w:fill="auto"/>
                <w:lang w:val="en-US" w:eastAsia="zh-CN" w:bidi="ar-SA"/>
              </w:rPr>
            </w:pPr>
            <w:r>
              <w:rPr>
                <w:rFonts w:hint="default" w:ascii="Times New Roman" w:hAnsi="Times New Roman" w:eastAsia="宋体" w:cs="Times New Roman"/>
                <w:b w:val="0"/>
                <w:color w:val="auto"/>
                <w:kern w:val="0"/>
                <w:sz w:val="24"/>
                <w:szCs w:val="24"/>
                <w:highlight w:val="none"/>
                <w:shd w:val="clear" w:color="auto" w:fill="auto"/>
                <w:lang w:val="en-US" w:eastAsia="zh-CN" w:bidi="ar-SA"/>
              </w:rPr>
              <w:t>V总=V1+ V2-V3 + V4+ V5 =</w:t>
            </w:r>
            <w:r>
              <w:rPr>
                <w:rFonts w:hint="eastAsia" w:ascii="Times New Roman" w:hAnsi="Times New Roman" w:eastAsia="宋体" w:cs="Times New Roman"/>
                <w:b w:val="0"/>
                <w:color w:val="auto"/>
                <w:kern w:val="0"/>
                <w:sz w:val="24"/>
                <w:szCs w:val="24"/>
                <w:highlight w:val="none"/>
                <w:shd w:val="clear" w:color="auto" w:fill="auto"/>
                <w:lang w:val="en-US" w:eastAsia="zh-CN" w:bidi="ar-SA"/>
              </w:rPr>
              <w:t>0</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r>
              <w:rPr>
                <w:rFonts w:hint="eastAsia" w:ascii="Times New Roman" w:hAnsi="Times New Roman" w:eastAsia="宋体" w:cs="Times New Roman"/>
                <w:b w:val="0"/>
                <w:color w:val="auto"/>
                <w:kern w:val="0"/>
                <w:sz w:val="24"/>
                <w:szCs w:val="24"/>
                <w:highlight w:val="none"/>
                <w:shd w:val="clear" w:color="auto" w:fill="auto"/>
                <w:lang w:val="en-US" w:eastAsia="zh-CN" w:bidi="ar-SA"/>
              </w:rPr>
              <w:t>72</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r>
              <w:rPr>
                <w:rFonts w:hint="eastAsia" w:ascii="Times New Roman" w:hAnsi="Times New Roman" w:eastAsia="宋体" w:cs="Times New Roman"/>
                <w:b w:val="0"/>
                <w:color w:val="auto"/>
                <w:kern w:val="0"/>
                <w:sz w:val="24"/>
                <w:szCs w:val="24"/>
                <w:highlight w:val="none"/>
                <w:shd w:val="clear" w:color="auto" w:fill="auto"/>
                <w:lang w:val="en-US" w:eastAsia="zh-CN" w:bidi="ar-SA"/>
              </w:rPr>
              <w:t>80.38</w:t>
            </w:r>
            <w:r>
              <w:rPr>
                <w:rFonts w:hint="default" w:ascii="Times New Roman" w:hAnsi="Times New Roman" w:eastAsia="宋体" w:cs="Times New Roman"/>
                <w:b w:val="0"/>
                <w:color w:val="auto"/>
                <w:kern w:val="0"/>
                <w:sz w:val="24"/>
                <w:szCs w:val="24"/>
                <w:highlight w:val="none"/>
                <w:shd w:val="clear" w:color="auto" w:fill="auto"/>
                <w:lang w:val="en-US" w:eastAsia="zh-CN" w:bidi="ar-SA"/>
              </w:rPr>
              <w:t>+0+</w:t>
            </w:r>
            <w:r>
              <w:rPr>
                <w:rFonts w:hint="eastAsia" w:ascii="Times New Roman" w:hAnsi="Times New Roman" w:eastAsia="宋体" w:cs="Times New Roman"/>
                <w:b w:val="0"/>
                <w:color w:val="auto"/>
                <w:kern w:val="0"/>
                <w:sz w:val="24"/>
                <w:szCs w:val="24"/>
                <w:highlight w:val="none"/>
                <w:shd w:val="clear" w:color="auto" w:fill="auto"/>
                <w:lang w:val="en-US" w:eastAsia="zh-CN" w:bidi="ar-SA"/>
              </w:rPr>
              <w:t>26.35</w:t>
            </w:r>
            <w:r>
              <w:rPr>
                <w:rFonts w:hint="default" w:ascii="Times New Roman" w:hAnsi="Times New Roman" w:eastAsia="宋体" w:cs="Times New Roman"/>
                <w:b w:val="0"/>
                <w:color w:val="auto"/>
                <w:kern w:val="0"/>
                <w:sz w:val="24"/>
                <w:szCs w:val="24"/>
                <w:highlight w:val="none"/>
                <w:shd w:val="clear" w:color="auto" w:fill="auto"/>
                <w:lang w:val="en-US" w:eastAsia="zh-CN" w:bidi="ar-SA"/>
              </w:rPr>
              <w:t>=</w:t>
            </w:r>
            <w:r>
              <w:rPr>
                <w:rFonts w:hint="eastAsia" w:ascii="Times New Roman" w:hAnsi="Times New Roman" w:eastAsia="宋体" w:cs="Times New Roman"/>
                <w:b w:val="0"/>
                <w:color w:val="auto"/>
                <w:kern w:val="0"/>
                <w:sz w:val="24"/>
                <w:szCs w:val="24"/>
                <w:highlight w:val="none"/>
                <w:shd w:val="clear" w:color="auto" w:fill="auto"/>
                <w:lang w:val="en-US" w:eastAsia="zh-CN" w:bidi="ar-SA"/>
              </w:rPr>
              <w:t>17.97</w:t>
            </w:r>
            <w:r>
              <w:rPr>
                <w:rFonts w:hint="default" w:ascii="Times New Roman" w:hAnsi="Times New Roman" w:eastAsia="宋体" w:cs="Times New Roman"/>
                <w:b w:val="0"/>
                <w:color w:val="auto"/>
                <w:kern w:val="0"/>
                <w:sz w:val="24"/>
                <w:szCs w:val="24"/>
                <w:highlight w:val="none"/>
                <w:shd w:val="clear" w:color="auto" w:fill="auto"/>
                <w:lang w:val="en-US" w:eastAsia="zh-CN" w:bidi="ar-SA"/>
              </w:rPr>
              <w:t>m</w:t>
            </w:r>
            <w:r>
              <w:rPr>
                <w:rFonts w:hint="default" w:ascii="Times New Roman" w:hAnsi="Times New Roman" w:eastAsia="宋体" w:cs="Times New Roman"/>
                <w:b w:val="0"/>
                <w:color w:val="auto"/>
                <w:kern w:val="0"/>
                <w:sz w:val="24"/>
                <w:szCs w:val="24"/>
                <w:highlight w:val="none"/>
                <w:shd w:val="clear" w:color="auto" w:fill="auto"/>
                <w:vertAlign w:val="superscript"/>
                <w:lang w:val="en-US" w:eastAsia="zh-CN" w:bidi="ar-SA"/>
              </w:rPr>
              <w:t>3</w:t>
            </w:r>
          </w:p>
          <w:p w14:paraId="66994895">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 w:val="0"/>
                <w:color w:val="auto"/>
                <w:kern w:val="0"/>
                <w:sz w:val="24"/>
                <w:szCs w:val="24"/>
                <w:highlight w:val="none"/>
                <w:shd w:val="clear" w:color="auto" w:fill="auto"/>
              </w:rPr>
            </w:pPr>
            <w:r>
              <w:rPr>
                <w:rFonts w:hint="default" w:ascii="Times New Roman" w:hAnsi="Times New Roman" w:eastAsia="宋体" w:cs="Times New Roman"/>
                <w:b w:val="0"/>
                <w:color w:val="auto"/>
                <w:kern w:val="0"/>
                <w:sz w:val="24"/>
                <w:szCs w:val="24"/>
                <w:highlight w:val="none"/>
                <w:shd w:val="clear" w:color="auto" w:fill="auto"/>
              </w:rPr>
              <w:t>经计算，企业应急事故废水最大量为</w:t>
            </w:r>
            <w:r>
              <w:rPr>
                <w:rFonts w:hint="eastAsia" w:ascii="Times New Roman" w:hAnsi="Times New Roman" w:eastAsia="宋体" w:cs="Times New Roman"/>
                <w:b w:val="0"/>
                <w:color w:val="auto"/>
                <w:kern w:val="0"/>
                <w:sz w:val="24"/>
                <w:szCs w:val="24"/>
                <w:highlight w:val="none"/>
                <w:shd w:val="clear" w:color="auto" w:fill="auto"/>
                <w:lang w:val="en-US" w:eastAsia="zh-CN"/>
              </w:rPr>
              <w:t>17.97</w:t>
            </w:r>
            <w:r>
              <w:rPr>
                <w:rFonts w:hint="default" w:ascii="Times New Roman" w:hAnsi="Times New Roman" w:eastAsia="宋体" w:cs="Times New Roman"/>
                <w:b w:val="0"/>
                <w:color w:val="auto"/>
                <w:kern w:val="0"/>
                <w:sz w:val="24"/>
                <w:szCs w:val="24"/>
                <w:highlight w:val="none"/>
                <w:shd w:val="clear" w:color="auto" w:fill="auto"/>
              </w:rPr>
              <w:t>m</w:t>
            </w:r>
            <w:r>
              <w:rPr>
                <w:rFonts w:hint="default" w:ascii="Times New Roman" w:hAnsi="Times New Roman" w:eastAsia="宋体" w:cs="Times New Roman"/>
                <w:b w:val="0"/>
                <w:color w:val="auto"/>
                <w:kern w:val="0"/>
                <w:sz w:val="24"/>
                <w:szCs w:val="24"/>
                <w:highlight w:val="none"/>
                <w:shd w:val="clear" w:color="auto" w:fill="auto"/>
                <w:vertAlign w:val="superscript"/>
              </w:rPr>
              <w:t>3</w:t>
            </w:r>
            <w:r>
              <w:rPr>
                <w:rFonts w:hint="default" w:ascii="Times New Roman" w:hAnsi="Times New Roman" w:eastAsia="宋体" w:cs="Times New Roman"/>
                <w:b w:val="0"/>
                <w:color w:val="auto"/>
                <w:kern w:val="0"/>
                <w:sz w:val="24"/>
                <w:szCs w:val="24"/>
                <w:highlight w:val="none"/>
                <w:shd w:val="clear" w:color="auto" w:fill="auto"/>
              </w:rPr>
              <w:t>，企业</w:t>
            </w:r>
            <w:r>
              <w:rPr>
                <w:rFonts w:hint="default" w:ascii="Times New Roman" w:hAnsi="Times New Roman" w:eastAsia="宋体" w:cs="Times New Roman"/>
                <w:b w:val="0"/>
                <w:color w:val="auto"/>
                <w:kern w:val="0"/>
                <w:sz w:val="24"/>
                <w:szCs w:val="24"/>
                <w:highlight w:val="none"/>
                <w:shd w:val="clear" w:color="auto" w:fill="auto"/>
                <w:lang w:val="en-US" w:eastAsia="zh-CN"/>
              </w:rPr>
              <w:t>拟建设</w:t>
            </w:r>
            <w:r>
              <w:rPr>
                <w:rFonts w:hint="eastAsia" w:ascii="Times New Roman" w:hAnsi="Times New Roman" w:eastAsia="宋体" w:cs="Times New Roman"/>
                <w:b w:val="0"/>
                <w:color w:val="auto"/>
                <w:kern w:val="0"/>
                <w:sz w:val="24"/>
                <w:szCs w:val="24"/>
                <w:highlight w:val="none"/>
                <w:shd w:val="clear" w:color="auto" w:fill="auto"/>
                <w:lang w:val="en-US" w:eastAsia="zh-CN"/>
              </w:rPr>
              <w:t>2</w:t>
            </w:r>
            <w:r>
              <w:rPr>
                <w:rFonts w:hint="default" w:ascii="Times New Roman" w:hAnsi="Times New Roman" w:eastAsia="宋体" w:cs="Times New Roman"/>
                <w:b w:val="0"/>
                <w:color w:val="auto"/>
                <w:kern w:val="0"/>
                <w:sz w:val="24"/>
                <w:szCs w:val="24"/>
                <w:highlight w:val="none"/>
                <w:shd w:val="clear" w:color="auto" w:fill="auto"/>
                <w:lang w:val="en-US" w:eastAsia="zh-CN"/>
              </w:rPr>
              <w:t>0</w:t>
            </w:r>
            <w:r>
              <w:rPr>
                <w:rFonts w:hint="default" w:ascii="Times New Roman" w:hAnsi="Times New Roman" w:eastAsia="宋体" w:cs="Times New Roman"/>
                <w:b w:val="0"/>
                <w:color w:val="auto"/>
                <w:kern w:val="0"/>
                <w:sz w:val="24"/>
                <w:szCs w:val="24"/>
                <w:highlight w:val="none"/>
                <w:shd w:val="clear" w:color="auto" w:fill="auto"/>
              </w:rPr>
              <w:t>m</w:t>
            </w:r>
            <w:r>
              <w:rPr>
                <w:rFonts w:hint="default" w:ascii="Times New Roman" w:hAnsi="Times New Roman" w:eastAsia="宋体" w:cs="Times New Roman"/>
                <w:b w:val="0"/>
                <w:color w:val="auto"/>
                <w:kern w:val="0"/>
                <w:sz w:val="24"/>
                <w:szCs w:val="24"/>
                <w:highlight w:val="none"/>
                <w:shd w:val="clear" w:color="auto" w:fill="auto"/>
                <w:vertAlign w:val="superscript"/>
              </w:rPr>
              <w:t>3</w:t>
            </w:r>
            <w:r>
              <w:rPr>
                <w:rFonts w:hint="default" w:ascii="Times New Roman" w:hAnsi="Times New Roman" w:eastAsia="宋体" w:cs="Times New Roman"/>
                <w:b w:val="0"/>
                <w:color w:val="auto"/>
                <w:kern w:val="0"/>
                <w:sz w:val="24"/>
                <w:szCs w:val="24"/>
                <w:highlight w:val="none"/>
                <w:shd w:val="clear" w:color="auto" w:fill="auto"/>
              </w:rPr>
              <w:t>事故应急池</w:t>
            </w:r>
            <w:r>
              <w:rPr>
                <w:rFonts w:hint="default" w:ascii="Times New Roman" w:hAnsi="Times New Roman" w:eastAsia="宋体" w:cs="Times New Roman"/>
                <w:b w:val="0"/>
                <w:color w:val="auto"/>
                <w:kern w:val="0"/>
                <w:sz w:val="24"/>
                <w:szCs w:val="24"/>
                <w:highlight w:val="none"/>
                <w:shd w:val="clear" w:color="auto" w:fill="auto"/>
                <w:lang w:eastAsia="zh-CN"/>
              </w:rPr>
              <w:t>（</w:t>
            </w:r>
            <w:r>
              <w:rPr>
                <w:rFonts w:hint="default" w:ascii="Times New Roman" w:hAnsi="Times New Roman" w:eastAsia="宋体" w:cs="Times New Roman"/>
                <w:b w:val="0"/>
                <w:color w:val="auto"/>
                <w:kern w:val="0"/>
                <w:sz w:val="24"/>
                <w:szCs w:val="24"/>
                <w:highlight w:val="none"/>
                <w:shd w:val="clear" w:color="auto" w:fill="auto"/>
                <w:lang w:val="en-US" w:eastAsia="zh-CN"/>
              </w:rPr>
              <w:t>并设置截止阀），</w:t>
            </w:r>
            <w:r>
              <w:rPr>
                <w:rFonts w:hint="default" w:ascii="Times New Roman" w:hAnsi="Times New Roman" w:eastAsia="宋体" w:cs="Times New Roman"/>
                <w:b w:val="0"/>
                <w:color w:val="auto"/>
                <w:sz w:val="24"/>
                <w:szCs w:val="24"/>
                <w:highlight w:val="none"/>
                <w:shd w:val="clear" w:color="auto" w:fill="auto"/>
                <w:lang w:val="en-US" w:eastAsia="zh-CN"/>
              </w:rPr>
              <w:t>用于事故状态下事故废水的收集，紧急情况下手动关闭雨水切换阀门，开启通往事故池阀门，将事故废水收集于事故池和雨水管道暂存</w:t>
            </w:r>
            <w:r>
              <w:rPr>
                <w:rFonts w:hint="default" w:ascii="Times New Roman" w:hAnsi="Times New Roman" w:eastAsia="宋体" w:cs="Times New Roman"/>
                <w:b w:val="0"/>
                <w:color w:val="auto"/>
                <w:sz w:val="24"/>
                <w:szCs w:val="24"/>
                <w:highlight w:val="none"/>
                <w:shd w:val="clear" w:color="auto" w:fill="auto"/>
              </w:rPr>
              <w:t>。</w:t>
            </w:r>
            <w:r>
              <w:rPr>
                <w:rFonts w:hint="default" w:ascii="Times New Roman" w:hAnsi="Times New Roman" w:eastAsia="宋体" w:cs="Times New Roman"/>
                <w:b w:val="0"/>
                <w:color w:val="auto"/>
                <w:kern w:val="0"/>
                <w:sz w:val="24"/>
                <w:szCs w:val="24"/>
                <w:highlight w:val="none"/>
                <w:shd w:val="clear" w:color="auto" w:fill="auto"/>
              </w:rPr>
              <w:t>通过完善消防废水收集、处理、排放系统，保证生产车间、仓库以及危废仓库发生火灾事故时，消防废水等能迅速、安全地集中到事故应急池，然后针对水质实际情况进行必要的处理，避免对评价范围内的周围农田和河流造成影响。</w:t>
            </w:r>
          </w:p>
          <w:p w14:paraId="624BA070">
            <w:pPr>
              <w:pStyle w:val="71"/>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b w:val="0"/>
                <w:color w:val="auto"/>
                <w:kern w:val="0"/>
                <w:sz w:val="24"/>
                <w:szCs w:val="24"/>
                <w:highlight w:val="none"/>
                <w:shd w:val="clear" w:color="auto" w:fill="auto"/>
              </w:rPr>
              <w:t>若企业发生突发事故时，事故应急池无剩余容积、事故应急池阀门不能正常使用、雨水排放口阀门不能正常关闭等情况，物料泄漏、火灾爆炸事故泄漏、伴生和次生的污水、消防废水可能直接进入公司内雨水管网，雨水就近排入丹金溧漕河。园区内河流设有闸坝，当区内发生水污染事件的时候，可</w:t>
            </w:r>
            <w:r>
              <w:rPr>
                <w:rFonts w:hint="default" w:ascii="Times New Roman" w:hAnsi="Times New Roman" w:eastAsia="宋体" w:cs="Times New Roman"/>
                <w:b w:val="0"/>
                <w:color w:val="auto"/>
                <w:kern w:val="0"/>
                <w:sz w:val="24"/>
                <w:szCs w:val="24"/>
                <w:highlight w:val="none"/>
                <w:shd w:val="clear" w:color="auto" w:fill="auto"/>
                <w:lang w:val="en-US" w:eastAsia="zh-CN"/>
              </w:rPr>
              <w:t>利</w:t>
            </w:r>
            <w:r>
              <w:rPr>
                <w:rFonts w:hint="default" w:ascii="Times New Roman" w:hAnsi="Times New Roman" w:eastAsia="宋体" w:cs="Times New Roman"/>
                <w:b w:val="0"/>
                <w:color w:val="auto"/>
                <w:kern w:val="0"/>
                <w:sz w:val="24"/>
                <w:szCs w:val="24"/>
                <w:highlight w:val="none"/>
                <w:shd w:val="clear" w:color="auto" w:fill="auto"/>
              </w:rPr>
              <w:t>用丹金溧漕河闸站对事故废水进行控制，将溢出事发企业厂界或在园区公共区域内的所有受污染的雨水、消防水和泄漏物等废水控制在雨水收集系统或区内河流内。目前，园区主要依托企业事故应急池或污水池容纳处理受污染水体。</w:t>
            </w:r>
          </w:p>
          <w:p w14:paraId="0200D39C">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t>2）泄漏事故应急措施</w:t>
            </w:r>
          </w:p>
          <w:p w14:paraId="6753ED37">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本项目</w:t>
            </w:r>
            <w:r>
              <w:rPr>
                <w:rFonts w:hint="eastAsia" w:ascii="Times New Roman" w:hAnsi="Times New Roman" w:eastAsia="宋体" w:cs="Times New Roman"/>
                <w:color w:val="auto"/>
                <w:sz w:val="24"/>
                <w:highlight w:val="none"/>
                <w:shd w:val="clear" w:color="auto" w:fill="auto"/>
                <w:lang w:val="en-US" w:eastAsia="zh-CN"/>
              </w:rPr>
              <w:t>水性油墨、油性油墨</w:t>
            </w:r>
            <w:r>
              <w:rPr>
                <w:rFonts w:hint="default" w:ascii="Times New Roman" w:hAnsi="Times New Roman" w:eastAsia="宋体" w:cs="Times New Roman"/>
                <w:color w:val="auto"/>
                <w:kern w:val="0"/>
                <w:sz w:val="24"/>
                <w:szCs w:val="24"/>
                <w:highlight w:val="none"/>
                <w:shd w:val="clear" w:color="auto" w:fill="auto"/>
              </w:rPr>
              <w:t>暂存于车间</w:t>
            </w:r>
            <w:r>
              <w:rPr>
                <w:rFonts w:hint="eastAsia" w:ascii="Times New Roman" w:hAnsi="Times New Roman" w:eastAsia="宋体" w:cs="Times New Roman"/>
                <w:color w:val="auto"/>
                <w:kern w:val="0"/>
                <w:sz w:val="24"/>
                <w:szCs w:val="24"/>
                <w:highlight w:val="none"/>
                <w:shd w:val="clear" w:color="auto" w:fill="auto"/>
                <w:lang w:val="en-US" w:eastAsia="zh-CN"/>
              </w:rPr>
              <w:t>油墨间，</w:t>
            </w:r>
            <w:r>
              <w:rPr>
                <w:rFonts w:hint="eastAsia" w:ascii="Times New Roman" w:hAnsi="Times New Roman" w:eastAsia="宋体" w:cs="Times New Roman"/>
                <w:color w:val="auto"/>
                <w:sz w:val="24"/>
                <w:highlight w:val="none"/>
                <w:shd w:val="clear" w:color="auto" w:fill="auto"/>
                <w:lang w:val="en-US" w:eastAsia="zh-CN"/>
              </w:rPr>
              <w:t>乙酸乙酯、双组份无溶剂聚氨酯粘合剂、黄油</w:t>
            </w:r>
            <w:r>
              <w:rPr>
                <w:rFonts w:hint="default" w:ascii="Times New Roman" w:hAnsi="Times New Roman" w:eastAsia="宋体" w:cs="Times New Roman"/>
                <w:color w:val="auto"/>
                <w:sz w:val="24"/>
                <w:highlight w:val="none"/>
                <w:shd w:val="clear" w:color="auto" w:fill="auto"/>
                <w:lang w:val="en-US" w:eastAsia="zh-CN"/>
              </w:rPr>
              <w:t>等原料</w:t>
            </w:r>
            <w:r>
              <w:rPr>
                <w:rFonts w:hint="default" w:ascii="Times New Roman" w:hAnsi="Times New Roman" w:eastAsia="宋体" w:cs="Times New Roman"/>
                <w:color w:val="auto"/>
                <w:kern w:val="0"/>
                <w:sz w:val="24"/>
                <w:szCs w:val="24"/>
                <w:highlight w:val="none"/>
                <w:shd w:val="clear" w:color="auto" w:fill="auto"/>
              </w:rPr>
              <w:t>暂存于车间</w:t>
            </w:r>
            <w:r>
              <w:rPr>
                <w:rFonts w:hint="eastAsia" w:ascii="Times New Roman" w:hAnsi="Times New Roman" w:eastAsia="宋体" w:cs="Times New Roman"/>
                <w:color w:val="auto"/>
                <w:kern w:val="0"/>
                <w:sz w:val="24"/>
                <w:szCs w:val="24"/>
                <w:highlight w:val="none"/>
                <w:shd w:val="clear" w:color="auto" w:fill="auto"/>
                <w:lang w:val="en-US" w:eastAsia="zh-CN"/>
              </w:rPr>
              <w:t>化学品</w:t>
            </w:r>
            <w:r>
              <w:rPr>
                <w:rFonts w:hint="default" w:ascii="Times New Roman" w:hAnsi="Times New Roman" w:eastAsia="宋体" w:cs="Times New Roman"/>
                <w:color w:val="auto"/>
                <w:kern w:val="0"/>
                <w:sz w:val="24"/>
                <w:szCs w:val="24"/>
                <w:highlight w:val="none"/>
                <w:shd w:val="clear" w:color="auto" w:fill="auto"/>
                <w:lang w:val="en-US" w:eastAsia="zh-CN"/>
              </w:rPr>
              <w:t>仓库</w:t>
            </w:r>
            <w:r>
              <w:rPr>
                <w:rFonts w:hint="default" w:ascii="Times New Roman" w:hAnsi="Times New Roman" w:eastAsia="宋体" w:cs="Times New Roman"/>
                <w:color w:val="auto"/>
                <w:kern w:val="0"/>
                <w:sz w:val="24"/>
                <w:szCs w:val="24"/>
                <w:highlight w:val="none"/>
                <w:shd w:val="clear" w:color="auto" w:fill="auto"/>
                <w:lang w:eastAsia="zh-CN"/>
              </w:rPr>
              <w:t>，</w:t>
            </w:r>
            <w:r>
              <w:rPr>
                <w:rFonts w:hint="default" w:ascii="Times New Roman" w:hAnsi="Times New Roman" w:eastAsia="宋体" w:cs="Times New Roman"/>
                <w:color w:val="auto"/>
                <w:kern w:val="0"/>
                <w:sz w:val="24"/>
                <w:szCs w:val="24"/>
                <w:highlight w:val="none"/>
                <w:shd w:val="clear" w:color="auto" w:fill="auto"/>
                <w:lang w:val="en-US" w:eastAsia="zh-CN"/>
              </w:rPr>
              <w:t>均</w:t>
            </w:r>
            <w:r>
              <w:rPr>
                <w:rFonts w:hint="default" w:ascii="Times New Roman" w:hAnsi="Times New Roman" w:eastAsia="宋体" w:cs="Times New Roman"/>
                <w:color w:val="auto"/>
                <w:kern w:val="0"/>
                <w:sz w:val="24"/>
                <w:szCs w:val="24"/>
                <w:highlight w:val="none"/>
                <w:shd w:val="clear" w:color="auto" w:fill="auto"/>
              </w:rPr>
              <w:t>采用桶装，桶底部设有托盘，且仓库地面作防渗处理，即便发生泄漏，也可全部收集于托盘中，不会扩散至厂区或厂外环境。</w:t>
            </w:r>
          </w:p>
          <w:p w14:paraId="07BEECC2">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t>3）废气处理装置事故应急措施</w:t>
            </w:r>
          </w:p>
          <w:p w14:paraId="349C4244">
            <w:pPr>
              <w:pStyle w:val="2"/>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现场操作人员发现废气处理装置发生故障后，应立即停止生产，相关人员对废气处理装置进行故障排除，待故障解决、装置运行正常后再进行生产。</w:t>
            </w:r>
          </w:p>
          <w:p w14:paraId="4D0CEF93">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highlight w:val="none"/>
                <w:shd w:val="clear" w:color="auto" w:fill="auto"/>
              </w:rPr>
            </w:pPr>
            <w:r>
              <w:rPr>
                <w:rFonts w:hint="default" w:ascii="Times New Roman" w:hAnsi="Times New Roman" w:eastAsia="宋体" w:cs="Times New Roman"/>
                <w:b/>
                <w:bCs/>
                <w:color w:val="auto"/>
                <w:sz w:val="24"/>
                <w:szCs w:val="24"/>
                <w:highlight w:val="none"/>
                <w:shd w:val="clear" w:color="auto" w:fill="auto"/>
              </w:rPr>
              <w:t>③突发事故对策和应急预案</w:t>
            </w:r>
          </w:p>
          <w:p w14:paraId="1B546180">
            <w:pPr>
              <w:pStyle w:val="36"/>
              <w:keepNext w:val="0"/>
              <w:keepLines w:val="0"/>
              <w:pageBreakBefore w:val="0"/>
              <w:kinsoku/>
              <w:wordWrap/>
              <w:overflowPunct/>
              <w:topLinePunct w:val="0"/>
              <w:bidi w:val="0"/>
              <w:adjustRightInd/>
              <w:snapToGrid/>
              <w:spacing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b w:val="0"/>
                <w:bCs/>
                <w:color w:val="auto"/>
                <w:kern w:val="0"/>
                <w:sz w:val="24"/>
                <w:szCs w:val="24"/>
                <w:highlight w:val="none"/>
                <w:shd w:val="clear" w:color="auto" w:fill="auto"/>
              </w:rPr>
              <w:t>参照《国家突发环境事件应急预案》《突发环境事件信息报告办法》《江苏省突发环境事件应急预案》，根据企业可能发生的突发环境事件的性质、严重程度、可控性、影响范围等因素，公司应根据下表的详细要求制定突发事故对策和应急预案，一旦出现突发事故，必须按事先拟定的方案进行紧急处理。应急对策和预案的内容及要求如下表：</w:t>
            </w:r>
          </w:p>
          <w:p w14:paraId="05D90A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4"/>
                <w:szCs w:val="24"/>
                <w:highlight w:val="none"/>
                <w:shd w:val="clear" w:color="auto" w:fill="auto"/>
              </w:rPr>
            </w:pPr>
            <w:r>
              <w:rPr>
                <w:rFonts w:hint="default" w:ascii="Times New Roman" w:hAnsi="Times New Roman" w:eastAsia="宋体" w:cs="Times New Roman"/>
                <w:b/>
                <w:color w:val="auto"/>
                <w:kern w:val="0"/>
                <w:sz w:val="24"/>
                <w:szCs w:val="24"/>
                <w:highlight w:val="none"/>
                <w:shd w:val="clear" w:color="auto" w:fill="auto"/>
              </w:rPr>
              <w:t>表4-</w:t>
            </w:r>
            <w:r>
              <w:rPr>
                <w:rFonts w:hint="eastAsia" w:ascii="Times New Roman" w:hAnsi="Times New Roman" w:eastAsia="宋体" w:cs="Times New Roman"/>
                <w:b/>
                <w:color w:val="auto"/>
                <w:kern w:val="0"/>
                <w:sz w:val="24"/>
                <w:szCs w:val="24"/>
                <w:highlight w:val="none"/>
                <w:shd w:val="clear" w:color="auto" w:fill="auto"/>
                <w:lang w:val="en-US" w:eastAsia="zh-CN"/>
              </w:rPr>
              <w:t>31</w:t>
            </w:r>
            <w:r>
              <w:rPr>
                <w:rFonts w:hint="default" w:ascii="Times New Roman" w:hAnsi="Times New Roman" w:eastAsia="宋体" w:cs="Times New Roman"/>
                <w:b/>
                <w:color w:val="auto"/>
                <w:kern w:val="0"/>
                <w:sz w:val="24"/>
                <w:szCs w:val="24"/>
                <w:highlight w:val="none"/>
                <w:shd w:val="clear" w:color="auto" w:fill="auto"/>
              </w:rPr>
              <w:t xml:space="preserve">   应急预案内容</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83"/>
              <w:gridCol w:w="2934"/>
              <w:gridCol w:w="4629"/>
            </w:tblGrid>
            <w:tr w14:paraId="598DBD4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45257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序号</w:t>
                  </w:r>
                </w:p>
              </w:tc>
              <w:tc>
                <w:tcPr>
                  <w:tcW w:w="1757" w:type="pct"/>
                  <w:vAlign w:val="center"/>
                </w:tcPr>
                <w:p w14:paraId="2C614C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项目</w:t>
                  </w:r>
                </w:p>
              </w:tc>
              <w:tc>
                <w:tcPr>
                  <w:tcW w:w="2772" w:type="pct"/>
                  <w:vAlign w:val="center"/>
                </w:tcPr>
                <w:p w14:paraId="2E85C0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内容及要求</w:t>
                  </w:r>
                </w:p>
              </w:tc>
            </w:tr>
            <w:tr w14:paraId="3DC841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14AD3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w:t>
                  </w:r>
                </w:p>
              </w:tc>
              <w:tc>
                <w:tcPr>
                  <w:tcW w:w="1757" w:type="pct"/>
                  <w:vAlign w:val="center"/>
                </w:tcPr>
                <w:p w14:paraId="38A38E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应急计划区</w:t>
                  </w:r>
                </w:p>
              </w:tc>
              <w:tc>
                <w:tcPr>
                  <w:tcW w:w="2772" w:type="pct"/>
                  <w:vAlign w:val="center"/>
                </w:tcPr>
                <w:p w14:paraId="249A38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危险目标：危废仓库、环境保护目标等</w:t>
                  </w:r>
                </w:p>
              </w:tc>
            </w:tr>
            <w:tr w14:paraId="6D8AF4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ED987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2</w:t>
                  </w:r>
                </w:p>
              </w:tc>
              <w:tc>
                <w:tcPr>
                  <w:tcW w:w="1757" w:type="pct"/>
                  <w:vAlign w:val="center"/>
                </w:tcPr>
                <w:p w14:paraId="35283D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应急组织机构、人员</w:t>
                  </w:r>
                </w:p>
              </w:tc>
              <w:tc>
                <w:tcPr>
                  <w:tcW w:w="2772" w:type="pct"/>
                  <w:vAlign w:val="center"/>
                </w:tcPr>
                <w:p w14:paraId="2F8D65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工厂、地区应急组织机构、人员</w:t>
                  </w:r>
                </w:p>
              </w:tc>
            </w:tr>
            <w:tr w14:paraId="796DA1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4BE974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3</w:t>
                  </w:r>
                </w:p>
              </w:tc>
              <w:tc>
                <w:tcPr>
                  <w:tcW w:w="1757" w:type="pct"/>
                  <w:vAlign w:val="center"/>
                </w:tcPr>
                <w:p w14:paraId="16EC1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预案分级响应条件</w:t>
                  </w:r>
                </w:p>
              </w:tc>
              <w:tc>
                <w:tcPr>
                  <w:tcW w:w="2772" w:type="pct"/>
                  <w:vAlign w:val="center"/>
                </w:tcPr>
                <w:p w14:paraId="5C6AA5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规定预案的级别及分级响应程序</w:t>
                  </w:r>
                </w:p>
              </w:tc>
            </w:tr>
            <w:tr w14:paraId="0E184B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088E3C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4</w:t>
                  </w:r>
                </w:p>
              </w:tc>
              <w:tc>
                <w:tcPr>
                  <w:tcW w:w="1757" w:type="pct"/>
                  <w:vAlign w:val="center"/>
                </w:tcPr>
                <w:p w14:paraId="13AC2B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应急救援保障</w:t>
                  </w:r>
                </w:p>
              </w:tc>
              <w:tc>
                <w:tcPr>
                  <w:tcW w:w="2772" w:type="pct"/>
                  <w:vAlign w:val="center"/>
                </w:tcPr>
                <w:p w14:paraId="02E12A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应急设施，设备与器材等</w:t>
                  </w:r>
                </w:p>
              </w:tc>
            </w:tr>
            <w:tr w14:paraId="4F4613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6169CD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5</w:t>
                  </w:r>
                </w:p>
              </w:tc>
              <w:tc>
                <w:tcPr>
                  <w:tcW w:w="1757" w:type="pct"/>
                  <w:vAlign w:val="center"/>
                </w:tcPr>
                <w:p w14:paraId="7F67C8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报警、通讯联络方式</w:t>
                  </w:r>
                </w:p>
              </w:tc>
              <w:tc>
                <w:tcPr>
                  <w:tcW w:w="2772" w:type="pct"/>
                  <w:vAlign w:val="center"/>
                </w:tcPr>
                <w:p w14:paraId="67DCF3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规定应急状态下的报警通讯方式、通知方式和交通保障、管制</w:t>
                  </w:r>
                </w:p>
              </w:tc>
            </w:tr>
            <w:tr w14:paraId="22E4B13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62DB0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6</w:t>
                  </w:r>
                </w:p>
              </w:tc>
              <w:tc>
                <w:tcPr>
                  <w:tcW w:w="1757" w:type="pct"/>
                  <w:vAlign w:val="center"/>
                </w:tcPr>
                <w:p w14:paraId="3F973B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应急检测、防护措施、器材</w:t>
                  </w:r>
                </w:p>
              </w:tc>
              <w:tc>
                <w:tcPr>
                  <w:tcW w:w="2772" w:type="pct"/>
                  <w:vAlign w:val="center"/>
                </w:tcPr>
                <w:p w14:paraId="35F5D055">
                  <w:pPr>
                    <w:pStyle w:val="7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事故现场、邻近区域、控制防火区域，控制和清除污染措施及相应设备</w:t>
                  </w:r>
                </w:p>
              </w:tc>
            </w:tr>
            <w:tr w14:paraId="1F2E9A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73F9E8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7</w:t>
                  </w:r>
                </w:p>
              </w:tc>
              <w:tc>
                <w:tcPr>
                  <w:tcW w:w="1757" w:type="pct"/>
                  <w:vAlign w:val="center"/>
                </w:tcPr>
                <w:p w14:paraId="405AA7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人员紧急撤离、疏散，应急剂量控制、撤离组织计划</w:t>
                  </w:r>
                </w:p>
              </w:tc>
              <w:tc>
                <w:tcPr>
                  <w:tcW w:w="2772" w:type="pct"/>
                  <w:vAlign w:val="center"/>
                </w:tcPr>
                <w:p w14:paraId="313B77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事故现场、工厂邻近区、受事故影响的区域人员及公众对毒物应急剂量控制规定，撤离组织计划及救护，医疗救护与公众健康</w:t>
                  </w:r>
                </w:p>
              </w:tc>
            </w:tr>
            <w:tr w14:paraId="421E86E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1C54F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8</w:t>
                  </w:r>
                </w:p>
              </w:tc>
              <w:tc>
                <w:tcPr>
                  <w:tcW w:w="1757" w:type="pct"/>
                  <w:vAlign w:val="center"/>
                </w:tcPr>
                <w:p w14:paraId="21B6DE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事故应急救援关闭程序与恢复措施</w:t>
                  </w:r>
                </w:p>
              </w:tc>
              <w:tc>
                <w:tcPr>
                  <w:tcW w:w="2772" w:type="pct"/>
                  <w:vAlign w:val="center"/>
                </w:tcPr>
                <w:p w14:paraId="04C6F2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规定应急状态终止程序</w:t>
                  </w:r>
                </w:p>
                <w:p w14:paraId="760614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事故现场善后处理，恢复措施</w:t>
                  </w:r>
                </w:p>
                <w:p w14:paraId="27048B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邻近区域解除事故警戒及善后恢复措施</w:t>
                  </w:r>
                </w:p>
              </w:tc>
            </w:tr>
            <w:tr w14:paraId="537847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3B917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9</w:t>
                  </w:r>
                </w:p>
              </w:tc>
              <w:tc>
                <w:tcPr>
                  <w:tcW w:w="1757" w:type="pct"/>
                  <w:vAlign w:val="center"/>
                </w:tcPr>
                <w:p w14:paraId="1D5CF9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应急培训计划</w:t>
                  </w:r>
                </w:p>
              </w:tc>
              <w:tc>
                <w:tcPr>
                  <w:tcW w:w="2772" w:type="pct"/>
                  <w:vAlign w:val="center"/>
                </w:tcPr>
                <w:p w14:paraId="1A3F07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应急计划制定后，平时安排人员培训与演练</w:t>
                  </w:r>
                </w:p>
              </w:tc>
            </w:tr>
          </w:tbl>
          <w:p w14:paraId="0A524A37">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建议建设单位应采用严格的国际通用的安全防范体系，完善现有的管理规程、作业规章和应急计划，预警和应急</w:t>
            </w:r>
            <w:r>
              <w:rPr>
                <w:rFonts w:hint="default" w:ascii="Times New Roman" w:hAnsi="Times New Roman" w:eastAsia="宋体" w:cs="Times New Roman"/>
                <w:color w:val="auto"/>
                <w:kern w:val="0"/>
                <w:sz w:val="24"/>
                <w:szCs w:val="24"/>
                <w:highlight w:val="none"/>
                <w:shd w:val="clear" w:color="auto" w:fill="auto"/>
                <w:lang w:eastAsia="zh-CN"/>
              </w:rPr>
              <w:t>装</w:t>
            </w:r>
            <w:r>
              <w:rPr>
                <w:rFonts w:hint="default" w:ascii="Times New Roman" w:hAnsi="Times New Roman" w:eastAsia="宋体" w:cs="Times New Roman"/>
                <w:color w:val="auto"/>
                <w:kern w:val="0"/>
                <w:sz w:val="24"/>
                <w:szCs w:val="24"/>
                <w:highlight w:val="none"/>
                <w:shd w:val="clear" w:color="auto" w:fill="auto"/>
              </w:rPr>
              <w:t>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5A221284">
            <w:pPr>
              <w:pStyle w:val="74"/>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highlight w:val="none"/>
                <w:shd w:val="clear" w:color="auto" w:fill="auto"/>
              </w:rPr>
            </w:pPr>
            <w:r>
              <w:rPr>
                <w:rFonts w:hint="default" w:ascii="Times New Roman" w:hAnsi="Times New Roman" w:eastAsia="宋体" w:cs="Times New Roman"/>
                <w:b/>
                <w:bCs/>
                <w:color w:val="auto"/>
                <w:kern w:val="0"/>
                <w:sz w:val="24"/>
                <w:szCs w:val="24"/>
                <w:highlight w:val="none"/>
                <w:shd w:val="clear" w:color="auto" w:fill="auto"/>
              </w:rPr>
              <w:t>（3）环境风险结论</w:t>
            </w:r>
          </w:p>
          <w:p w14:paraId="3BFB9E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p>
          <w:p w14:paraId="2766554D">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color w:val="auto"/>
                <w:sz w:val="24"/>
                <w:highlight w:val="none"/>
                <w:shd w:val="clear" w:color="auto" w:fill="auto"/>
              </w:rPr>
            </w:pPr>
            <w:r>
              <w:rPr>
                <w:rFonts w:hint="default" w:ascii="Times New Roman" w:hAnsi="Times New Roman" w:eastAsia="宋体" w:cs="Times New Roman"/>
                <w:b/>
                <w:color w:val="auto"/>
                <w:sz w:val="24"/>
                <w:highlight w:val="none"/>
                <w:shd w:val="clear" w:color="auto" w:fill="auto"/>
              </w:rPr>
              <w:t>七、电磁辐射</w:t>
            </w:r>
          </w:p>
          <w:p w14:paraId="5025192B">
            <w:pPr>
              <w:spacing w:line="360" w:lineRule="auto"/>
              <w:ind w:firstLine="480" w:firstLineChars="200"/>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highlight w:val="none"/>
                <w:shd w:val="clear" w:color="auto" w:fill="auto"/>
              </w:rPr>
              <w:t>本项目不涉及电磁辐射。</w:t>
            </w:r>
          </w:p>
          <w:p w14:paraId="5B9D52A7">
            <w:pPr>
              <w:keepLines w:val="0"/>
              <w:pageBreakBefore w:val="0"/>
              <w:widowControl w:val="0"/>
              <w:kinsoku/>
              <w:wordWrap/>
              <w:topLinePunct w:val="0"/>
              <w:autoSpaceDE/>
              <w:autoSpaceDN/>
              <w:bidi w:val="0"/>
              <w:adjustRightInd/>
              <w:snapToGrid w:val="0"/>
              <w:spacing w:line="500" w:lineRule="exact"/>
              <w:ind w:left="0" w:leftChars="0" w:firstLine="0" w:firstLineChars="0"/>
              <w:textAlignment w:val="auto"/>
              <w:rPr>
                <w:rFonts w:hint="default" w:ascii="Times New Roman" w:hAnsi="Times New Roman" w:eastAsia="宋体" w:cs="Times New Roman"/>
                <w:b/>
                <w:bCs/>
                <w:color w:val="auto"/>
                <w:spacing w:val="0"/>
                <w:kern w:val="0"/>
                <w:sz w:val="24"/>
                <w:szCs w:val="24"/>
                <w:highlight w:val="none"/>
                <w:shd w:val="clear" w:color="auto" w:fill="auto"/>
                <w:lang w:val="en-US" w:eastAsia="zh-CN"/>
              </w:rPr>
            </w:pPr>
            <w:r>
              <w:rPr>
                <w:rFonts w:hint="default" w:ascii="Times New Roman" w:hAnsi="Times New Roman" w:eastAsia="宋体" w:cs="Times New Roman"/>
                <w:b/>
                <w:bCs/>
                <w:color w:val="auto"/>
                <w:sz w:val="24"/>
                <w:szCs w:val="24"/>
                <w:highlight w:val="none"/>
                <w:shd w:val="clear" w:color="auto" w:fill="auto"/>
                <w:lang w:val="en-US" w:eastAsia="zh-CN"/>
              </w:rPr>
              <w:t>八、</w:t>
            </w:r>
            <w:r>
              <w:rPr>
                <w:rFonts w:hint="default" w:ascii="Times New Roman" w:hAnsi="Times New Roman" w:eastAsia="宋体" w:cs="Times New Roman"/>
                <w:b/>
                <w:bCs/>
                <w:color w:val="auto"/>
                <w:spacing w:val="0"/>
                <w:kern w:val="0"/>
                <w:sz w:val="24"/>
                <w:szCs w:val="24"/>
                <w:highlight w:val="none"/>
                <w:shd w:val="clear" w:color="auto" w:fill="auto"/>
                <w:lang w:val="en-US" w:eastAsia="zh-CN"/>
              </w:rPr>
              <w:t>环境</w:t>
            </w:r>
            <w:r>
              <w:rPr>
                <w:rFonts w:hint="eastAsia" w:ascii="Times New Roman" w:hAnsi="Times New Roman" w:eastAsia="宋体" w:cs="Times New Roman"/>
                <w:b/>
                <w:bCs/>
                <w:color w:val="auto"/>
                <w:spacing w:val="0"/>
                <w:kern w:val="0"/>
                <w:sz w:val="24"/>
                <w:szCs w:val="24"/>
                <w:highlight w:val="none"/>
                <w:shd w:val="clear" w:color="auto" w:fill="auto"/>
                <w:lang w:val="en-US" w:eastAsia="zh-CN"/>
              </w:rPr>
              <w:t>管理和</w:t>
            </w:r>
            <w:r>
              <w:rPr>
                <w:rFonts w:hint="default" w:ascii="Times New Roman" w:hAnsi="Times New Roman" w:eastAsia="宋体" w:cs="Times New Roman"/>
                <w:b/>
                <w:bCs/>
                <w:color w:val="auto"/>
                <w:spacing w:val="0"/>
                <w:kern w:val="0"/>
                <w:sz w:val="24"/>
                <w:szCs w:val="24"/>
                <w:highlight w:val="none"/>
                <w:shd w:val="clear" w:color="auto" w:fill="auto"/>
                <w:lang w:val="en-US" w:eastAsia="zh-CN"/>
              </w:rPr>
              <w:t>监测计划</w:t>
            </w:r>
          </w:p>
          <w:p w14:paraId="6AEFDC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shd w:val="clear" w:color="auto" w:fill="auto"/>
                <w:lang w:val="en-US" w:eastAsia="zh-CN"/>
              </w:rPr>
            </w:pPr>
            <w:bookmarkStart w:id="12" w:name="_Toc479944441"/>
            <w:r>
              <w:rPr>
                <w:rFonts w:hint="eastAsia" w:ascii="Times New Roman" w:hAnsi="Times New Roman" w:eastAsia="宋体" w:cs="Times New Roman"/>
                <w:color w:val="auto"/>
                <w:kern w:val="0"/>
                <w:sz w:val="24"/>
                <w:szCs w:val="24"/>
                <w:highlight w:val="none"/>
                <w:shd w:val="clear" w:color="auto" w:fill="auto"/>
                <w:lang w:val="en-US" w:eastAsia="zh-CN"/>
              </w:rPr>
              <w:t>（一）环境管理</w:t>
            </w:r>
          </w:p>
          <w:p w14:paraId="09A912B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本项目建成后，要求企业对其运营期的生产活动建立健全各类环境管理的相关规章、制度和措施，具体包括：</w:t>
            </w:r>
          </w:p>
          <w:p w14:paraId="32D949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（1）</w:t>
            </w:r>
            <w:r>
              <w:rPr>
                <w:rFonts w:hint="default" w:ascii="Times New Roman" w:hAnsi="Times New Roman" w:eastAsia="宋体" w:cs="Times New Roman"/>
                <w:color w:val="auto"/>
                <w:kern w:val="0"/>
                <w:sz w:val="24"/>
                <w:szCs w:val="24"/>
                <w:highlight w:val="none"/>
                <w:shd w:val="clear" w:color="auto" w:fill="auto"/>
                <w:lang w:val="en-US" w:eastAsia="zh-CN"/>
              </w:rPr>
              <w:t>“三同时”制度</w:t>
            </w:r>
          </w:p>
          <w:p w14:paraId="3C83A66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严格贯彻执行“三同时”制度，确保污染防治设施能够与项目主体工程同时设计、同时施工、同时投入运行。</w:t>
            </w:r>
          </w:p>
          <w:p w14:paraId="7E626A7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（2）</w:t>
            </w:r>
            <w:r>
              <w:rPr>
                <w:rFonts w:hint="default" w:ascii="Times New Roman" w:hAnsi="Times New Roman" w:eastAsia="宋体" w:cs="Times New Roman"/>
                <w:color w:val="auto"/>
                <w:kern w:val="0"/>
                <w:sz w:val="24"/>
                <w:szCs w:val="24"/>
                <w:highlight w:val="none"/>
                <w:shd w:val="clear" w:color="auto" w:fill="auto"/>
                <w:lang w:val="en-US" w:eastAsia="zh-CN"/>
              </w:rPr>
              <w:t>排污许可管理制度</w:t>
            </w:r>
          </w:p>
          <w:p w14:paraId="17A7BF3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根据《固定污染源排污许可分类管理名录（2019年版）》要求申领排污许可证。</w:t>
            </w:r>
          </w:p>
          <w:p w14:paraId="3FD337D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（3）</w:t>
            </w:r>
            <w:r>
              <w:rPr>
                <w:rFonts w:hint="default" w:ascii="Times New Roman" w:hAnsi="Times New Roman" w:eastAsia="宋体" w:cs="Times New Roman"/>
                <w:color w:val="auto"/>
                <w:kern w:val="0"/>
                <w:sz w:val="24"/>
                <w:szCs w:val="24"/>
                <w:highlight w:val="none"/>
                <w:shd w:val="clear" w:color="auto" w:fill="auto"/>
                <w:lang w:val="en-US" w:eastAsia="zh-CN"/>
              </w:rPr>
              <w:t>环境报告制度</w:t>
            </w:r>
          </w:p>
          <w:p w14:paraId="2DF0760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定期向当地环保部门报告污染治理设施运行情况、污染物排放情况以及污染事故、污染纠纷等情况。</w:t>
            </w:r>
          </w:p>
          <w:p w14:paraId="2CB5E8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（4）</w:t>
            </w:r>
            <w:r>
              <w:rPr>
                <w:rFonts w:hint="default" w:ascii="Times New Roman" w:hAnsi="Times New Roman" w:eastAsia="宋体" w:cs="Times New Roman"/>
                <w:color w:val="auto"/>
                <w:kern w:val="0"/>
                <w:sz w:val="24"/>
                <w:szCs w:val="24"/>
                <w:highlight w:val="none"/>
                <w:shd w:val="clear" w:color="auto" w:fill="auto"/>
                <w:lang w:val="en-US" w:eastAsia="zh-CN"/>
              </w:rPr>
              <w:t>环境治理设施监管联动机制</w:t>
            </w:r>
          </w:p>
          <w:p w14:paraId="6756F7E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建立污染处理设施监管联动机制，建立健全内部管理责任制度，严格依据标准规范建设环境治理设施，并制定操作规程，建立</w:t>
            </w:r>
            <w:r>
              <w:rPr>
                <w:rFonts w:hint="eastAsia" w:ascii="Times New Roman" w:hAnsi="Times New Roman" w:eastAsia="宋体" w:cs="Times New Roman"/>
                <w:color w:val="auto"/>
                <w:kern w:val="0"/>
                <w:sz w:val="24"/>
                <w:szCs w:val="24"/>
                <w:highlight w:val="none"/>
                <w:shd w:val="clear" w:color="auto" w:fill="auto"/>
                <w:lang w:val="en-US" w:eastAsia="zh-CN"/>
              </w:rPr>
              <w:t>环境</w:t>
            </w:r>
            <w:r>
              <w:rPr>
                <w:rFonts w:hint="default" w:ascii="Times New Roman" w:hAnsi="Times New Roman" w:eastAsia="宋体" w:cs="Times New Roman"/>
                <w:color w:val="auto"/>
                <w:kern w:val="0"/>
                <w:sz w:val="24"/>
                <w:szCs w:val="24"/>
                <w:highlight w:val="none"/>
                <w:shd w:val="clear" w:color="auto" w:fill="auto"/>
                <w:lang w:val="en-US" w:eastAsia="zh-CN"/>
              </w:rPr>
              <w:t>管理</w:t>
            </w:r>
            <w:r>
              <w:rPr>
                <w:rFonts w:hint="eastAsia" w:ascii="Times New Roman" w:hAnsi="Times New Roman" w:eastAsia="宋体" w:cs="Times New Roman"/>
                <w:color w:val="auto"/>
                <w:kern w:val="0"/>
                <w:sz w:val="24"/>
                <w:szCs w:val="24"/>
                <w:highlight w:val="none"/>
                <w:shd w:val="clear" w:color="auto" w:fill="auto"/>
                <w:lang w:val="en-US" w:eastAsia="zh-CN"/>
              </w:rPr>
              <w:t>台账，包括废气、固废</w:t>
            </w:r>
            <w:r>
              <w:rPr>
                <w:rFonts w:hint="default" w:ascii="Times New Roman" w:hAnsi="Times New Roman" w:eastAsia="宋体" w:cs="Times New Roman"/>
                <w:color w:val="auto"/>
                <w:kern w:val="0"/>
                <w:sz w:val="24"/>
                <w:szCs w:val="24"/>
                <w:highlight w:val="none"/>
                <w:shd w:val="clear" w:color="auto" w:fill="auto"/>
                <w:lang w:val="en-US" w:eastAsia="zh-CN"/>
              </w:rPr>
              <w:t>，以确定其安全、稳定、有效运行。</w:t>
            </w:r>
          </w:p>
          <w:p w14:paraId="617053A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（5）</w:t>
            </w:r>
            <w:r>
              <w:rPr>
                <w:rFonts w:hint="default" w:ascii="Times New Roman" w:hAnsi="Times New Roman" w:eastAsia="宋体" w:cs="Times New Roman"/>
                <w:color w:val="auto"/>
                <w:kern w:val="0"/>
                <w:sz w:val="24"/>
                <w:szCs w:val="24"/>
                <w:highlight w:val="none"/>
                <w:shd w:val="clear" w:color="auto" w:fill="auto"/>
                <w:lang w:val="en-US" w:eastAsia="zh-CN"/>
              </w:rPr>
              <w:t>其他各类环保规章制度</w:t>
            </w:r>
          </w:p>
          <w:p w14:paraId="089CD9D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制定全公司的环境方针、环境管理手册及一系列作业指导书以促进全公司的环境保护工作，使环境保护工作规范化和程序化，通过重要环境因素识别、提出持续改进措施，将全公司环境污染的影响逐年降低。</w:t>
            </w:r>
          </w:p>
          <w:p w14:paraId="5E72CB6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（二）监测计划</w:t>
            </w:r>
          </w:p>
          <w:p w14:paraId="35006BC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（1）验收监测</w:t>
            </w:r>
            <w:bookmarkEnd w:id="12"/>
          </w:p>
          <w:p w14:paraId="0806028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公司应按“三同时”验收程序委托环境监测机构开展建设项目环保“三同时”设施竣工验收监测，具体监测方案由监测机构根据《建设项目竣工环境保护验收技术指南污染影响类》（生态环境部公告 2018年第9号）确定。</w:t>
            </w:r>
          </w:p>
          <w:p w14:paraId="647FEB0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（2）自行监测计划</w:t>
            </w:r>
          </w:p>
          <w:p w14:paraId="4A2007B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本项目环境监测计划参照《排污许可证申请与核发技术规范 总则》（HJ942-2018）、《排污单位自行监测技术指南 总则》（HJ819-2017）要求和《大气污染物无组织排放监测技术导则》（HJ/T55-2017）执行，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68FB8F9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b/>
                <w:bCs/>
                <w:color w:val="auto"/>
                <w:kern w:val="0"/>
                <w:sz w:val="24"/>
                <w:szCs w:val="24"/>
                <w:highlight w:val="none"/>
                <w:shd w:val="clear" w:color="auto" w:fill="auto"/>
                <w:lang w:val="en-US" w:eastAsia="zh-CN"/>
              </w:rPr>
              <w:t>表4-</w:t>
            </w:r>
            <w:r>
              <w:rPr>
                <w:rFonts w:hint="eastAsia" w:ascii="Times New Roman" w:hAnsi="Times New Roman" w:eastAsia="宋体" w:cs="Times New Roman"/>
                <w:b/>
                <w:bCs/>
                <w:color w:val="auto"/>
                <w:kern w:val="0"/>
                <w:sz w:val="24"/>
                <w:szCs w:val="24"/>
                <w:highlight w:val="none"/>
                <w:shd w:val="clear" w:color="auto" w:fill="auto"/>
                <w:lang w:val="en-US" w:eastAsia="zh-CN"/>
              </w:rPr>
              <w:t>32</w:t>
            </w:r>
            <w:r>
              <w:rPr>
                <w:rFonts w:hint="default" w:ascii="Times New Roman" w:hAnsi="Times New Roman" w:eastAsia="宋体" w:cs="Times New Roman"/>
                <w:b/>
                <w:bCs/>
                <w:color w:val="auto"/>
                <w:kern w:val="0"/>
                <w:sz w:val="24"/>
                <w:szCs w:val="24"/>
                <w:highlight w:val="none"/>
                <w:shd w:val="clear" w:color="auto" w:fill="auto"/>
                <w:lang w:val="en-US" w:eastAsia="zh-CN"/>
              </w:rPr>
              <w:t xml:space="preserve">  本项目建成后全厂自行监测计划表</w:t>
            </w:r>
          </w:p>
          <w:tbl>
            <w:tblPr>
              <w:tblStyle w:val="27"/>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090"/>
              <w:gridCol w:w="1290"/>
              <w:gridCol w:w="965"/>
              <w:gridCol w:w="3130"/>
              <w:gridCol w:w="1088"/>
            </w:tblGrid>
            <w:tr w14:paraId="50C3A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14:paraId="026D32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类别</w:t>
                  </w:r>
                </w:p>
              </w:tc>
              <w:tc>
                <w:tcPr>
                  <w:tcW w:w="653" w:type="pct"/>
                  <w:tcBorders>
                    <w:tl2br w:val="nil"/>
                    <w:tr2bl w:val="nil"/>
                  </w:tcBorders>
                  <w:noWrap w:val="0"/>
                  <w:vAlign w:val="center"/>
                </w:tcPr>
                <w:p w14:paraId="2A9847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监测点位</w:t>
                  </w:r>
                </w:p>
              </w:tc>
              <w:tc>
                <w:tcPr>
                  <w:tcW w:w="773" w:type="pct"/>
                  <w:tcBorders>
                    <w:tl2br w:val="nil"/>
                    <w:tr2bl w:val="nil"/>
                  </w:tcBorders>
                  <w:noWrap w:val="0"/>
                  <w:vAlign w:val="center"/>
                </w:tcPr>
                <w:p w14:paraId="6B7E4C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监测指标</w:t>
                  </w:r>
                </w:p>
              </w:tc>
              <w:tc>
                <w:tcPr>
                  <w:tcW w:w="578" w:type="pct"/>
                  <w:tcBorders>
                    <w:tl2br w:val="nil"/>
                    <w:tr2bl w:val="nil"/>
                  </w:tcBorders>
                  <w:noWrap w:val="0"/>
                  <w:vAlign w:val="center"/>
                </w:tcPr>
                <w:p w14:paraId="44739F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监测频次</w:t>
                  </w:r>
                </w:p>
              </w:tc>
              <w:tc>
                <w:tcPr>
                  <w:tcW w:w="1876" w:type="pct"/>
                  <w:tcBorders>
                    <w:tl2br w:val="nil"/>
                    <w:tr2bl w:val="nil"/>
                  </w:tcBorders>
                  <w:noWrap w:val="0"/>
                  <w:vAlign w:val="center"/>
                </w:tcPr>
                <w:p w14:paraId="229F31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执行标准</w:t>
                  </w:r>
                </w:p>
              </w:tc>
              <w:tc>
                <w:tcPr>
                  <w:tcW w:w="652" w:type="pct"/>
                  <w:tcBorders>
                    <w:tl2br w:val="nil"/>
                    <w:tr2bl w:val="nil"/>
                  </w:tcBorders>
                  <w:noWrap w:val="0"/>
                  <w:vAlign w:val="center"/>
                </w:tcPr>
                <w:p w14:paraId="2042EE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shd w:val="clear" w:color="auto" w:fill="auto"/>
                    </w:rPr>
                  </w:pPr>
                  <w:r>
                    <w:rPr>
                      <w:rFonts w:hint="default" w:ascii="Times New Roman" w:hAnsi="Times New Roman" w:eastAsia="宋体" w:cs="Times New Roman"/>
                      <w:b/>
                      <w:bCs/>
                      <w:color w:val="auto"/>
                      <w:kern w:val="0"/>
                      <w:sz w:val="21"/>
                      <w:szCs w:val="21"/>
                      <w:highlight w:val="none"/>
                      <w:shd w:val="clear" w:color="auto" w:fill="auto"/>
                    </w:rPr>
                    <w:t>监测单位</w:t>
                  </w:r>
                </w:p>
              </w:tc>
            </w:tr>
            <w:tr w14:paraId="08C05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465" w:type="pct"/>
                  <w:vMerge w:val="restart"/>
                  <w:tcBorders>
                    <w:tl2br w:val="nil"/>
                    <w:tr2bl w:val="nil"/>
                  </w:tcBorders>
                  <w:noWrap w:val="0"/>
                  <w:vAlign w:val="center"/>
                </w:tcPr>
                <w:p w14:paraId="3B179F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lang w:val="en-US" w:eastAsia="zh-CN"/>
                    </w:rPr>
                    <w:t>废气</w:t>
                  </w:r>
                </w:p>
              </w:tc>
              <w:tc>
                <w:tcPr>
                  <w:tcW w:w="653" w:type="pct"/>
                  <w:vMerge w:val="restart"/>
                  <w:tcBorders>
                    <w:tl2br w:val="nil"/>
                    <w:tr2bl w:val="nil"/>
                  </w:tcBorders>
                  <w:shd w:val="clear" w:color="auto" w:fill="auto"/>
                  <w:noWrap w:val="0"/>
                  <w:vAlign w:val="center"/>
                </w:tcPr>
                <w:p w14:paraId="5F5E3EBE">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eastAsia" w:ascii="Times New Roman" w:hAnsi="Times New Roman" w:eastAsia="宋体" w:cs="Times New Roman"/>
                      <w:bCs/>
                      <w:color w:val="auto"/>
                      <w:sz w:val="21"/>
                      <w:szCs w:val="21"/>
                      <w:highlight w:val="none"/>
                      <w:shd w:val="clear" w:color="auto" w:fill="auto"/>
                      <w:lang w:val="en-US" w:eastAsia="zh-CN"/>
                    </w:rPr>
                    <w:t>1#</w:t>
                  </w:r>
                  <w:r>
                    <w:rPr>
                      <w:rFonts w:hint="default" w:ascii="Times New Roman" w:hAnsi="Times New Roman" w:eastAsia="宋体" w:cs="Times New Roman"/>
                      <w:bCs/>
                      <w:color w:val="auto"/>
                      <w:sz w:val="21"/>
                      <w:szCs w:val="21"/>
                      <w:highlight w:val="none"/>
                      <w:shd w:val="clear" w:color="auto" w:fill="auto"/>
                      <w:lang w:val="en-US" w:eastAsia="zh-CN"/>
                    </w:rPr>
                    <w:t>排气筒</w:t>
                  </w:r>
                </w:p>
              </w:tc>
              <w:tc>
                <w:tcPr>
                  <w:tcW w:w="773" w:type="pct"/>
                  <w:tcBorders>
                    <w:tl2br w:val="nil"/>
                    <w:tr2bl w:val="nil"/>
                  </w:tcBorders>
                  <w:shd w:val="clear" w:color="auto" w:fill="auto"/>
                  <w:noWrap w:val="0"/>
                  <w:vAlign w:val="center"/>
                </w:tcPr>
                <w:p w14:paraId="6E93908D">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非甲烷总烃</w:t>
                  </w:r>
                </w:p>
              </w:tc>
              <w:tc>
                <w:tcPr>
                  <w:tcW w:w="578" w:type="pct"/>
                  <w:vMerge w:val="restart"/>
                  <w:tcBorders>
                    <w:tl2br w:val="nil"/>
                    <w:tr2bl w:val="nil"/>
                  </w:tcBorders>
                  <w:shd w:val="clear" w:color="auto" w:fill="auto"/>
                  <w:noWrap w:val="0"/>
                  <w:vAlign w:val="center"/>
                </w:tcPr>
                <w:p w14:paraId="07262E6F">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1次/年</w:t>
                  </w:r>
                </w:p>
              </w:tc>
              <w:tc>
                <w:tcPr>
                  <w:tcW w:w="1876" w:type="pct"/>
                  <w:vMerge w:val="restart"/>
                  <w:tcBorders>
                    <w:tl2br w:val="nil"/>
                    <w:tr2bl w:val="nil"/>
                  </w:tcBorders>
                  <w:shd w:val="clear" w:color="auto" w:fill="auto"/>
                  <w:noWrap w:val="0"/>
                  <w:vAlign w:val="center"/>
                </w:tcPr>
                <w:p w14:paraId="13D5135A">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lang w:val="en-US" w:eastAsia="zh-CN"/>
                    </w:rPr>
                    <w:t>《印刷工业大气污染物排放标准》（DB32 4438-2022）</w:t>
                  </w:r>
                </w:p>
              </w:tc>
              <w:tc>
                <w:tcPr>
                  <w:tcW w:w="652" w:type="pct"/>
                  <w:vMerge w:val="restart"/>
                  <w:tcBorders>
                    <w:tl2br w:val="nil"/>
                    <w:tr2bl w:val="nil"/>
                  </w:tcBorders>
                  <w:noWrap w:val="0"/>
                  <w:vAlign w:val="center"/>
                </w:tcPr>
                <w:p w14:paraId="09C276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有资质的环境监测机构</w:t>
                  </w:r>
                </w:p>
              </w:tc>
            </w:tr>
            <w:tr w14:paraId="1A784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vMerge w:val="continue"/>
                  <w:tcBorders>
                    <w:tl2br w:val="nil"/>
                    <w:tr2bl w:val="nil"/>
                  </w:tcBorders>
                  <w:noWrap w:val="0"/>
                  <w:vAlign w:val="center"/>
                </w:tcPr>
                <w:p w14:paraId="5E672158">
                  <w:pPr>
                    <w:jc w:val="center"/>
                    <w:rPr>
                      <w:color w:val="auto"/>
                    </w:rPr>
                  </w:pPr>
                </w:p>
              </w:tc>
              <w:tc>
                <w:tcPr>
                  <w:tcW w:w="653" w:type="pct"/>
                  <w:vMerge w:val="continue"/>
                  <w:tcBorders>
                    <w:tl2br w:val="nil"/>
                    <w:tr2bl w:val="nil"/>
                  </w:tcBorders>
                  <w:shd w:val="clear" w:color="auto" w:fill="auto"/>
                  <w:noWrap w:val="0"/>
                  <w:vAlign w:val="center"/>
                </w:tcPr>
                <w:p w14:paraId="5B3753A3">
                  <w:pPr>
                    <w:jc w:val="center"/>
                    <w:rPr>
                      <w:color w:val="auto"/>
                    </w:rPr>
                  </w:pPr>
                </w:p>
              </w:tc>
              <w:tc>
                <w:tcPr>
                  <w:tcW w:w="773" w:type="pct"/>
                  <w:tcBorders>
                    <w:tl2br w:val="nil"/>
                    <w:tr2bl w:val="nil"/>
                  </w:tcBorders>
                  <w:shd w:val="clear" w:color="auto" w:fill="auto"/>
                  <w:noWrap w:val="0"/>
                  <w:vAlign w:val="center"/>
                </w:tcPr>
                <w:p w14:paraId="6785DCAC">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TVOC</w:t>
                  </w:r>
                </w:p>
              </w:tc>
              <w:tc>
                <w:tcPr>
                  <w:tcW w:w="578" w:type="pct"/>
                  <w:vMerge w:val="continue"/>
                  <w:tcBorders>
                    <w:tl2br w:val="nil"/>
                    <w:tr2bl w:val="nil"/>
                  </w:tcBorders>
                  <w:shd w:val="clear" w:color="auto" w:fill="auto"/>
                  <w:noWrap w:val="0"/>
                  <w:vAlign w:val="center"/>
                </w:tcPr>
                <w:p w14:paraId="559657A4">
                  <w:pPr>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1876" w:type="pct"/>
                  <w:vMerge w:val="continue"/>
                  <w:tcBorders>
                    <w:tl2br w:val="nil"/>
                    <w:tr2bl w:val="nil"/>
                  </w:tcBorders>
                  <w:shd w:val="clear" w:color="auto" w:fill="auto"/>
                  <w:noWrap w:val="0"/>
                  <w:vAlign w:val="center"/>
                </w:tcPr>
                <w:p w14:paraId="4569BFDB">
                  <w:pPr>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652" w:type="pct"/>
                  <w:vMerge w:val="continue"/>
                  <w:tcBorders>
                    <w:tl2br w:val="nil"/>
                    <w:tr2bl w:val="nil"/>
                  </w:tcBorders>
                  <w:noWrap w:val="0"/>
                  <w:vAlign w:val="center"/>
                </w:tcPr>
                <w:p w14:paraId="2E6A3433">
                  <w:pPr>
                    <w:jc w:val="center"/>
                    <w:rPr>
                      <w:rFonts w:hint="default" w:ascii="Times New Roman" w:hAnsi="Times New Roman" w:eastAsia="宋体" w:cs="Times New Roman"/>
                      <w:color w:val="auto"/>
                      <w:sz w:val="21"/>
                      <w:szCs w:val="21"/>
                      <w:highlight w:val="none"/>
                      <w:shd w:val="clear" w:color="auto" w:fill="auto"/>
                      <w:lang w:val="en-US" w:eastAsia="zh-CN"/>
                    </w:rPr>
                  </w:pPr>
                </w:p>
              </w:tc>
            </w:tr>
            <w:tr w14:paraId="22816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65" w:type="pct"/>
                  <w:vMerge w:val="continue"/>
                  <w:tcBorders>
                    <w:tl2br w:val="nil"/>
                    <w:tr2bl w:val="nil"/>
                  </w:tcBorders>
                  <w:noWrap w:val="0"/>
                  <w:vAlign w:val="center"/>
                </w:tcPr>
                <w:p w14:paraId="6A3D9C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p>
              </w:tc>
              <w:tc>
                <w:tcPr>
                  <w:tcW w:w="653" w:type="pct"/>
                  <w:tcBorders>
                    <w:tl2br w:val="nil"/>
                    <w:tr2bl w:val="nil"/>
                  </w:tcBorders>
                  <w:shd w:val="clear" w:color="auto" w:fill="auto"/>
                  <w:noWrap w:val="0"/>
                  <w:vAlign w:val="center"/>
                </w:tcPr>
                <w:p w14:paraId="75016D24">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eastAsia" w:ascii="Times New Roman" w:hAnsi="Times New Roman" w:eastAsia="宋体" w:cs="Times New Roman"/>
                      <w:bCs/>
                      <w:color w:val="auto"/>
                      <w:sz w:val="21"/>
                      <w:szCs w:val="21"/>
                      <w:highlight w:val="none"/>
                      <w:shd w:val="clear" w:color="auto" w:fill="auto"/>
                      <w:lang w:val="en-US" w:eastAsia="zh-CN"/>
                    </w:rPr>
                    <w:t>2#</w:t>
                  </w:r>
                  <w:r>
                    <w:rPr>
                      <w:rFonts w:hint="default" w:ascii="Times New Roman" w:hAnsi="Times New Roman" w:eastAsia="宋体" w:cs="Times New Roman"/>
                      <w:bCs/>
                      <w:color w:val="auto"/>
                      <w:sz w:val="21"/>
                      <w:szCs w:val="21"/>
                      <w:highlight w:val="none"/>
                      <w:shd w:val="clear" w:color="auto" w:fill="auto"/>
                      <w:lang w:val="en-US" w:eastAsia="zh-CN"/>
                    </w:rPr>
                    <w:t>排气筒</w:t>
                  </w:r>
                </w:p>
              </w:tc>
              <w:tc>
                <w:tcPr>
                  <w:tcW w:w="773" w:type="pct"/>
                  <w:tcBorders>
                    <w:tl2br w:val="nil"/>
                    <w:tr2bl w:val="nil"/>
                  </w:tcBorders>
                  <w:shd w:val="clear" w:color="auto" w:fill="auto"/>
                  <w:noWrap w:val="0"/>
                  <w:vAlign w:val="center"/>
                </w:tcPr>
                <w:p w14:paraId="30FD55E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非甲烷总烃</w:t>
                  </w:r>
                </w:p>
              </w:tc>
              <w:tc>
                <w:tcPr>
                  <w:tcW w:w="578" w:type="pct"/>
                  <w:tcBorders>
                    <w:tl2br w:val="nil"/>
                    <w:tr2bl w:val="nil"/>
                  </w:tcBorders>
                  <w:shd w:val="clear" w:color="auto" w:fill="auto"/>
                  <w:noWrap w:val="0"/>
                  <w:vAlign w:val="center"/>
                </w:tcPr>
                <w:p w14:paraId="7B5B1672">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1次/年</w:t>
                  </w:r>
                </w:p>
              </w:tc>
              <w:tc>
                <w:tcPr>
                  <w:tcW w:w="1876" w:type="pct"/>
                  <w:tcBorders>
                    <w:tl2br w:val="nil"/>
                    <w:tr2bl w:val="nil"/>
                  </w:tcBorders>
                  <w:shd w:val="clear" w:color="auto" w:fill="auto"/>
                  <w:noWrap w:val="0"/>
                  <w:vAlign w:val="center"/>
                </w:tcPr>
                <w:p w14:paraId="3606C458">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shd w:val="clear" w:color="auto" w:fill="auto"/>
                      <w:lang w:eastAsia="zh-CN"/>
                    </w:rPr>
                    <w:t>《合成树脂工业污染物排放标准》（GB 31572-2015，含2024年修改单）</w:t>
                  </w:r>
                </w:p>
              </w:tc>
              <w:tc>
                <w:tcPr>
                  <w:tcW w:w="652" w:type="pct"/>
                  <w:vMerge w:val="continue"/>
                  <w:tcBorders>
                    <w:tl2br w:val="nil"/>
                    <w:tr2bl w:val="nil"/>
                  </w:tcBorders>
                  <w:noWrap w:val="0"/>
                  <w:vAlign w:val="center"/>
                </w:tcPr>
                <w:p w14:paraId="7CC585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p>
              </w:tc>
            </w:tr>
            <w:tr w14:paraId="7B344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65" w:type="pct"/>
                  <w:vMerge w:val="continue"/>
                  <w:tcBorders>
                    <w:tl2br w:val="nil"/>
                    <w:tr2bl w:val="nil"/>
                  </w:tcBorders>
                  <w:noWrap w:val="0"/>
                  <w:vAlign w:val="center"/>
                </w:tcPr>
                <w:p w14:paraId="7961D3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p>
              </w:tc>
              <w:tc>
                <w:tcPr>
                  <w:tcW w:w="653" w:type="pct"/>
                  <w:vMerge w:val="restart"/>
                  <w:tcBorders>
                    <w:tl2br w:val="nil"/>
                    <w:tr2bl w:val="nil"/>
                  </w:tcBorders>
                  <w:shd w:val="clear" w:color="auto" w:fill="auto"/>
                  <w:noWrap w:val="0"/>
                  <w:vAlign w:val="center"/>
                </w:tcPr>
                <w:p w14:paraId="0BF94B57">
                  <w:pPr>
                    <w:jc w:val="center"/>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厂界外1m范围内上风向1个点，下风向3个点</w:t>
                  </w:r>
                </w:p>
              </w:tc>
              <w:tc>
                <w:tcPr>
                  <w:tcW w:w="773" w:type="pct"/>
                  <w:tcBorders>
                    <w:tl2br w:val="nil"/>
                    <w:tr2bl w:val="nil"/>
                  </w:tcBorders>
                  <w:shd w:val="clear" w:color="auto" w:fill="auto"/>
                  <w:noWrap w:val="0"/>
                  <w:vAlign w:val="center"/>
                </w:tcPr>
                <w:p w14:paraId="2363DFA4">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非甲烷总烃</w:t>
                  </w:r>
                </w:p>
              </w:tc>
              <w:tc>
                <w:tcPr>
                  <w:tcW w:w="578" w:type="pct"/>
                  <w:tcBorders>
                    <w:tl2br w:val="nil"/>
                    <w:tr2bl w:val="nil"/>
                  </w:tcBorders>
                  <w:shd w:val="clear" w:color="auto" w:fill="auto"/>
                  <w:noWrap w:val="0"/>
                  <w:vAlign w:val="center"/>
                </w:tcPr>
                <w:p w14:paraId="634DCE3D">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1次/年</w:t>
                  </w:r>
                </w:p>
              </w:tc>
              <w:tc>
                <w:tcPr>
                  <w:tcW w:w="1876" w:type="pct"/>
                  <w:vMerge w:val="restart"/>
                  <w:tcBorders>
                    <w:tl2br w:val="nil"/>
                    <w:tr2bl w:val="nil"/>
                  </w:tcBorders>
                  <w:shd w:val="clear" w:color="auto" w:fill="auto"/>
                  <w:noWrap w:val="0"/>
                  <w:vAlign w:val="center"/>
                </w:tcPr>
                <w:p w14:paraId="447C1957">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shd w:val="clear" w:color="auto" w:fill="auto"/>
                      <w:lang w:eastAsia="zh-CN"/>
                    </w:rPr>
                    <w:t>《合成树脂工业污染物排放标准》（GB 31572-2015，含2024年修改单）</w:t>
                  </w:r>
                </w:p>
              </w:tc>
              <w:tc>
                <w:tcPr>
                  <w:tcW w:w="652" w:type="pct"/>
                  <w:vMerge w:val="continue"/>
                  <w:tcBorders>
                    <w:tl2br w:val="nil"/>
                    <w:tr2bl w:val="nil"/>
                  </w:tcBorders>
                  <w:noWrap w:val="0"/>
                  <w:vAlign w:val="center"/>
                </w:tcPr>
                <w:p w14:paraId="6A0138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p>
              </w:tc>
            </w:tr>
            <w:tr w14:paraId="526C0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65" w:type="pct"/>
                  <w:vMerge w:val="continue"/>
                  <w:tcBorders>
                    <w:tl2br w:val="nil"/>
                    <w:tr2bl w:val="nil"/>
                  </w:tcBorders>
                  <w:noWrap w:val="0"/>
                  <w:vAlign w:val="center"/>
                </w:tcPr>
                <w:p w14:paraId="3B7BD5F8">
                  <w:pPr>
                    <w:snapToGrid w:val="0"/>
                    <w:jc w:val="center"/>
                    <w:rPr>
                      <w:color w:val="auto"/>
                    </w:rPr>
                  </w:pPr>
                </w:p>
              </w:tc>
              <w:tc>
                <w:tcPr>
                  <w:tcW w:w="653" w:type="pct"/>
                  <w:vMerge w:val="continue"/>
                  <w:tcBorders>
                    <w:tl2br w:val="nil"/>
                    <w:tr2bl w:val="nil"/>
                  </w:tcBorders>
                  <w:shd w:val="clear" w:color="auto" w:fill="auto"/>
                  <w:noWrap w:val="0"/>
                  <w:vAlign w:val="center"/>
                </w:tcPr>
                <w:p w14:paraId="5E34417D">
                  <w:pPr>
                    <w:snapToGrid w:val="0"/>
                    <w:jc w:val="center"/>
                    <w:rPr>
                      <w:color w:val="auto"/>
                    </w:rPr>
                  </w:pPr>
                </w:p>
              </w:tc>
              <w:tc>
                <w:tcPr>
                  <w:tcW w:w="773" w:type="pct"/>
                  <w:tcBorders>
                    <w:tl2br w:val="nil"/>
                    <w:tr2bl w:val="nil"/>
                  </w:tcBorders>
                  <w:shd w:val="clear" w:color="auto" w:fill="auto"/>
                  <w:noWrap w:val="0"/>
                  <w:vAlign w:val="center"/>
                </w:tcPr>
                <w:p w14:paraId="2EED774E">
                  <w:pPr>
                    <w:snapToGrid w:val="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颗粒物</w:t>
                  </w:r>
                </w:p>
              </w:tc>
              <w:tc>
                <w:tcPr>
                  <w:tcW w:w="578" w:type="pct"/>
                  <w:tcBorders>
                    <w:tl2br w:val="nil"/>
                    <w:tr2bl w:val="nil"/>
                  </w:tcBorders>
                  <w:shd w:val="clear" w:color="auto" w:fill="auto"/>
                  <w:noWrap w:val="0"/>
                  <w:vAlign w:val="center"/>
                </w:tcPr>
                <w:p w14:paraId="135D565F">
                  <w:pPr>
                    <w:snapToGrid w:val="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1次/年</w:t>
                  </w:r>
                </w:p>
              </w:tc>
              <w:tc>
                <w:tcPr>
                  <w:tcW w:w="1876" w:type="pct"/>
                  <w:vMerge w:val="continue"/>
                  <w:tcBorders>
                    <w:tl2br w:val="nil"/>
                    <w:tr2bl w:val="nil"/>
                  </w:tcBorders>
                  <w:shd w:val="clear" w:color="auto" w:fill="auto"/>
                  <w:noWrap w:val="0"/>
                  <w:vAlign w:val="center"/>
                </w:tcPr>
                <w:p w14:paraId="219026DD">
                  <w:pPr>
                    <w:snapToGrid w:val="0"/>
                    <w:jc w:val="center"/>
                    <w:rPr>
                      <w:rFonts w:hint="default" w:ascii="Times New Roman" w:hAnsi="Times New Roman" w:eastAsia="宋体" w:cs="Times New Roman"/>
                      <w:color w:val="auto"/>
                      <w:sz w:val="21"/>
                      <w:szCs w:val="21"/>
                      <w:highlight w:val="none"/>
                      <w:shd w:val="clear" w:color="auto" w:fill="auto"/>
                    </w:rPr>
                  </w:pPr>
                </w:p>
              </w:tc>
              <w:tc>
                <w:tcPr>
                  <w:tcW w:w="652" w:type="pct"/>
                  <w:vMerge w:val="continue"/>
                  <w:tcBorders>
                    <w:tl2br w:val="nil"/>
                    <w:tr2bl w:val="nil"/>
                  </w:tcBorders>
                  <w:noWrap w:val="0"/>
                  <w:vAlign w:val="center"/>
                </w:tcPr>
                <w:p w14:paraId="4F239E0C">
                  <w:pPr>
                    <w:snapToGrid w:val="0"/>
                    <w:jc w:val="center"/>
                    <w:rPr>
                      <w:rFonts w:hint="default" w:ascii="Times New Roman" w:hAnsi="Times New Roman" w:eastAsia="宋体" w:cs="Times New Roman"/>
                      <w:color w:val="auto"/>
                      <w:sz w:val="21"/>
                      <w:szCs w:val="21"/>
                      <w:highlight w:val="none"/>
                      <w:shd w:val="clear" w:color="auto" w:fill="auto"/>
                    </w:rPr>
                  </w:pPr>
                </w:p>
              </w:tc>
            </w:tr>
            <w:tr w14:paraId="29DFE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vMerge w:val="continue"/>
                  <w:tcBorders>
                    <w:tl2br w:val="nil"/>
                    <w:tr2bl w:val="nil"/>
                  </w:tcBorders>
                  <w:noWrap w:val="0"/>
                  <w:vAlign w:val="center"/>
                </w:tcPr>
                <w:p w14:paraId="0C91A6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p>
              </w:tc>
              <w:tc>
                <w:tcPr>
                  <w:tcW w:w="653" w:type="pct"/>
                  <w:tcBorders>
                    <w:tl2br w:val="nil"/>
                    <w:tr2bl w:val="nil"/>
                  </w:tcBorders>
                  <w:noWrap w:val="0"/>
                  <w:vAlign w:val="center"/>
                </w:tcPr>
                <w:p w14:paraId="153C6B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厂房外设置监控点</w:t>
                  </w:r>
                </w:p>
              </w:tc>
              <w:tc>
                <w:tcPr>
                  <w:tcW w:w="773" w:type="pct"/>
                  <w:tcBorders>
                    <w:tl2br w:val="nil"/>
                    <w:tr2bl w:val="nil"/>
                  </w:tcBorders>
                  <w:shd w:val="clear" w:color="auto" w:fill="auto"/>
                  <w:noWrap w:val="0"/>
                  <w:vAlign w:val="center"/>
                </w:tcPr>
                <w:p w14:paraId="32D228AE">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非甲烷总烃</w:t>
                  </w:r>
                </w:p>
              </w:tc>
              <w:tc>
                <w:tcPr>
                  <w:tcW w:w="578" w:type="pct"/>
                  <w:tcBorders>
                    <w:tl2br w:val="nil"/>
                    <w:tr2bl w:val="nil"/>
                  </w:tcBorders>
                  <w:shd w:val="clear" w:color="auto" w:fill="auto"/>
                  <w:noWrap w:val="0"/>
                  <w:vAlign w:val="center"/>
                </w:tcPr>
                <w:p w14:paraId="068DE048">
                  <w:pPr>
                    <w:spacing w:line="240" w:lineRule="exact"/>
                    <w:ind w:left="-105" w:leftChars="-50" w:right="-105" w:rightChars="-5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1次/年</w:t>
                  </w:r>
                </w:p>
              </w:tc>
              <w:tc>
                <w:tcPr>
                  <w:tcW w:w="1876" w:type="pct"/>
                  <w:tcBorders>
                    <w:tl2br w:val="nil"/>
                    <w:tr2bl w:val="nil"/>
                  </w:tcBorders>
                  <w:shd w:val="clear" w:color="auto" w:fill="auto"/>
                  <w:noWrap w:val="0"/>
                  <w:vAlign w:val="center"/>
                </w:tcPr>
                <w:p w14:paraId="28154DD2">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lang w:val="en-US" w:eastAsia="zh-CN"/>
                    </w:rPr>
                    <w:t>《印刷工业大气污染物排放标准》（DB32 4438-2022）</w:t>
                  </w:r>
                </w:p>
              </w:tc>
              <w:tc>
                <w:tcPr>
                  <w:tcW w:w="652" w:type="pct"/>
                  <w:vMerge w:val="continue"/>
                  <w:tcBorders>
                    <w:tl2br w:val="nil"/>
                    <w:tr2bl w:val="nil"/>
                  </w:tcBorders>
                  <w:noWrap w:val="0"/>
                  <w:vAlign w:val="center"/>
                </w:tcPr>
                <w:p w14:paraId="0D3236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p>
              </w:tc>
            </w:tr>
            <w:tr w14:paraId="74C9D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14:paraId="32CAF0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废水</w:t>
                  </w:r>
                </w:p>
              </w:tc>
              <w:tc>
                <w:tcPr>
                  <w:tcW w:w="653" w:type="pct"/>
                  <w:tcBorders>
                    <w:tl2br w:val="nil"/>
                    <w:tr2bl w:val="nil"/>
                  </w:tcBorders>
                  <w:noWrap w:val="0"/>
                  <w:vAlign w:val="center"/>
                </w:tcPr>
                <w:p w14:paraId="723091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污水排口</w:t>
                  </w:r>
                </w:p>
              </w:tc>
              <w:tc>
                <w:tcPr>
                  <w:tcW w:w="773" w:type="pct"/>
                  <w:tcBorders>
                    <w:tl2br w:val="nil"/>
                    <w:tr2bl w:val="nil"/>
                  </w:tcBorders>
                  <w:noWrap w:val="0"/>
                  <w:vAlign w:val="center"/>
                </w:tcPr>
                <w:p w14:paraId="0EF6CB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highlight w:val="none"/>
                      <w:shd w:val="clear" w:color="auto" w:fill="auto"/>
                      <w:lang w:val="en-US" w:eastAsia="zh-CN"/>
                    </w:rPr>
                    <w:t>pH、</w:t>
                  </w:r>
                  <w:r>
                    <w:rPr>
                      <w:rFonts w:hint="default" w:ascii="Times New Roman" w:hAnsi="Times New Roman" w:eastAsia="宋体" w:cs="Times New Roman"/>
                      <w:color w:val="auto"/>
                      <w:kern w:val="0"/>
                      <w:sz w:val="21"/>
                      <w:szCs w:val="21"/>
                      <w:highlight w:val="none"/>
                      <w:shd w:val="clear" w:color="auto" w:fill="auto"/>
                    </w:rPr>
                    <w:t>COD、SS、NH</w:t>
                  </w:r>
                  <w:r>
                    <w:rPr>
                      <w:rFonts w:hint="default" w:ascii="Times New Roman" w:hAnsi="Times New Roman" w:eastAsia="宋体" w:cs="Times New Roman"/>
                      <w:color w:val="auto"/>
                      <w:kern w:val="0"/>
                      <w:sz w:val="21"/>
                      <w:szCs w:val="21"/>
                      <w:highlight w:val="none"/>
                      <w:shd w:val="clear" w:color="auto" w:fill="auto"/>
                      <w:vertAlign w:val="subscript"/>
                    </w:rPr>
                    <w:t>3</w:t>
                  </w:r>
                  <w:r>
                    <w:rPr>
                      <w:rFonts w:hint="default" w:ascii="Times New Roman" w:hAnsi="Times New Roman" w:eastAsia="宋体" w:cs="Times New Roman"/>
                      <w:color w:val="auto"/>
                      <w:kern w:val="0"/>
                      <w:sz w:val="21"/>
                      <w:szCs w:val="21"/>
                      <w:highlight w:val="none"/>
                      <w:shd w:val="clear" w:color="auto" w:fill="auto"/>
                    </w:rPr>
                    <w:t>-N、TP、TN</w:t>
                  </w:r>
                </w:p>
              </w:tc>
              <w:tc>
                <w:tcPr>
                  <w:tcW w:w="578" w:type="pct"/>
                  <w:tcBorders>
                    <w:tl2br w:val="nil"/>
                    <w:tr2bl w:val="nil"/>
                  </w:tcBorders>
                  <w:noWrap w:val="0"/>
                  <w:vAlign w:val="center"/>
                </w:tcPr>
                <w:p w14:paraId="7C1AB4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1次/年</w:t>
                  </w:r>
                </w:p>
              </w:tc>
              <w:tc>
                <w:tcPr>
                  <w:tcW w:w="1876" w:type="pct"/>
                  <w:tcBorders>
                    <w:tl2br w:val="nil"/>
                    <w:tr2bl w:val="nil"/>
                  </w:tcBorders>
                  <w:noWrap w:val="0"/>
                  <w:vAlign w:val="center"/>
                </w:tcPr>
                <w:p w14:paraId="5AEAED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金坛第二污水处理厂接管标准</w:t>
                  </w:r>
                </w:p>
              </w:tc>
              <w:tc>
                <w:tcPr>
                  <w:tcW w:w="652" w:type="pct"/>
                  <w:tcBorders>
                    <w:tl2br w:val="nil"/>
                    <w:tr2bl w:val="nil"/>
                  </w:tcBorders>
                  <w:noWrap w:val="0"/>
                  <w:vAlign w:val="center"/>
                </w:tcPr>
                <w:p w14:paraId="755009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有资质的环境监测机构</w:t>
                  </w:r>
                </w:p>
              </w:tc>
            </w:tr>
            <w:tr w14:paraId="631F4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noWrap w:val="0"/>
                  <w:vAlign w:val="center"/>
                </w:tcPr>
                <w:p w14:paraId="1935EA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噪声</w:t>
                  </w:r>
                </w:p>
              </w:tc>
              <w:tc>
                <w:tcPr>
                  <w:tcW w:w="653" w:type="pct"/>
                  <w:tcBorders>
                    <w:tl2br w:val="nil"/>
                    <w:tr2bl w:val="nil"/>
                  </w:tcBorders>
                  <w:noWrap w:val="0"/>
                  <w:vAlign w:val="center"/>
                </w:tcPr>
                <w:p w14:paraId="36D95E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厂界</w:t>
                  </w:r>
                </w:p>
              </w:tc>
              <w:tc>
                <w:tcPr>
                  <w:tcW w:w="773" w:type="pct"/>
                  <w:tcBorders>
                    <w:tl2br w:val="nil"/>
                    <w:tr2bl w:val="nil"/>
                  </w:tcBorders>
                  <w:noWrap w:val="0"/>
                  <w:vAlign w:val="center"/>
                </w:tcPr>
                <w:p w14:paraId="7B2E7F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等效连续A声级</w:t>
                  </w:r>
                </w:p>
              </w:tc>
              <w:tc>
                <w:tcPr>
                  <w:tcW w:w="578" w:type="pct"/>
                  <w:tcBorders>
                    <w:tl2br w:val="nil"/>
                    <w:tr2bl w:val="nil"/>
                  </w:tcBorders>
                  <w:noWrap w:val="0"/>
                  <w:vAlign w:val="center"/>
                </w:tcPr>
                <w:p w14:paraId="2A3A68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1次/</w:t>
                  </w:r>
                  <w:r>
                    <w:rPr>
                      <w:rFonts w:hint="default" w:ascii="Times New Roman" w:hAnsi="Times New Roman" w:eastAsia="宋体" w:cs="Times New Roman"/>
                      <w:color w:val="auto"/>
                      <w:kern w:val="0"/>
                      <w:sz w:val="21"/>
                      <w:szCs w:val="21"/>
                      <w:highlight w:val="none"/>
                      <w:shd w:val="clear" w:color="auto" w:fill="auto"/>
                      <w:lang w:val="en-US" w:eastAsia="zh-CN"/>
                    </w:rPr>
                    <w:t>年</w:t>
                  </w:r>
                </w:p>
              </w:tc>
              <w:tc>
                <w:tcPr>
                  <w:tcW w:w="1876" w:type="pct"/>
                  <w:tcBorders>
                    <w:tl2br w:val="nil"/>
                    <w:tr2bl w:val="nil"/>
                  </w:tcBorders>
                  <w:noWrap w:val="0"/>
                  <w:vAlign w:val="center"/>
                </w:tcPr>
                <w:p w14:paraId="782441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《工业企业厂界环境噪声排放标准》（GB12348-2008）</w:t>
                  </w:r>
                </w:p>
              </w:tc>
              <w:tc>
                <w:tcPr>
                  <w:tcW w:w="652" w:type="pct"/>
                  <w:tcBorders>
                    <w:tl2br w:val="nil"/>
                    <w:tr2bl w:val="nil"/>
                  </w:tcBorders>
                  <w:noWrap w:val="0"/>
                  <w:vAlign w:val="center"/>
                </w:tcPr>
                <w:p w14:paraId="25D053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有资质的环境监测机构</w:t>
                  </w:r>
                </w:p>
              </w:tc>
            </w:tr>
          </w:tbl>
          <w:p w14:paraId="69170F4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（3）污染源监测计划</w:t>
            </w:r>
          </w:p>
          <w:p w14:paraId="6A9998E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根据《建设项目环境影响报表编制技术指南（污染影响类）》文件要求，排污单位应按照规定对涉及到土壤、地下水污染物情况进行跟踪监测。</w:t>
            </w:r>
          </w:p>
          <w:p w14:paraId="7E04F70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本项目正常运营过程中产生的污染物基本不会对土壤、地下水造成影响，且本项目车间地面均已硬化，无法进行取样，故本项目不单独对土壤、地下水设置跟踪监测计划要求。</w:t>
            </w:r>
          </w:p>
          <w:p w14:paraId="358B6A9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（4）应急监测</w:t>
            </w:r>
          </w:p>
          <w:p w14:paraId="486241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当公司发生突发性事件引起环境污染风险时，应按照《突发性环境事件应急预案》要求，启动应急环境监测方案，以指导事故应急处置，最大限度减轻对周边环境敏感目标的污染风险。</w:t>
            </w:r>
          </w:p>
        </w:tc>
      </w:tr>
    </w:tbl>
    <w:p w14:paraId="6A16556C">
      <w:pPr>
        <w:rPr>
          <w:rFonts w:hint="default" w:ascii="Times New Roman" w:hAnsi="Times New Roman" w:eastAsia="宋体" w:cs="Times New Roman"/>
          <w:color w:val="auto"/>
          <w:sz w:val="24"/>
          <w:highlight w:val="none"/>
          <w:shd w:val="clear" w:color="auto" w:fill="auto"/>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3DD8A7F">
      <w:pPr>
        <w:pStyle w:val="4"/>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五、环境保护措施监督检查清单</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850"/>
        <w:gridCol w:w="1003"/>
        <w:gridCol w:w="1265"/>
        <w:gridCol w:w="1960"/>
        <w:gridCol w:w="2326"/>
      </w:tblGrid>
      <w:tr w14:paraId="35F47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l2br w:val="single" w:color="auto" w:sz="4" w:space="0"/>
            </w:tcBorders>
            <w:noWrap w:val="0"/>
            <w:vAlign w:val="top"/>
          </w:tcPr>
          <w:p w14:paraId="108A24F6">
            <w:pPr>
              <w:pStyle w:val="78"/>
              <w:keepNext w:val="0"/>
              <w:keepLines w:val="0"/>
              <w:suppressLineNumbers w:val="0"/>
              <w:spacing w:before="0" w:beforeAutospacing="0" w:after="0" w:afterAutospacing="0"/>
              <w:ind w:left="0" w:right="0"/>
              <w:jc w:val="righ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内容</w:t>
            </w:r>
          </w:p>
          <w:p w14:paraId="3C1DB026">
            <w:pPr>
              <w:pStyle w:val="78"/>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要素</w:t>
            </w:r>
          </w:p>
        </w:tc>
        <w:tc>
          <w:tcPr>
            <w:tcW w:w="1853" w:type="dxa"/>
            <w:gridSpan w:val="2"/>
            <w:noWrap w:val="0"/>
            <w:vAlign w:val="center"/>
          </w:tcPr>
          <w:p w14:paraId="5B932114">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排放口(编号、名称)/污染源</w:t>
            </w:r>
          </w:p>
        </w:tc>
        <w:tc>
          <w:tcPr>
            <w:tcW w:w="1265" w:type="dxa"/>
            <w:noWrap w:val="0"/>
            <w:vAlign w:val="center"/>
          </w:tcPr>
          <w:p w14:paraId="288C3DD8">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污染物项目</w:t>
            </w:r>
          </w:p>
        </w:tc>
        <w:tc>
          <w:tcPr>
            <w:tcW w:w="1960" w:type="dxa"/>
            <w:noWrap w:val="0"/>
            <w:vAlign w:val="center"/>
          </w:tcPr>
          <w:p w14:paraId="73A4B8D3">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环境保护措施</w:t>
            </w:r>
          </w:p>
        </w:tc>
        <w:tc>
          <w:tcPr>
            <w:tcW w:w="2326" w:type="dxa"/>
            <w:noWrap w:val="0"/>
            <w:vAlign w:val="center"/>
          </w:tcPr>
          <w:p w14:paraId="23DE22EC">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执行标准</w:t>
            </w:r>
          </w:p>
        </w:tc>
      </w:tr>
      <w:tr w14:paraId="3DDC6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96" w:type="dxa"/>
            <w:vMerge w:val="restart"/>
            <w:noWrap w:val="0"/>
            <w:vAlign w:val="center"/>
          </w:tcPr>
          <w:p w14:paraId="1B417070">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大气环境</w:t>
            </w:r>
          </w:p>
        </w:tc>
        <w:tc>
          <w:tcPr>
            <w:tcW w:w="850" w:type="dxa"/>
            <w:vMerge w:val="restart"/>
            <w:noWrap w:val="0"/>
            <w:vAlign w:val="center"/>
          </w:tcPr>
          <w:p w14:paraId="6DE46F85">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有组织</w:t>
            </w:r>
          </w:p>
        </w:tc>
        <w:tc>
          <w:tcPr>
            <w:tcW w:w="1003" w:type="dxa"/>
            <w:noWrap w:val="0"/>
            <w:vAlign w:val="center"/>
          </w:tcPr>
          <w:p w14:paraId="142C1A10">
            <w:pPr>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1#</w:t>
            </w:r>
            <w:r>
              <w:rPr>
                <w:rFonts w:hint="default" w:ascii="Times New Roman" w:hAnsi="Times New Roman" w:eastAsia="宋体" w:cs="Times New Roman"/>
                <w:bCs/>
                <w:color w:val="auto"/>
                <w:sz w:val="21"/>
                <w:szCs w:val="21"/>
                <w:highlight w:val="none"/>
                <w:shd w:val="clear" w:color="auto" w:fill="auto"/>
                <w:lang w:val="en-US" w:eastAsia="zh-CN"/>
              </w:rPr>
              <w:t>排气筒</w:t>
            </w:r>
          </w:p>
        </w:tc>
        <w:tc>
          <w:tcPr>
            <w:tcW w:w="1265" w:type="dxa"/>
            <w:noWrap w:val="0"/>
            <w:vAlign w:val="center"/>
          </w:tcPr>
          <w:p w14:paraId="3274AE2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非甲烷总烃、TVOC</w:t>
            </w:r>
          </w:p>
        </w:tc>
        <w:tc>
          <w:tcPr>
            <w:tcW w:w="1960" w:type="dxa"/>
            <w:noWrap w:val="0"/>
            <w:vAlign w:val="center"/>
          </w:tcPr>
          <w:p w14:paraId="563AAC48">
            <w:pPr>
              <w:jc w:val="center"/>
              <w:rPr>
                <w:rFonts w:hint="default" w:ascii="Times New Roman" w:hAnsi="Times New Roman" w:eastAsia="宋体" w:cs="Times New Roman"/>
                <w:color w:val="auto"/>
                <w:kern w:val="0"/>
                <w:highlight w:val="none"/>
                <w:shd w:val="clear" w:color="auto" w:fill="auto"/>
                <w:lang w:val="en-US" w:eastAsia="zh-CN"/>
              </w:rPr>
            </w:pPr>
            <w:r>
              <w:rPr>
                <w:rFonts w:hint="default" w:ascii="Times New Roman" w:hAnsi="Times New Roman" w:eastAsia="宋体" w:cs="Times New Roman"/>
                <w:color w:val="auto"/>
                <w:kern w:val="2"/>
                <w:sz w:val="21"/>
                <w:szCs w:val="21"/>
                <w:highlight w:val="none"/>
                <w:shd w:val="clear" w:color="auto" w:fill="auto"/>
                <w:lang w:val="en-US" w:eastAsia="zh-CN" w:bidi="ar-SA"/>
              </w:rPr>
              <w:t>通过一套</w:t>
            </w:r>
            <w:r>
              <w:rPr>
                <w:rFonts w:hint="eastAsia" w:ascii="Times New Roman" w:hAnsi="Times New Roman" w:eastAsia="宋体" w:cs="Times New Roman"/>
                <w:color w:val="auto"/>
                <w:kern w:val="2"/>
                <w:sz w:val="21"/>
                <w:szCs w:val="21"/>
                <w:highlight w:val="none"/>
                <w:shd w:val="clear" w:color="auto" w:fill="auto"/>
                <w:lang w:val="en-US" w:eastAsia="zh-CN" w:bidi="ar-SA"/>
              </w:rPr>
              <w:t>1#</w:t>
            </w:r>
            <w:r>
              <w:rPr>
                <w:rFonts w:hint="default" w:ascii="Times New Roman" w:hAnsi="Times New Roman" w:eastAsia="宋体" w:cs="Times New Roman"/>
                <w:color w:val="auto"/>
                <w:kern w:val="2"/>
                <w:sz w:val="21"/>
                <w:szCs w:val="21"/>
                <w:highlight w:val="none"/>
                <w:shd w:val="clear" w:color="auto" w:fill="auto"/>
                <w:lang w:val="en-US" w:eastAsia="zh-CN" w:bidi="ar-SA"/>
              </w:rPr>
              <w:t>二级活性炭吸附装置处理后通过1根18m高的</w:t>
            </w:r>
            <w:r>
              <w:rPr>
                <w:rFonts w:hint="eastAsia" w:ascii="Times New Roman" w:hAnsi="Times New Roman" w:eastAsia="宋体" w:cs="Times New Roman"/>
                <w:color w:val="auto"/>
                <w:kern w:val="2"/>
                <w:sz w:val="21"/>
                <w:szCs w:val="21"/>
                <w:highlight w:val="none"/>
                <w:shd w:val="clear" w:color="auto" w:fill="auto"/>
                <w:lang w:val="en-US" w:eastAsia="zh-CN" w:bidi="ar-SA"/>
              </w:rPr>
              <w:t>1#</w:t>
            </w:r>
            <w:r>
              <w:rPr>
                <w:rFonts w:hint="default" w:ascii="Times New Roman" w:hAnsi="Times New Roman" w:eastAsia="宋体" w:cs="Times New Roman"/>
                <w:color w:val="auto"/>
                <w:kern w:val="2"/>
                <w:sz w:val="21"/>
                <w:szCs w:val="21"/>
                <w:highlight w:val="none"/>
                <w:shd w:val="clear" w:color="auto" w:fill="auto"/>
                <w:lang w:val="en-US" w:eastAsia="zh-CN" w:bidi="ar-SA"/>
              </w:rPr>
              <w:t>排气筒排放</w:t>
            </w:r>
          </w:p>
        </w:tc>
        <w:tc>
          <w:tcPr>
            <w:tcW w:w="2326" w:type="dxa"/>
            <w:shd w:val="clear" w:color="auto" w:fill="auto"/>
            <w:noWrap w:val="0"/>
            <w:vAlign w:val="center"/>
          </w:tcPr>
          <w:p w14:paraId="11726598">
            <w:pPr>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lang w:val="en-US" w:eastAsia="zh-CN"/>
              </w:rPr>
              <w:t>《印刷工业大气污染物排放标准》（DB32 4438-2022）</w:t>
            </w:r>
          </w:p>
        </w:tc>
      </w:tr>
      <w:tr w14:paraId="310A33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396" w:type="dxa"/>
            <w:vMerge w:val="continue"/>
            <w:noWrap w:val="0"/>
            <w:vAlign w:val="center"/>
          </w:tcPr>
          <w:p w14:paraId="58BE9DC2">
            <w:pPr>
              <w:snapToGrid w:val="0"/>
              <w:jc w:val="center"/>
              <w:rPr>
                <w:color w:val="auto"/>
              </w:rPr>
            </w:pPr>
          </w:p>
        </w:tc>
        <w:tc>
          <w:tcPr>
            <w:tcW w:w="850" w:type="dxa"/>
            <w:vMerge w:val="continue"/>
            <w:noWrap w:val="0"/>
            <w:vAlign w:val="center"/>
          </w:tcPr>
          <w:p w14:paraId="0C289437">
            <w:pPr>
              <w:snapToGrid w:val="0"/>
              <w:jc w:val="center"/>
              <w:rPr>
                <w:color w:val="auto"/>
              </w:rPr>
            </w:pPr>
          </w:p>
        </w:tc>
        <w:tc>
          <w:tcPr>
            <w:tcW w:w="1003" w:type="dxa"/>
            <w:shd w:val="clear" w:color="auto" w:fill="auto"/>
            <w:noWrap w:val="0"/>
            <w:vAlign w:val="center"/>
          </w:tcPr>
          <w:p w14:paraId="4FACEC40">
            <w:pPr>
              <w:jc w:val="center"/>
              <w:rPr>
                <w:rFonts w:hint="eastAsia" w:ascii="Times New Roman" w:hAnsi="Times New Roman" w:eastAsia="宋体" w:cs="Times New Roman"/>
                <w:snapToGrid w:val="0"/>
                <w:color w:val="auto"/>
                <w:kern w:val="2"/>
                <w:sz w:val="21"/>
                <w:szCs w:val="21"/>
                <w:highlight w:val="none"/>
                <w:shd w:val="clear" w:color="auto" w:fill="auto"/>
                <w:lang w:val="en-US" w:eastAsia="zh-CN" w:bidi="ar-SA"/>
              </w:rPr>
            </w:pPr>
            <w:r>
              <w:rPr>
                <w:rFonts w:hint="eastAsia" w:ascii="Times New Roman" w:hAnsi="Times New Roman" w:eastAsia="宋体" w:cs="Times New Roman"/>
                <w:bCs/>
                <w:color w:val="auto"/>
                <w:sz w:val="21"/>
                <w:szCs w:val="21"/>
                <w:highlight w:val="none"/>
                <w:shd w:val="clear" w:color="auto" w:fill="auto"/>
                <w:lang w:val="en-US" w:eastAsia="zh-CN"/>
              </w:rPr>
              <w:t>2#</w:t>
            </w:r>
            <w:r>
              <w:rPr>
                <w:rFonts w:hint="default" w:ascii="Times New Roman" w:hAnsi="Times New Roman" w:eastAsia="宋体" w:cs="Times New Roman"/>
                <w:bCs/>
                <w:color w:val="auto"/>
                <w:sz w:val="21"/>
                <w:szCs w:val="21"/>
                <w:highlight w:val="none"/>
                <w:shd w:val="clear" w:color="auto" w:fill="auto"/>
                <w:lang w:val="en-US" w:eastAsia="zh-CN"/>
              </w:rPr>
              <w:t>排气筒</w:t>
            </w:r>
          </w:p>
        </w:tc>
        <w:tc>
          <w:tcPr>
            <w:tcW w:w="1265" w:type="dxa"/>
            <w:shd w:val="clear" w:color="auto" w:fill="auto"/>
            <w:noWrap w:val="0"/>
            <w:vAlign w:val="center"/>
          </w:tcPr>
          <w:p w14:paraId="4B79C29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非甲烷总烃</w:t>
            </w:r>
          </w:p>
        </w:tc>
        <w:tc>
          <w:tcPr>
            <w:tcW w:w="1960" w:type="dxa"/>
            <w:shd w:val="clear" w:color="auto" w:fill="auto"/>
            <w:noWrap w:val="0"/>
            <w:vAlign w:val="center"/>
          </w:tcPr>
          <w:p w14:paraId="7B1809C0">
            <w:pPr>
              <w:jc w:val="center"/>
              <w:rPr>
                <w:rFonts w:hint="eastAsia" w:ascii="Times New Roman" w:hAnsi="Times New Roman" w:eastAsia="宋体" w:cs="Times New Roman"/>
                <w:color w:val="auto"/>
                <w:kern w:val="0"/>
                <w:sz w:val="21"/>
                <w:szCs w:val="22"/>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通过一套</w:t>
            </w:r>
            <w:r>
              <w:rPr>
                <w:rFonts w:hint="eastAsia" w:ascii="Times New Roman" w:hAnsi="Times New Roman" w:eastAsia="宋体" w:cs="Times New Roman"/>
                <w:color w:val="auto"/>
                <w:kern w:val="2"/>
                <w:sz w:val="21"/>
                <w:szCs w:val="21"/>
                <w:highlight w:val="none"/>
                <w:shd w:val="clear" w:color="auto" w:fill="auto"/>
                <w:lang w:val="en-US" w:eastAsia="zh-CN" w:bidi="ar-SA"/>
              </w:rPr>
              <w:t>2#</w:t>
            </w:r>
            <w:r>
              <w:rPr>
                <w:rFonts w:hint="default" w:ascii="Times New Roman" w:hAnsi="Times New Roman" w:eastAsia="宋体" w:cs="Times New Roman"/>
                <w:color w:val="auto"/>
                <w:kern w:val="2"/>
                <w:sz w:val="21"/>
                <w:szCs w:val="21"/>
                <w:highlight w:val="none"/>
                <w:shd w:val="clear" w:color="auto" w:fill="auto"/>
                <w:lang w:val="en-US" w:eastAsia="zh-CN" w:bidi="ar-SA"/>
              </w:rPr>
              <w:t>二级活性炭吸附装置处理后通过1根18m高的</w:t>
            </w:r>
            <w:r>
              <w:rPr>
                <w:rFonts w:hint="eastAsia" w:ascii="Times New Roman" w:hAnsi="Times New Roman" w:eastAsia="宋体" w:cs="Times New Roman"/>
                <w:color w:val="auto"/>
                <w:kern w:val="2"/>
                <w:sz w:val="21"/>
                <w:szCs w:val="21"/>
                <w:highlight w:val="none"/>
                <w:shd w:val="clear" w:color="auto" w:fill="auto"/>
                <w:lang w:val="en-US" w:eastAsia="zh-CN" w:bidi="ar-SA"/>
              </w:rPr>
              <w:t>2#</w:t>
            </w:r>
            <w:r>
              <w:rPr>
                <w:rFonts w:hint="default" w:ascii="Times New Roman" w:hAnsi="Times New Roman" w:eastAsia="宋体" w:cs="Times New Roman"/>
                <w:color w:val="auto"/>
                <w:kern w:val="2"/>
                <w:sz w:val="21"/>
                <w:szCs w:val="21"/>
                <w:highlight w:val="none"/>
                <w:shd w:val="clear" w:color="auto" w:fill="auto"/>
                <w:lang w:val="en-US" w:eastAsia="zh-CN" w:bidi="ar-SA"/>
              </w:rPr>
              <w:t>排气筒排放</w:t>
            </w:r>
          </w:p>
        </w:tc>
        <w:tc>
          <w:tcPr>
            <w:tcW w:w="2326" w:type="dxa"/>
            <w:shd w:val="clear" w:color="auto" w:fill="auto"/>
            <w:noWrap w:val="0"/>
            <w:vAlign w:val="center"/>
          </w:tcPr>
          <w:p w14:paraId="5302C3DC">
            <w:pPr>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shd w:val="clear" w:color="auto" w:fill="auto"/>
                <w:lang w:eastAsia="zh-CN"/>
              </w:rPr>
              <w:t>《合成树脂工业污染物排放标准》（GB 31572-2015，含2024年修改单）</w:t>
            </w:r>
          </w:p>
        </w:tc>
      </w:tr>
      <w:tr w14:paraId="44B87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96" w:type="dxa"/>
            <w:vMerge w:val="continue"/>
            <w:noWrap w:val="0"/>
            <w:vAlign w:val="center"/>
          </w:tcPr>
          <w:p w14:paraId="26BC32B5">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p>
        </w:tc>
        <w:tc>
          <w:tcPr>
            <w:tcW w:w="850" w:type="dxa"/>
            <w:vMerge w:val="restart"/>
            <w:noWrap w:val="0"/>
            <w:vAlign w:val="center"/>
          </w:tcPr>
          <w:p w14:paraId="325D6A64">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无组织</w:t>
            </w:r>
          </w:p>
        </w:tc>
        <w:tc>
          <w:tcPr>
            <w:tcW w:w="1003" w:type="dxa"/>
            <w:vMerge w:val="restart"/>
            <w:noWrap w:val="0"/>
            <w:vAlign w:val="center"/>
          </w:tcPr>
          <w:p w14:paraId="7B44AF6F">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rPr>
              <w:t>厂</w:t>
            </w:r>
            <w:r>
              <w:rPr>
                <w:rFonts w:hint="default" w:ascii="Times New Roman" w:hAnsi="Times New Roman" w:eastAsia="宋体" w:cs="Times New Roman"/>
                <w:color w:val="auto"/>
                <w:highlight w:val="none"/>
                <w:shd w:val="clear" w:color="auto" w:fill="auto"/>
                <w:lang w:val="en-US" w:eastAsia="zh-CN"/>
              </w:rPr>
              <w:t>界</w:t>
            </w:r>
          </w:p>
        </w:tc>
        <w:tc>
          <w:tcPr>
            <w:tcW w:w="1265" w:type="dxa"/>
            <w:noWrap w:val="0"/>
            <w:vAlign w:val="center"/>
          </w:tcPr>
          <w:p w14:paraId="0DFDC96B">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szCs w:val="21"/>
                <w:highlight w:val="none"/>
                <w:shd w:val="clear" w:color="auto" w:fill="auto"/>
              </w:rPr>
              <w:t>非甲烷总烃</w:t>
            </w:r>
          </w:p>
        </w:tc>
        <w:tc>
          <w:tcPr>
            <w:tcW w:w="1960" w:type="dxa"/>
            <w:vMerge w:val="restart"/>
            <w:noWrap w:val="0"/>
            <w:vAlign w:val="center"/>
          </w:tcPr>
          <w:p w14:paraId="5F67106F">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①破碎废气经设备自带的布袋除尘器处理后无组织排放</w:t>
            </w:r>
          </w:p>
          <w:p w14:paraId="2A4C4888">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②其他无组织废气进行</w:t>
            </w:r>
            <w:r>
              <w:rPr>
                <w:rFonts w:hint="default" w:ascii="Times New Roman" w:hAnsi="Times New Roman" w:eastAsia="宋体" w:cs="Times New Roman"/>
                <w:color w:val="auto"/>
                <w:highlight w:val="none"/>
                <w:shd w:val="clear" w:color="auto" w:fill="auto"/>
                <w:lang w:val="en-US" w:eastAsia="zh-CN"/>
              </w:rPr>
              <w:t>源头治理，加强管理</w:t>
            </w:r>
          </w:p>
        </w:tc>
        <w:tc>
          <w:tcPr>
            <w:tcW w:w="2326" w:type="dxa"/>
            <w:vMerge w:val="restart"/>
            <w:noWrap w:val="0"/>
            <w:vAlign w:val="center"/>
          </w:tcPr>
          <w:p w14:paraId="1AAD5478">
            <w:pPr>
              <w:snapToGrid w:val="0"/>
              <w:jc w:val="center"/>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sz w:val="21"/>
                <w:szCs w:val="21"/>
                <w:shd w:val="clear" w:color="auto" w:fill="auto"/>
                <w:lang w:eastAsia="zh-CN"/>
              </w:rPr>
              <w:t>《合成树脂工业污染物排放标准》（GB 31572-2015，含2024年修改单）</w:t>
            </w:r>
          </w:p>
        </w:tc>
      </w:tr>
      <w:tr w14:paraId="3D8AA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96" w:type="dxa"/>
            <w:vMerge w:val="continue"/>
            <w:noWrap w:val="0"/>
            <w:vAlign w:val="center"/>
          </w:tcPr>
          <w:p w14:paraId="2A5D6E85">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p>
        </w:tc>
        <w:tc>
          <w:tcPr>
            <w:tcW w:w="850" w:type="dxa"/>
            <w:vMerge w:val="continue"/>
            <w:noWrap w:val="0"/>
            <w:vAlign w:val="center"/>
          </w:tcPr>
          <w:p w14:paraId="05A6FF36">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p>
        </w:tc>
        <w:tc>
          <w:tcPr>
            <w:tcW w:w="1003" w:type="dxa"/>
            <w:vMerge w:val="continue"/>
            <w:noWrap w:val="0"/>
            <w:vAlign w:val="center"/>
          </w:tcPr>
          <w:p w14:paraId="23755427">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p>
        </w:tc>
        <w:tc>
          <w:tcPr>
            <w:tcW w:w="1265" w:type="dxa"/>
            <w:noWrap w:val="0"/>
            <w:vAlign w:val="center"/>
          </w:tcPr>
          <w:p w14:paraId="1D811719">
            <w:pPr>
              <w:pStyle w:val="78"/>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颗粒物</w:t>
            </w:r>
          </w:p>
        </w:tc>
        <w:tc>
          <w:tcPr>
            <w:tcW w:w="1960" w:type="dxa"/>
            <w:vMerge w:val="continue"/>
            <w:noWrap w:val="0"/>
            <w:vAlign w:val="center"/>
          </w:tcPr>
          <w:p w14:paraId="0C4CBD0D">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lang w:val="en-US" w:eastAsia="zh-CN"/>
              </w:rPr>
            </w:pPr>
          </w:p>
        </w:tc>
        <w:tc>
          <w:tcPr>
            <w:tcW w:w="2326" w:type="dxa"/>
            <w:vMerge w:val="continue"/>
            <w:noWrap w:val="0"/>
            <w:vAlign w:val="center"/>
          </w:tcPr>
          <w:p w14:paraId="30719B87">
            <w:pPr>
              <w:snapToGrid w:val="0"/>
              <w:jc w:val="center"/>
              <w:rPr>
                <w:rFonts w:hint="default" w:ascii="Times New Roman" w:hAnsi="Times New Roman" w:eastAsia="宋体" w:cs="Times New Roman"/>
                <w:color w:val="auto"/>
                <w:sz w:val="21"/>
                <w:szCs w:val="21"/>
                <w:shd w:val="clear" w:color="auto" w:fill="auto"/>
                <w:lang w:eastAsia="zh-CN"/>
              </w:rPr>
            </w:pPr>
          </w:p>
        </w:tc>
      </w:tr>
      <w:tr w14:paraId="3ABE9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96" w:type="dxa"/>
            <w:vMerge w:val="continue"/>
            <w:noWrap w:val="0"/>
            <w:vAlign w:val="center"/>
          </w:tcPr>
          <w:p w14:paraId="34AC938E">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p>
        </w:tc>
        <w:tc>
          <w:tcPr>
            <w:tcW w:w="850" w:type="dxa"/>
            <w:vMerge w:val="continue"/>
            <w:noWrap w:val="0"/>
            <w:vAlign w:val="center"/>
          </w:tcPr>
          <w:p w14:paraId="4E127DBE">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p>
        </w:tc>
        <w:tc>
          <w:tcPr>
            <w:tcW w:w="1003" w:type="dxa"/>
            <w:noWrap w:val="0"/>
            <w:vAlign w:val="center"/>
          </w:tcPr>
          <w:p w14:paraId="48D5B910">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厂区内</w:t>
            </w:r>
          </w:p>
        </w:tc>
        <w:tc>
          <w:tcPr>
            <w:tcW w:w="1265" w:type="dxa"/>
            <w:noWrap w:val="0"/>
            <w:vAlign w:val="center"/>
          </w:tcPr>
          <w:p w14:paraId="2ADA63C4">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非甲烷总烃</w:t>
            </w:r>
          </w:p>
        </w:tc>
        <w:tc>
          <w:tcPr>
            <w:tcW w:w="1960" w:type="dxa"/>
            <w:vMerge w:val="continue"/>
            <w:noWrap w:val="0"/>
            <w:vAlign w:val="center"/>
          </w:tcPr>
          <w:p w14:paraId="623251DF">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p>
        </w:tc>
        <w:tc>
          <w:tcPr>
            <w:tcW w:w="2326" w:type="dxa"/>
            <w:noWrap w:val="0"/>
            <w:vAlign w:val="center"/>
          </w:tcPr>
          <w:p w14:paraId="451E056A">
            <w:pPr>
              <w:snapToGrid w:val="0"/>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bCs/>
                <w:color w:val="auto"/>
                <w:sz w:val="21"/>
                <w:szCs w:val="21"/>
                <w:highlight w:val="none"/>
                <w:shd w:val="clear" w:color="auto" w:fill="auto"/>
                <w:lang w:val="en-US" w:eastAsia="zh-CN"/>
              </w:rPr>
              <w:t>《印刷工业大气污染物排放标准》（DB32 4438-2022）</w:t>
            </w:r>
          </w:p>
        </w:tc>
      </w:tr>
      <w:tr w14:paraId="2CA67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noWrap w:val="0"/>
            <w:vAlign w:val="center"/>
          </w:tcPr>
          <w:p w14:paraId="00E92FA6">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地表水环境</w:t>
            </w:r>
          </w:p>
        </w:tc>
        <w:tc>
          <w:tcPr>
            <w:tcW w:w="1853" w:type="dxa"/>
            <w:gridSpan w:val="2"/>
            <w:noWrap w:val="0"/>
            <w:vAlign w:val="center"/>
          </w:tcPr>
          <w:p w14:paraId="5BBC2436">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生活污水</w:t>
            </w:r>
          </w:p>
        </w:tc>
        <w:tc>
          <w:tcPr>
            <w:tcW w:w="1265" w:type="dxa"/>
            <w:noWrap w:val="0"/>
            <w:vAlign w:val="center"/>
          </w:tcPr>
          <w:p w14:paraId="3DCD554F">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pH、</w:t>
            </w:r>
            <w:r>
              <w:rPr>
                <w:rFonts w:hint="default" w:ascii="Times New Roman" w:hAnsi="Times New Roman" w:eastAsia="宋体" w:cs="Times New Roman"/>
                <w:color w:val="auto"/>
                <w:highlight w:val="none"/>
                <w:shd w:val="clear" w:color="auto" w:fill="auto"/>
              </w:rPr>
              <w:t>COD、SS、NH</w:t>
            </w:r>
            <w:r>
              <w:rPr>
                <w:rFonts w:hint="default" w:ascii="Times New Roman" w:hAnsi="Times New Roman" w:eastAsia="宋体" w:cs="Times New Roman"/>
                <w:color w:val="auto"/>
                <w:highlight w:val="none"/>
                <w:shd w:val="clear" w:color="auto" w:fill="auto"/>
                <w:vertAlign w:val="subscript"/>
              </w:rPr>
              <w:t>3</w:t>
            </w:r>
            <w:r>
              <w:rPr>
                <w:rFonts w:hint="default" w:ascii="Times New Roman" w:hAnsi="Times New Roman" w:eastAsia="宋体" w:cs="Times New Roman"/>
                <w:color w:val="auto"/>
                <w:highlight w:val="none"/>
                <w:shd w:val="clear" w:color="auto" w:fill="auto"/>
              </w:rPr>
              <w:t>-N、TP、TN</w:t>
            </w:r>
          </w:p>
        </w:tc>
        <w:tc>
          <w:tcPr>
            <w:tcW w:w="1960" w:type="dxa"/>
            <w:noWrap w:val="0"/>
            <w:vAlign w:val="center"/>
          </w:tcPr>
          <w:p w14:paraId="416863E9">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w:t>
            </w:r>
          </w:p>
        </w:tc>
        <w:tc>
          <w:tcPr>
            <w:tcW w:w="2326" w:type="dxa"/>
            <w:noWrap w:val="0"/>
            <w:vAlign w:val="center"/>
          </w:tcPr>
          <w:p w14:paraId="38EBABE0">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金坛第二污水处理厂进水水质标准</w:t>
            </w:r>
          </w:p>
        </w:tc>
      </w:tr>
      <w:tr w14:paraId="6382E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noWrap w:val="0"/>
            <w:vAlign w:val="center"/>
          </w:tcPr>
          <w:p w14:paraId="2D56EF14">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声环境</w:t>
            </w:r>
          </w:p>
        </w:tc>
        <w:tc>
          <w:tcPr>
            <w:tcW w:w="1853" w:type="dxa"/>
            <w:gridSpan w:val="2"/>
            <w:noWrap w:val="0"/>
            <w:vAlign w:val="center"/>
          </w:tcPr>
          <w:p w14:paraId="0B397148">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c>
          <w:tcPr>
            <w:tcW w:w="1265" w:type="dxa"/>
            <w:noWrap w:val="0"/>
            <w:vAlign w:val="center"/>
          </w:tcPr>
          <w:p w14:paraId="14A82729">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噪声</w:t>
            </w:r>
          </w:p>
        </w:tc>
        <w:tc>
          <w:tcPr>
            <w:tcW w:w="1960" w:type="dxa"/>
            <w:noWrap w:val="0"/>
            <w:vAlign w:val="center"/>
          </w:tcPr>
          <w:p w14:paraId="66E8483D">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合理布局、对高噪声设备做消音/隔声降噪处理、建筑隔声等措施</w:t>
            </w:r>
          </w:p>
        </w:tc>
        <w:tc>
          <w:tcPr>
            <w:tcW w:w="2326" w:type="dxa"/>
            <w:noWrap w:val="0"/>
            <w:vAlign w:val="center"/>
          </w:tcPr>
          <w:p w14:paraId="2CC67B43">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《工业企业厂界环境噪声排放标准》（GB12348－2008）</w:t>
            </w:r>
          </w:p>
        </w:tc>
      </w:tr>
      <w:tr w14:paraId="54654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noWrap w:val="0"/>
            <w:vAlign w:val="center"/>
          </w:tcPr>
          <w:p w14:paraId="6F3388A9">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电磁辐射</w:t>
            </w:r>
          </w:p>
        </w:tc>
        <w:tc>
          <w:tcPr>
            <w:tcW w:w="1853" w:type="dxa"/>
            <w:gridSpan w:val="2"/>
            <w:noWrap w:val="0"/>
            <w:vAlign w:val="center"/>
          </w:tcPr>
          <w:p w14:paraId="0FA207DA">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c>
          <w:tcPr>
            <w:tcW w:w="1265" w:type="dxa"/>
            <w:noWrap w:val="0"/>
            <w:vAlign w:val="center"/>
          </w:tcPr>
          <w:p w14:paraId="3B49D2EF">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c>
          <w:tcPr>
            <w:tcW w:w="1960" w:type="dxa"/>
            <w:noWrap w:val="0"/>
            <w:vAlign w:val="center"/>
          </w:tcPr>
          <w:p w14:paraId="3FB0DFAE">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c>
          <w:tcPr>
            <w:tcW w:w="2326" w:type="dxa"/>
            <w:noWrap w:val="0"/>
            <w:vAlign w:val="center"/>
          </w:tcPr>
          <w:p w14:paraId="0F6D114A">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53B98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noWrap w:val="0"/>
            <w:vAlign w:val="center"/>
          </w:tcPr>
          <w:p w14:paraId="5C7DD19C">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固体废物</w:t>
            </w:r>
          </w:p>
        </w:tc>
        <w:tc>
          <w:tcPr>
            <w:tcW w:w="7404" w:type="dxa"/>
            <w:gridSpan w:val="5"/>
            <w:noWrap w:val="0"/>
            <w:vAlign w:val="center"/>
          </w:tcPr>
          <w:p w14:paraId="33731F81">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生活垃圾交由环卫部门统一进行处理；一般固废</w:t>
            </w:r>
            <w:r>
              <w:rPr>
                <w:rFonts w:hint="default" w:ascii="Times New Roman" w:hAnsi="Times New Roman" w:eastAsia="宋体" w:cs="Times New Roman"/>
                <w:color w:val="auto"/>
                <w:highlight w:val="none"/>
                <w:shd w:val="clear" w:color="auto" w:fill="auto"/>
                <w:lang w:val="en-US" w:eastAsia="zh-CN"/>
              </w:rPr>
              <w:t>收集后外售综合利用</w:t>
            </w:r>
            <w:r>
              <w:rPr>
                <w:rFonts w:hint="default"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highlight w:val="none"/>
                <w:shd w:val="clear" w:color="auto" w:fill="auto"/>
                <w:lang w:val="en-US" w:eastAsia="zh-CN"/>
              </w:rPr>
              <w:t>危险废物</w:t>
            </w:r>
            <w:r>
              <w:rPr>
                <w:rFonts w:hint="default" w:ascii="Times New Roman" w:hAnsi="Times New Roman" w:eastAsia="宋体" w:cs="Times New Roman"/>
                <w:color w:val="auto"/>
                <w:highlight w:val="none"/>
                <w:shd w:val="clear" w:color="auto" w:fill="auto"/>
              </w:rPr>
              <w:t>分类收集后暂存危废仓库，定期交由有资质的单位处置。</w:t>
            </w:r>
          </w:p>
        </w:tc>
      </w:tr>
      <w:tr w14:paraId="6A8C1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96" w:type="dxa"/>
            <w:noWrap w:val="0"/>
            <w:vAlign w:val="center"/>
          </w:tcPr>
          <w:p w14:paraId="7E488D7B">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土壤及地下水污染防治措施</w:t>
            </w:r>
          </w:p>
        </w:tc>
        <w:tc>
          <w:tcPr>
            <w:tcW w:w="7404" w:type="dxa"/>
            <w:gridSpan w:val="5"/>
            <w:noWrap w:val="0"/>
            <w:vAlign w:val="center"/>
          </w:tcPr>
          <w:p w14:paraId="285FACB8">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车间地面均进行了防渗、防腐处理；危废堆场严格按照《危险废物贮存污染控制标准》（GB18597-2023）、《危险废物识别标志设置技术规范》（HJ1276-2022）和《省生态环境厅关于印发《江苏省固体废物全过程环境监管工作意见》的通知》（苏环办[2024]16号）的要求规范建设和维护使用。</w:t>
            </w:r>
          </w:p>
        </w:tc>
      </w:tr>
      <w:tr w14:paraId="49E56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396" w:type="dxa"/>
            <w:noWrap w:val="0"/>
            <w:vAlign w:val="center"/>
          </w:tcPr>
          <w:p w14:paraId="202C162C">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生态保护措施</w:t>
            </w:r>
          </w:p>
        </w:tc>
        <w:tc>
          <w:tcPr>
            <w:tcW w:w="7404" w:type="dxa"/>
            <w:gridSpan w:val="5"/>
            <w:noWrap w:val="0"/>
            <w:vAlign w:val="center"/>
          </w:tcPr>
          <w:p w14:paraId="5B95B13A">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7B555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1396" w:type="dxa"/>
            <w:noWrap w:val="0"/>
            <w:vAlign w:val="center"/>
          </w:tcPr>
          <w:p w14:paraId="1B88BBFC">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环境风险</w:t>
            </w:r>
          </w:p>
          <w:p w14:paraId="3D01FC1B">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防范措施</w:t>
            </w:r>
          </w:p>
        </w:tc>
        <w:tc>
          <w:tcPr>
            <w:tcW w:w="7404" w:type="dxa"/>
            <w:gridSpan w:val="5"/>
            <w:noWrap w:val="0"/>
            <w:vAlign w:val="center"/>
          </w:tcPr>
          <w:p w14:paraId="134D01E1">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须认真落实各项预防和应急措施，完善仓库管理制度，定期及不定期对储存仓库、危废仓库进行巡检，建构筑物和工艺装置区均配置消防灭火设施。企业</w:t>
            </w:r>
            <w:r>
              <w:rPr>
                <w:rFonts w:hint="default" w:ascii="Times New Roman" w:hAnsi="Times New Roman" w:eastAsia="宋体" w:cs="Times New Roman"/>
                <w:color w:val="auto"/>
                <w:highlight w:val="none"/>
                <w:shd w:val="clear" w:color="auto" w:fill="auto"/>
                <w:lang w:val="en-US" w:eastAsia="zh-CN"/>
              </w:rPr>
              <w:t>拟</w:t>
            </w:r>
            <w:r>
              <w:rPr>
                <w:rFonts w:hint="default" w:ascii="Times New Roman" w:hAnsi="Times New Roman" w:eastAsia="宋体" w:cs="Times New Roman"/>
                <w:color w:val="auto"/>
                <w:highlight w:val="none"/>
                <w:shd w:val="clear" w:color="auto" w:fill="auto"/>
              </w:rPr>
              <w:t>建设</w:t>
            </w:r>
            <w:r>
              <w:rPr>
                <w:rFonts w:hint="eastAsia" w:ascii="Times New Roman" w:hAnsi="Times New Roman" w:eastAsia="宋体" w:cs="Times New Roman"/>
                <w:color w:val="auto"/>
                <w:highlight w:val="none"/>
                <w:shd w:val="clear" w:color="auto" w:fill="auto"/>
                <w:lang w:val="en-US" w:eastAsia="zh-CN"/>
              </w:rPr>
              <w:t>2</w:t>
            </w:r>
            <w:r>
              <w:rPr>
                <w:rFonts w:hint="default" w:ascii="Times New Roman" w:hAnsi="Times New Roman" w:eastAsia="宋体" w:cs="Times New Roman"/>
                <w:color w:val="auto"/>
                <w:highlight w:val="none"/>
                <w:shd w:val="clear" w:color="auto" w:fill="auto"/>
              </w:rPr>
              <w:t>0m³事故应急池，并设置截断阀。</w:t>
            </w:r>
          </w:p>
        </w:tc>
      </w:tr>
      <w:tr w14:paraId="13D3F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396" w:type="dxa"/>
            <w:noWrap w:val="0"/>
            <w:vAlign w:val="center"/>
          </w:tcPr>
          <w:p w14:paraId="70E5B1C2">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其他环境</w:t>
            </w:r>
          </w:p>
          <w:p w14:paraId="3AB53168">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管理要求</w:t>
            </w:r>
          </w:p>
        </w:tc>
        <w:tc>
          <w:tcPr>
            <w:tcW w:w="7404" w:type="dxa"/>
            <w:gridSpan w:val="5"/>
            <w:noWrap w:val="0"/>
            <w:vAlign w:val="center"/>
          </w:tcPr>
          <w:p w14:paraId="47B84A70">
            <w:pPr>
              <w:pStyle w:val="78"/>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shd w:val="clear" w:color="auto" w:fill="auto"/>
                <w:lang w:val="en-US"/>
              </w:rPr>
            </w:pPr>
            <w:r>
              <w:rPr>
                <w:rFonts w:hint="eastAsia" w:ascii="Times New Roman" w:hAnsi="Times New Roman" w:eastAsia="宋体" w:cs="Times New Roman"/>
                <w:color w:val="auto"/>
                <w:highlight w:val="none"/>
                <w:shd w:val="clear" w:color="auto" w:fill="auto"/>
                <w:lang w:val="en-US" w:eastAsia="zh-CN"/>
              </w:rPr>
              <w:t>企业应定期开展常规监测，以了解污染物达标排放情况。营运期的常规监测内容应符合实际生产现状，公司在制定监测计划应充分考虑各类污染物排放情况。</w:t>
            </w:r>
          </w:p>
        </w:tc>
      </w:tr>
    </w:tbl>
    <w:p w14:paraId="4EB37DEF">
      <w:pPr>
        <w:rPr>
          <w:rFonts w:hint="default" w:ascii="Times New Roman" w:hAnsi="Times New Roman" w:eastAsia="宋体" w:cs="Times New Roman"/>
          <w:color w:val="auto"/>
          <w:highlight w:val="none"/>
          <w:shd w:val="clear" w:color="auto" w:fill="auto"/>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C3639B4">
      <w:pPr>
        <w:pStyle w:val="4"/>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六、结论</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1418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7" w:hRule="atLeast"/>
          <w:jc w:val="center"/>
        </w:trPr>
        <w:tc>
          <w:tcPr>
            <w:tcW w:w="5000" w:type="pct"/>
          </w:tcPr>
          <w:p w14:paraId="006E9FA6">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本项目符合当前国家产业政策；项目符合区域规划和相关环保规划要求，选址恰当，布局合理；项目符合“三线一单”要求，满足国家相关政策、法规的要求；项目采取的污染防治措施可行，可实现污染物达标排放；项目建成后对环境的影响较小，区域环境质量维持现状，符合相应环境功能区要求；项目污染物排放总量能够在区域内实现平衡；在落实分区防渗措施后，正常工况下，不存在污染土壤和地下水的途径；事故风险水平可被接受。</w:t>
            </w:r>
          </w:p>
          <w:p w14:paraId="1104C4DD">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rPr>
            </w:pPr>
            <w:r>
              <w:rPr>
                <w:rFonts w:hint="default" w:ascii="Times New Roman" w:hAnsi="Times New Roman" w:eastAsia="宋体" w:cs="Times New Roman"/>
                <w:color w:val="auto"/>
                <w:kern w:val="0"/>
                <w:sz w:val="24"/>
                <w:szCs w:val="24"/>
                <w:highlight w:val="none"/>
                <w:shd w:val="clear" w:color="auto" w:fill="auto"/>
              </w:rPr>
              <w:t>因此，在企业严格落实环保“三同时”措施后，本项目的建设，从环保的角度看是可行的。</w:t>
            </w:r>
          </w:p>
        </w:tc>
      </w:tr>
    </w:tbl>
    <w:p w14:paraId="6D12F9E3">
      <w:pPr>
        <w:rPr>
          <w:rFonts w:hint="default" w:ascii="Times New Roman" w:hAnsi="Times New Roman" w:eastAsia="宋体" w:cs="Times New Roman"/>
          <w:color w:val="auto"/>
          <w:highlight w:val="none"/>
          <w:shd w:val="clear" w:color="auto" w:fill="auto"/>
        </w:rPr>
        <w:sectPr>
          <w:pgSz w:w="11906" w:h="16838"/>
          <w:pgMar w:top="1440" w:right="1418" w:bottom="1440" w:left="1418"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F077F86">
      <w:pPr>
        <w:pStyle w:val="4"/>
        <w:jc w:val="lef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附表</w:t>
      </w:r>
    </w:p>
    <w:p w14:paraId="391F1B00">
      <w:pPr>
        <w:jc w:val="center"/>
        <w:rPr>
          <w:rFonts w:hint="default" w:ascii="Times New Roman" w:hAnsi="Times New Roman" w:eastAsia="宋体" w:cs="Times New Roman"/>
          <w:b/>
          <w:snapToGrid w:val="0"/>
          <w:color w:val="auto"/>
          <w:sz w:val="32"/>
          <w:szCs w:val="32"/>
          <w:highlight w:val="none"/>
          <w:shd w:val="clear" w:color="auto" w:fill="auto"/>
        </w:rPr>
      </w:pPr>
      <w:r>
        <w:rPr>
          <w:rFonts w:hint="default" w:ascii="Times New Roman" w:hAnsi="Times New Roman" w:eastAsia="宋体" w:cs="Times New Roman"/>
          <w:b/>
          <w:snapToGrid w:val="0"/>
          <w:color w:val="auto"/>
          <w:sz w:val="32"/>
          <w:szCs w:val="32"/>
          <w:highlight w:val="none"/>
          <w:shd w:val="clear" w:color="auto" w:fill="auto"/>
        </w:rPr>
        <w:t>建设项目污染物排放量汇总表  单位：t/a</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851"/>
        <w:gridCol w:w="1030"/>
        <w:gridCol w:w="1695"/>
        <w:gridCol w:w="1272"/>
        <w:gridCol w:w="1695"/>
        <w:gridCol w:w="1553"/>
        <w:gridCol w:w="1755"/>
        <w:gridCol w:w="1635"/>
        <w:gridCol w:w="1140"/>
      </w:tblGrid>
      <w:tr w14:paraId="74D56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62" w:type="dxa"/>
            <w:tcBorders>
              <w:tl2br w:val="single" w:color="auto" w:sz="4" w:space="0"/>
            </w:tcBorders>
            <w:noWrap w:val="0"/>
            <w:tcMar>
              <w:left w:w="28" w:type="dxa"/>
              <w:right w:w="28" w:type="dxa"/>
            </w:tcMar>
            <w:vAlign w:val="center"/>
          </w:tcPr>
          <w:p w14:paraId="65DCB535">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项目</w:t>
            </w:r>
          </w:p>
          <w:p w14:paraId="308F6AAF">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p w14:paraId="68610B86">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分类</w:t>
            </w:r>
          </w:p>
        </w:tc>
        <w:tc>
          <w:tcPr>
            <w:tcW w:w="1881" w:type="dxa"/>
            <w:gridSpan w:val="2"/>
            <w:noWrap w:val="0"/>
            <w:tcMar>
              <w:left w:w="28" w:type="dxa"/>
              <w:right w:w="28" w:type="dxa"/>
            </w:tcMar>
            <w:vAlign w:val="center"/>
          </w:tcPr>
          <w:p w14:paraId="2A709B1F">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污染物名称</w:t>
            </w:r>
          </w:p>
        </w:tc>
        <w:tc>
          <w:tcPr>
            <w:tcW w:w="1695" w:type="dxa"/>
            <w:noWrap w:val="0"/>
            <w:tcMar>
              <w:left w:w="28" w:type="dxa"/>
              <w:right w:w="28" w:type="dxa"/>
            </w:tcMar>
            <w:vAlign w:val="center"/>
          </w:tcPr>
          <w:p w14:paraId="3B9BE2E6">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现有工程</w:t>
            </w:r>
          </w:p>
          <w:p w14:paraId="13BF9C33">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排放量（固体废物产生量）</w:t>
            </w:r>
            <w:r>
              <w:rPr>
                <w:rFonts w:hint="default" w:ascii="Times New Roman" w:hAnsi="Times New Roman" w:eastAsia="宋体" w:cs="Times New Roman"/>
                <w:color w:val="auto"/>
                <w:sz w:val="21"/>
                <w:szCs w:val="21"/>
                <w:highlight w:val="none"/>
                <w:shd w:val="clear" w:color="auto" w:fill="auto"/>
              </w:rPr>
              <w:fldChar w:fldCharType="begin"/>
            </w:r>
            <w:r>
              <w:rPr>
                <w:rFonts w:hint="default" w:ascii="Times New Roman" w:hAnsi="Times New Roman" w:eastAsia="宋体" w:cs="Times New Roman"/>
                <w:color w:val="auto"/>
                <w:sz w:val="21"/>
                <w:szCs w:val="21"/>
                <w:highlight w:val="none"/>
                <w:shd w:val="clear" w:color="auto" w:fill="auto"/>
              </w:rPr>
              <w:instrText xml:space="preserve"> = 1 \* GB3 \* MERGEFORMAT </w:instrText>
            </w:r>
            <w:r>
              <w:rPr>
                <w:rFonts w:hint="default" w:ascii="Times New Roman" w:hAnsi="Times New Roman" w:eastAsia="宋体" w:cs="Times New Roman"/>
                <w:color w:val="auto"/>
                <w:sz w:val="21"/>
                <w:szCs w:val="21"/>
                <w:highlight w:val="none"/>
                <w:shd w:val="clear" w:color="auto" w:fill="auto"/>
              </w:rPr>
              <w:fldChar w:fldCharType="separate"/>
            </w:r>
            <w:r>
              <w:rPr>
                <w:rFonts w:hint="default" w:ascii="Times New Roman" w:hAnsi="Times New Roman" w:eastAsia="宋体" w:cs="Times New Roman"/>
                <w:color w:val="auto"/>
                <w:sz w:val="21"/>
                <w:szCs w:val="21"/>
                <w:highlight w:val="none"/>
                <w:shd w:val="clear" w:color="auto" w:fill="auto"/>
              </w:rPr>
              <w:t>①</w:t>
            </w:r>
            <w:r>
              <w:rPr>
                <w:rFonts w:hint="default" w:ascii="Times New Roman" w:hAnsi="Times New Roman" w:eastAsia="宋体" w:cs="Times New Roman"/>
                <w:color w:val="auto"/>
                <w:sz w:val="21"/>
                <w:szCs w:val="21"/>
                <w:highlight w:val="none"/>
                <w:shd w:val="clear" w:color="auto" w:fill="auto"/>
              </w:rPr>
              <w:fldChar w:fldCharType="end"/>
            </w:r>
          </w:p>
        </w:tc>
        <w:tc>
          <w:tcPr>
            <w:tcW w:w="1272" w:type="dxa"/>
            <w:noWrap w:val="0"/>
            <w:tcMar>
              <w:left w:w="28" w:type="dxa"/>
              <w:right w:w="28" w:type="dxa"/>
            </w:tcMar>
            <w:vAlign w:val="center"/>
          </w:tcPr>
          <w:p w14:paraId="44700F52">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现有工程</w:t>
            </w:r>
          </w:p>
          <w:p w14:paraId="477469F0">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许可排放量</w:t>
            </w:r>
          </w:p>
          <w:p w14:paraId="2BC26D80">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fldChar w:fldCharType="begin"/>
            </w:r>
            <w:r>
              <w:rPr>
                <w:rFonts w:hint="default" w:ascii="Times New Roman" w:hAnsi="Times New Roman" w:eastAsia="宋体" w:cs="Times New Roman"/>
                <w:color w:val="auto"/>
                <w:sz w:val="21"/>
                <w:szCs w:val="21"/>
                <w:highlight w:val="none"/>
                <w:shd w:val="clear" w:color="auto" w:fill="auto"/>
              </w:rPr>
              <w:instrText xml:space="preserve"> = 2 \* GB3 \* MERGEFORMAT </w:instrText>
            </w:r>
            <w:r>
              <w:rPr>
                <w:rFonts w:hint="default" w:ascii="Times New Roman" w:hAnsi="Times New Roman" w:eastAsia="宋体" w:cs="Times New Roman"/>
                <w:color w:val="auto"/>
                <w:sz w:val="21"/>
                <w:szCs w:val="21"/>
                <w:highlight w:val="none"/>
                <w:shd w:val="clear" w:color="auto" w:fill="auto"/>
              </w:rPr>
              <w:fldChar w:fldCharType="separate"/>
            </w:r>
            <w:r>
              <w:rPr>
                <w:rFonts w:hint="default" w:ascii="Times New Roman" w:hAnsi="Times New Roman" w:eastAsia="宋体" w:cs="Times New Roman"/>
                <w:color w:val="auto"/>
                <w:sz w:val="21"/>
                <w:szCs w:val="21"/>
                <w:highlight w:val="none"/>
                <w:shd w:val="clear" w:color="auto" w:fill="auto"/>
              </w:rPr>
              <w:t>②</w:t>
            </w:r>
            <w:r>
              <w:rPr>
                <w:rFonts w:hint="default" w:ascii="Times New Roman" w:hAnsi="Times New Roman" w:eastAsia="宋体" w:cs="Times New Roman"/>
                <w:color w:val="auto"/>
                <w:sz w:val="21"/>
                <w:szCs w:val="21"/>
                <w:highlight w:val="none"/>
                <w:shd w:val="clear" w:color="auto" w:fill="auto"/>
              </w:rPr>
              <w:fldChar w:fldCharType="end"/>
            </w:r>
          </w:p>
        </w:tc>
        <w:tc>
          <w:tcPr>
            <w:tcW w:w="1695" w:type="dxa"/>
            <w:noWrap w:val="0"/>
            <w:tcMar>
              <w:left w:w="28" w:type="dxa"/>
              <w:right w:w="28" w:type="dxa"/>
            </w:tcMar>
            <w:vAlign w:val="center"/>
          </w:tcPr>
          <w:p w14:paraId="6CC4D95A">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在建工程</w:t>
            </w:r>
          </w:p>
          <w:p w14:paraId="32D16CE4">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排放量（固体废物产生量）</w:t>
            </w:r>
            <w:r>
              <w:rPr>
                <w:rFonts w:hint="default" w:ascii="Times New Roman" w:hAnsi="Times New Roman" w:eastAsia="宋体" w:cs="Times New Roman"/>
                <w:color w:val="auto"/>
                <w:sz w:val="21"/>
                <w:szCs w:val="21"/>
                <w:highlight w:val="none"/>
                <w:shd w:val="clear" w:color="auto" w:fill="auto"/>
              </w:rPr>
              <w:fldChar w:fldCharType="begin"/>
            </w:r>
            <w:r>
              <w:rPr>
                <w:rFonts w:hint="default" w:ascii="Times New Roman" w:hAnsi="Times New Roman" w:eastAsia="宋体" w:cs="Times New Roman"/>
                <w:color w:val="auto"/>
                <w:sz w:val="21"/>
                <w:szCs w:val="21"/>
                <w:highlight w:val="none"/>
                <w:shd w:val="clear" w:color="auto" w:fill="auto"/>
              </w:rPr>
              <w:instrText xml:space="preserve"> = 3 \* GB3 \* MERGEFORMAT </w:instrText>
            </w:r>
            <w:r>
              <w:rPr>
                <w:rFonts w:hint="default" w:ascii="Times New Roman" w:hAnsi="Times New Roman" w:eastAsia="宋体" w:cs="Times New Roman"/>
                <w:color w:val="auto"/>
                <w:sz w:val="21"/>
                <w:szCs w:val="21"/>
                <w:highlight w:val="none"/>
                <w:shd w:val="clear" w:color="auto" w:fill="auto"/>
              </w:rPr>
              <w:fldChar w:fldCharType="separate"/>
            </w:r>
            <w:r>
              <w:rPr>
                <w:rFonts w:hint="default" w:ascii="Times New Roman" w:hAnsi="Times New Roman" w:eastAsia="宋体" w:cs="Times New Roman"/>
                <w:color w:val="auto"/>
                <w:sz w:val="21"/>
                <w:szCs w:val="21"/>
                <w:highlight w:val="none"/>
                <w:shd w:val="clear" w:color="auto" w:fill="auto"/>
              </w:rPr>
              <w:t>③</w:t>
            </w:r>
            <w:r>
              <w:rPr>
                <w:rFonts w:hint="default" w:ascii="Times New Roman" w:hAnsi="Times New Roman" w:eastAsia="宋体" w:cs="Times New Roman"/>
                <w:color w:val="auto"/>
                <w:sz w:val="21"/>
                <w:szCs w:val="21"/>
                <w:highlight w:val="none"/>
                <w:shd w:val="clear" w:color="auto" w:fill="auto"/>
              </w:rPr>
              <w:fldChar w:fldCharType="end"/>
            </w:r>
          </w:p>
        </w:tc>
        <w:tc>
          <w:tcPr>
            <w:tcW w:w="1553" w:type="dxa"/>
            <w:noWrap w:val="0"/>
            <w:tcMar>
              <w:left w:w="28" w:type="dxa"/>
              <w:right w:w="28" w:type="dxa"/>
            </w:tcMar>
            <w:vAlign w:val="center"/>
          </w:tcPr>
          <w:p w14:paraId="0209EBF2">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本项目</w:t>
            </w:r>
          </w:p>
          <w:p w14:paraId="0B776D82">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排放量（固体废物产生量）</w:t>
            </w:r>
            <w:r>
              <w:rPr>
                <w:rFonts w:hint="default" w:ascii="Times New Roman" w:hAnsi="Times New Roman" w:eastAsia="宋体" w:cs="Times New Roman"/>
                <w:color w:val="auto"/>
                <w:sz w:val="21"/>
                <w:szCs w:val="21"/>
                <w:highlight w:val="none"/>
                <w:shd w:val="clear" w:color="auto" w:fill="auto"/>
              </w:rPr>
              <w:fldChar w:fldCharType="begin"/>
            </w:r>
            <w:r>
              <w:rPr>
                <w:rFonts w:hint="default" w:ascii="Times New Roman" w:hAnsi="Times New Roman" w:eastAsia="宋体" w:cs="Times New Roman"/>
                <w:color w:val="auto"/>
                <w:sz w:val="21"/>
                <w:szCs w:val="21"/>
                <w:highlight w:val="none"/>
                <w:shd w:val="clear" w:color="auto" w:fill="auto"/>
              </w:rPr>
              <w:instrText xml:space="preserve"> = 4 \* GB3 \* MERGEFORMAT </w:instrText>
            </w:r>
            <w:r>
              <w:rPr>
                <w:rFonts w:hint="default" w:ascii="Times New Roman" w:hAnsi="Times New Roman" w:eastAsia="宋体" w:cs="Times New Roman"/>
                <w:color w:val="auto"/>
                <w:sz w:val="21"/>
                <w:szCs w:val="21"/>
                <w:highlight w:val="none"/>
                <w:shd w:val="clear" w:color="auto" w:fill="auto"/>
              </w:rPr>
              <w:fldChar w:fldCharType="separate"/>
            </w:r>
            <w:r>
              <w:rPr>
                <w:rFonts w:hint="default" w:ascii="Times New Roman" w:hAnsi="Times New Roman" w:eastAsia="宋体" w:cs="Times New Roman"/>
                <w:color w:val="auto"/>
                <w:sz w:val="21"/>
                <w:szCs w:val="21"/>
                <w:highlight w:val="none"/>
                <w:shd w:val="clear" w:color="auto" w:fill="auto"/>
              </w:rPr>
              <w:t>④</w:t>
            </w:r>
            <w:r>
              <w:rPr>
                <w:rFonts w:hint="default" w:ascii="Times New Roman" w:hAnsi="Times New Roman" w:eastAsia="宋体" w:cs="Times New Roman"/>
                <w:color w:val="auto"/>
                <w:sz w:val="21"/>
                <w:szCs w:val="21"/>
                <w:highlight w:val="none"/>
                <w:shd w:val="clear" w:color="auto" w:fill="auto"/>
              </w:rPr>
              <w:fldChar w:fldCharType="end"/>
            </w:r>
          </w:p>
        </w:tc>
        <w:tc>
          <w:tcPr>
            <w:tcW w:w="1755" w:type="dxa"/>
            <w:noWrap w:val="0"/>
            <w:tcMar>
              <w:left w:w="28" w:type="dxa"/>
              <w:right w:w="28" w:type="dxa"/>
            </w:tcMar>
            <w:vAlign w:val="center"/>
          </w:tcPr>
          <w:p w14:paraId="1CDF0F3B">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以新带老削减量</w:t>
            </w:r>
          </w:p>
          <w:p w14:paraId="04E850E4">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（新建项目不填）</w:t>
            </w:r>
            <w:r>
              <w:rPr>
                <w:rFonts w:hint="default" w:ascii="Times New Roman" w:hAnsi="Times New Roman" w:eastAsia="宋体" w:cs="Times New Roman"/>
                <w:color w:val="auto"/>
                <w:sz w:val="21"/>
                <w:szCs w:val="21"/>
                <w:highlight w:val="none"/>
                <w:shd w:val="clear" w:color="auto" w:fill="auto"/>
              </w:rPr>
              <w:fldChar w:fldCharType="begin"/>
            </w:r>
            <w:r>
              <w:rPr>
                <w:rFonts w:hint="default" w:ascii="Times New Roman" w:hAnsi="Times New Roman" w:eastAsia="宋体" w:cs="Times New Roman"/>
                <w:color w:val="auto"/>
                <w:sz w:val="21"/>
                <w:szCs w:val="21"/>
                <w:highlight w:val="none"/>
                <w:shd w:val="clear" w:color="auto" w:fill="auto"/>
              </w:rPr>
              <w:instrText xml:space="preserve"> = 5 \* GB3 \* MERGEFORMAT </w:instrText>
            </w:r>
            <w:r>
              <w:rPr>
                <w:rFonts w:hint="default" w:ascii="Times New Roman" w:hAnsi="Times New Roman" w:eastAsia="宋体" w:cs="Times New Roman"/>
                <w:color w:val="auto"/>
                <w:sz w:val="21"/>
                <w:szCs w:val="21"/>
                <w:highlight w:val="none"/>
                <w:shd w:val="clear" w:color="auto" w:fill="auto"/>
              </w:rPr>
              <w:fldChar w:fldCharType="separate"/>
            </w:r>
            <w:r>
              <w:rPr>
                <w:rFonts w:hint="default" w:ascii="Times New Roman" w:hAnsi="Times New Roman" w:eastAsia="宋体" w:cs="Times New Roman"/>
                <w:color w:val="auto"/>
                <w:sz w:val="21"/>
                <w:szCs w:val="21"/>
                <w:highlight w:val="none"/>
                <w:shd w:val="clear" w:color="auto" w:fill="auto"/>
              </w:rPr>
              <w:t>⑤</w:t>
            </w:r>
            <w:r>
              <w:rPr>
                <w:rFonts w:hint="default" w:ascii="Times New Roman" w:hAnsi="Times New Roman" w:eastAsia="宋体" w:cs="Times New Roman"/>
                <w:color w:val="auto"/>
                <w:sz w:val="21"/>
                <w:szCs w:val="21"/>
                <w:highlight w:val="none"/>
                <w:shd w:val="clear" w:color="auto" w:fill="auto"/>
              </w:rPr>
              <w:fldChar w:fldCharType="end"/>
            </w:r>
          </w:p>
        </w:tc>
        <w:tc>
          <w:tcPr>
            <w:tcW w:w="1635" w:type="dxa"/>
            <w:noWrap w:val="0"/>
            <w:tcMar>
              <w:left w:w="28" w:type="dxa"/>
              <w:right w:w="28" w:type="dxa"/>
            </w:tcMar>
            <w:vAlign w:val="center"/>
          </w:tcPr>
          <w:p w14:paraId="1DDF1C99">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本项目建成后</w:t>
            </w:r>
          </w:p>
          <w:p w14:paraId="7EEDE995">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全厂排放量（固体废物产生量）</w:t>
            </w:r>
            <w:r>
              <w:rPr>
                <w:rFonts w:hint="default" w:ascii="Times New Roman" w:hAnsi="Times New Roman" w:eastAsia="宋体" w:cs="Times New Roman"/>
                <w:color w:val="auto"/>
                <w:sz w:val="21"/>
                <w:szCs w:val="21"/>
                <w:highlight w:val="none"/>
                <w:shd w:val="clear" w:color="auto" w:fill="auto"/>
              </w:rPr>
              <w:fldChar w:fldCharType="begin"/>
            </w:r>
            <w:r>
              <w:rPr>
                <w:rFonts w:hint="default" w:ascii="Times New Roman" w:hAnsi="Times New Roman" w:eastAsia="宋体" w:cs="Times New Roman"/>
                <w:color w:val="auto"/>
                <w:sz w:val="21"/>
                <w:szCs w:val="21"/>
                <w:highlight w:val="none"/>
                <w:shd w:val="clear" w:color="auto" w:fill="auto"/>
              </w:rPr>
              <w:instrText xml:space="preserve"> = 6 \* GB3 \* MERGEFORMAT </w:instrText>
            </w:r>
            <w:r>
              <w:rPr>
                <w:rFonts w:hint="default" w:ascii="Times New Roman" w:hAnsi="Times New Roman" w:eastAsia="宋体" w:cs="Times New Roman"/>
                <w:color w:val="auto"/>
                <w:sz w:val="21"/>
                <w:szCs w:val="21"/>
                <w:highlight w:val="none"/>
                <w:shd w:val="clear" w:color="auto" w:fill="auto"/>
              </w:rPr>
              <w:fldChar w:fldCharType="separate"/>
            </w:r>
            <w:r>
              <w:rPr>
                <w:rFonts w:hint="default" w:ascii="Times New Roman" w:hAnsi="Times New Roman" w:eastAsia="宋体" w:cs="Times New Roman"/>
                <w:color w:val="auto"/>
                <w:sz w:val="21"/>
                <w:szCs w:val="21"/>
                <w:highlight w:val="none"/>
                <w:shd w:val="clear" w:color="auto" w:fill="auto"/>
              </w:rPr>
              <w:t>⑥</w:t>
            </w:r>
            <w:r>
              <w:rPr>
                <w:rFonts w:hint="default" w:ascii="Times New Roman" w:hAnsi="Times New Roman" w:eastAsia="宋体" w:cs="Times New Roman"/>
                <w:color w:val="auto"/>
                <w:sz w:val="21"/>
                <w:szCs w:val="21"/>
                <w:highlight w:val="none"/>
                <w:shd w:val="clear" w:color="auto" w:fill="auto"/>
              </w:rPr>
              <w:fldChar w:fldCharType="end"/>
            </w:r>
          </w:p>
        </w:tc>
        <w:tc>
          <w:tcPr>
            <w:tcW w:w="1140" w:type="dxa"/>
            <w:noWrap w:val="0"/>
            <w:tcMar>
              <w:left w:w="28" w:type="dxa"/>
              <w:right w:w="28" w:type="dxa"/>
            </w:tcMar>
            <w:vAlign w:val="center"/>
          </w:tcPr>
          <w:p w14:paraId="290B1DB8">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变化量</w:t>
            </w:r>
          </w:p>
          <w:p w14:paraId="077BFE8F">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fldChar w:fldCharType="begin"/>
            </w:r>
            <w:r>
              <w:rPr>
                <w:rFonts w:hint="default" w:ascii="Times New Roman" w:hAnsi="Times New Roman" w:eastAsia="宋体" w:cs="Times New Roman"/>
                <w:color w:val="auto"/>
                <w:sz w:val="21"/>
                <w:szCs w:val="21"/>
                <w:highlight w:val="none"/>
                <w:shd w:val="clear" w:color="auto" w:fill="auto"/>
              </w:rPr>
              <w:instrText xml:space="preserve"> = 7 \* GB3 \* MERGEFORMAT </w:instrText>
            </w:r>
            <w:r>
              <w:rPr>
                <w:rFonts w:hint="default" w:ascii="Times New Roman" w:hAnsi="Times New Roman" w:eastAsia="宋体" w:cs="Times New Roman"/>
                <w:color w:val="auto"/>
                <w:sz w:val="21"/>
                <w:szCs w:val="21"/>
                <w:highlight w:val="none"/>
                <w:shd w:val="clear" w:color="auto" w:fill="auto"/>
              </w:rPr>
              <w:fldChar w:fldCharType="separate"/>
            </w:r>
            <w:r>
              <w:rPr>
                <w:rFonts w:hint="default" w:ascii="Times New Roman" w:hAnsi="Times New Roman" w:eastAsia="宋体" w:cs="Times New Roman"/>
                <w:color w:val="auto"/>
                <w:sz w:val="21"/>
                <w:szCs w:val="21"/>
                <w:highlight w:val="none"/>
                <w:shd w:val="clear" w:color="auto" w:fill="auto"/>
              </w:rPr>
              <w:t>⑦</w:t>
            </w:r>
            <w:r>
              <w:rPr>
                <w:rFonts w:hint="default" w:ascii="Times New Roman" w:hAnsi="Times New Roman" w:eastAsia="宋体" w:cs="Times New Roman"/>
                <w:color w:val="auto"/>
                <w:sz w:val="21"/>
                <w:szCs w:val="21"/>
                <w:highlight w:val="none"/>
                <w:shd w:val="clear" w:color="auto" w:fill="auto"/>
              </w:rPr>
              <w:fldChar w:fldCharType="end"/>
            </w:r>
          </w:p>
        </w:tc>
      </w:tr>
      <w:tr w14:paraId="2EDCE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62" w:type="dxa"/>
            <w:vMerge w:val="restart"/>
            <w:noWrap w:val="0"/>
            <w:vAlign w:val="center"/>
          </w:tcPr>
          <w:p w14:paraId="3F9393E3">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废气</w:t>
            </w:r>
          </w:p>
        </w:tc>
        <w:tc>
          <w:tcPr>
            <w:tcW w:w="851" w:type="dxa"/>
            <w:vMerge w:val="restart"/>
            <w:noWrap w:val="0"/>
            <w:vAlign w:val="center"/>
          </w:tcPr>
          <w:p w14:paraId="467585F0">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有组织</w:t>
            </w:r>
          </w:p>
        </w:tc>
        <w:tc>
          <w:tcPr>
            <w:tcW w:w="1030" w:type="dxa"/>
            <w:shd w:val="clear" w:color="auto" w:fill="auto"/>
            <w:noWrap w:val="0"/>
            <w:vAlign w:val="center"/>
          </w:tcPr>
          <w:p w14:paraId="78393E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非甲烷总烃</w:t>
            </w:r>
          </w:p>
        </w:tc>
        <w:tc>
          <w:tcPr>
            <w:tcW w:w="1695" w:type="dxa"/>
            <w:shd w:val="clear" w:color="auto" w:fill="auto"/>
            <w:noWrap w:val="0"/>
            <w:vAlign w:val="center"/>
          </w:tcPr>
          <w:p w14:paraId="781C4B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4538EC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437A02A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2A1894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0.1118</w:t>
            </w:r>
          </w:p>
        </w:tc>
        <w:tc>
          <w:tcPr>
            <w:tcW w:w="1755" w:type="dxa"/>
            <w:shd w:val="clear" w:color="auto" w:fill="auto"/>
            <w:noWrap w:val="0"/>
            <w:vAlign w:val="center"/>
          </w:tcPr>
          <w:p w14:paraId="76E945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09FCB8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0.1118</w:t>
            </w:r>
          </w:p>
        </w:tc>
        <w:tc>
          <w:tcPr>
            <w:tcW w:w="1140" w:type="dxa"/>
            <w:shd w:val="clear" w:color="auto" w:fill="auto"/>
            <w:noWrap w:val="0"/>
            <w:vAlign w:val="center"/>
          </w:tcPr>
          <w:p w14:paraId="2089EF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kern w:val="2"/>
                <w:sz w:val="21"/>
                <w:szCs w:val="21"/>
                <w:highlight w:val="none"/>
                <w:shd w:val="clear" w:color="auto" w:fill="auto"/>
                <w:lang w:val="en-US" w:eastAsia="zh-CN" w:bidi="ar-SA"/>
              </w:rPr>
              <w:t>+</w:t>
            </w:r>
            <w:r>
              <w:rPr>
                <w:rFonts w:hint="eastAsia" w:ascii="Times New Roman" w:hAnsi="Times New Roman" w:eastAsia="宋体" w:cs="Times New Roman"/>
                <w:smallCaps w:val="0"/>
                <w:color w:val="auto"/>
                <w:spacing w:val="0"/>
                <w:kern w:val="2"/>
                <w:sz w:val="21"/>
                <w:szCs w:val="21"/>
                <w:highlight w:val="none"/>
                <w:shd w:val="clear" w:color="auto" w:fill="auto"/>
                <w:lang w:val="en-US" w:eastAsia="zh-CN" w:bidi="ar-SA"/>
              </w:rPr>
              <w:t>0.1118</w:t>
            </w:r>
          </w:p>
        </w:tc>
      </w:tr>
      <w:tr w14:paraId="0E947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62" w:type="dxa"/>
            <w:vMerge w:val="continue"/>
            <w:noWrap w:val="0"/>
            <w:vAlign w:val="center"/>
          </w:tcPr>
          <w:p w14:paraId="5ACF42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color w:val="auto"/>
              </w:rPr>
            </w:pPr>
          </w:p>
        </w:tc>
        <w:tc>
          <w:tcPr>
            <w:tcW w:w="851" w:type="dxa"/>
            <w:vMerge w:val="continue"/>
            <w:noWrap w:val="0"/>
            <w:vAlign w:val="center"/>
          </w:tcPr>
          <w:p w14:paraId="12EFBB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color w:val="auto"/>
              </w:rPr>
            </w:pPr>
          </w:p>
        </w:tc>
        <w:tc>
          <w:tcPr>
            <w:tcW w:w="1030" w:type="dxa"/>
            <w:shd w:val="clear" w:color="auto" w:fill="auto"/>
            <w:noWrap w:val="0"/>
            <w:vAlign w:val="center"/>
          </w:tcPr>
          <w:p w14:paraId="15DED8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eastAsiaTheme="minorEastAsia"/>
                <w:color w:val="auto"/>
                <w:lang w:val="en-US" w:eastAsia="zh-CN"/>
              </w:rPr>
            </w:pPr>
            <w:r>
              <w:rPr>
                <w:rFonts w:hint="default" w:ascii="Times New Roman" w:hAnsi="Times New Roman" w:cs="Times New Roman"/>
                <w:color w:val="auto"/>
                <w:lang w:val="en-US" w:eastAsia="zh-CN"/>
              </w:rPr>
              <w:t>TVOC</w:t>
            </w:r>
          </w:p>
        </w:tc>
        <w:tc>
          <w:tcPr>
            <w:tcW w:w="1695" w:type="dxa"/>
            <w:shd w:val="clear" w:color="auto" w:fill="auto"/>
            <w:noWrap w:val="0"/>
            <w:vAlign w:val="center"/>
          </w:tcPr>
          <w:p w14:paraId="043A87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58623B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3DC4C02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5EBFFC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0.0751</w:t>
            </w:r>
          </w:p>
        </w:tc>
        <w:tc>
          <w:tcPr>
            <w:tcW w:w="1755" w:type="dxa"/>
            <w:shd w:val="clear" w:color="auto" w:fill="auto"/>
            <w:noWrap w:val="0"/>
            <w:vAlign w:val="center"/>
          </w:tcPr>
          <w:p w14:paraId="13C791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430096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0.0751</w:t>
            </w:r>
          </w:p>
        </w:tc>
        <w:tc>
          <w:tcPr>
            <w:tcW w:w="1140" w:type="dxa"/>
            <w:shd w:val="clear" w:color="auto" w:fill="auto"/>
            <w:noWrap w:val="0"/>
            <w:vAlign w:val="center"/>
          </w:tcPr>
          <w:p w14:paraId="7ADF44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eastAsia="zh-CN"/>
              </w:rPr>
              <w:t>0.0751</w:t>
            </w:r>
          </w:p>
        </w:tc>
      </w:tr>
      <w:tr w14:paraId="548B3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62" w:type="dxa"/>
            <w:vMerge w:val="continue"/>
            <w:noWrap w:val="0"/>
            <w:vAlign w:val="center"/>
          </w:tcPr>
          <w:p w14:paraId="4A4D5181">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851" w:type="dxa"/>
            <w:vMerge w:val="restart"/>
            <w:noWrap w:val="0"/>
            <w:vAlign w:val="center"/>
          </w:tcPr>
          <w:p w14:paraId="2B56097E">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无组织</w:t>
            </w:r>
          </w:p>
        </w:tc>
        <w:tc>
          <w:tcPr>
            <w:tcW w:w="1030" w:type="dxa"/>
            <w:shd w:val="clear" w:color="auto" w:fill="auto"/>
            <w:noWrap w:val="0"/>
            <w:vAlign w:val="center"/>
          </w:tcPr>
          <w:p w14:paraId="37D80D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非甲烷总烃</w:t>
            </w:r>
          </w:p>
        </w:tc>
        <w:tc>
          <w:tcPr>
            <w:tcW w:w="1695" w:type="dxa"/>
            <w:shd w:val="clear" w:color="auto" w:fill="auto"/>
            <w:noWrap w:val="0"/>
            <w:vAlign w:val="center"/>
          </w:tcPr>
          <w:p w14:paraId="5539F6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60B4A4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shd w:val="clear" w:color="auto" w:fill="auto"/>
            <w:noWrap w:val="0"/>
            <w:vAlign w:val="center"/>
          </w:tcPr>
          <w:p w14:paraId="1FBF702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3F01FB3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0.0793</w:t>
            </w:r>
          </w:p>
        </w:tc>
        <w:tc>
          <w:tcPr>
            <w:tcW w:w="1755" w:type="dxa"/>
            <w:shd w:val="clear" w:color="auto" w:fill="auto"/>
            <w:noWrap w:val="0"/>
            <w:vAlign w:val="center"/>
          </w:tcPr>
          <w:p w14:paraId="7900773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35FA165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shd w:val="clear" w:color="auto" w:fill="auto"/>
                <w:lang w:val="en-US" w:eastAsia="zh-CN" w:bidi="ar-SA"/>
              </w:rPr>
            </w:pPr>
            <w:r>
              <w:rPr>
                <w:rFonts w:hint="eastAsia" w:ascii="Times New Roman" w:hAnsi="Times New Roman" w:eastAsia="宋体" w:cs="Times New Roman"/>
                <w:smallCaps w:val="0"/>
                <w:color w:val="auto"/>
                <w:spacing w:val="0"/>
                <w:sz w:val="21"/>
                <w:szCs w:val="21"/>
                <w:highlight w:val="none"/>
                <w:shd w:val="clear" w:color="auto" w:fill="auto"/>
                <w:lang w:val="en-US" w:eastAsia="zh-CN"/>
              </w:rPr>
              <w:t>0.0793</w:t>
            </w:r>
          </w:p>
        </w:tc>
        <w:tc>
          <w:tcPr>
            <w:tcW w:w="1140" w:type="dxa"/>
            <w:shd w:val="clear" w:color="auto" w:fill="auto"/>
            <w:noWrap w:val="0"/>
            <w:vAlign w:val="center"/>
          </w:tcPr>
          <w:p w14:paraId="09F45B9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44"/>
                <w:sz w:val="21"/>
                <w:szCs w:val="21"/>
                <w:highlight w:val="none"/>
                <w:shd w:val="clear" w:color="auto" w:fill="auto"/>
                <w:lang w:val="en-US" w:eastAsia="zh-CN" w:bidi="ar-SA"/>
              </w:rPr>
            </w:pPr>
            <w:r>
              <w:rPr>
                <w:rFonts w:hint="default" w:ascii="Times New Roman" w:hAnsi="Times New Roman" w:eastAsia="宋体" w:cs="Times New Roman"/>
                <w:smallCaps w:val="0"/>
                <w:color w:val="auto"/>
                <w:spacing w:val="0"/>
                <w:sz w:val="21"/>
                <w:szCs w:val="21"/>
                <w:highlight w:val="none"/>
                <w:shd w:val="clear" w:color="auto" w:fill="auto"/>
                <w:lang w:val="en-US" w:eastAsia="zh-CN"/>
              </w:rPr>
              <w:t>+</w:t>
            </w:r>
            <w:r>
              <w:rPr>
                <w:rFonts w:hint="eastAsia" w:ascii="Times New Roman" w:hAnsi="Times New Roman" w:eastAsia="宋体" w:cs="Times New Roman"/>
                <w:smallCaps w:val="0"/>
                <w:color w:val="auto"/>
                <w:spacing w:val="0"/>
                <w:sz w:val="21"/>
                <w:szCs w:val="21"/>
                <w:highlight w:val="none"/>
                <w:shd w:val="clear" w:color="auto" w:fill="auto"/>
                <w:lang w:val="en-US" w:eastAsia="zh-CN"/>
              </w:rPr>
              <w:t>0.0793</w:t>
            </w:r>
          </w:p>
        </w:tc>
      </w:tr>
      <w:tr w14:paraId="5F0DE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162" w:type="dxa"/>
            <w:vMerge w:val="continue"/>
            <w:noWrap w:val="0"/>
            <w:vAlign w:val="center"/>
          </w:tcPr>
          <w:p w14:paraId="24AB216C">
            <w:pPr>
              <w:keepNext w:val="0"/>
              <w:keepLines w:val="0"/>
              <w:suppressLineNumbers w:val="0"/>
              <w:adjustRightInd w:val="0"/>
              <w:snapToGrid w:val="0"/>
              <w:spacing w:before="0" w:beforeAutospacing="0" w:after="0" w:afterAutospacing="0"/>
              <w:ind w:left="0" w:leftChars="0" w:right="0" w:rightChars="0"/>
              <w:jc w:val="center"/>
              <w:rPr>
                <w:color w:val="auto"/>
              </w:rPr>
            </w:pPr>
          </w:p>
        </w:tc>
        <w:tc>
          <w:tcPr>
            <w:tcW w:w="851" w:type="dxa"/>
            <w:vMerge w:val="continue"/>
            <w:noWrap w:val="0"/>
            <w:vAlign w:val="center"/>
          </w:tcPr>
          <w:p w14:paraId="0B83A680">
            <w:pPr>
              <w:keepNext w:val="0"/>
              <w:keepLines w:val="0"/>
              <w:suppressLineNumbers w:val="0"/>
              <w:adjustRightInd w:val="0"/>
              <w:snapToGrid w:val="0"/>
              <w:spacing w:before="0" w:beforeAutospacing="0" w:after="0" w:afterAutospacing="0"/>
              <w:ind w:left="0" w:leftChars="0" w:right="0" w:rightChars="0"/>
              <w:jc w:val="center"/>
              <w:rPr>
                <w:color w:val="auto"/>
              </w:rPr>
            </w:pPr>
          </w:p>
        </w:tc>
        <w:tc>
          <w:tcPr>
            <w:tcW w:w="1030" w:type="dxa"/>
            <w:shd w:val="clear" w:color="auto" w:fill="auto"/>
            <w:noWrap w:val="0"/>
            <w:vAlign w:val="center"/>
          </w:tcPr>
          <w:p w14:paraId="62D89E3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lang w:val="en-US" w:eastAsia="zh-CN"/>
              </w:rPr>
              <w:t>TVOC</w:t>
            </w:r>
          </w:p>
        </w:tc>
        <w:tc>
          <w:tcPr>
            <w:tcW w:w="1695" w:type="dxa"/>
            <w:shd w:val="clear" w:color="auto" w:fill="auto"/>
            <w:noWrap w:val="0"/>
            <w:vAlign w:val="center"/>
          </w:tcPr>
          <w:p w14:paraId="548B61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2A552E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1695" w:type="dxa"/>
            <w:shd w:val="clear" w:color="auto" w:fill="auto"/>
            <w:noWrap w:val="0"/>
            <w:vAlign w:val="center"/>
          </w:tcPr>
          <w:p w14:paraId="626BBDA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7030EC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0.0395</w:t>
            </w:r>
          </w:p>
        </w:tc>
        <w:tc>
          <w:tcPr>
            <w:tcW w:w="1755" w:type="dxa"/>
            <w:shd w:val="clear" w:color="auto" w:fill="auto"/>
            <w:noWrap w:val="0"/>
            <w:vAlign w:val="center"/>
          </w:tcPr>
          <w:p w14:paraId="52A6513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2D17389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0.0395</w:t>
            </w:r>
          </w:p>
        </w:tc>
        <w:tc>
          <w:tcPr>
            <w:tcW w:w="1140" w:type="dxa"/>
            <w:shd w:val="clear" w:color="auto" w:fill="auto"/>
            <w:noWrap w:val="0"/>
            <w:vAlign w:val="center"/>
          </w:tcPr>
          <w:p w14:paraId="74E4BE7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+0.0395</w:t>
            </w:r>
          </w:p>
        </w:tc>
      </w:tr>
      <w:tr w14:paraId="681041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noWrap w:val="0"/>
            <w:vAlign w:val="center"/>
          </w:tcPr>
          <w:p w14:paraId="1F36D1D0">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废水</w:t>
            </w:r>
          </w:p>
        </w:tc>
        <w:tc>
          <w:tcPr>
            <w:tcW w:w="1881" w:type="dxa"/>
            <w:gridSpan w:val="2"/>
            <w:shd w:val="clear" w:color="auto" w:fill="auto"/>
            <w:noWrap w:val="0"/>
            <w:vAlign w:val="center"/>
          </w:tcPr>
          <w:p w14:paraId="3F3DCE45">
            <w:pPr>
              <w:pStyle w:val="1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lang w:val="en-US" w:eastAsia="zh-CN"/>
              </w:rPr>
              <w:t>COD</w:t>
            </w:r>
          </w:p>
        </w:tc>
        <w:tc>
          <w:tcPr>
            <w:tcW w:w="1695" w:type="dxa"/>
            <w:shd w:val="clear" w:color="auto" w:fill="auto"/>
            <w:noWrap w:val="0"/>
            <w:vAlign w:val="center"/>
          </w:tcPr>
          <w:p w14:paraId="38543EA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763021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278C03F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5DD1F8C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0.192</w:t>
            </w:r>
          </w:p>
        </w:tc>
        <w:tc>
          <w:tcPr>
            <w:tcW w:w="1755" w:type="dxa"/>
            <w:noWrap w:val="0"/>
            <w:vAlign w:val="center"/>
          </w:tcPr>
          <w:p w14:paraId="7DABA298">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5F9ED26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0.192</w:t>
            </w:r>
          </w:p>
        </w:tc>
        <w:tc>
          <w:tcPr>
            <w:tcW w:w="1140" w:type="dxa"/>
            <w:shd w:val="clear" w:color="auto" w:fill="auto"/>
            <w:noWrap w:val="0"/>
            <w:vAlign w:val="center"/>
          </w:tcPr>
          <w:p w14:paraId="7C26271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0.192</w:t>
            </w:r>
          </w:p>
        </w:tc>
      </w:tr>
      <w:tr w14:paraId="6D776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1C796F4">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1881" w:type="dxa"/>
            <w:gridSpan w:val="2"/>
            <w:shd w:val="clear" w:color="auto" w:fill="auto"/>
            <w:noWrap w:val="0"/>
            <w:vAlign w:val="center"/>
          </w:tcPr>
          <w:p w14:paraId="03C6A953">
            <w:pPr>
              <w:pStyle w:val="1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bCs/>
                <w:color w:val="auto"/>
                <w:sz w:val="21"/>
                <w:szCs w:val="21"/>
                <w:highlight w:val="none"/>
                <w:shd w:val="clear" w:color="auto" w:fill="auto"/>
                <w:lang w:val="en-US" w:eastAsia="zh-CN"/>
              </w:rPr>
              <w:t>SS</w:t>
            </w:r>
          </w:p>
        </w:tc>
        <w:tc>
          <w:tcPr>
            <w:tcW w:w="1695" w:type="dxa"/>
            <w:shd w:val="clear" w:color="auto" w:fill="auto"/>
            <w:noWrap w:val="0"/>
            <w:vAlign w:val="center"/>
          </w:tcPr>
          <w:p w14:paraId="2D726B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70DC104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39A2E0B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036720F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0.096</w:t>
            </w:r>
          </w:p>
        </w:tc>
        <w:tc>
          <w:tcPr>
            <w:tcW w:w="1755" w:type="dxa"/>
            <w:noWrap w:val="0"/>
            <w:vAlign w:val="center"/>
          </w:tcPr>
          <w:p w14:paraId="2C8D55F2">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310D57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0.096</w:t>
            </w:r>
          </w:p>
        </w:tc>
        <w:tc>
          <w:tcPr>
            <w:tcW w:w="1140" w:type="dxa"/>
            <w:shd w:val="clear" w:color="auto" w:fill="auto"/>
            <w:noWrap w:val="0"/>
            <w:vAlign w:val="center"/>
          </w:tcPr>
          <w:p w14:paraId="49513C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0.096</w:t>
            </w:r>
          </w:p>
        </w:tc>
      </w:tr>
      <w:tr w14:paraId="6F7B6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4B125604">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1881" w:type="dxa"/>
            <w:gridSpan w:val="2"/>
            <w:shd w:val="clear" w:color="auto" w:fill="auto"/>
            <w:noWrap w:val="0"/>
            <w:vAlign w:val="center"/>
          </w:tcPr>
          <w:p w14:paraId="7ABD02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NH</w:t>
            </w:r>
            <w:r>
              <w:rPr>
                <w:rFonts w:hint="default" w:ascii="Times New Roman" w:hAnsi="Times New Roman" w:eastAsia="宋体" w:cs="Times New Roman"/>
                <w:color w:val="auto"/>
                <w:sz w:val="21"/>
                <w:szCs w:val="21"/>
                <w:highlight w:val="none"/>
                <w:shd w:val="clear" w:color="auto" w:fill="auto"/>
                <w:vertAlign w:val="subscript"/>
              </w:rPr>
              <w:t>3</w:t>
            </w:r>
            <w:r>
              <w:rPr>
                <w:rFonts w:hint="default" w:ascii="Times New Roman" w:hAnsi="Times New Roman" w:eastAsia="宋体" w:cs="Times New Roman"/>
                <w:color w:val="auto"/>
                <w:sz w:val="21"/>
                <w:szCs w:val="21"/>
                <w:highlight w:val="none"/>
                <w:shd w:val="clear" w:color="auto" w:fill="auto"/>
              </w:rPr>
              <w:t>-N</w:t>
            </w:r>
          </w:p>
        </w:tc>
        <w:tc>
          <w:tcPr>
            <w:tcW w:w="1695" w:type="dxa"/>
            <w:shd w:val="clear" w:color="auto" w:fill="auto"/>
            <w:noWrap w:val="0"/>
            <w:vAlign w:val="center"/>
          </w:tcPr>
          <w:p w14:paraId="5BF017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4C1A46B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6FA1DD7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1FC2C26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0.012</w:t>
            </w:r>
          </w:p>
        </w:tc>
        <w:tc>
          <w:tcPr>
            <w:tcW w:w="1755" w:type="dxa"/>
            <w:noWrap w:val="0"/>
            <w:vAlign w:val="center"/>
          </w:tcPr>
          <w:p w14:paraId="32B35301">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0F12071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0.012</w:t>
            </w:r>
          </w:p>
        </w:tc>
        <w:tc>
          <w:tcPr>
            <w:tcW w:w="1140" w:type="dxa"/>
            <w:shd w:val="clear" w:color="auto" w:fill="auto"/>
            <w:noWrap w:val="0"/>
            <w:vAlign w:val="center"/>
          </w:tcPr>
          <w:p w14:paraId="15E653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0.012</w:t>
            </w:r>
          </w:p>
        </w:tc>
      </w:tr>
      <w:tr w14:paraId="2FC52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B6F9D46">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1881" w:type="dxa"/>
            <w:gridSpan w:val="2"/>
            <w:shd w:val="clear" w:color="auto" w:fill="auto"/>
            <w:noWrap w:val="0"/>
            <w:vAlign w:val="center"/>
          </w:tcPr>
          <w:p w14:paraId="477D99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T</w:t>
            </w:r>
            <w:r>
              <w:rPr>
                <w:rFonts w:hint="default" w:ascii="Times New Roman" w:hAnsi="Times New Roman" w:eastAsia="宋体" w:cs="Times New Roman"/>
                <w:color w:val="auto"/>
                <w:sz w:val="21"/>
                <w:szCs w:val="21"/>
                <w:highlight w:val="none"/>
                <w:shd w:val="clear" w:color="auto" w:fill="auto"/>
                <w:lang w:val="en-US" w:eastAsia="zh-CN"/>
              </w:rPr>
              <w:t>N</w:t>
            </w:r>
          </w:p>
        </w:tc>
        <w:tc>
          <w:tcPr>
            <w:tcW w:w="1695" w:type="dxa"/>
            <w:shd w:val="clear" w:color="auto" w:fill="auto"/>
            <w:noWrap w:val="0"/>
            <w:vAlign w:val="center"/>
          </w:tcPr>
          <w:p w14:paraId="389F317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2C3F27F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1F0FB92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2F64AE5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0.01</w:t>
            </w:r>
            <w:r>
              <w:rPr>
                <w:rFonts w:hint="eastAsia" w:ascii="Times New Roman" w:hAnsi="Times New Roman" w:eastAsia="宋体" w:cs="Times New Roman"/>
                <w:i w:val="0"/>
                <w:iCs w:val="0"/>
                <w:color w:val="auto"/>
                <w:kern w:val="0"/>
                <w:sz w:val="22"/>
                <w:szCs w:val="22"/>
                <w:u w:val="none"/>
                <w:lang w:val="en-US" w:eastAsia="zh-CN" w:bidi="ar"/>
              </w:rPr>
              <w:t>7</w:t>
            </w:r>
          </w:p>
        </w:tc>
        <w:tc>
          <w:tcPr>
            <w:tcW w:w="1755" w:type="dxa"/>
            <w:noWrap w:val="0"/>
            <w:vAlign w:val="center"/>
          </w:tcPr>
          <w:p w14:paraId="2300CECE">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5C7CF29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0.01</w:t>
            </w:r>
            <w:r>
              <w:rPr>
                <w:rFonts w:hint="eastAsia" w:ascii="Times New Roman" w:hAnsi="Times New Roman" w:eastAsia="宋体" w:cs="Times New Roman"/>
                <w:i w:val="0"/>
                <w:iCs w:val="0"/>
                <w:color w:val="auto"/>
                <w:kern w:val="0"/>
                <w:sz w:val="22"/>
                <w:szCs w:val="22"/>
                <w:u w:val="none"/>
                <w:lang w:val="en-US" w:eastAsia="zh-CN" w:bidi="ar"/>
              </w:rPr>
              <w:t>7</w:t>
            </w:r>
          </w:p>
        </w:tc>
        <w:tc>
          <w:tcPr>
            <w:tcW w:w="1140" w:type="dxa"/>
            <w:shd w:val="clear" w:color="auto" w:fill="auto"/>
            <w:noWrap w:val="0"/>
            <w:vAlign w:val="center"/>
          </w:tcPr>
          <w:p w14:paraId="69BBF9E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0.01</w:t>
            </w:r>
            <w:r>
              <w:rPr>
                <w:rFonts w:hint="eastAsia" w:ascii="Times New Roman" w:hAnsi="Times New Roman" w:eastAsia="宋体" w:cs="Times New Roman"/>
                <w:i w:val="0"/>
                <w:iCs w:val="0"/>
                <w:color w:val="auto"/>
                <w:kern w:val="0"/>
                <w:sz w:val="22"/>
                <w:szCs w:val="22"/>
                <w:u w:val="none"/>
                <w:lang w:val="en-US" w:eastAsia="zh-CN" w:bidi="ar"/>
              </w:rPr>
              <w:t>7</w:t>
            </w:r>
          </w:p>
        </w:tc>
      </w:tr>
      <w:tr w14:paraId="75722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0EF273AF">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1881" w:type="dxa"/>
            <w:gridSpan w:val="2"/>
            <w:shd w:val="clear" w:color="auto" w:fill="auto"/>
            <w:noWrap w:val="0"/>
            <w:vAlign w:val="center"/>
          </w:tcPr>
          <w:p w14:paraId="1A703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TP</w:t>
            </w:r>
          </w:p>
        </w:tc>
        <w:tc>
          <w:tcPr>
            <w:tcW w:w="1695" w:type="dxa"/>
            <w:shd w:val="clear" w:color="auto" w:fill="auto"/>
            <w:noWrap w:val="0"/>
            <w:vAlign w:val="center"/>
          </w:tcPr>
          <w:p w14:paraId="7B7DDA2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7C1BBBB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563EC06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3E262D2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0.001</w:t>
            </w:r>
          </w:p>
        </w:tc>
        <w:tc>
          <w:tcPr>
            <w:tcW w:w="1755" w:type="dxa"/>
            <w:noWrap w:val="0"/>
            <w:vAlign w:val="center"/>
          </w:tcPr>
          <w:p w14:paraId="7891D109">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0A95433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0.001</w:t>
            </w:r>
          </w:p>
        </w:tc>
        <w:tc>
          <w:tcPr>
            <w:tcW w:w="1140" w:type="dxa"/>
            <w:shd w:val="clear" w:color="auto" w:fill="auto"/>
            <w:noWrap w:val="0"/>
            <w:vAlign w:val="center"/>
          </w:tcPr>
          <w:p w14:paraId="0E76D6A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0.001</w:t>
            </w:r>
          </w:p>
        </w:tc>
      </w:tr>
      <w:tr w14:paraId="4C912B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noWrap w:val="0"/>
            <w:vAlign w:val="center"/>
          </w:tcPr>
          <w:p w14:paraId="76FC9A37">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一般工业</w:t>
            </w:r>
          </w:p>
          <w:p w14:paraId="7C098F5C">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固体废物</w:t>
            </w:r>
          </w:p>
        </w:tc>
        <w:tc>
          <w:tcPr>
            <w:tcW w:w="1881" w:type="dxa"/>
            <w:gridSpan w:val="2"/>
            <w:shd w:val="clear" w:color="auto" w:fill="auto"/>
            <w:noWrap w:val="0"/>
            <w:vAlign w:val="center"/>
          </w:tcPr>
          <w:p w14:paraId="4445CF3B">
            <w:pPr>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边角料</w:t>
            </w:r>
          </w:p>
        </w:tc>
        <w:tc>
          <w:tcPr>
            <w:tcW w:w="1695" w:type="dxa"/>
            <w:noWrap w:val="0"/>
            <w:vAlign w:val="center"/>
          </w:tcPr>
          <w:p w14:paraId="79DDFE6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729CD17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2CB817C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692BA2F2">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1755" w:type="dxa"/>
            <w:noWrap w:val="0"/>
            <w:vAlign w:val="center"/>
          </w:tcPr>
          <w:p w14:paraId="7C5CC3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2877B567">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1140" w:type="dxa"/>
            <w:shd w:val="clear" w:color="auto" w:fill="auto"/>
            <w:noWrap w:val="0"/>
            <w:vAlign w:val="center"/>
          </w:tcPr>
          <w:p w14:paraId="11BF8124">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r>
      <w:tr w14:paraId="15333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7A1A25FE">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1881" w:type="dxa"/>
            <w:gridSpan w:val="2"/>
            <w:shd w:val="clear" w:color="auto" w:fill="auto"/>
            <w:noWrap w:val="0"/>
            <w:vAlign w:val="center"/>
          </w:tcPr>
          <w:p w14:paraId="5665B7D6">
            <w:pPr>
              <w:jc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color w:val="auto"/>
                <w:szCs w:val="21"/>
                <w:highlight w:val="none"/>
                <w:shd w:val="clear" w:color="auto" w:fill="auto"/>
                <w:lang w:val="en-US" w:eastAsia="zh-CN"/>
              </w:rPr>
              <w:t>不合格品（检验产生）</w:t>
            </w:r>
          </w:p>
        </w:tc>
        <w:tc>
          <w:tcPr>
            <w:tcW w:w="1695" w:type="dxa"/>
            <w:noWrap w:val="0"/>
            <w:vAlign w:val="center"/>
          </w:tcPr>
          <w:p w14:paraId="37D257C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6A64A28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7E1EA24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5BE6C3B5">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1755" w:type="dxa"/>
            <w:noWrap w:val="0"/>
            <w:vAlign w:val="center"/>
          </w:tcPr>
          <w:p w14:paraId="247E5A4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103AC5EC">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1140" w:type="dxa"/>
            <w:shd w:val="clear" w:color="auto" w:fill="auto"/>
            <w:noWrap w:val="0"/>
            <w:vAlign w:val="center"/>
          </w:tcPr>
          <w:p w14:paraId="0EC81978">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+2</w:t>
            </w:r>
          </w:p>
        </w:tc>
      </w:tr>
      <w:tr w14:paraId="22191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1E59461D">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1881" w:type="dxa"/>
            <w:gridSpan w:val="2"/>
            <w:shd w:val="clear" w:color="auto" w:fill="auto"/>
            <w:noWrap w:val="0"/>
            <w:vAlign w:val="center"/>
          </w:tcPr>
          <w:p w14:paraId="65C157AB">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不合格品（吹膜产生）</w:t>
            </w:r>
          </w:p>
        </w:tc>
        <w:tc>
          <w:tcPr>
            <w:tcW w:w="1695" w:type="dxa"/>
            <w:shd w:val="clear" w:color="auto" w:fill="auto"/>
            <w:noWrap w:val="0"/>
            <w:vAlign w:val="center"/>
          </w:tcPr>
          <w:p w14:paraId="158DD69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0A8AA0C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shd w:val="clear" w:color="auto" w:fill="auto"/>
            <w:noWrap w:val="0"/>
            <w:vAlign w:val="center"/>
          </w:tcPr>
          <w:p w14:paraId="6F2791B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7EFEFB37">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1755" w:type="dxa"/>
            <w:shd w:val="clear" w:color="auto" w:fill="auto"/>
            <w:noWrap w:val="0"/>
            <w:vAlign w:val="center"/>
          </w:tcPr>
          <w:p w14:paraId="77AF01E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7F6B984E">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1140" w:type="dxa"/>
            <w:shd w:val="clear" w:color="auto" w:fill="auto"/>
            <w:noWrap w:val="0"/>
            <w:vAlign w:val="center"/>
          </w:tcPr>
          <w:p w14:paraId="323C238C">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w:t>
            </w:r>
          </w:p>
        </w:tc>
      </w:tr>
      <w:tr w14:paraId="4D7A2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1C272529">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1881" w:type="dxa"/>
            <w:gridSpan w:val="2"/>
            <w:shd w:val="clear" w:color="auto" w:fill="auto"/>
            <w:noWrap w:val="0"/>
            <w:vAlign w:val="center"/>
          </w:tcPr>
          <w:p w14:paraId="5E5E7F27">
            <w:pPr>
              <w:jc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color w:val="auto"/>
                <w:szCs w:val="21"/>
                <w:highlight w:val="none"/>
                <w:shd w:val="clear" w:color="auto" w:fill="auto"/>
                <w:lang w:val="en-US" w:eastAsia="zh-CN"/>
              </w:rPr>
              <w:t>废布袋</w:t>
            </w:r>
          </w:p>
        </w:tc>
        <w:tc>
          <w:tcPr>
            <w:tcW w:w="1695" w:type="dxa"/>
            <w:noWrap w:val="0"/>
            <w:vAlign w:val="center"/>
          </w:tcPr>
          <w:p w14:paraId="7E13C64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2444795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3EB9201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659B9E9D">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0.04</w:t>
            </w:r>
          </w:p>
        </w:tc>
        <w:tc>
          <w:tcPr>
            <w:tcW w:w="1755" w:type="dxa"/>
            <w:noWrap w:val="0"/>
            <w:vAlign w:val="center"/>
          </w:tcPr>
          <w:p w14:paraId="5B408E2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0594723A">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0.04</w:t>
            </w:r>
          </w:p>
        </w:tc>
        <w:tc>
          <w:tcPr>
            <w:tcW w:w="1140" w:type="dxa"/>
            <w:shd w:val="clear" w:color="auto" w:fill="auto"/>
            <w:noWrap w:val="0"/>
            <w:vAlign w:val="center"/>
          </w:tcPr>
          <w:p w14:paraId="0059A1C9">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+0.04</w:t>
            </w:r>
          </w:p>
        </w:tc>
      </w:tr>
      <w:tr w14:paraId="1251C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39DDEF00">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1881" w:type="dxa"/>
            <w:gridSpan w:val="2"/>
            <w:shd w:val="clear" w:color="auto" w:fill="auto"/>
            <w:noWrap w:val="0"/>
            <w:vAlign w:val="center"/>
          </w:tcPr>
          <w:p w14:paraId="22AB7053">
            <w:pPr>
              <w:jc w:val="cente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pPr>
            <w:r>
              <w:rPr>
                <w:rFonts w:hint="eastAsia" w:ascii="Times New Roman" w:hAnsi="Times New Roman" w:eastAsia="宋体" w:cs="Times New Roman"/>
                <w:color w:val="auto"/>
                <w:szCs w:val="21"/>
                <w:highlight w:val="none"/>
                <w:shd w:val="clear" w:color="auto" w:fill="auto"/>
                <w:lang w:val="en-US" w:eastAsia="zh-CN"/>
              </w:rPr>
              <w:t>除尘灰</w:t>
            </w:r>
          </w:p>
        </w:tc>
        <w:tc>
          <w:tcPr>
            <w:tcW w:w="1695" w:type="dxa"/>
            <w:noWrap w:val="0"/>
            <w:vAlign w:val="center"/>
          </w:tcPr>
          <w:p w14:paraId="55E56C4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1E6D8E6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7683FBE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1F16D536">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0.01</w:t>
            </w:r>
          </w:p>
        </w:tc>
        <w:tc>
          <w:tcPr>
            <w:tcW w:w="1755" w:type="dxa"/>
            <w:noWrap w:val="0"/>
            <w:vAlign w:val="center"/>
          </w:tcPr>
          <w:p w14:paraId="6C70D40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1ECDC53F">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0.01</w:t>
            </w:r>
          </w:p>
        </w:tc>
        <w:tc>
          <w:tcPr>
            <w:tcW w:w="1140" w:type="dxa"/>
            <w:shd w:val="clear" w:color="auto" w:fill="auto"/>
            <w:noWrap w:val="0"/>
            <w:vAlign w:val="center"/>
          </w:tcPr>
          <w:p w14:paraId="69063D39">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+0.01</w:t>
            </w:r>
          </w:p>
        </w:tc>
      </w:tr>
      <w:tr w14:paraId="01F02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restart"/>
            <w:noWrap w:val="0"/>
            <w:vAlign w:val="center"/>
          </w:tcPr>
          <w:p w14:paraId="7B4FD9CF">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危险废物</w:t>
            </w:r>
          </w:p>
        </w:tc>
        <w:tc>
          <w:tcPr>
            <w:tcW w:w="1881" w:type="dxa"/>
            <w:gridSpan w:val="2"/>
            <w:shd w:val="clear" w:color="auto" w:fill="auto"/>
            <w:noWrap w:val="0"/>
            <w:vAlign w:val="center"/>
          </w:tcPr>
          <w:p w14:paraId="4C6F15C3">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废包装桶</w:t>
            </w:r>
          </w:p>
        </w:tc>
        <w:tc>
          <w:tcPr>
            <w:tcW w:w="1695" w:type="dxa"/>
            <w:shd w:val="clear" w:color="auto" w:fill="auto"/>
            <w:noWrap w:val="0"/>
            <w:vAlign w:val="center"/>
          </w:tcPr>
          <w:p w14:paraId="529AC6E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626452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77B48DF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5D2694D1">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w:t>
            </w:r>
          </w:p>
        </w:tc>
        <w:tc>
          <w:tcPr>
            <w:tcW w:w="1755" w:type="dxa"/>
            <w:noWrap w:val="0"/>
            <w:vAlign w:val="center"/>
          </w:tcPr>
          <w:p w14:paraId="5156E7D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447E6AC6">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w:t>
            </w:r>
          </w:p>
        </w:tc>
        <w:tc>
          <w:tcPr>
            <w:tcW w:w="1140" w:type="dxa"/>
            <w:shd w:val="clear" w:color="auto" w:fill="auto"/>
            <w:noWrap w:val="0"/>
            <w:vAlign w:val="center"/>
          </w:tcPr>
          <w:p w14:paraId="605AE32F">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+5</w:t>
            </w:r>
          </w:p>
        </w:tc>
      </w:tr>
      <w:tr w14:paraId="2495C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197CEB67">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1881" w:type="dxa"/>
            <w:gridSpan w:val="2"/>
            <w:shd w:val="clear" w:color="auto" w:fill="auto"/>
            <w:noWrap w:val="0"/>
            <w:vAlign w:val="center"/>
          </w:tcPr>
          <w:p w14:paraId="73D57E9A">
            <w:pPr>
              <w:jc w:val="center"/>
              <w:rPr>
                <w:rFonts w:hint="default" w:ascii="Times New Roman" w:hAnsi="Times New Roman" w:eastAsia="宋体" w:cs="Times New Roman"/>
                <w:b w:val="0"/>
                <w:bCs/>
                <w:color w:val="auto"/>
                <w:sz w:val="21"/>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废抹布</w:t>
            </w:r>
          </w:p>
        </w:tc>
        <w:tc>
          <w:tcPr>
            <w:tcW w:w="1695" w:type="dxa"/>
            <w:shd w:val="clear" w:color="auto" w:fill="auto"/>
            <w:noWrap w:val="0"/>
            <w:vAlign w:val="center"/>
          </w:tcPr>
          <w:p w14:paraId="12A9AE7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2414DEA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shd w:val="clear" w:color="auto" w:fill="auto"/>
            <w:noWrap w:val="0"/>
            <w:vAlign w:val="center"/>
          </w:tcPr>
          <w:p w14:paraId="5683426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7D7B1B40">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4.5</w:t>
            </w:r>
          </w:p>
        </w:tc>
        <w:tc>
          <w:tcPr>
            <w:tcW w:w="1755" w:type="dxa"/>
            <w:shd w:val="clear" w:color="auto" w:fill="auto"/>
            <w:noWrap w:val="0"/>
            <w:vAlign w:val="center"/>
          </w:tcPr>
          <w:p w14:paraId="6DE961A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0F804D52">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4.5</w:t>
            </w:r>
          </w:p>
        </w:tc>
        <w:tc>
          <w:tcPr>
            <w:tcW w:w="1140" w:type="dxa"/>
            <w:shd w:val="clear" w:color="auto" w:fill="auto"/>
            <w:noWrap w:val="0"/>
            <w:vAlign w:val="center"/>
          </w:tcPr>
          <w:p w14:paraId="2C659736">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+4.5</w:t>
            </w:r>
          </w:p>
        </w:tc>
      </w:tr>
      <w:tr w14:paraId="30523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16670D3D">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1881" w:type="dxa"/>
            <w:gridSpan w:val="2"/>
            <w:shd w:val="clear" w:color="auto" w:fill="auto"/>
            <w:noWrap w:val="0"/>
            <w:vAlign w:val="center"/>
          </w:tcPr>
          <w:p w14:paraId="107C8857">
            <w:pPr>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Cs w:val="21"/>
                <w:highlight w:val="none"/>
                <w:shd w:val="clear" w:color="auto" w:fill="auto"/>
                <w:lang w:val="en-US" w:eastAsia="zh-CN"/>
              </w:rPr>
              <w:t>废活性炭</w:t>
            </w:r>
          </w:p>
        </w:tc>
        <w:tc>
          <w:tcPr>
            <w:tcW w:w="1695" w:type="dxa"/>
            <w:noWrap w:val="0"/>
            <w:vAlign w:val="center"/>
          </w:tcPr>
          <w:p w14:paraId="5F11D26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1DE798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7040E3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14D6D249">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6.2</w:t>
            </w:r>
          </w:p>
        </w:tc>
        <w:tc>
          <w:tcPr>
            <w:tcW w:w="1755" w:type="dxa"/>
            <w:noWrap w:val="0"/>
            <w:vAlign w:val="center"/>
          </w:tcPr>
          <w:p w14:paraId="354C269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37056C66">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6.2</w:t>
            </w:r>
          </w:p>
        </w:tc>
        <w:tc>
          <w:tcPr>
            <w:tcW w:w="1140" w:type="dxa"/>
            <w:shd w:val="clear" w:color="auto" w:fill="auto"/>
            <w:noWrap w:val="0"/>
            <w:vAlign w:val="center"/>
          </w:tcPr>
          <w:p w14:paraId="7FB7F3F5">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+6.2</w:t>
            </w:r>
          </w:p>
        </w:tc>
      </w:tr>
      <w:tr w14:paraId="2B4A7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vMerge w:val="continue"/>
            <w:noWrap w:val="0"/>
            <w:vAlign w:val="center"/>
          </w:tcPr>
          <w:p w14:paraId="1A3BCFD0">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p>
        </w:tc>
        <w:tc>
          <w:tcPr>
            <w:tcW w:w="1881" w:type="dxa"/>
            <w:gridSpan w:val="2"/>
            <w:shd w:val="clear" w:color="auto" w:fill="auto"/>
            <w:noWrap w:val="0"/>
            <w:vAlign w:val="center"/>
          </w:tcPr>
          <w:p w14:paraId="4965DD98">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含油抹布手套</w:t>
            </w:r>
          </w:p>
        </w:tc>
        <w:tc>
          <w:tcPr>
            <w:tcW w:w="1695" w:type="dxa"/>
            <w:shd w:val="clear" w:color="auto" w:fill="auto"/>
            <w:noWrap w:val="0"/>
            <w:vAlign w:val="center"/>
          </w:tcPr>
          <w:p w14:paraId="562EC5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272" w:type="dxa"/>
            <w:shd w:val="clear" w:color="auto" w:fill="auto"/>
            <w:noWrap w:val="0"/>
            <w:vAlign w:val="center"/>
          </w:tcPr>
          <w:p w14:paraId="6602838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95" w:type="dxa"/>
            <w:shd w:val="clear" w:color="auto" w:fill="auto"/>
            <w:noWrap w:val="0"/>
            <w:vAlign w:val="center"/>
          </w:tcPr>
          <w:p w14:paraId="597B746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553" w:type="dxa"/>
            <w:shd w:val="clear" w:color="auto" w:fill="auto"/>
            <w:noWrap w:val="0"/>
            <w:vAlign w:val="center"/>
          </w:tcPr>
          <w:p w14:paraId="6C69F41C">
            <w:pPr>
              <w:adjustRightInd w:val="0"/>
              <w:snapToGrid w:val="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0.</w:t>
            </w:r>
            <w:r>
              <w:rPr>
                <w:rFonts w:hint="eastAsia" w:ascii="Times New Roman" w:hAnsi="Times New Roman" w:eastAsia="宋体" w:cs="Times New Roman"/>
                <w:color w:val="auto"/>
                <w:kern w:val="2"/>
                <w:sz w:val="21"/>
                <w:szCs w:val="21"/>
                <w:highlight w:val="none"/>
                <w:shd w:val="clear" w:color="auto" w:fill="auto"/>
                <w:lang w:val="en-US" w:eastAsia="zh-CN" w:bidi="ar-SA"/>
              </w:rPr>
              <w:t>01</w:t>
            </w:r>
          </w:p>
        </w:tc>
        <w:tc>
          <w:tcPr>
            <w:tcW w:w="1755" w:type="dxa"/>
            <w:shd w:val="clear" w:color="auto" w:fill="auto"/>
            <w:noWrap w:val="0"/>
            <w:vAlign w:val="center"/>
          </w:tcPr>
          <w:p w14:paraId="1DB973F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1F0067A7">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0.</w:t>
            </w:r>
            <w:r>
              <w:rPr>
                <w:rFonts w:hint="eastAsia" w:ascii="Times New Roman" w:hAnsi="Times New Roman" w:eastAsia="宋体" w:cs="Times New Roman"/>
                <w:color w:val="auto"/>
                <w:kern w:val="2"/>
                <w:sz w:val="21"/>
                <w:szCs w:val="21"/>
                <w:highlight w:val="none"/>
                <w:shd w:val="clear" w:color="auto" w:fill="auto"/>
                <w:lang w:val="en-US" w:eastAsia="zh-CN" w:bidi="ar-SA"/>
              </w:rPr>
              <w:t>01</w:t>
            </w:r>
          </w:p>
        </w:tc>
        <w:tc>
          <w:tcPr>
            <w:tcW w:w="1140" w:type="dxa"/>
            <w:shd w:val="clear" w:color="auto" w:fill="auto"/>
            <w:noWrap w:val="0"/>
            <w:vAlign w:val="center"/>
          </w:tcPr>
          <w:p w14:paraId="00C3C4A5">
            <w:pPr>
              <w:adjustRightInd w:val="0"/>
              <w:snapToGrid w:val="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w:t>
            </w:r>
            <w:r>
              <w:rPr>
                <w:rFonts w:hint="default" w:ascii="Times New Roman" w:hAnsi="Times New Roman" w:eastAsia="宋体" w:cs="Times New Roman"/>
                <w:color w:val="auto"/>
                <w:kern w:val="2"/>
                <w:sz w:val="21"/>
                <w:szCs w:val="21"/>
                <w:highlight w:val="none"/>
                <w:shd w:val="clear" w:color="auto" w:fill="auto"/>
                <w:lang w:val="en-US" w:eastAsia="zh-CN" w:bidi="ar-SA"/>
              </w:rPr>
              <w:t>0.</w:t>
            </w:r>
            <w:r>
              <w:rPr>
                <w:rFonts w:hint="eastAsia" w:ascii="Times New Roman" w:hAnsi="Times New Roman" w:eastAsia="宋体" w:cs="Times New Roman"/>
                <w:color w:val="auto"/>
                <w:kern w:val="2"/>
                <w:sz w:val="21"/>
                <w:szCs w:val="21"/>
                <w:highlight w:val="none"/>
                <w:shd w:val="clear" w:color="auto" w:fill="auto"/>
                <w:lang w:val="en-US" w:eastAsia="zh-CN" w:bidi="ar-SA"/>
              </w:rPr>
              <w:t>01</w:t>
            </w:r>
          </w:p>
        </w:tc>
      </w:tr>
      <w:tr w14:paraId="7C5E7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62" w:type="dxa"/>
            <w:noWrap w:val="0"/>
            <w:vAlign w:val="center"/>
          </w:tcPr>
          <w:p w14:paraId="090F7E09">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生活垃圾</w:t>
            </w:r>
          </w:p>
        </w:tc>
        <w:tc>
          <w:tcPr>
            <w:tcW w:w="1881" w:type="dxa"/>
            <w:gridSpan w:val="2"/>
            <w:noWrap w:val="0"/>
            <w:vAlign w:val="center"/>
          </w:tcPr>
          <w:p w14:paraId="34960F27">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生活垃圾</w:t>
            </w:r>
          </w:p>
        </w:tc>
        <w:tc>
          <w:tcPr>
            <w:tcW w:w="1695" w:type="dxa"/>
            <w:noWrap w:val="0"/>
            <w:vAlign w:val="center"/>
          </w:tcPr>
          <w:p w14:paraId="0637C3E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w:t>
            </w:r>
          </w:p>
        </w:tc>
        <w:tc>
          <w:tcPr>
            <w:tcW w:w="1272" w:type="dxa"/>
            <w:noWrap w:val="0"/>
            <w:vAlign w:val="center"/>
          </w:tcPr>
          <w:p w14:paraId="7816F5D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1695" w:type="dxa"/>
            <w:noWrap w:val="0"/>
            <w:vAlign w:val="center"/>
          </w:tcPr>
          <w:p w14:paraId="2496B64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553" w:type="dxa"/>
            <w:noWrap w:val="0"/>
            <w:vAlign w:val="center"/>
          </w:tcPr>
          <w:p w14:paraId="70824BFF">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3</w:t>
            </w:r>
          </w:p>
        </w:tc>
        <w:tc>
          <w:tcPr>
            <w:tcW w:w="1755" w:type="dxa"/>
            <w:noWrap w:val="0"/>
            <w:vAlign w:val="center"/>
          </w:tcPr>
          <w:p w14:paraId="7B39D40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1635" w:type="dxa"/>
            <w:shd w:val="clear" w:color="auto" w:fill="auto"/>
            <w:noWrap w:val="0"/>
            <w:vAlign w:val="center"/>
          </w:tcPr>
          <w:p w14:paraId="0FA26B18">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3</w:t>
            </w:r>
          </w:p>
        </w:tc>
        <w:tc>
          <w:tcPr>
            <w:tcW w:w="1140" w:type="dxa"/>
            <w:noWrap w:val="0"/>
            <w:vAlign w:val="center"/>
          </w:tcPr>
          <w:p w14:paraId="48BCC9FD">
            <w:pPr>
              <w:pStyle w:val="78"/>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3</w:t>
            </w:r>
          </w:p>
        </w:tc>
      </w:tr>
    </w:tbl>
    <w:p w14:paraId="16F95BA5">
      <w:pPr>
        <w:pStyle w:val="50"/>
        <w:spacing w:beforeLines="0" w:afterLines="0" w:line="240" w:lineRule="auto"/>
        <w:jc w:val="lef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snapToGrid w:val="0"/>
          <w:color w:val="auto"/>
          <w:kern w:val="21"/>
          <w:szCs w:val="21"/>
          <w:highlight w:val="none"/>
          <w:shd w:val="clear" w:color="auto" w:fill="auto"/>
        </w:rPr>
        <w:t>注：</w:t>
      </w:r>
      <w:r>
        <w:rPr>
          <w:rFonts w:hint="default" w:ascii="Times New Roman" w:hAnsi="Times New Roman" w:eastAsia="宋体" w:cs="Times New Roman"/>
          <w:snapToGrid w:val="0"/>
          <w:color w:val="auto"/>
          <w:spacing w:val="-16"/>
          <w:kern w:val="21"/>
          <w:szCs w:val="21"/>
          <w:highlight w:val="none"/>
          <w:shd w:val="clear" w:color="auto" w:fill="auto"/>
        </w:rPr>
        <w:fldChar w:fldCharType="begin"/>
      </w:r>
      <w:r>
        <w:rPr>
          <w:rFonts w:hint="default" w:ascii="Times New Roman" w:hAnsi="Times New Roman" w:eastAsia="宋体" w:cs="Times New Roman"/>
          <w:snapToGrid w:val="0"/>
          <w:color w:val="auto"/>
          <w:spacing w:val="-16"/>
          <w:kern w:val="21"/>
          <w:szCs w:val="21"/>
          <w:highlight w:val="none"/>
          <w:shd w:val="clear" w:color="auto" w:fill="auto"/>
        </w:rPr>
        <w:instrText xml:space="preserve"> = 6 \* GB3 \* MERGEFORMAT </w:instrText>
      </w:r>
      <w:r>
        <w:rPr>
          <w:rFonts w:hint="default" w:ascii="Times New Roman" w:hAnsi="Times New Roman" w:eastAsia="宋体" w:cs="Times New Roman"/>
          <w:snapToGrid w:val="0"/>
          <w:color w:val="auto"/>
          <w:spacing w:val="-16"/>
          <w:kern w:val="21"/>
          <w:szCs w:val="21"/>
          <w:highlight w:val="none"/>
          <w:shd w:val="clear" w:color="auto" w:fill="auto"/>
        </w:rPr>
        <w:fldChar w:fldCharType="separate"/>
      </w:r>
      <w:r>
        <w:rPr>
          <w:rFonts w:hint="default" w:ascii="Times New Roman" w:hAnsi="Times New Roman" w:eastAsia="宋体" w:cs="Times New Roman"/>
          <w:color w:val="auto"/>
          <w:szCs w:val="21"/>
          <w:highlight w:val="none"/>
          <w:shd w:val="clear" w:color="auto" w:fill="auto"/>
        </w:rPr>
        <w:t>⑥</w:t>
      </w:r>
      <w:r>
        <w:rPr>
          <w:rFonts w:hint="default" w:ascii="Times New Roman" w:hAnsi="Times New Roman" w:eastAsia="宋体" w:cs="Times New Roman"/>
          <w:snapToGrid w:val="0"/>
          <w:color w:val="auto"/>
          <w:spacing w:val="-16"/>
          <w:kern w:val="21"/>
          <w:szCs w:val="21"/>
          <w:highlight w:val="none"/>
          <w:shd w:val="clear" w:color="auto" w:fill="auto"/>
        </w:rPr>
        <w:fldChar w:fldCharType="end"/>
      </w:r>
      <w:r>
        <w:rPr>
          <w:rFonts w:hint="default" w:ascii="Times New Roman" w:hAnsi="Times New Roman" w:eastAsia="宋体" w:cs="Times New Roman"/>
          <w:snapToGrid w:val="0"/>
          <w:color w:val="auto"/>
          <w:spacing w:val="-16"/>
          <w:kern w:val="21"/>
          <w:szCs w:val="21"/>
          <w:highlight w:val="none"/>
          <w:shd w:val="clear" w:color="auto" w:fill="auto"/>
        </w:rPr>
        <w:t>=</w:t>
      </w:r>
      <w:r>
        <w:rPr>
          <w:rFonts w:hint="default" w:ascii="Times New Roman" w:hAnsi="Times New Roman" w:eastAsia="宋体" w:cs="Times New Roman"/>
          <w:snapToGrid w:val="0"/>
          <w:color w:val="auto"/>
          <w:spacing w:val="-6"/>
          <w:kern w:val="21"/>
          <w:szCs w:val="21"/>
          <w:highlight w:val="none"/>
          <w:shd w:val="clear" w:color="auto" w:fill="auto"/>
        </w:rPr>
        <w:fldChar w:fldCharType="begin"/>
      </w:r>
      <w:r>
        <w:rPr>
          <w:rFonts w:hint="default" w:ascii="Times New Roman" w:hAnsi="Times New Roman" w:eastAsia="宋体" w:cs="Times New Roman"/>
          <w:snapToGrid w:val="0"/>
          <w:color w:val="auto"/>
          <w:spacing w:val="-6"/>
          <w:kern w:val="21"/>
          <w:szCs w:val="21"/>
          <w:highlight w:val="none"/>
          <w:shd w:val="clear" w:color="auto" w:fill="auto"/>
        </w:rPr>
        <w:instrText xml:space="preserve"> = 1 \* GB3 \* MERGEFORMAT </w:instrText>
      </w:r>
      <w:r>
        <w:rPr>
          <w:rFonts w:hint="default" w:ascii="Times New Roman" w:hAnsi="Times New Roman" w:eastAsia="宋体" w:cs="Times New Roman"/>
          <w:snapToGrid w:val="0"/>
          <w:color w:val="auto"/>
          <w:spacing w:val="-6"/>
          <w:kern w:val="21"/>
          <w:szCs w:val="21"/>
          <w:highlight w:val="none"/>
          <w:shd w:val="clear" w:color="auto" w:fill="auto"/>
        </w:rPr>
        <w:fldChar w:fldCharType="separate"/>
      </w:r>
      <w:r>
        <w:rPr>
          <w:rFonts w:hint="default" w:ascii="Times New Roman" w:hAnsi="Times New Roman" w:eastAsia="宋体" w:cs="Times New Roman"/>
          <w:color w:val="auto"/>
          <w:szCs w:val="21"/>
          <w:highlight w:val="none"/>
          <w:shd w:val="clear" w:color="auto" w:fill="auto"/>
        </w:rPr>
        <w:t>①</w:t>
      </w:r>
      <w:r>
        <w:rPr>
          <w:rFonts w:hint="default" w:ascii="Times New Roman" w:hAnsi="Times New Roman" w:eastAsia="宋体" w:cs="Times New Roman"/>
          <w:snapToGrid w:val="0"/>
          <w:color w:val="auto"/>
          <w:spacing w:val="-6"/>
          <w:kern w:val="21"/>
          <w:szCs w:val="21"/>
          <w:highlight w:val="none"/>
          <w:shd w:val="clear" w:color="auto" w:fill="auto"/>
        </w:rPr>
        <w:fldChar w:fldCharType="end"/>
      </w:r>
      <w:r>
        <w:rPr>
          <w:rFonts w:hint="default" w:ascii="Times New Roman" w:hAnsi="Times New Roman" w:eastAsia="宋体" w:cs="Times New Roman"/>
          <w:snapToGrid w:val="0"/>
          <w:color w:val="auto"/>
          <w:spacing w:val="-6"/>
          <w:kern w:val="21"/>
          <w:szCs w:val="21"/>
          <w:highlight w:val="none"/>
          <w:shd w:val="clear" w:color="auto" w:fill="auto"/>
        </w:rPr>
        <w:t>+</w:t>
      </w:r>
      <w:r>
        <w:rPr>
          <w:rFonts w:hint="default" w:ascii="Times New Roman" w:hAnsi="Times New Roman" w:eastAsia="宋体" w:cs="Times New Roman"/>
          <w:snapToGrid w:val="0"/>
          <w:color w:val="auto"/>
          <w:spacing w:val="-6"/>
          <w:kern w:val="21"/>
          <w:szCs w:val="21"/>
          <w:highlight w:val="none"/>
          <w:shd w:val="clear" w:color="auto" w:fill="auto"/>
        </w:rPr>
        <w:fldChar w:fldCharType="begin"/>
      </w:r>
      <w:r>
        <w:rPr>
          <w:rFonts w:hint="default" w:ascii="Times New Roman" w:hAnsi="Times New Roman" w:eastAsia="宋体" w:cs="Times New Roman"/>
          <w:snapToGrid w:val="0"/>
          <w:color w:val="auto"/>
          <w:spacing w:val="-6"/>
          <w:kern w:val="21"/>
          <w:szCs w:val="21"/>
          <w:highlight w:val="none"/>
          <w:shd w:val="clear" w:color="auto" w:fill="auto"/>
        </w:rPr>
        <w:instrText xml:space="preserve"> = 3 \* GB3 \* MERGEFORMAT </w:instrText>
      </w:r>
      <w:r>
        <w:rPr>
          <w:rFonts w:hint="default" w:ascii="Times New Roman" w:hAnsi="Times New Roman" w:eastAsia="宋体" w:cs="Times New Roman"/>
          <w:snapToGrid w:val="0"/>
          <w:color w:val="auto"/>
          <w:spacing w:val="-6"/>
          <w:kern w:val="21"/>
          <w:szCs w:val="21"/>
          <w:highlight w:val="none"/>
          <w:shd w:val="clear" w:color="auto" w:fill="auto"/>
        </w:rPr>
        <w:fldChar w:fldCharType="separate"/>
      </w:r>
      <w:r>
        <w:rPr>
          <w:rFonts w:hint="default" w:ascii="Times New Roman" w:hAnsi="Times New Roman" w:eastAsia="宋体" w:cs="Times New Roman"/>
          <w:color w:val="auto"/>
          <w:szCs w:val="21"/>
          <w:highlight w:val="none"/>
          <w:shd w:val="clear" w:color="auto" w:fill="auto"/>
        </w:rPr>
        <w:t>③</w:t>
      </w:r>
      <w:r>
        <w:rPr>
          <w:rFonts w:hint="default" w:ascii="Times New Roman" w:hAnsi="Times New Roman" w:eastAsia="宋体" w:cs="Times New Roman"/>
          <w:snapToGrid w:val="0"/>
          <w:color w:val="auto"/>
          <w:spacing w:val="-6"/>
          <w:kern w:val="21"/>
          <w:szCs w:val="21"/>
          <w:highlight w:val="none"/>
          <w:shd w:val="clear" w:color="auto" w:fill="auto"/>
        </w:rPr>
        <w:fldChar w:fldCharType="end"/>
      </w:r>
      <w:r>
        <w:rPr>
          <w:rFonts w:hint="default" w:ascii="Times New Roman" w:hAnsi="Times New Roman" w:eastAsia="宋体" w:cs="Times New Roman"/>
          <w:snapToGrid w:val="0"/>
          <w:color w:val="auto"/>
          <w:spacing w:val="-6"/>
          <w:kern w:val="21"/>
          <w:szCs w:val="21"/>
          <w:highlight w:val="none"/>
          <w:shd w:val="clear" w:color="auto" w:fill="auto"/>
        </w:rPr>
        <w:t>+</w:t>
      </w:r>
      <w:r>
        <w:rPr>
          <w:rFonts w:hint="default" w:ascii="Times New Roman" w:hAnsi="Times New Roman" w:eastAsia="宋体" w:cs="Times New Roman"/>
          <w:snapToGrid w:val="0"/>
          <w:color w:val="auto"/>
          <w:spacing w:val="-6"/>
          <w:kern w:val="21"/>
          <w:szCs w:val="21"/>
          <w:highlight w:val="none"/>
          <w:shd w:val="clear" w:color="auto" w:fill="auto"/>
        </w:rPr>
        <w:fldChar w:fldCharType="begin"/>
      </w:r>
      <w:r>
        <w:rPr>
          <w:rFonts w:hint="default" w:ascii="Times New Roman" w:hAnsi="Times New Roman" w:eastAsia="宋体" w:cs="Times New Roman"/>
          <w:snapToGrid w:val="0"/>
          <w:color w:val="auto"/>
          <w:spacing w:val="-6"/>
          <w:kern w:val="21"/>
          <w:szCs w:val="21"/>
          <w:highlight w:val="none"/>
          <w:shd w:val="clear" w:color="auto" w:fill="auto"/>
        </w:rPr>
        <w:instrText xml:space="preserve"> = 4 \* GB3 \* MERGEFORMAT </w:instrText>
      </w:r>
      <w:r>
        <w:rPr>
          <w:rFonts w:hint="default" w:ascii="Times New Roman" w:hAnsi="Times New Roman" w:eastAsia="宋体" w:cs="Times New Roman"/>
          <w:snapToGrid w:val="0"/>
          <w:color w:val="auto"/>
          <w:spacing w:val="-6"/>
          <w:kern w:val="21"/>
          <w:szCs w:val="21"/>
          <w:highlight w:val="none"/>
          <w:shd w:val="clear" w:color="auto" w:fill="auto"/>
        </w:rPr>
        <w:fldChar w:fldCharType="separate"/>
      </w:r>
      <w:r>
        <w:rPr>
          <w:rFonts w:hint="default" w:ascii="Times New Roman" w:hAnsi="Times New Roman" w:eastAsia="宋体" w:cs="Times New Roman"/>
          <w:color w:val="auto"/>
          <w:szCs w:val="21"/>
          <w:highlight w:val="none"/>
          <w:shd w:val="clear" w:color="auto" w:fill="auto"/>
        </w:rPr>
        <w:t>④</w:t>
      </w:r>
      <w:r>
        <w:rPr>
          <w:rFonts w:hint="default" w:ascii="Times New Roman" w:hAnsi="Times New Roman" w:eastAsia="宋体" w:cs="Times New Roman"/>
          <w:snapToGrid w:val="0"/>
          <w:color w:val="auto"/>
          <w:spacing w:val="-6"/>
          <w:kern w:val="21"/>
          <w:szCs w:val="21"/>
          <w:highlight w:val="none"/>
          <w:shd w:val="clear" w:color="auto" w:fill="auto"/>
        </w:rPr>
        <w:fldChar w:fldCharType="end"/>
      </w:r>
      <w:r>
        <w:rPr>
          <w:rFonts w:hint="default" w:ascii="Times New Roman" w:hAnsi="Times New Roman" w:eastAsia="宋体" w:cs="Times New Roman"/>
          <w:snapToGrid w:val="0"/>
          <w:color w:val="auto"/>
          <w:spacing w:val="-6"/>
          <w:kern w:val="21"/>
          <w:szCs w:val="21"/>
          <w:highlight w:val="none"/>
          <w:shd w:val="clear" w:color="auto" w:fill="auto"/>
        </w:rPr>
        <w:t>-</w:t>
      </w:r>
      <w:r>
        <w:rPr>
          <w:rFonts w:hint="default" w:ascii="Times New Roman" w:hAnsi="Times New Roman" w:eastAsia="宋体" w:cs="Times New Roman"/>
          <w:snapToGrid w:val="0"/>
          <w:color w:val="auto"/>
          <w:spacing w:val="-16"/>
          <w:kern w:val="21"/>
          <w:szCs w:val="21"/>
          <w:highlight w:val="none"/>
          <w:shd w:val="clear" w:color="auto" w:fill="auto"/>
        </w:rPr>
        <w:fldChar w:fldCharType="begin"/>
      </w:r>
      <w:r>
        <w:rPr>
          <w:rFonts w:hint="default" w:ascii="Times New Roman" w:hAnsi="Times New Roman" w:eastAsia="宋体" w:cs="Times New Roman"/>
          <w:snapToGrid w:val="0"/>
          <w:color w:val="auto"/>
          <w:spacing w:val="-16"/>
          <w:kern w:val="21"/>
          <w:szCs w:val="21"/>
          <w:highlight w:val="none"/>
          <w:shd w:val="clear" w:color="auto" w:fill="auto"/>
        </w:rPr>
        <w:instrText xml:space="preserve"> = 5 \* GB3 \* MERGEFORMAT </w:instrText>
      </w:r>
      <w:r>
        <w:rPr>
          <w:rFonts w:hint="default" w:ascii="Times New Roman" w:hAnsi="Times New Roman" w:eastAsia="宋体" w:cs="Times New Roman"/>
          <w:snapToGrid w:val="0"/>
          <w:color w:val="auto"/>
          <w:spacing w:val="-16"/>
          <w:kern w:val="21"/>
          <w:szCs w:val="21"/>
          <w:highlight w:val="none"/>
          <w:shd w:val="clear" w:color="auto" w:fill="auto"/>
        </w:rPr>
        <w:fldChar w:fldCharType="separate"/>
      </w:r>
      <w:r>
        <w:rPr>
          <w:rFonts w:hint="default" w:ascii="Times New Roman" w:hAnsi="Times New Roman" w:eastAsia="宋体" w:cs="Times New Roman"/>
          <w:color w:val="auto"/>
          <w:szCs w:val="21"/>
          <w:highlight w:val="none"/>
          <w:shd w:val="clear" w:color="auto" w:fill="auto"/>
        </w:rPr>
        <w:t>⑤</w:t>
      </w:r>
      <w:r>
        <w:rPr>
          <w:rFonts w:hint="default" w:ascii="Times New Roman" w:hAnsi="Times New Roman" w:eastAsia="宋体" w:cs="Times New Roman"/>
          <w:snapToGrid w:val="0"/>
          <w:color w:val="auto"/>
          <w:spacing w:val="-16"/>
          <w:kern w:val="21"/>
          <w:szCs w:val="21"/>
          <w:highlight w:val="none"/>
          <w:shd w:val="clear" w:color="auto" w:fill="auto"/>
        </w:rPr>
        <w:fldChar w:fldCharType="end"/>
      </w:r>
      <w:r>
        <w:rPr>
          <w:rFonts w:hint="default" w:ascii="Times New Roman" w:hAnsi="Times New Roman" w:eastAsia="宋体" w:cs="Times New Roman"/>
          <w:snapToGrid w:val="0"/>
          <w:color w:val="auto"/>
          <w:spacing w:val="-16"/>
          <w:kern w:val="21"/>
          <w:szCs w:val="21"/>
          <w:highlight w:val="none"/>
          <w:shd w:val="clear" w:color="auto" w:fill="auto"/>
        </w:rPr>
        <w:t>；</w:t>
      </w:r>
      <w:r>
        <w:rPr>
          <w:rFonts w:hint="default" w:ascii="Times New Roman" w:hAnsi="Times New Roman" w:eastAsia="宋体" w:cs="Times New Roman"/>
          <w:snapToGrid w:val="0"/>
          <w:color w:val="auto"/>
          <w:spacing w:val="-6"/>
          <w:kern w:val="21"/>
          <w:szCs w:val="21"/>
          <w:highlight w:val="none"/>
          <w:shd w:val="clear" w:color="auto" w:fill="auto"/>
        </w:rPr>
        <w:fldChar w:fldCharType="begin"/>
      </w:r>
      <w:r>
        <w:rPr>
          <w:rFonts w:hint="default" w:ascii="Times New Roman" w:hAnsi="Times New Roman" w:eastAsia="宋体" w:cs="Times New Roman"/>
          <w:snapToGrid w:val="0"/>
          <w:color w:val="auto"/>
          <w:spacing w:val="-6"/>
          <w:kern w:val="21"/>
          <w:szCs w:val="21"/>
          <w:highlight w:val="none"/>
          <w:shd w:val="clear" w:color="auto" w:fill="auto"/>
        </w:rPr>
        <w:instrText xml:space="preserve"> = 7 \* GB3 \* MERGEFORMAT </w:instrText>
      </w:r>
      <w:r>
        <w:rPr>
          <w:rFonts w:hint="default" w:ascii="Times New Roman" w:hAnsi="Times New Roman" w:eastAsia="宋体" w:cs="Times New Roman"/>
          <w:snapToGrid w:val="0"/>
          <w:color w:val="auto"/>
          <w:spacing w:val="-6"/>
          <w:kern w:val="21"/>
          <w:szCs w:val="21"/>
          <w:highlight w:val="none"/>
          <w:shd w:val="clear" w:color="auto" w:fill="auto"/>
        </w:rPr>
        <w:fldChar w:fldCharType="separate"/>
      </w:r>
      <w:r>
        <w:rPr>
          <w:rFonts w:hint="default" w:ascii="Times New Roman" w:hAnsi="Times New Roman" w:eastAsia="宋体" w:cs="Times New Roman"/>
          <w:color w:val="auto"/>
          <w:szCs w:val="21"/>
          <w:highlight w:val="none"/>
          <w:shd w:val="clear" w:color="auto" w:fill="auto"/>
        </w:rPr>
        <w:t>⑦</w:t>
      </w:r>
      <w:r>
        <w:rPr>
          <w:rFonts w:hint="default" w:ascii="Times New Roman" w:hAnsi="Times New Roman" w:eastAsia="宋体" w:cs="Times New Roman"/>
          <w:snapToGrid w:val="0"/>
          <w:color w:val="auto"/>
          <w:spacing w:val="-6"/>
          <w:kern w:val="21"/>
          <w:szCs w:val="21"/>
          <w:highlight w:val="none"/>
          <w:shd w:val="clear" w:color="auto" w:fill="auto"/>
        </w:rPr>
        <w:fldChar w:fldCharType="end"/>
      </w:r>
      <w:r>
        <w:rPr>
          <w:rFonts w:hint="default" w:ascii="Times New Roman" w:hAnsi="Times New Roman" w:eastAsia="宋体" w:cs="Times New Roman"/>
          <w:snapToGrid w:val="0"/>
          <w:color w:val="auto"/>
          <w:spacing w:val="-6"/>
          <w:kern w:val="21"/>
          <w:szCs w:val="21"/>
          <w:highlight w:val="none"/>
          <w:shd w:val="clear" w:color="auto" w:fill="auto"/>
        </w:rPr>
        <w:t>=</w:t>
      </w:r>
      <w:r>
        <w:rPr>
          <w:rFonts w:hint="default" w:ascii="Times New Roman" w:hAnsi="Times New Roman" w:eastAsia="宋体" w:cs="Times New Roman"/>
          <w:snapToGrid w:val="0"/>
          <w:color w:val="auto"/>
          <w:spacing w:val="-16"/>
          <w:kern w:val="21"/>
          <w:szCs w:val="21"/>
          <w:highlight w:val="none"/>
          <w:shd w:val="clear" w:color="auto" w:fill="auto"/>
        </w:rPr>
        <w:fldChar w:fldCharType="begin"/>
      </w:r>
      <w:r>
        <w:rPr>
          <w:rFonts w:hint="default" w:ascii="Times New Roman" w:hAnsi="Times New Roman" w:eastAsia="宋体" w:cs="Times New Roman"/>
          <w:snapToGrid w:val="0"/>
          <w:color w:val="auto"/>
          <w:spacing w:val="-16"/>
          <w:kern w:val="21"/>
          <w:szCs w:val="21"/>
          <w:highlight w:val="none"/>
          <w:shd w:val="clear" w:color="auto" w:fill="auto"/>
        </w:rPr>
        <w:instrText xml:space="preserve"> = 6 \* GB3 \* MERGEFORMAT </w:instrText>
      </w:r>
      <w:r>
        <w:rPr>
          <w:rFonts w:hint="default" w:ascii="Times New Roman" w:hAnsi="Times New Roman" w:eastAsia="宋体" w:cs="Times New Roman"/>
          <w:snapToGrid w:val="0"/>
          <w:color w:val="auto"/>
          <w:spacing w:val="-16"/>
          <w:kern w:val="21"/>
          <w:szCs w:val="21"/>
          <w:highlight w:val="none"/>
          <w:shd w:val="clear" w:color="auto" w:fill="auto"/>
        </w:rPr>
        <w:fldChar w:fldCharType="separate"/>
      </w:r>
      <w:r>
        <w:rPr>
          <w:rFonts w:hint="default" w:ascii="Times New Roman" w:hAnsi="Times New Roman" w:eastAsia="宋体" w:cs="Times New Roman"/>
          <w:color w:val="auto"/>
          <w:szCs w:val="21"/>
          <w:highlight w:val="none"/>
          <w:shd w:val="clear" w:color="auto" w:fill="auto"/>
        </w:rPr>
        <w:t>⑥</w:t>
      </w:r>
      <w:r>
        <w:rPr>
          <w:rFonts w:hint="default" w:ascii="Times New Roman" w:hAnsi="Times New Roman" w:eastAsia="宋体" w:cs="Times New Roman"/>
          <w:snapToGrid w:val="0"/>
          <w:color w:val="auto"/>
          <w:spacing w:val="-16"/>
          <w:kern w:val="21"/>
          <w:szCs w:val="21"/>
          <w:highlight w:val="none"/>
          <w:shd w:val="clear" w:color="auto" w:fill="auto"/>
        </w:rPr>
        <w:fldChar w:fldCharType="end"/>
      </w:r>
      <w:r>
        <w:rPr>
          <w:rFonts w:hint="default" w:ascii="Times New Roman" w:hAnsi="Times New Roman" w:eastAsia="宋体" w:cs="Times New Roman"/>
          <w:snapToGrid w:val="0"/>
          <w:color w:val="auto"/>
          <w:spacing w:val="-16"/>
          <w:kern w:val="21"/>
          <w:szCs w:val="21"/>
          <w:highlight w:val="none"/>
          <w:shd w:val="clear" w:color="auto" w:fill="auto"/>
        </w:rPr>
        <w:t>-</w:t>
      </w:r>
      <w:r>
        <w:rPr>
          <w:rFonts w:hint="default" w:ascii="Times New Roman" w:hAnsi="Times New Roman" w:eastAsia="宋体" w:cs="Times New Roman"/>
          <w:snapToGrid w:val="0"/>
          <w:color w:val="auto"/>
          <w:spacing w:val="-6"/>
          <w:kern w:val="21"/>
          <w:szCs w:val="21"/>
          <w:highlight w:val="none"/>
          <w:shd w:val="clear" w:color="auto" w:fill="auto"/>
        </w:rPr>
        <w:fldChar w:fldCharType="begin"/>
      </w:r>
      <w:r>
        <w:rPr>
          <w:rFonts w:hint="default" w:ascii="Times New Roman" w:hAnsi="Times New Roman" w:eastAsia="宋体" w:cs="Times New Roman"/>
          <w:snapToGrid w:val="0"/>
          <w:color w:val="auto"/>
          <w:spacing w:val="-6"/>
          <w:kern w:val="21"/>
          <w:szCs w:val="21"/>
          <w:highlight w:val="none"/>
          <w:shd w:val="clear" w:color="auto" w:fill="auto"/>
        </w:rPr>
        <w:instrText xml:space="preserve"> = 1 \* GB3 \* MERGEFORMAT </w:instrText>
      </w:r>
      <w:r>
        <w:rPr>
          <w:rFonts w:hint="default" w:ascii="Times New Roman" w:hAnsi="Times New Roman" w:eastAsia="宋体" w:cs="Times New Roman"/>
          <w:snapToGrid w:val="0"/>
          <w:color w:val="auto"/>
          <w:spacing w:val="-6"/>
          <w:kern w:val="21"/>
          <w:szCs w:val="21"/>
          <w:highlight w:val="none"/>
          <w:shd w:val="clear" w:color="auto" w:fill="auto"/>
        </w:rPr>
        <w:fldChar w:fldCharType="separate"/>
      </w:r>
      <w:r>
        <w:rPr>
          <w:rFonts w:hint="default" w:ascii="Times New Roman" w:hAnsi="Times New Roman" w:eastAsia="宋体" w:cs="Times New Roman"/>
          <w:color w:val="auto"/>
          <w:szCs w:val="21"/>
          <w:highlight w:val="none"/>
          <w:shd w:val="clear" w:color="auto" w:fill="auto"/>
        </w:rPr>
        <w:t>①</w:t>
      </w:r>
      <w:r>
        <w:rPr>
          <w:rFonts w:hint="default" w:ascii="Times New Roman" w:hAnsi="Times New Roman" w:eastAsia="宋体" w:cs="Times New Roman"/>
          <w:snapToGrid w:val="0"/>
          <w:color w:val="auto"/>
          <w:spacing w:val="-6"/>
          <w:kern w:val="21"/>
          <w:szCs w:val="21"/>
          <w:highlight w:val="none"/>
          <w:shd w:val="clear" w:color="auto" w:fill="auto"/>
        </w:rPr>
        <w:fldChar w:fldCharType="end"/>
      </w:r>
    </w:p>
    <w:p w14:paraId="206D45CE">
      <w:pPr>
        <w:rPr>
          <w:rFonts w:hint="default" w:ascii="Times New Roman" w:hAnsi="Times New Roman" w:eastAsia="宋体" w:cs="Times New Roman"/>
          <w:color w:val="auto"/>
          <w:highlight w:val="none"/>
          <w:shd w:val="clear" w:color="auto" w:fill="auto"/>
        </w:rPr>
        <w:sectPr>
          <w:footerReference r:id="rId5" w:type="default"/>
          <w:pgSz w:w="16838" w:h="11906" w:orient="landscape"/>
          <w:pgMar w:top="1418" w:right="1440" w:bottom="1418"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EE36465">
      <w:pPr>
        <w:widowControl/>
        <w:spacing w:line="360" w:lineRule="auto"/>
        <w:rPr>
          <w:rFonts w:hint="default" w:ascii="Times New Roman" w:hAnsi="Times New Roman" w:eastAsia="宋体" w:cs="Times New Roman"/>
          <w:b/>
          <w:bCs/>
          <w:color w:val="auto"/>
          <w:kern w:val="0"/>
          <w:sz w:val="24"/>
          <w:szCs w:val="24"/>
          <w:highlight w:val="none"/>
          <w:shd w:val="clear" w:color="auto" w:fill="auto"/>
          <w:lang w:val="en-US" w:eastAsia="zh-CN"/>
        </w:rPr>
      </w:pPr>
      <w:r>
        <w:rPr>
          <w:rFonts w:hint="default" w:ascii="Times New Roman" w:hAnsi="Times New Roman" w:eastAsia="宋体" w:cs="Times New Roman"/>
          <w:b/>
          <w:bCs/>
          <w:color w:val="auto"/>
          <w:kern w:val="0"/>
          <w:sz w:val="24"/>
          <w:szCs w:val="24"/>
          <w:highlight w:val="none"/>
          <w:shd w:val="clear" w:color="auto" w:fill="auto"/>
          <w:lang w:val="en-US" w:eastAsia="zh-CN"/>
        </w:rPr>
        <w:t>附件</w:t>
      </w:r>
    </w:p>
    <w:p w14:paraId="6B7B82B3">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附件1 环评委托书</w:t>
      </w:r>
    </w:p>
    <w:p w14:paraId="42CE6F5F">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附件2 立项备案表</w:t>
      </w:r>
    </w:p>
    <w:p w14:paraId="29F64C3F">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附件3 营业执照、法人身份证复印件</w:t>
      </w:r>
    </w:p>
    <w:p w14:paraId="118230AE">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 xml:space="preserve">附件4 </w:t>
      </w:r>
      <w:r>
        <w:rPr>
          <w:rFonts w:hint="eastAsia" w:ascii="Times New Roman" w:hAnsi="Times New Roman" w:eastAsia="宋体" w:cs="Times New Roman"/>
          <w:color w:val="auto"/>
          <w:kern w:val="0"/>
          <w:sz w:val="24"/>
          <w:szCs w:val="24"/>
          <w:highlight w:val="none"/>
          <w:shd w:val="clear" w:color="auto" w:fill="auto"/>
          <w:lang w:val="en-US" w:eastAsia="zh-CN"/>
        </w:rPr>
        <w:t>租房协议、</w:t>
      </w:r>
      <w:r>
        <w:rPr>
          <w:rFonts w:hint="default" w:ascii="Times New Roman" w:hAnsi="Times New Roman" w:eastAsia="宋体" w:cs="Times New Roman"/>
          <w:color w:val="auto"/>
          <w:kern w:val="0"/>
          <w:sz w:val="24"/>
          <w:szCs w:val="24"/>
          <w:highlight w:val="none"/>
          <w:shd w:val="clear" w:color="auto" w:fill="auto"/>
          <w:lang w:val="en-US" w:eastAsia="zh-CN"/>
        </w:rPr>
        <w:t>土地证</w:t>
      </w:r>
    </w:p>
    <w:p w14:paraId="0CBADBFB">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附件5 危废处置承诺</w:t>
      </w:r>
    </w:p>
    <w:p w14:paraId="5F505A1A">
      <w:pPr>
        <w:widowControl/>
        <w:spacing w:line="360" w:lineRule="auto"/>
        <w:ind w:firstLine="480" w:firstLineChars="200"/>
        <w:rPr>
          <w:rFonts w:hint="default" w:ascii="Times New Roman" w:hAnsi="Times New Roman" w:cs="Times New Roman" w:eastAsiaTheme="minorEastAsia"/>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附件6 环境质量现状监测报告及引用说明</w:t>
      </w:r>
    </w:p>
    <w:p w14:paraId="77C95F7A">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附件7 建设项目环境影响申报乡镇（街道）审查表</w:t>
      </w:r>
    </w:p>
    <w:p w14:paraId="1FF03443">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附件8 拟接管协议</w:t>
      </w:r>
    </w:p>
    <w:p w14:paraId="2963EBB6">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附件9 环评工程师现场工作影像资料</w:t>
      </w:r>
    </w:p>
    <w:p w14:paraId="783399CB">
      <w:pPr>
        <w:widowControl/>
        <w:spacing w:line="360" w:lineRule="auto"/>
        <w:ind w:firstLine="480" w:firstLineChars="200"/>
        <w:rPr>
          <w:rFonts w:hint="default" w:ascii="Times New Roman" w:hAnsi="Times New Roman" w:eastAsia="宋体" w:cs="Times New Roman"/>
          <w:b w:val="0"/>
          <w:bCs w:val="0"/>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 xml:space="preserve">附件10 </w:t>
      </w:r>
      <w:r>
        <w:rPr>
          <w:rFonts w:hint="default" w:ascii="Times New Roman" w:hAnsi="Times New Roman" w:eastAsia="宋体" w:cs="Times New Roman"/>
          <w:b w:val="0"/>
          <w:bCs w:val="0"/>
          <w:color w:val="auto"/>
          <w:kern w:val="0"/>
          <w:sz w:val="24"/>
          <w:szCs w:val="24"/>
          <w:highlight w:val="none"/>
          <w:shd w:val="clear" w:color="auto" w:fill="auto"/>
          <w:lang w:val="en-US" w:eastAsia="zh-CN"/>
        </w:rPr>
        <w:t>全文本公开证明材料，同意公开全文本信息</w:t>
      </w:r>
    </w:p>
    <w:p w14:paraId="2C7F1A1A">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附件11 建设单位承诺书</w:t>
      </w:r>
    </w:p>
    <w:p w14:paraId="5F8A9DA0">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附件12 技术服务合同</w:t>
      </w:r>
    </w:p>
    <w:p w14:paraId="62465586">
      <w:pPr>
        <w:pStyle w:val="2"/>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附件13 原辅料msds</w:t>
      </w:r>
    </w:p>
    <w:p w14:paraId="15862E1B">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附件14 原辅料VOCs检测报告</w:t>
      </w:r>
    </w:p>
    <w:p w14:paraId="3529627E">
      <w:pPr>
        <w:widowControl/>
        <w:spacing w:line="360" w:lineRule="auto"/>
        <w:ind w:firstLine="480" w:firstLineChars="200"/>
        <w:rPr>
          <w:rFonts w:hint="eastAsia"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附件15 江苏省生态环境分区管控综合查询报告书</w:t>
      </w:r>
    </w:p>
    <w:p w14:paraId="7DD1C045">
      <w:pPr>
        <w:widowControl/>
        <w:spacing w:line="360" w:lineRule="auto"/>
        <w:ind w:firstLine="480" w:firstLineChars="200"/>
        <w:rPr>
          <w:rFonts w:hint="eastAsia"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附件16 不可替代证明及专家意见附件</w:t>
      </w:r>
    </w:p>
    <w:p w14:paraId="46FF21BB">
      <w:pPr>
        <w:widowControl/>
        <w:spacing w:line="360" w:lineRule="auto"/>
        <w:ind w:firstLine="480" w:firstLineChars="200"/>
        <w:rPr>
          <w:rFonts w:hint="eastAsia"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kern w:val="0"/>
          <w:sz w:val="24"/>
          <w:szCs w:val="24"/>
          <w:highlight w:val="none"/>
          <w:shd w:val="clear" w:color="auto" w:fill="auto"/>
          <w:lang w:val="en-US" w:eastAsia="zh-CN"/>
        </w:rPr>
        <w:t>附件17 原有项目环评批复</w:t>
      </w:r>
    </w:p>
    <w:p w14:paraId="4AD6CB77">
      <w:pPr>
        <w:widowControl/>
        <w:spacing w:line="360" w:lineRule="auto"/>
        <w:ind w:firstLine="480" w:firstLineChars="200"/>
        <w:rPr>
          <w:rFonts w:hint="default"/>
          <w:lang w:val="en-US" w:eastAsia="zh-CN"/>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color w:val="auto"/>
          <w:kern w:val="0"/>
          <w:sz w:val="24"/>
          <w:szCs w:val="24"/>
          <w:highlight w:val="none"/>
          <w:shd w:val="clear" w:color="auto" w:fill="auto"/>
          <w:lang w:val="en-US" w:eastAsia="zh-CN"/>
        </w:rPr>
        <w:t>附件18 承诺书</w:t>
      </w:r>
    </w:p>
    <w:p w14:paraId="58588855">
      <w:pPr>
        <w:widowControl/>
        <w:spacing w:line="360" w:lineRule="auto"/>
        <w:rPr>
          <w:rFonts w:hint="default" w:ascii="Times New Roman" w:hAnsi="Times New Roman" w:eastAsia="宋体" w:cs="Times New Roman"/>
          <w:b/>
          <w:bCs/>
          <w:color w:val="auto"/>
          <w:kern w:val="0"/>
          <w:sz w:val="24"/>
          <w:szCs w:val="24"/>
          <w:highlight w:val="none"/>
          <w:shd w:val="clear" w:color="auto" w:fill="auto"/>
          <w:lang w:val="en-US" w:eastAsia="zh-CN"/>
        </w:rPr>
      </w:pPr>
      <w:r>
        <w:rPr>
          <w:rFonts w:hint="default" w:ascii="Times New Roman" w:hAnsi="Times New Roman" w:eastAsia="宋体" w:cs="Times New Roman"/>
          <w:b/>
          <w:bCs/>
          <w:color w:val="auto"/>
          <w:kern w:val="0"/>
          <w:sz w:val="24"/>
          <w:szCs w:val="24"/>
          <w:highlight w:val="none"/>
          <w:shd w:val="clear" w:color="auto" w:fill="auto"/>
          <w:lang w:val="en-US" w:eastAsia="zh-CN"/>
        </w:rPr>
        <w:t>附图</w:t>
      </w:r>
    </w:p>
    <w:p w14:paraId="3FBFCB5A">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附图1 地理位置图</w:t>
      </w:r>
    </w:p>
    <w:p w14:paraId="594D98DF">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附图2 项目周边500m用地现状图</w:t>
      </w:r>
    </w:p>
    <w:p w14:paraId="3CBA1001">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附图3 厂区平面布置图</w:t>
      </w:r>
    </w:p>
    <w:p w14:paraId="165778C7">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附图4 常州市生态空间保护区域分布图</w:t>
      </w:r>
    </w:p>
    <w:p w14:paraId="6E2F2CEC">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附图5 区域水系及地表水监测断面示意图</w:t>
      </w:r>
    </w:p>
    <w:p w14:paraId="6D8FDBFB">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附图6 常州市环境管控单元图</w:t>
      </w:r>
    </w:p>
    <w:p w14:paraId="60534009">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附图7 江苏省2023年生态环境分区管控动态更新成果图</w:t>
      </w:r>
    </w:p>
    <w:p w14:paraId="5A8F7438">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 xml:space="preserve">附图8 </w:t>
      </w:r>
      <w:r>
        <w:rPr>
          <w:rFonts w:hint="eastAsia" w:ascii="Times New Roman" w:hAnsi="Times New Roman" w:eastAsia="宋体" w:cs="Times New Roman"/>
          <w:color w:val="auto"/>
          <w:kern w:val="0"/>
          <w:sz w:val="24"/>
          <w:szCs w:val="24"/>
          <w:highlight w:val="none"/>
          <w:shd w:val="clear" w:color="auto" w:fill="auto"/>
          <w:lang w:val="en-US" w:eastAsia="zh-CN"/>
        </w:rPr>
        <w:t>三区三线规划图</w:t>
      </w:r>
    </w:p>
    <w:p w14:paraId="0FC44E98">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附图9 声环境功能区划图</w:t>
      </w:r>
    </w:p>
    <w:p w14:paraId="141B6197">
      <w:pPr>
        <w:widowControl/>
        <w:spacing w:line="360" w:lineRule="auto"/>
        <w:ind w:firstLine="480" w:firstLineChars="200"/>
        <w:rPr>
          <w:rFonts w:hint="default" w:ascii="Times New Roman" w:hAnsi="Times New Roman" w:eastAsia="宋体" w:cs="Times New Roman"/>
          <w:color w:val="auto"/>
          <w:kern w:val="0"/>
          <w:sz w:val="24"/>
          <w:szCs w:val="24"/>
          <w:highlight w:val="none"/>
          <w:shd w:val="clear" w:color="auto" w:fill="auto"/>
          <w:lang w:val="en-US" w:eastAsia="zh-CN"/>
        </w:rPr>
      </w:pPr>
      <w:r>
        <w:rPr>
          <w:rFonts w:hint="default" w:ascii="Times New Roman" w:hAnsi="Times New Roman" w:eastAsia="宋体" w:cs="Times New Roman"/>
          <w:color w:val="auto"/>
          <w:kern w:val="0"/>
          <w:sz w:val="24"/>
          <w:szCs w:val="24"/>
          <w:highlight w:val="none"/>
          <w:shd w:val="clear" w:color="auto" w:fill="auto"/>
          <w:lang w:val="en-US" w:eastAsia="zh-CN"/>
        </w:rPr>
        <w:t>附图10 常州市</w:t>
      </w:r>
      <w:r>
        <w:rPr>
          <w:rFonts w:hint="eastAsia" w:ascii="Times New Roman" w:hAnsi="Times New Roman" w:eastAsia="宋体" w:cs="Times New Roman"/>
          <w:color w:val="auto"/>
          <w:kern w:val="0"/>
          <w:sz w:val="24"/>
          <w:szCs w:val="24"/>
          <w:highlight w:val="none"/>
          <w:shd w:val="clear" w:color="auto" w:fill="auto"/>
          <w:lang w:val="en-US" w:eastAsia="zh-CN"/>
        </w:rPr>
        <w:t>金坛区</w:t>
      </w:r>
      <w:r>
        <w:rPr>
          <w:rFonts w:hint="default" w:ascii="Times New Roman" w:hAnsi="Times New Roman" w:eastAsia="宋体" w:cs="Times New Roman"/>
          <w:color w:val="auto"/>
          <w:kern w:val="0"/>
          <w:sz w:val="24"/>
          <w:szCs w:val="24"/>
          <w:highlight w:val="none"/>
          <w:shd w:val="clear" w:color="auto" w:fill="auto"/>
          <w:lang w:val="en-US" w:eastAsia="zh-CN"/>
        </w:rPr>
        <w:t>国土空间规划图</w:t>
      </w:r>
    </w:p>
    <w:p w14:paraId="3C799E83">
      <w:pPr>
        <w:rPr>
          <w:color w:val="auto"/>
          <w:shd w:val="clear" w:color="auto" w:fill="auto"/>
        </w:rPr>
      </w:pPr>
    </w:p>
    <w:p w14:paraId="45F385F2">
      <w:pPr>
        <w:rPr>
          <w:color w:val="auto"/>
          <w:shd w:val="clear" w:color="auto" w:fill="auto"/>
        </w:rPr>
      </w:pP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ulim">
    <w:panose1 w:val="020B0600000101010101"/>
    <w:charset w:val="81"/>
    <w:family w:val="auto"/>
    <w:pitch w:val="default"/>
    <w:sig w:usb0="B00002AF" w:usb1="69D77CFB" w:usb2="00000030" w:usb3="00000000" w:csb0="4008009F" w:csb1="DFD7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3076823"/>
      <w:showingPlcHdr/>
      <w:docPartObj>
        <w:docPartGallery w:val="autotext"/>
      </w:docPartObj>
    </w:sdtPr>
    <w:sdtEndPr>
      <w:rPr>
        <w:rFonts w:ascii="Times New Roman" w:hAnsi="Times New Roman" w:cs="Times New Roman"/>
      </w:rPr>
    </w:sdtEndPr>
    <w:sdtContent>
      <w:p w14:paraId="5C764A04">
        <w:pPr>
          <w:pStyle w:val="17"/>
          <w:jc w:val="center"/>
          <w:rPr>
            <w:rFonts w:ascii="Times New Roman" w:hAnsi="Times New Roman" w:cs="Times New Roman"/>
          </w:rPr>
        </w:pPr>
        <w:r>
          <w:rPr>
            <w:rFonts w:hint="eastAsia"/>
            <w:lang w:eastAsia="zh-CN"/>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8FA35">
    <w:pPr>
      <w:pStyle w:val="17"/>
      <w:jc w:val="center"/>
      <w:rPr>
        <w:rFonts w:ascii="Times New Roman" w:hAnsi="Times New Roman" w:cs="Times New Roman"/>
      </w:rPr>
    </w:pPr>
    <w:r>
      <w:rPr>
        <w:rFonts w:hint="default" w:ascii="Times New Roman" w:hAnsi="Times New Roman" w:cs="Times New Roman"/>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201BF">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96201BF">
                    <w:pPr>
                      <w:pStyle w:val="17"/>
                    </w:pPr>
                    <w:r>
                      <w:fldChar w:fldCharType="begin"/>
                    </w:r>
                    <w:r>
                      <w:instrText xml:space="preserve"> PAGE  \* MERGEFORMAT </w:instrText>
                    </w:r>
                    <w:r>
                      <w:fldChar w:fldCharType="separate"/>
                    </w:r>
                    <w:r>
                      <w:t>1</w:t>
                    </w:r>
                    <w:r>
                      <w:fldChar w:fldCharType="end"/>
                    </w:r>
                  </w:p>
                </w:txbxContent>
              </v:textbox>
            </v:shape>
          </w:pict>
        </mc:Fallback>
      </mc:AlternateContent>
    </w:r>
    <w:sdt>
      <w:sdtPr>
        <w:rPr>
          <w:rFonts w:hint="default" w:ascii="Times New Roman" w:hAnsi="Times New Roman" w:cs="Times New Roman"/>
        </w:rPr>
        <w:id w:val="147451459"/>
        <w:showingPlcHdr/>
        <w:docPartObj>
          <w:docPartGallery w:val="autotext"/>
        </w:docPartObj>
      </w:sdtPr>
      <w:sdtEndPr>
        <w:rPr>
          <w:rFonts w:hint="default" w:ascii="Times New Roman" w:hAnsi="Times New Roman" w:cs="Times New Roman"/>
        </w:rPr>
      </w:sdtEndPr>
      <w:sdtContent>
        <w:r>
          <w:rPr>
            <w:rFonts w:hint="default" w:ascii="Times New Roman" w:hAnsi="Times New Roman" w:cs="Times New Roman"/>
            <w:lang w:eastAsia="zh-CN"/>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EBF80">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515FACB6">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3GF10gAAAAMBAAAPAAAAAAAAAAEAIAAAACIA&#10;AABkcnMvZG93bnJldi54bWxQSwECFAAUAAAACACHTuJAiy7+vNYBAACgAwAADgAAAAAAAAABACAA&#10;AAAhAQAAZHJzL2Uyb0RvYy54bWxQSwUGAAAAAAYABgBZAQAAaQUAAAAA&#10;">
              <v:fill on="f" focussize="0,0"/>
              <v:stroke on="f" weight="0.5pt"/>
              <v:imagedata o:title=""/>
              <o:lock v:ext="edit" aspectratio="f"/>
              <v:textbox inset="0mm,0mm,0mm,0mm" style="mso-fit-shape-to-text:t;">
                <w:txbxContent>
                  <w:p w14:paraId="515FACB6">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107</w:t>
                    </w:r>
                    <w:r>
                      <w:rPr>
                        <w:rFonts w:hint="default"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48F48">
    <w:pPr>
      <w:pStyle w:val="17"/>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1F2D01">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761F2D01">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86</w:t>
                    </w:r>
                    <w:r>
                      <w:rPr>
                        <w:rFonts w:hint="default"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0C7C2"/>
    <w:multiLevelType w:val="singleLevel"/>
    <w:tmpl w:val="8040C7C2"/>
    <w:lvl w:ilvl="0" w:tentative="0">
      <w:start w:val="5"/>
      <w:numFmt w:val="decimal"/>
      <w:suff w:val="nothing"/>
      <w:lvlText w:val="%1）"/>
      <w:lvlJc w:val="left"/>
    </w:lvl>
  </w:abstractNum>
  <w:abstractNum w:abstractNumId="1">
    <w:nsid w:val="A230E127"/>
    <w:multiLevelType w:val="singleLevel"/>
    <w:tmpl w:val="A230E127"/>
    <w:lvl w:ilvl="0" w:tentative="0">
      <w:start w:val="4"/>
      <w:numFmt w:val="chineseCounting"/>
      <w:suff w:val="nothing"/>
      <w:lvlText w:val="%1、"/>
      <w:lvlJc w:val="left"/>
      <w:pPr>
        <w:ind w:left="420"/>
      </w:pPr>
      <w:rPr>
        <w:rFonts w:hint="eastAsia"/>
      </w:rPr>
    </w:lvl>
  </w:abstractNum>
  <w:abstractNum w:abstractNumId="2">
    <w:nsid w:val="A7222A09"/>
    <w:multiLevelType w:val="singleLevel"/>
    <w:tmpl w:val="A7222A09"/>
    <w:lvl w:ilvl="0" w:tentative="0">
      <w:start w:val="6"/>
      <w:numFmt w:val="decimal"/>
      <w:lvlText w:val="%1."/>
      <w:lvlJc w:val="left"/>
      <w:pPr>
        <w:tabs>
          <w:tab w:val="left" w:pos="312"/>
        </w:tabs>
      </w:pPr>
    </w:lvl>
  </w:abstractNum>
  <w:abstractNum w:abstractNumId="3">
    <w:nsid w:val="D51EE498"/>
    <w:multiLevelType w:val="singleLevel"/>
    <w:tmpl w:val="D51EE498"/>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4">
    <w:nsid w:val="EA4D2871"/>
    <w:multiLevelType w:val="singleLevel"/>
    <w:tmpl w:val="EA4D2871"/>
    <w:lvl w:ilvl="0" w:tentative="0">
      <w:start w:val="1"/>
      <w:numFmt w:val="chineseCounting"/>
      <w:suff w:val="nothing"/>
      <w:lvlText w:val="（%1）"/>
      <w:lvlJc w:val="left"/>
      <w:rPr>
        <w:rFonts w:hint="eastAsia"/>
      </w:rPr>
    </w:lvl>
  </w:abstractNum>
  <w:abstractNum w:abstractNumId="5">
    <w:nsid w:val="F0163DDA"/>
    <w:multiLevelType w:val="singleLevel"/>
    <w:tmpl w:val="F0163DDA"/>
    <w:lvl w:ilvl="0" w:tentative="0">
      <w:start w:val="1"/>
      <w:numFmt w:val="chineseCounting"/>
      <w:suff w:val="nothing"/>
      <w:lvlText w:val="（%1）"/>
      <w:lvlJc w:val="left"/>
      <w:rPr>
        <w:rFonts w:hint="eastAsia"/>
      </w:rPr>
    </w:lvl>
  </w:abstractNum>
  <w:abstractNum w:abstractNumId="6">
    <w:nsid w:val="F6F2EB0C"/>
    <w:multiLevelType w:val="singleLevel"/>
    <w:tmpl w:val="F6F2EB0C"/>
    <w:lvl w:ilvl="0" w:tentative="0">
      <w:start w:val="11"/>
      <w:numFmt w:val="decimal"/>
      <w:lvlText w:val="%1."/>
      <w:lvlJc w:val="left"/>
      <w:pPr>
        <w:tabs>
          <w:tab w:val="left" w:pos="312"/>
        </w:tabs>
      </w:pPr>
    </w:lvl>
  </w:abstractNum>
  <w:abstractNum w:abstractNumId="7">
    <w:nsid w:val="0897DF7C"/>
    <w:multiLevelType w:val="singleLevel"/>
    <w:tmpl w:val="0897DF7C"/>
    <w:lvl w:ilvl="0" w:tentative="0">
      <w:start w:val="3"/>
      <w:numFmt w:val="chineseCounting"/>
      <w:suff w:val="nothing"/>
      <w:lvlText w:val="（%1）"/>
      <w:lvlJc w:val="left"/>
      <w:rPr>
        <w:rFonts w:hint="eastAsia"/>
      </w:rPr>
    </w:lvl>
  </w:abstractNum>
  <w:abstractNum w:abstractNumId="8">
    <w:nsid w:val="7615101F"/>
    <w:multiLevelType w:val="singleLevel"/>
    <w:tmpl w:val="7615101F"/>
    <w:lvl w:ilvl="0" w:tentative="0">
      <w:start w:val="2"/>
      <w:numFmt w:val="decimal"/>
      <w:suff w:val="nothing"/>
      <w:lvlText w:val="（%1）"/>
      <w:lvlJc w:val="left"/>
    </w:lvl>
  </w:abstractNum>
  <w:abstractNum w:abstractNumId="9">
    <w:nsid w:val="7AA2712B"/>
    <w:multiLevelType w:val="singleLevel"/>
    <w:tmpl w:val="7AA2712B"/>
    <w:lvl w:ilvl="0" w:tentative="0">
      <w:start w:val="5"/>
      <w:numFmt w:val="decimal"/>
      <w:suff w:val="nothing"/>
      <w:lvlText w:val="（%1）"/>
      <w:lvlJc w:val="left"/>
    </w:lvl>
  </w:abstractNum>
  <w:num w:numId="1">
    <w:abstractNumId w:val="3"/>
  </w:num>
  <w:num w:numId="2">
    <w:abstractNumId w:val="5"/>
  </w:num>
  <w:num w:numId="3">
    <w:abstractNumId w:val="4"/>
  </w:num>
  <w:num w:numId="4">
    <w:abstractNumId w:val="7"/>
  </w:num>
  <w:num w:numId="5">
    <w:abstractNumId w:val="9"/>
  </w:num>
  <w:num w:numId="6">
    <w:abstractNumId w:val="8"/>
  </w:num>
  <w:num w:numId="7">
    <w:abstractNumId w:val="1"/>
  </w:num>
  <w:num w:numId="8">
    <w:abstractNumId w:val="2"/>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5YTc0YjIxOTFjNjJmMTM5YzljZmJiZWJmOTZmMTYifQ=="/>
  </w:docVars>
  <w:rsids>
    <w:rsidRoot w:val="00172A27"/>
    <w:rsid w:val="00000CFF"/>
    <w:rsid w:val="000016D6"/>
    <w:rsid w:val="00006385"/>
    <w:rsid w:val="0000769B"/>
    <w:rsid w:val="000106F0"/>
    <w:rsid w:val="00012B84"/>
    <w:rsid w:val="00013C31"/>
    <w:rsid w:val="000173BD"/>
    <w:rsid w:val="000207B0"/>
    <w:rsid w:val="00026701"/>
    <w:rsid w:val="00026FCE"/>
    <w:rsid w:val="000276C0"/>
    <w:rsid w:val="0002798F"/>
    <w:rsid w:val="000316C0"/>
    <w:rsid w:val="00033945"/>
    <w:rsid w:val="00036CD2"/>
    <w:rsid w:val="00041B55"/>
    <w:rsid w:val="00043E7D"/>
    <w:rsid w:val="00044EF2"/>
    <w:rsid w:val="0005090B"/>
    <w:rsid w:val="000510AC"/>
    <w:rsid w:val="000513C1"/>
    <w:rsid w:val="00052608"/>
    <w:rsid w:val="000611ED"/>
    <w:rsid w:val="00063E46"/>
    <w:rsid w:val="00065978"/>
    <w:rsid w:val="00065B25"/>
    <w:rsid w:val="00072B8A"/>
    <w:rsid w:val="00076090"/>
    <w:rsid w:val="00077063"/>
    <w:rsid w:val="000801B6"/>
    <w:rsid w:val="00080A63"/>
    <w:rsid w:val="00083E48"/>
    <w:rsid w:val="00083F93"/>
    <w:rsid w:val="00085D60"/>
    <w:rsid w:val="000865C8"/>
    <w:rsid w:val="0008737A"/>
    <w:rsid w:val="00090B1D"/>
    <w:rsid w:val="00092CEC"/>
    <w:rsid w:val="000936D7"/>
    <w:rsid w:val="00094E34"/>
    <w:rsid w:val="000956D3"/>
    <w:rsid w:val="00095CD3"/>
    <w:rsid w:val="000A01D5"/>
    <w:rsid w:val="000A08B0"/>
    <w:rsid w:val="000A0CED"/>
    <w:rsid w:val="000A27EC"/>
    <w:rsid w:val="000A3B58"/>
    <w:rsid w:val="000A5B74"/>
    <w:rsid w:val="000A6A5E"/>
    <w:rsid w:val="000B27BA"/>
    <w:rsid w:val="000B2B7C"/>
    <w:rsid w:val="000B6D0F"/>
    <w:rsid w:val="000B739B"/>
    <w:rsid w:val="000C0AE6"/>
    <w:rsid w:val="000C1BAF"/>
    <w:rsid w:val="000C2673"/>
    <w:rsid w:val="000C3080"/>
    <w:rsid w:val="000C4CF3"/>
    <w:rsid w:val="000D0D08"/>
    <w:rsid w:val="000D0DCE"/>
    <w:rsid w:val="000D28E9"/>
    <w:rsid w:val="000D4598"/>
    <w:rsid w:val="000D4D8C"/>
    <w:rsid w:val="000D5FEA"/>
    <w:rsid w:val="000E0E45"/>
    <w:rsid w:val="000E1D1D"/>
    <w:rsid w:val="000E32F8"/>
    <w:rsid w:val="000E590D"/>
    <w:rsid w:val="000E6BE2"/>
    <w:rsid w:val="000F3205"/>
    <w:rsid w:val="000F5645"/>
    <w:rsid w:val="00102A0A"/>
    <w:rsid w:val="00103556"/>
    <w:rsid w:val="00104DC3"/>
    <w:rsid w:val="001051F3"/>
    <w:rsid w:val="00105B36"/>
    <w:rsid w:val="00106A31"/>
    <w:rsid w:val="00106D5D"/>
    <w:rsid w:val="00112D95"/>
    <w:rsid w:val="00112E3C"/>
    <w:rsid w:val="00115B3B"/>
    <w:rsid w:val="00121603"/>
    <w:rsid w:val="0012198A"/>
    <w:rsid w:val="00127264"/>
    <w:rsid w:val="00127EA8"/>
    <w:rsid w:val="00127F51"/>
    <w:rsid w:val="00130925"/>
    <w:rsid w:val="00130D2C"/>
    <w:rsid w:val="00131BA7"/>
    <w:rsid w:val="00132BFC"/>
    <w:rsid w:val="00136393"/>
    <w:rsid w:val="0013641C"/>
    <w:rsid w:val="0013687A"/>
    <w:rsid w:val="00136F38"/>
    <w:rsid w:val="00142C45"/>
    <w:rsid w:val="00144DD0"/>
    <w:rsid w:val="001451FC"/>
    <w:rsid w:val="001500B7"/>
    <w:rsid w:val="0015184C"/>
    <w:rsid w:val="0015395B"/>
    <w:rsid w:val="00154184"/>
    <w:rsid w:val="0015618F"/>
    <w:rsid w:val="00161172"/>
    <w:rsid w:val="001617E2"/>
    <w:rsid w:val="00161A75"/>
    <w:rsid w:val="00163010"/>
    <w:rsid w:val="00164C89"/>
    <w:rsid w:val="00164FD8"/>
    <w:rsid w:val="00172209"/>
    <w:rsid w:val="00175136"/>
    <w:rsid w:val="001822CF"/>
    <w:rsid w:val="001833C2"/>
    <w:rsid w:val="00184182"/>
    <w:rsid w:val="0018493A"/>
    <w:rsid w:val="001857C6"/>
    <w:rsid w:val="00187243"/>
    <w:rsid w:val="00187DC7"/>
    <w:rsid w:val="00192B70"/>
    <w:rsid w:val="00194BE6"/>
    <w:rsid w:val="001959C5"/>
    <w:rsid w:val="001A3D80"/>
    <w:rsid w:val="001A4A36"/>
    <w:rsid w:val="001A7162"/>
    <w:rsid w:val="001B00D4"/>
    <w:rsid w:val="001B148B"/>
    <w:rsid w:val="001B1C54"/>
    <w:rsid w:val="001B210A"/>
    <w:rsid w:val="001B2A40"/>
    <w:rsid w:val="001B2DCE"/>
    <w:rsid w:val="001B42AF"/>
    <w:rsid w:val="001B59B0"/>
    <w:rsid w:val="001B7682"/>
    <w:rsid w:val="001C1633"/>
    <w:rsid w:val="001C6DDB"/>
    <w:rsid w:val="001C6E7F"/>
    <w:rsid w:val="001C7172"/>
    <w:rsid w:val="001C7AAF"/>
    <w:rsid w:val="001D2508"/>
    <w:rsid w:val="001D2A19"/>
    <w:rsid w:val="001D362A"/>
    <w:rsid w:val="001D5AE4"/>
    <w:rsid w:val="001D7602"/>
    <w:rsid w:val="001D7B9F"/>
    <w:rsid w:val="001E48D2"/>
    <w:rsid w:val="001E6CF1"/>
    <w:rsid w:val="001F0C46"/>
    <w:rsid w:val="001F3476"/>
    <w:rsid w:val="001F3C09"/>
    <w:rsid w:val="0020119A"/>
    <w:rsid w:val="0020316C"/>
    <w:rsid w:val="00203B33"/>
    <w:rsid w:val="00206F6B"/>
    <w:rsid w:val="002076B7"/>
    <w:rsid w:val="00210F42"/>
    <w:rsid w:val="0021259E"/>
    <w:rsid w:val="0021379F"/>
    <w:rsid w:val="00215683"/>
    <w:rsid w:val="00215720"/>
    <w:rsid w:val="0021572A"/>
    <w:rsid w:val="00216908"/>
    <w:rsid w:val="00216E9E"/>
    <w:rsid w:val="002205F5"/>
    <w:rsid w:val="002210DA"/>
    <w:rsid w:val="0022143B"/>
    <w:rsid w:val="002226A3"/>
    <w:rsid w:val="0022489E"/>
    <w:rsid w:val="00224C1E"/>
    <w:rsid w:val="002260B1"/>
    <w:rsid w:val="00227AA9"/>
    <w:rsid w:val="0023188E"/>
    <w:rsid w:val="00233542"/>
    <w:rsid w:val="00233C53"/>
    <w:rsid w:val="00240638"/>
    <w:rsid w:val="00241DA4"/>
    <w:rsid w:val="00244063"/>
    <w:rsid w:val="00246150"/>
    <w:rsid w:val="002479A0"/>
    <w:rsid w:val="0025331D"/>
    <w:rsid w:val="0026024C"/>
    <w:rsid w:val="00261964"/>
    <w:rsid w:val="00267634"/>
    <w:rsid w:val="00267653"/>
    <w:rsid w:val="00270FF6"/>
    <w:rsid w:val="00273A42"/>
    <w:rsid w:val="00273D02"/>
    <w:rsid w:val="002751E0"/>
    <w:rsid w:val="002846B0"/>
    <w:rsid w:val="00285E30"/>
    <w:rsid w:val="00287406"/>
    <w:rsid w:val="002877AD"/>
    <w:rsid w:val="00297528"/>
    <w:rsid w:val="002A0A6E"/>
    <w:rsid w:val="002A26E0"/>
    <w:rsid w:val="002A44C5"/>
    <w:rsid w:val="002A58E6"/>
    <w:rsid w:val="002A64CC"/>
    <w:rsid w:val="002A6778"/>
    <w:rsid w:val="002A686D"/>
    <w:rsid w:val="002A6CEC"/>
    <w:rsid w:val="002B09D7"/>
    <w:rsid w:val="002B0A6A"/>
    <w:rsid w:val="002B2C41"/>
    <w:rsid w:val="002B5F00"/>
    <w:rsid w:val="002B7BC3"/>
    <w:rsid w:val="002D0813"/>
    <w:rsid w:val="002D3003"/>
    <w:rsid w:val="002D7F4F"/>
    <w:rsid w:val="002E0C04"/>
    <w:rsid w:val="002E3D40"/>
    <w:rsid w:val="002E57B8"/>
    <w:rsid w:val="002E6D45"/>
    <w:rsid w:val="002F14F3"/>
    <w:rsid w:val="002F2D2E"/>
    <w:rsid w:val="002F3B30"/>
    <w:rsid w:val="002F543E"/>
    <w:rsid w:val="002F62B4"/>
    <w:rsid w:val="002F6BFA"/>
    <w:rsid w:val="00303492"/>
    <w:rsid w:val="00310023"/>
    <w:rsid w:val="003123D3"/>
    <w:rsid w:val="00312510"/>
    <w:rsid w:val="00314080"/>
    <w:rsid w:val="00315480"/>
    <w:rsid w:val="00317D74"/>
    <w:rsid w:val="00321A78"/>
    <w:rsid w:val="00322D77"/>
    <w:rsid w:val="00324160"/>
    <w:rsid w:val="0032424E"/>
    <w:rsid w:val="00325400"/>
    <w:rsid w:val="00325CD5"/>
    <w:rsid w:val="003277F9"/>
    <w:rsid w:val="00332818"/>
    <w:rsid w:val="003330AE"/>
    <w:rsid w:val="00333437"/>
    <w:rsid w:val="00333A00"/>
    <w:rsid w:val="003348E2"/>
    <w:rsid w:val="00337553"/>
    <w:rsid w:val="00344729"/>
    <w:rsid w:val="00346562"/>
    <w:rsid w:val="00347AF8"/>
    <w:rsid w:val="0035182F"/>
    <w:rsid w:val="003527BD"/>
    <w:rsid w:val="00355416"/>
    <w:rsid w:val="00356877"/>
    <w:rsid w:val="003600FA"/>
    <w:rsid w:val="00360D58"/>
    <w:rsid w:val="00361B46"/>
    <w:rsid w:val="0036409B"/>
    <w:rsid w:val="00364DBE"/>
    <w:rsid w:val="00365090"/>
    <w:rsid w:val="003706D4"/>
    <w:rsid w:val="00370F80"/>
    <w:rsid w:val="00371FBD"/>
    <w:rsid w:val="00372933"/>
    <w:rsid w:val="00374212"/>
    <w:rsid w:val="00374D0E"/>
    <w:rsid w:val="0037735C"/>
    <w:rsid w:val="00380AD5"/>
    <w:rsid w:val="00380FD7"/>
    <w:rsid w:val="0038498B"/>
    <w:rsid w:val="0038507B"/>
    <w:rsid w:val="00385091"/>
    <w:rsid w:val="00387E7B"/>
    <w:rsid w:val="00390F1C"/>
    <w:rsid w:val="003918DA"/>
    <w:rsid w:val="00392763"/>
    <w:rsid w:val="00393AB2"/>
    <w:rsid w:val="00395421"/>
    <w:rsid w:val="003A089B"/>
    <w:rsid w:val="003A0DE2"/>
    <w:rsid w:val="003A2252"/>
    <w:rsid w:val="003A33D5"/>
    <w:rsid w:val="003A3E13"/>
    <w:rsid w:val="003A4043"/>
    <w:rsid w:val="003A415A"/>
    <w:rsid w:val="003A63D5"/>
    <w:rsid w:val="003B02A6"/>
    <w:rsid w:val="003B154A"/>
    <w:rsid w:val="003B52DC"/>
    <w:rsid w:val="003B5827"/>
    <w:rsid w:val="003B5CA6"/>
    <w:rsid w:val="003B6EF0"/>
    <w:rsid w:val="003C1DC5"/>
    <w:rsid w:val="003C1F99"/>
    <w:rsid w:val="003C26A6"/>
    <w:rsid w:val="003C27FD"/>
    <w:rsid w:val="003D2F3E"/>
    <w:rsid w:val="003D3D7B"/>
    <w:rsid w:val="003D62FE"/>
    <w:rsid w:val="003D6BBE"/>
    <w:rsid w:val="003E2FB2"/>
    <w:rsid w:val="003E624C"/>
    <w:rsid w:val="003E6A03"/>
    <w:rsid w:val="003E6A3D"/>
    <w:rsid w:val="003E7488"/>
    <w:rsid w:val="003F0E57"/>
    <w:rsid w:val="003F264E"/>
    <w:rsid w:val="003F2AB6"/>
    <w:rsid w:val="003F53D7"/>
    <w:rsid w:val="003F5571"/>
    <w:rsid w:val="00405644"/>
    <w:rsid w:val="004057D7"/>
    <w:rsid w:val="00412AF6"/>
    <w:rsid w:val="00414727"/>
    <w:rsid w:val="00416BF0"/>
    <w:rsid w:val="00416F34"/>
    <w:rsid w:val="004223CF"/>
    <w:rsid w:val="004238FB"/>
    <w:rsid w:val="00424156"/>
    <w:rsid w:val="0043016B"/>
    <w:rsid w:val="0043218E"/>
    <w:rsid w:val="00432858"/>
    <w:rsid w:val="00433280"/>
    <w:rsid w:val="00440337"/>
    <w:rsid w:val="00442A87"/>
    <w:rsid w:val="00446118"/>
    <w:rsid w:val="0044651C"/>
    <w:rsid w:val="00447E28"/>
    <w:rsid w:val="004539E6"/>
    <w:rsid w:val="00454B13"/>
    <w:rsid w:val="00454EBE"/>
    <w:rsid w:val="0045610B"/>
    <w:rsid w:val="00457BEA"/>
    <w:rsid w:val="00460235"/>
    <w:rsid w:val="00460A8B"/>
    <w:rsid w:val="004660E5"/>
    <w:rsid w:val="00466CB1"/>
    <w:rsid w:val="004678F1"/>
    <w:rsid w:val="00471D12"/>
    <w:rsid w:val="00472849"/>
    <w:rsid w:val="00473137"/>
    <w:rsid w:val="0047432B"/>
    <w:rsid w:val="00477C7F"/>
    <w:rsid w:val="0048108F"/>
    <w:rsid w:val="00481F76"/>
    <w:rsid w:val="00483C4D"/>
    <w:rsid w:val="004845A0"/>
    <w:rsid w:val="00493F09"/>
    <w:rsid w:val="0049459A"/>
    <w:rsid w:val="004947C3"/>
    <w:rsid w:val="004A0E81"/>
    <w:rsid w:val="004A2F3D"/>
    <w:rsid w:val="004A31D0"/>
    <w:rsid w:val="004A3941"/>
    <w:rsid w:val="004A3FBE"/>
    <w:rsid w:val="004B0DFA"/>
    <w:rsid w:val="004B4613"/>
    <w:rsid w:val="004C0D0D"/>
    <w:rsid w:val="004C20F5"/>
    <w:rsid w:val="004C63EC"/>
    <w:rsid w:val="004C697A"/>
    <w:rsid w:val="004D12DB"/>
    <w:rsid w:val="004D176D"/>
    <w:rsid w:val="004D27E1"/>
    <w:rsid w:val="004D426B"/>
    <w:rsid w:val="004D51C1"/>
    <w:rsid w:val="004D73CD"/>
    <w:rsid w:val="004E03E2"/>
    <w:rsid w:val="004E2CBA"/>
    <w:rsid w:val="004E339D"/>
    <w:rsid w:val="004E481E"/>
    <w:rsid w:val="004E4FD8"/>
    <w:rsid w:val="004E532A"/>
    <w:rsid w:val="004E7E52"/>
    <w:rsid w:val="004F37BC"/>
    <w:rsid w:val="004F43E6"/>
    <w:rsid w:val="004F4EC7"/>
    <w:rsid w:val="004F7F29"/>
    <w:rsid w:val="005028A8"/>
    <w:rsid w:val="00503A32"/>
    <w:rsid w:val="00506D5E"/>
    <w:rsid w:val="00512B6E"/>
    <w:rsid w:val="00512DB7"/>
    <w:rsid w:val="005131F7"/>
    <w:rsid w:val="0051322A"/>
    <w:rsid w:val="00513DBC"/>
    <w:rsid w:val="005203A8"/>
    <w:rsid w:val="00522923"/>
    <w:rsid w:val="0052359F"/>
    <w:rsid w:val="00526D1D"/>
    <w:rsid w:val="0053288A"/>
    <w:rsid w:val="005333A9"/>
    <w:rsid w:val="005363CE"/>
    <w:rsid w:val="0053730C"/>
    <w:rsid w:val="00537A2B"/>
    <w:rsid w:val="005431D4"/>
    <w:rsid w:val="00543990"/>
    <w:rsid w:val="005444BD"/>
    <w:rsid w:val="00545602"/>
    <w:rsid w:val="005468C8"/>
    <w:rsid w:val="00551CD0"/>
    <w:rsid w:val="005521FD"/>
    <w:rsid w:val="0055293B"/>
    <w:rsid w:val="00552A5D"/>
    <w:rsid w:val="00552FE4"/>
    <w:rsid w:val="00553FCD"/>
    <w:rsid w:val="00555DE9"/>
    <w:rsid w:val="00556751"/>
    <w:rsid w:val="005571E2"/>
    <w:rsid w:val="00564F5F"/>
    <w:rsid w:val="00567CB4"/>
    <w:rsid w:val="00572A50"/>
    <w:rsid w:val="0057412A"/>
    <w:rsid w:val="005751A2"/>
    <w:rsid w:val="005760CD"/>
    <w:rsid w:val="00576FFA"/>
    <w:rsid w:val="00577CBC"/>
    <w:rsid w:val="005807AA"/>
    <w:rsid w:val="00582A89"/>
    <w:rsid w:val="00584FA2"/>
    <w:rsid w:val="00584FC1"/>
    <w:rsid w:val="00591133"/>
    <w:rsid w:val="00592476"/>
    <w:rsid w:val="005932CD"/>
    <w:rsid w:val="00593490"/>
    <w:rsid w:val="00593E8C"/>
    <w:rsid w:val="00595670"/>
    <w:rsid w:val="00595C4C"/>
    <w:rsid w:val="00597BAB"/>
    <w:rsid w:val="00597BC3"/>
    <w:rsid w:val="005A0EA4"/>
    <w:rsid w:val="005A28F7"/>
    <w:rsid w:val="005A55C7"/>
    <w:rsid w:val="005A70E1"/>
    <w:rsid w:val="005A7C12"/>
    <w:rsid w:val="005B3263"/>
    <w:rsid w:val="005B504D"/>
    <w:rsid w:val="005B5D85"/>
    <w:rsid w:val="005B6ECD"/>
    <w:rsid w:val="005B7A15"/>
    <w:rsid w:val="005C45E0"/>
    <w:rsid w:val="005C4A9B"/>
    <w:rsid w:val="005C7669"/>
    <w:rsid w:val="005C770E"/>
    <w:rsid w:val="005C77B3"/>
    <w:rsid w:val="005D2CC9"/>
    <w:rsid w:val="005D353E"/>
    <w:rsid w:val="005D6936"/>
    <w:rsid w:val="005D74FE"/>
    <w:rsid w:val="005E15F2"/>
    <w:rsid w:val="005E4333"/>
    <w:rsid w:val="005E5087"/>
    <w:rsid w:val="005E688D"/>
    <w:rsid w:val="005E6AFB"/>
    <w:rsid w:val="005F2502"/>
    <w:rsid w:val="005F2974"/>
    <w:rsid w:val="005F2FBD"/>
    <w:rsid w:val="005F3912"/>
    <w:rsid w:val="0060145C"/>
    <w:rsid w:val="00601BE5"/>
    <w:rsid w:val="006030EC"/>
    <w:rsid w:val="0060645F"/>
    <w:rsid w:val="006064AC"/>
    <w:rsid w:val="006079F8"/>
    <w:rsid w:val="00613D4F"/>
    <w:rsid w:val="00614C7B"/>
    <w:rsid w:val="00616276"/>
    <w:rsid w:val="00616D18"/>
    <w:rsid w:val="00624F58"/>
    <w:rsid w:val="0062511E"/>
    <w:rsid w:val="00626A8F"/>
    <w:rsid w:val="00627DCF"/>
    <w:rsid w:val="006315A1"/>
    <w:rsid w:val="006324C5"/>
    <w:rsid w:val="006339C9"/>
    <w:rsid w:val="006349D3"/>
    <w:rsid w:val="00637F7B"/>
    <w:rsid w:val="00641059"/>
    <w:rsid w:val="00644DD7"/>
    <w:rsid w:val="00645E3E"/>
    <w:rsid w:val="0064669D"/>
    <w:rsid w:val="00647DC7"/>
    <w:rsid w:val="006507B2"/>
    <w:rsid w:val="0065220A"/>
    <w:rsid w:val="00652CBE"/>
    <w:rsid w:val="0065402F"/>
    <w:rsid w:val="00654CFB"/>
    <w:rsid w:val="00663D83"/>
    <w:rsid w:val="00664141"/>
    <w:rsid w:val="006642CC"/>
    <w:rsid w:val="00667CB7"/>
    <w:rsid w:val="006728AF"/>
    <w:rsid w:val="006758B2"/>
    <w:rsid w:val="00676673"/>
    <w:rsid w:val="0067670C"/>
    <w:rsid w:val="00681D6E"/>
    <w:rsid w:val="006821DD"/>
    <w:rsid w:val="006837D7"/>
    <w:rsid w:val="0068467A"/>
    <w:rsid w:val="006857DC"/>
    <w:rsid w:val="00686637"/>
    <w:rsid w:val="00692943"/>
    <w:rsid w:val="00692A81"/>
    <w:rsid w:val="00692F83"/>
    <w:rsid w:val="006932E6"/>
    <w:rsid w:val="006964DC"/>
    <w:rsid w:val="006A5C2B"/>
    <w:rsid w:val="006A74AC"/>
    <w:rsid w:val="006B0F40"/>
    <w:rsid w:val="006B21EB"/>
    <w:rsid w:val="006B25FC"/>
    <w:rsid w:val="006B376C"/>
    <w:rsid w:val="006B70B6"/>
    <w:rsid w:val="006B714D"/>
    <w:rsid w:val="006C01BC"/>
    <w:rsid w:val="006C060B"/>
    <w:rsid w:val="006C1414"/>
    <w:rsid w:val="006C1F72"/>
    <w:rsid w:val="006C742A"/>
    <w:rsid w:val="006C75B4"/>
    <w:rsid w:val="006D1D00"/>
    <w:rsid w:val="006D35DE"/>
    <w:rsid w:val="006D384E"/>
    <w:rsid w:val="006D38FD"/>
    <w:rsid w:val="006D426C"/>
    <w:rsid w:val="006D4277"/>
    <w:rsid w:val="006D4EC3"/>
    <w:rsid w:val="006D6BB1"/>
    <w:rsid w:val="006D6F0B"/>
    <w:rsid w:val="006E04FD"/>
    <w:rsid w:val="006E2724"/>
    <w:rsid w:val="006E30AB"/>
    <w:rsid w:val="006E661C"/>
    <w:rsid w:val="006F04CA"/>
    <w:rsid w:val="006F090D"/>
    <w:rsid w:val="006F1871"/>
    <w:rsid w:val="006F3E01"/>
    <w:rsid w:val="006F4CE6"/>
    <w:rsid w:val="006F4F64"/>
    <w:rsid w:val="006F5D57"/>
    <w:rsid w:val="006F6648"/>
    <w:rsid w:val="006F6BD7"/>
    <w:rsid w:val="006F7E8E"/>
    <w:rsid w:val="00701AC3"/>
    <w:rsid w:val="007043BE"/>
    <w:rsid w:val="007044C6"/>
    <w:rsid w:val="00707E7F"/>
    <w:rsid w:val="00710D10"/>
    <w:rsid w:val="00711B74"/>
    <w:rsid w:val="00713E1C"/>
    <w:rsid w:val="007145AE"/>
    <w:rsid w:val="007152AC"/>
    <w:rsid w:val="007160A8"/>
    <w:rsid w:val="0071729D"/>
    <w:rsid w:val="0072089D"/>
    <w:rsid w:val="00721355"/>
    <w:rsid w:val="00721652"/>
    <w:rsid w:val="00721793"/>
    <w:rsid w:val="00723B51"/>
    <w:rsid w:val="007269BE"/>
    <w:rsid w:val="007332FE"/>
    <w:rsid w:val="0073652F"/>
    <w:rsid w:val="0074156B"/>
    <w:rsid w:val="00742727"/>
    <w:rsid w:val="00742A73"/>
    <w:rsid w:val="00746933"/>
    <w:rsid w:val="00747B2A"/>
    <w:rsid w:val="00747DAD"/>
    <w:rsid w:val="00747ECF"/>
    <w:rsid w:val="007514F1"/>
    <w:rsid w:val="007554D7"/>
    <w:rsid w:val="00755BAF"/>
    <w:rsid w:val="007608AF"/>
    <w:rsid w:val="00761ACA"/>
    <w:rsid w:val="0076296E"/>
    <w:rsid w:val="00763A50"/>
    <w:rsid w:val="00764B4A"/>
    <w:rsid w:val="00771A4F"/>
    <w:rsid w:val="00774729"/>
    <w:rsid w:val="00782123"/>
    <w:rsid w:val="00782E77"/>
    <w:rsid w:val="00783DA9"/>
    <w:rsid w:val="00786253"/>
    <w:rsid w:val="00787682"/>
    <w:rsid w:val="00790DF9"/>
    <w:rsid w:val="00792843"/>
    <w:rsid w:val="00792F63"/>
    <w:rsid w:val="007951E9"/>
    <w:rsid w:val="007955DD"/>
    <w:rsid w:val="00797343"/>
    <w:rsid w:val="00797FEF"/>
    <w:rsid w:val="007A039B"/>
    <w:rsid w:val="007A2922"/>
    <w:rsid w:val="007A3244"/>
    <w:rsid w:val="007A3E89"/>
    <w:rsid w:val="007A442A"/>
    <w:rsid w:val="007A6111"/>
    <w:rsid w:val="007A6173"/>
    <w:rsid w:val="007A67A7"/>
    <w:rsid w:val="007B182F"/>
    <w:rsid w:val="007B419C"/>
    <w:rsid w:val="007B484D"/>
    <w:rsid w:val="007B5B98"/>
    <w:rsid w:val="007C0340"/>
    <w:rsid w:val="007C03F1"/>
    <w:rsid w:val="007C395D"/>
    <w:rsid w:val="007C6D8A"/>
    <w:rsid w:val="007C75A5"/>
    <w:rsid w:val="007C7F74"/>
    <w:rsid w:val="007D107A"/>
    <w:rsid w:val="007D2B7A"/>
    <w:rsid w:val="007D323C"/>
    <w:rsid w:val="007D4227"/>
    <w:rsid w:val="007D4A77"/>
    <w:rsid w:val="007D6C69"/>
    <w:rsid w:val="007D7277"/>
    <w:rsid w:val="007D76CE"/>
    <w:rsid w:val="007E2C64"/>
    <w:rsid w:val="007E502A"/>
    <w:rsid w:val="007F2C17"/>
    <w:rsid w:val="007F36C2"/>
    <w:rsid w:val="007F507C"/>
    <w:rsid w:val="007F64EB"/>
    <w:rsid w:val="007F6840"/>
    <w:rsid w:val="0080044F"/>
    <w:rsid w:val="0080161E"/>
    <w:rsid w:val="008018CE"/>
    <w:rsid w:val="00802029"/>
    <w:rsid w:val="008022B8"/>
    <w:rsid w:val="008046B7"/>
    <w:rsid w:val="00804894"/>
    <w:rsid w:val="00811A72"/>
    <w:rsid w:val="00812314"/>
    <w:rsid w:val="00812D20"/>
    <w:rsid w:val="008232AC"/>
    <w:rsid w:val="00824B29"/>
    <w:rsid w:val="00827BAF"/>
    <w:rsid w:val="008318F3"/>
    <w:rsid w:val="008339B4"/>
    <w:rsid w:val="008426C5"/>
    <w:rsid w:val="0084378D"/>
    <w:rsid w:val="0086039C"/>
    <w:rsid w:val="00863D95"/>
    <w:rsid w:val="008743F7"/>
    <w:rsid w:val="00874BE4"/>
    <w:rsid w:val="00880D43"/>
    <w:rsid w:val="008817C5"/>
    <w:rsid w:val="00881CFD"/>
    <w:rsid w:val="00882489"/>
    <w:rsid w:val="008828C8"/>
    <w:rsid w:val="008852DB"/>
    <w:rsid w:val="008855AF"/>
    <w:rsid w:val="00890DDD"/>
    <w:rsid w:val="00894DE0"/>
    <w:rsid w:val="00895938"/>
    <w:rsid w:val="008A0B70"/>
    <w:rsid w:val="008A1113"/>
    <w:rsid w:val="008A293B"/>
    <w:rsid w:val="008A4F7A"/>
    <w:rsid w:val="008A6B8A"/>
    <w:rsid w:val="008A7F44"/>
    <w:rsid w:val="008B0FB3"/>
    <w:rsid w:val="008B33BE"/>
    <w:rsid w:val="008B3C55"/>
    <w:rsid w:val="008B5B1C"/>
    <w:rsid w:val="008B6401"/>
    <w:rsid w:val="008B6CCF"/>
    <w:rsid w:val="008B718B"/>
    <w:rsid w:val="008B759E"/>
    <w:rsid w:val="008B76C6"/>
    <w:rsid w:val="008B7B71"/>
    <w:rsid w:val="008C1BC6"/>
    <w:rsid w:val="008C3FFE"/>
    <w:rsid w:val="008C5B93"/>
    <w:rsid w:val="008C5C16"/>
    <w:rsid w:val="008C7ABE"/>
    <w:rsid w:val="008D4913"/>
    <w:rsid w:val="008D5264"/>
    <w:rsid w:val="008D53C2"/>
    <w:rsid w:val="008D6D6F"/>
    <w:rsid w:val="008D79BB"/>
    <w:rsid w:val="008E118A"/>
    <w:rsid w:val="008E6441"/>
    <w:rsid w:val="0090305F"/>
    <w:rsid w:val="00910C5D"/>
    <w:rsid w:val="0091168A"/>
    <w:rsid w:val="00911EFB"/>
    <w:rsid w:val="009124EF"/>
    <w:rsid w:val="00912F7E"/>
    <w:rsid w:val="009141F4"/>
    <w:rsid w:val="00914CB6"/>
    <w:rsid w:val="00920B15"/>
    <w:rsid w:val="00920C5E"/>
    <w:rsid w:val="00923150"/>
    <w:rsid w:val="00923838"/>
    <w:rsid w:val="0092555C"/>
    <w:rsid w:val="00926F7B"/>
    <w:rsid w:val="00933D22"/>
    <w:rsid w:val="00934084"/>
    <w:rsid w:val="009370DF"/>
    <w:rsid w:val="00941A76"/>
    <w:rsid w:val="009420E4"/>
    <w:rsid w:val="009467B2"/>
    <w:rsid w:val="00947263"/>
    <w:rsid w:val="0095123F"/>
    <w:rsid w:val="0095190A"/>
    <w:rsid w:val="009528E4"/>
    <w:rsid w:val="00955622"/>
    <w:rsid w:val="00957B6D"/>
    <w:rsid w:val="00964F47"/>
    <w:rsid w:val="009650B4"/>
    <w:rsid w:val="00967DDB"/>
    <w:rsid w:val="009719A3"/>
    <w:rsid w:val="00972560"/>
    <w:rsid w:val="0098182C"/>
    <w:rsid w:val="009845D0"/>
    <w:rsid w:val="009923E1"/>
    <w:rsid w:val="00993877"/>
    <w:rsid w:val="00994742"/>
    <w:rsid w:val="00997263"/>
    <w:rsid w:val="009A1798"/>
    <w:rsid w:val="009A194F"/>
    <w:rsid w:val="009A1C0E"/>
    <w:rsid w:val="009A1D78"/>
    <w:rsid w:val="009A55D9"/>
    <w:rsid w:val="009A5810"/>
    <w:rsid w:val="009A6097"/>
    <w:rsid w:val="009B0F40"/>
    <w:rsid w:val="009B2D8F"/>
    <w:rsid w:val="009B37A5"/>
    <w:rsid w:val="009B38A4"/>
    <w:rsid w:val="009B3C4B"/>
    <w:rsid w:val="009B791F"/>
    <w:rsid w:val="009C01B8"/>
    <w:rsid w:val="009C291E"/>
    <w:rsid w:val="009C2AFA"/>
    <w:rsid w:val="009C2EE5"/>
    <w:rsid w:val="009C5AA8"/>
    <w:rsid w:val="009C75E5"/>
    <w:rsid w:val="009C7E79"/>
    <w:rsid w:val="009D2941"/>
    <w:rsid w:val="009D5C5A"/>
    <w:rsid w:val="009E0EA7"/>
    <w:rsid w:val="009E220C"/>
    <w:rsid w:val="009E229B"/>
    <w:rsid w:val="009E7FB4"/>
    <w:rsid w:val="009F1481"/>
    <w:rsid w:val="009F197F"/>
    <w:rsid w:val="009F1DC7"/>
    <w:rsid w:val="009F33DE"/>
    <w:rsid w:val="009F615E"/>
    <w:rsid w:val="009F623C"/>
    <w:rsid w:val="009F7ABD"/>
    <w:rsid w:val="00A01931"/>
    <w:rsid w:val="00A05A43"/>
    <w:rsid w:val="00A10022"/>
    <w:rsid w:val="00A10F5C"/>
    <w:rsid w:val="00A12E93"/>
    <w:rsid w:val="00A14BFB"/>
    <w:rsid w:val="00A157A2"/>
    <w:rsid w:val="00A160B3"/>
    <w:rsid w:val="00A1649F"/>
    <w:rsid w:val="00A202C7"/>
    <w:rsid w:val="00A22CD3"/>
    <w:rsid w:val="00A23227"/>
    <w:rsid w:val="00A23FE4"/>
    <w:rsid w:val="00A25139"/>
    <w:rsid w:val="00A27662"/>
    <w:rsid w:val="00A30828"/>
    <w:rsid w:val="00A317A0"/>
    <w:rsid w:val="00A3285A"/>
    <w:rsid w:val="00A365F3"/>
    <w:rsid w:val="00A37E4D"/>
    <w:rsid w:val="00A428CC"/>
    <w:rsid w:val="00A42B08"/>
    <w:rsid w:val="00A43788"/>
    <w:rsid w:val="00A45E42"/>
    <w:rsid w:val="00A469C5"/>
    <w:rsid w:val="00A513D9"/>
    <w:rsid w:val="00A51BF6"/>
    <w:rsid w:val="00A5359F"/>
    <w:rsid w:val="00A5713E"/>
    <w:rsid w:val="00A601C9"/>
    <w:rsid w:val="00A602DA"/>
    <w:rsid w:val="00A60BCF"/>
    <w:rsid w:val="00A61738"/>
    <w:rsid w:val="00A6361C"/>
    <w:rsid w:val="00A63F75"/>
    <w:rsid w:val="00A6481D"/>
    <w:rsid w:val="00A649DE"/>
    <w:rsid w:val="00A6518F"/>
    <w:rsid w:val="00A657D4"/>
    <w:rsid w:val="00A65861"/>
    <w:rsid w:val="00A66751"/>
    <w:rsid w:val="00A712C8"/>
    <w:rsid w:val="00A76508"/>
    <w:rsid w:val="00A774D3"/>
    <w:rsid w:val="00A77770"/>
    <w:rsid w:val="00A8173D"/>
    <w:rsid w:val="00A83433"/>
    <w:rsid w:val="00A84828"/>
    <w:rsid w:val="00A8525C"/>
    <w:rsid w:val="00A85E76"/>
    <w:rsid w:val="00A86D0E"/>
    <w:rsid w:val="00A86EBE"/>
    <w:rsid w:val="00A908A1"/>
    <w:rsid w:val="00A958BA"/>
    <w:rsid w:val="00A96D75"/>
    <w:rsid w:val="00A97EEA"/>
    <w:rsid w:val="00AA00AF"/>
    <w:rsid w:val="00AA038A"/>
    <w:rsid w:val="00AA09AE"/>
    <w:rsid w:val="00AA2CA3"/>
    <w:rsid w:val="00AA4889"/>
    <w:rsid w:val="00AA62F7"/>
    <w:rsid w:val="00AA69EC"/>
    <w:rsid w:val="00AA6DE4"/>
    <w:rsid w:val="00AA73E6"/>
    <w:rsid w:val="00AA74B3"/>
    <w:rsid w:val="00AB2F6B"/>
    <w:rsid w:val="00AB4DB0"/>
    <w:rsid w:val="00AB7509"/>
    <w:rsid w:val="00AC0112"/>
    <w:rsid w:val="00AD1523"/>
    <w:rsid w:val="00AD1652"/>
    <w:rsid w:val="00AD17D2"/>
    <w:rsid w:val="00AD5A02"/>
    <w:rsid w:val="00AE0B2D"/>
    <w:rsid w:val="00AE3FB8"/>
    <w:rsid w:val="00AE5624"/>
    <w:rsid w:val="00AE69FB"/>
    <w:rsid w:val="00AF0395"/>
    <w:rsid w:val="00AF1A68"/>
    <w:rsid w:val="00AF5984"/>
    <w:rsid w:val="00AF5EAD"/>
    <w:rsid w:val="00AF67D5"/>
    <w:rsid w:val="00AF69A9"/>
    <w:rsid w:val="00AF6FF5"/>
    <w:rsid w:val="00AF77E4"/>
    <w:rsid w:val="00B01326"/>
    <w:rsid w:val="00B02DEF"/>
    <w:rsid w:val="00B03454"/>
    <w:rsid w:val="00B0439C"/>
    <w:rsid w:val="00B06B52"/>
    <w:rsid w:val="00B11309"/>
    <w:rsid w:val="00B12DE4"/>
    <w:rsid w:val="00B16398"/>
    <w:rsid w:val="00B16687"/>
    <w:rsid w:val="00B26E8B"/>
    <w:rsid w:val="00B301FC"/>
    <w:rsid w:val="00B30FAA"/>
    <w:rsid w:val="00B3185E"/>
    <w:rsid w:val="00B32226"/>
    <w:rsid w:val="00B33236"/>
    <w:rsid w:val="00B3331D"/>
    <w:rsid w:val="00B33BD4"/>
    <w:rsid w:val="00B4027A"/>
    <w:rsid w:val="00B41C39"/>
    <w:rsid w:val="00B44796"/>
    <w:rsid w:val="00B5063E"/>
    <w:rsid w:val="00B5193F"/>
    <w:rsid w:val="00B5267D"/>
    <w:rsid w:val="00B53083"/>
    <w:rsid w:val="00B56029"/>
    <w:rsid w:val="00B5611B"/>
    <w:rsid w:val="00B5618C"/>
    <w:rsid w:val="00B56FF0"/>
    <w:rsid w:val="00B61D81"/>
    <w:rsid w:val="00B61F42"/>
    <w:rsid w:val="00B62A1D"/>
    <w:rsid w:val="00B6335F"/>
    <w:rsid w:val="00B7534B"/>
    <w:rsid w:val="00B756D4"/>
    <w:rsid w:val="00B75E87"/>
    <w:rsid w:val="00B81D02"/>
    <w:rsid w:val="00B826D9"/>
    <w:rsid w:val="00B83299"/>
    <w:rsid w:val="00B86465"/>
    <w:rsid w:val="00B87845"/>
    <w:rsid w:val="00B910B5"/>
    <w:rsid w:val="00B91BA8"/>
    <w:rsid w:val="00B91DFA"/>
    <w:rsid w:val="00B923BC"/>
    <w:rsid w:val="00B92F1C"/>
    <w:rsid w:val="00B9331E"/>
    <w:rsid w:val="00B93FC9"/>
    <w:rsid w:val="00B9531D"/>
    <w:rsid w:val="00B955B7"/>
    <w:rsid w:val="00B96684"/>
    <w:rsid w:val="00BA0B8B"/>
    <w:rsid w:val="00BA3EA5"/>
    <w:rsid w:val="00BA6C17"/>
    <w:rsid w:val="00BA6C24"/>
    <w:rsid w:val="00BA7187"/>
    <w:rsid w:val="00BA76CE"/>
    <w:rsid w:val="00BB2AE7"/>
    <w:rsid w:val="00BB2F29"/>
    <w:rsid w:val="00BB3AB8"/>
    <w:rsid w:val="00BB4ED9"/>
    <w:rsid w:val="00BB5693"/>
    <w:rsid w:val="00BB5FD1"/>
    <w:rsid w:val="00BB6C1D"/>
    <w:rsid w:val="00BB6FEE"/>
    <w:rsid w:val="00BC106A"/>
    <w:rsid w:val="00BC33AB"/>
    <w:rsid w:val="00BC33CD"/>
    <w:rsid w:val="00BC42A2"/>
    <w:rsid w:val="00BD008D"/>
    <w:rsid w:val="00BD3231"/>
    <w:rsid w:val="00BD324E"/>
    <w:rsid w:val="00BD35CB"/>
    <w:rsid w:val="00BD47A4"/>
    <w:rsid w:val="00BD487F"/>
    <w:rsid w:val="00BE1F9D"/>
    <w:rsid w:val="00BE4B46"/>
    <w:rsid w:val="00BE721C"/>
    <w:rsid w:val="00BE79FF"/>
    <w:rsid w:val="00BF0715"/>
    <w:rsid w:val="00BF2BF7"/>
    <w:rsid w:val="00BF3435"/>
    <w:rsid w:val="00BF3A11"/>
    <w:rsid w:val="00BF3B6E"/>
    <w:rsid w:val="00BF4EC1"/>
    <w:rsid w:val="00BF5137"/>
    <w:rsid w:val="00BF6927"/>
    <w:rsid w:val="00C03433"/>
    <w:rsid w:val="00C06F33"/>
    <w:rsid w:val="00C10A59"/>
    <w:rsid w:val="00C114EF"/>
    <w:rsid w:val="00C1178C"/>
    <w:rsid w:val="00C12B76"/>
    <w:rsid w:val="00C13D5C"/>
    <w:rsid w:val="00C256DC"/>
    <w:rsid w:val="00C26008"/>
    <w:rsid w:val="00C27D0D"/>
    <w:rsid w:val="00C31402"/>
    <w:rsid w:val="00C31E3B"/>
    <w:rsid w:val="00C32C69"/>
    <w:rsid w:val="00C47730"/>
    <w:rsid w:val="00C47C2E"/>
    <w:rsid w:val="00C506BF"/>
    <w:rsid w:val="00C50D76"/>
    <w:rsid w:val="00C52B95"/>
    <w:rsid w:val="00C53343"/>
    <w:rsid w:val="00C620BD"/>
    <w:rsid w:val="00C63E45"/>
    <w:rsid w:val="00C70D89"/>
    <w:rsid w:val="00C72DBA"/>
    <w:rsid w:val="00C7423C"/>
    <w:rsid w:val="00C74802"/>
    <w:rsid w:val="00C74ECE"/>
    <w:rsid w:val="00C75F3F"/>
    <w:rsid w:val="00C807E7"/>
    <w:rsid w:val="00C809F5"/>
    <w:rsid w:val="00C86C2C"/>
    <w:rsid w:val="00C86DCC"/>
    <w:rsid w:val="00C92F06"/>
    <w:rsid w:val="00C94F79"/>
    <w:rsid w:val="00C9515F"/>
    <w:rsid w:val="00C964EB"/>
    <w:rsid w:val="00CA0418"/>
    <w:rsid w:val="00CA4002"/>
    <w:rsid w:val="00CA7143"/>
    <w:rsid w:val="00CA7AC4"/>
    <w:rsid w:val="00CB0BC8"/>
    <w:rsid w:val="00CB2A35"/>
    <w:rsid w:val="00CB58D3"/>
    <w:rsid w:val="00CB697F"/>
    <w:rsid w:val="00CC080E"/>
    <w:rsid w:val="00CC1913"/>
    <w:rsid w:val="00CC1F83"/>
    <w:rsid w:val="00CC29D5"/>
    <w:rsid w:val="00CC2CB0"/>
    <w:rsid w:val="00CD187D"/>
    <w:rsid w:val="00CD2047"/>
    <w:rsid w:val="00CD22C0"/>
    <w:rsid w:val="00CD452A"/>
    <w:rsid w:val="00CD4DE4"/>
    <w:rsid w:val="00CD4FBD"/>
    <w:rsid w:val="00CE0854"/>
    <w:rsid w:val="00CE40A8"/>
    <w:rsid w:val="00CE74C2"/>
    <w:rsid w:val="00CE7BCF"/>
    <w:rsid w:val="00CF0FBD"/>
    <w:rsid w:val="00CF2304"/>
    <w:rsid w:val="00CF3B00"/>
    <w:rsid w:val="00CF400C"/>
    <w:rsid w:val="00CF4786"/>
    <w:rsid w:val="00CF748F"/>
    <w:rsid w:val="00CF7B51"/>
    <w:rsid w:val="00CF7BB7"/>
    <w:rsid w:val="00D011D1"/>
    <w:rsid w:val="00D033D8"/>
    <w:rsid w:val="00D0436E"/>
    <w:rsid w:val="00D04B21"/>
    <w:rsid w:val="00D05D16"/>
    <w:rsid w:val="00D06642"/>
    <w:rsid w:val="00D072F4"/>
    <w:rsid w:val="00D0768E"/>
    <w:rsid w:val="00D0784C"/>
    <w:rsid w:val="00D07A36"/>
    <w:rsid w:val="00D119E4"/>
    <w:rsid w:val="00D11A39"/>
    <w:rsid w:val="00D1220F"/>
    <w:rsid w:val="00D13AA3"/>
    <w:rsid w:val="00D212A8"/>
    <w:rsid w:val="00D255FC"/>
    <w:rsid w:val="00D26F74"/>
    <w:rsid w:val="00D27509"/>
    <w:rsid w:val="00D31354"/>
    <w:rsid w:val="00D31A29"/>
    <w:rsid w:val="00D32DA8"/>
    <w:rsid w:val="00D36F05"/>
    <w:rsid w:val="00D410AA"/>
    <w:rsid w:val="00D4547A"/>
    <w:rsid w:val="00D47E38"/>
    <w:rsid w:val="00D51FBD"/>
    <w:rsid w:val="00D52FE9"/>
    <w:rsid w:val="00D549DE"/>
    <w:rsid w:val="00D54AC1"/>
    <w:rsid w:val="00D54C5F"/>
    <w:rsid w:val="00D569B4"/>
    <w:rsid w:val="00D57062"/>
    <w:rsid w:val="00D5771E"/>
    <w:rsid w:val="00D61FA4"/>
    <w:rsid w:val="00D62B16"/>
    <w:rsid w:val="00D62F83"/>
    <w:rsid w:val="00D66C7D"/>
    <w:rsid w:val="00D67571"/>
    <w:rsid w:val="00D702AA"/>
    <w:rsid w:val="00D73850"/>
    <w:rsid w:val="00D825F9"/>
    <w:rsid w:val="00D85D02"/>
    <w:rsid w:val="00D85F86"/>
    <w:rsid w:val="00D86DF0"/>
    <w:rsid w:val="00D87978"/>
    <w:rsid w:val="00D87A52"/>
    <w:rsid w:val="00D87B15"/>
    <w:rsid w:val="00D94F68"/>
    <w:rsid w:val="00DA1D1C"/>
    <w:rsid w:val="00DA3D9D"/>
    <w:rsid w:val="00DA4009"/>
    <w:rsid w:val="00DA42AE"/>
    <w:rsid w:val="00DA58AC"/>
    <w:rsid w:val="00DB1F0F"/>
    <w:rsid w:val="00DB3109"/>
    <w:rsid w:val="00DB3624"/>
    <w:rsid w:val="00DB7DFA"/>
    <w:rsid w:val="00DC0E28"/>
    <w:rsid w:val="00DC5BF5"/>
    <w:rsid w:val="00DD0AD8"/>
    <w:rsid w:val="00DD3E55"/>
    <w:rsid w:val="00DD5710"/>
    <w:rsid w:val="00DE1CB2"/>
    <w:rsid w:val="00DE44B8"/>
    <w:rsid w:val="00DF1760"/>
    <w:rsid w:val="00DF1A45"/>
    <w:rsid w:val="00DF3AC7"/>
    <w:rsid w:val="00DF5C08"/>
    <w:rsid w:val="00DF691F"/>
    <w:rsid w:val="00E00BB9"/>
    <w:rsid w:val="00E00ECC"/>
    <w:rsid w:val="00E02549"/>
    <w:rsid w:val="00E05422"/>
    <w:rsid w:val="00E1305C"/>
    <w:rsid w:val="00E13A80"/>
    <w:rsid w:val="00E15BE1"/>
    <w:rsid w:val="00E1736B"/>
    <w:rsid w:val="00E210F7"/>
    <w:rsid w:val="00E26D47"/>
    <w:rsid w:val="00E26D56"/>
    <w:rsid w:val="00E31F7D"/>
    <w:rsid w:val="00E32083"/>
    <w:rsid w:val="00E360B2"/>
    <w:rsid w:val="00E37BE5"/>
    <w:rsid w:val="00E4054A"/>
    <w:rsid w:val="00E41371"/>
    <w:rsid w:val="00E41837"/>
    <w:rsid w:val="00E42016"/>
    <w:rsid w:val="00E436BE"/>
    <w:rsid w:val="00E4399D"/>
    <w:rsid w:val="00E43E1D"/>
    <w:rsid w:val="00E44A8E"/>
    <w:rsid w:val="00E44D53"/>
    <w:rsid w:val="00E45299"/>
    <w:rsid w:val="00E456F9"/>
    <w:rsid w:val="00E46527"/>
    <w:rsid w:val="00E500B0"/>
    <w:rsid w:val="00E51775"/>
    <w:rsid w:val="00E56148"/>
    <w:rsid w:val="00E5755C"/>
    <w:rsid w:val="00E576FD"/>
    <w:rsid w:val="00E60BFA"/>
    <w:rsid w:val="00E628BA"/>
    <w:rsid w:val="00E63C92"/>
    <w:rsid w:val="00E63E57"/>
    <w:rsid w:val="00E66CEE"/>
    <w:rsid w:val="00E66E68"/>
    <w:rsid w:val="00E67005"/>
    <w:rsid w:val="00E729BF"/>
    <w:rsid w:val="00E739B8"/>
    <w:rsid w:val="00E762C2"/>
    <w:rsid w:val="00E80353"/>
    <w:rsid w:val="00E81295"/>
    <w:rsid w:val="00E82148"/>
    <w:rsid w:val="00E856D8"/>
    <w:rsid w:val="00E87245"/>
    <w:rsid w:val="00E91241"/>
    <w:rsid w:val="00E9137B"/>
    <w:rsid w:val="00E91F7B"/>
    <w:rsid w:val="00E93B53"/>
    <w:rsid w:val="00E946A2"/>
    <w:rsid w:val="00E95153"/>
    <w:rsid w:val="00E9650E"/>
    <w:rsid w:val="00EA05F5"/>
    <w:rsid w:val="00EA19BF"/>
    <w:rsid w:val="00EB113D"/>
    <w:rsid w:val="00EB1C1D"/>
    <w:rsid w:val="00EB33B5"/>
    <w:rsid w:val="00EB41AD"/>
    <w:rsid w:val="00EB49D7"/>
    <w:rsid w:val="00EB534A"/>
    <w:rsid w:val="00EB5DAA"/>
    <w:rsid w:val="00EC05C2"/>
    <w:rsid w:val="00EC2111"/>
    <w:rsid w:val="00EC5310"/>
    <w:rsid w:val="00EC68A8"/>
    <w:rsid w:val="00EC77A9"/>
    <w:rsid w:val="00EC7D7E"/>
    <w:rsid w:val="00ED0BB9"/>
    <w:rsid w:val="00ED1B3D"/>
    <w:rsid w:val="00ED40E7"/>
    <w:rsid w:val="00ED4662"/>
    <w:rsid w:val="00ED6345"/>
    <w:rsid w:val="00EE0798"/>
    <w:rsid w:val="00EE07B0"/>
    <w:rsid w:val="00EE0890"/>
    <w:rsid w:val="00EE59A6"/>
    <w:rsid w:val="00EE78DE"/>
    <w:rsid w:val="00EF31EF"/>
    <w:rsid w:val="00EF3CA7"/>
    <w:rsid w:val="00EF5883"/>
    <w:rsid w:val="00EF6EF1"/>
    <w:rsid w:val="00EF709F"/>
    <w:rsid w:val="00F02D6D"/>
    <w:rsid w:val="00F03C33"/>
    <w:rsid w:val="00F058D7"/>
    <w:rsid w:val="00F10D1F"/>
    <w:rsid w:val="00F147BE"/>
    <w:rsid w:val="00F153CB"/>
    <w:rsid w:val="00F20D88"/>
    <w:rsid w:val="00F223A6"/>
    <w:rsid w:val="00F23644"/>
    <w:rsid w:val="00F3142D"/>
    <w:rsid w:val="00F32AC9"/>
    <w:rsid w:val="00F34D80"/>
    <w:rsid w:val="00F35FA8"/>
    <w:rsid w:val="00F360C8"/>
    <w:rsid w:val="00F3625D"/>
    <w:rsid w:val="00F365FB"/>
    <w:rsid w:val="00F36D8A"/>
    <w:rsid w:val="00F404D0"/>
    <w:rsid w:val="00F449C4"/>
    <w:rsid w:val="00F4654B"/>
    <w:rsid w:val="00F502E0"/>
    <w:rsid w:val="00F518B9"/>
    <w:rsid w:val="00F52603"/>
    <w:rsid w:val="00F533A5"/>
    <w:rsid w:val="00F534EB"/>
    <w:rsid w:val="00F5539E"/>
    <w:rsid w:val="00F56D13"/>
    <w:rsid w:val="00F570EB"/>
    <w:rsid w:val="00F60006"/>
    <w:rsid w:val="00F61873"/>
    <w:rsid w:val="00F62D97"/>
    <w:rsid w:val="00F62EBF"/>
    <w:rsid w:val="00F676EE"/>
    <w:rsid w:val="00F7097B"/>
    <w:rsid w:val="00F717AA"/>
    <w:rsid w:val="00F725B2"/>
    <w:rsid w:val="00F732C6"/>
    <w:rsid w:val="00F742BD"/>
    <w:rsid w:val="00F74433"/>
    <w:rsid w:val="00F8321F"/>
    <w:rsid w:val="00F84972"/>
    <w:rsid w:val="00F90345"/>
    <w:rsid w:val="00F96950"/>
    <w:rsid w:val="00F96DA1"/>
    <w:rsid w:val="00F9716B"/>
    <w:rsid w:val="00FA13BB"/>
    <w:rsid w:val="00FA1E9D"/>
    <w:rsid w:val="00FA22FB"/>
    <w:rsid w:val="00FA5C74"/>
    <w:rsid w:val="00FA5FBC"/>
    <w:rsid w:val="00FA6DE5"/>
    <w:rsid w:val="00FA7E3B"/>
    <w:rsid w:val="00FB098D"/>
    <w:rsid w:val="00FB359A"/>
    <w:rsid w:val="00FB3CF7"/>
    <w:rsid w:val="00FB5A2C"/>
    <w:rsid w:val="00FC0D84"/>
    <w:rsid w:val="00FC1E54"/>
    <w:rsid w:val="00FC1F12"/>
    <w:rsid w:val="00FC28E3"/>
    <w:rsid w:val="00FC2B23"/>
    <w:rsid w:val="00FC37D6"/>
    <w:rsid w:val="00FC5466"/>
    <w:rsid w:val="00FC6B1F"/>
    <w:rsid w:val="00FC772E"/>
    <w:rsid w:val="00FD05F2"/>
    <w:rsid w:val="00FD5BC7"/>
    <w:rsid w:val="00FD6589"/>
    <w:rsid w:val="00FD7309"/>
    <w:rsid w:val="00FE0285"/>
    <w:rsid w:val="00FE26ED"/>
    <w:rsid w:val="00FE6350"/>
    <w:rsid w:val="00FE728C"/>
    <w:rsid w:val="00FF0250"/>
    <w:rsid w:val="00FF0A8B"/>
    <w:rsid w:val="00FF3A1D"/>
    <w:rsid w:val="00FF63A3"/>
    <w:rsid w:val="00FF740B"/>
    <w:rsid w:val="00FF7A65"/>
    <w:rsid w:val="0144507E"/>
    <w:rsid w:val="019329D2"/>
    <w:rsid w:val="019B1886"/>
    <w:rsid w:val="01A17AA8"/>
    <w:rsid w:val="02013C18"/>
    <w:rsid w:val="020C008E"/>
    <w:rsid w:val="020D728E"/>
    <w:rsid w:val="021A6C4F"/>
    <w:rsid w:val="02217FDE"/>
    <w:rsid w:val="02604429"/>
    <w:rsid w:val="02702D13"/>
    <w:rsid w:val="027A149C"/>
    <w:rsid w:val="027F6AB2"/>
    <w:rsid w:val="028916DF"/>
    <w:rsid w:val="029F6342"/>
    <w:rsid w:val="02A76009"/>
    <w:rsid w:val="02B81FC4"/>
    <w:rsid w:val="02C24BF1"/>
    <w:rsid w:val="02FC4086"/>
    <w:rsid w:val="032E6435"/>
    <w:rsid w:val="03590044"/>
    <w:rsid w:val="035F21B1"/>
    <w:rsid w:val="037B5297"/>
    <w:rsid w:val="03975349"/>
    <w:rsid w:val="03AA6683"/>
    <w:rsid w:val="03B10EED"/>
    <w:rsid w:val="03BD3D36"/>
    <w:rsid w:val="03D64DF8"/>
    <w:rsid w:val="03E84FE9"/>
    <w:rsid w:val="03EA08A3"/>
    <w:rsid w:val="043B1E4C"/>
    <w:rsid w:val="04482E3E"/>
    <w:rsid w:val="044A58F2"/>
    <w:rsid w:val="045370A8"/>
    <w:rsid w:val="04671EF4"/>
    <w:rsid w:val="046A5B6D"/>
    <w:rsid w:val="04762AE0"/>
    <w:rsid w:val="048C0506"/>
    <w:rsid w:val="05096B07"/>
    <w:rsid w:val="052108F9"/>
    <w:rsid w:val="05351CA6"/>
    <w:rsid w:val="054E606D"/>
    <w:rsid w:val="05600E1D"/>
    <w:rsid w:val="056735C4"/>
    <w:rsid w:val="056D3A40"/>
    <w:rsid w:val="05943DE1"/>
    <w:rsid w:val="059648AF"/>
    <w:rsid w:val="05A3087A"/>
    <w:rsid w:val="05C77E19"/>
    <w:rsid w:val="05CD4A91"/>
    <w:rsid w:val="05CE4396"/>
    <w:rsid w:val="05F73DAF"/>
    <w:rsid w:val="05FB0B46"/>
    <w:rsid w:val="05FC035D"/>
    <w:rsid w:val="06007F0A"/>
    <w:rsid w:val="061953D0"/>
    <w:rsid w:val="068E19BA"/>
    <w:rsid w:val="06BD5DFB"/>
    <w:rsid w:val="06E94E42"/>
    <w:rsid w:val="06EB0BBA"/>
    <w:rsid w:val="06F253F2"/>
    <w:rsid w:val="07247C28"/>
    <w:rsid w:val="07287718"/>
    <w:rsid w:val="073D2451"/>
    <w:rsid w:val="07442078"/>
    <w:rsid w:val="074B1659"/>
    <w:rsid w:val="07541472"/>
    <w:rsid w:val="075E3571"/>
    <w:rsid w:val="07634B9C"/>
    <w:rsid w:val="079006DF"/>
    <w:rsid w:val="07A24CAA"/>
    <w:rsid w:val="07B611C8"/>
    <w:rsid w:val="07C02388"/>
    <w:rsid w:val="07FE0DA0"/>
    <w:rsid w:val="0808032A"/>
    <w:rsid w:val="08362309"/>
    <w:rsid w:val="085602B5"/>
    <w:rsid w:val="089A1F2A"/>
    <w:rsid w:val="08B71ABA"/>
    <w:rsid w:val="08C3745F"/>
    <w:rsid w:val="08C90A87"/>
    <w:rsid w:val="08E104C7"/>
    <w:rsid w:val="08F301FA"/>
    <w:rsid w:val="09107159"/>
    <w:rsid w:val="09290516"/>
    <w:rsid w:val="093A3733"/>
    <w:rsid w:val="098350DA"/>
    <w:rsid w:val="099E1F14"/>
    <w:rsid w:val="09C1697F"/>
    <w:rsid w:val="09CF64BA"/>
    <w:rsid w:val="09DC11C3"/>
    <w:rsid w:val="09DC2A3C"/>
    <w:rsid w:val="0A053D41"/>
    <w:rsid w:val="0A0A75A9"/>
    <w:rsid w:val="0A14667A"/>
    <w:rsid w:val="0A2A37A7"/>
    <w:rsid w:val="0A6A06F8"/>
    <w:rsid w:val="0A756EBC"/>
    <w:rsid w:val="0A7B04A7"/>
    <w:rsid w:val="0A8F7AAE"/>
    <w:rsid w:val="0A911A78"/>
    <w:rsid w:val="0AA32D56"/>
    <w:rsid w:val="0AA84209"/>
    <w:rsid w:val="0AAD68AE"/>
    <w:rsid w:val="0AC01979"/>
    <w:rsid w:val="0AE0732E"/>
    <w:rsid w:val="0AF3628F"/>
    <w:rsid w:val="0B187AA4"/>
    <w:rsid w:val="0B472137"/>
    <w:rsid w:val="0B5331D2"/>
    <w:rsid w:val="0B554854"/>
    <w:rsid w:val="0B602F7F"/>
    <w:rsid w:val="0B6E6550"/>
    <w:rsid w:val="0B9B717C"/>
    <w:rsid w:val="0BB023D2"/>
    <w:rsid w:val="0BDA7EEC"/>
    <w:rsid w:val="0BDC6D23"/>
    <w:rsid w:val="0C1271FF"/>
    <w:rsid w:val="0C191D25"/>
    <w:rsid w:val="0C3534E2"/>
    <w:rsid w:val="0C707344"/>
    <w:rsid w:val="0C807FF6"/>
    <w:rsid w:val="0C913FB2"/>
    <w:rsid w:val="0CB422BA"/>
    <w:rsid w:val="0CB67574"/>
    <w:rsid w:val="0CCD48BE"/>
    <w:rsid w:val="0CCE2B10"/>
    <w:rsid w:val="0CCF6888"/>
    <w:rsid w:val="0CD10852"/>
    <w:rsid w:val="0CD6751D"/>
    <w:rsid w:val="0CF12D1E"/>
    <w:rsid w:val="0CFF53BF"/>
    <w:rsid w:val="0D0E5602"/>
    <w:rsid w:val="0D1C336D"/>
    <w:rsid w:val="0D2324F2"/>
    <w:rsid w:val="0D2B3B79"/>
    <w:rsid w:val="0D314E4D"/>
    <w:rsid w:val="0D35493D"/>
    <w:rsid w:val="0D8A1A1C"/>
    <w:rsid w:val="0DF04577"/>
    <w:rsid w:val="0E0C0298"/>
    <w:rsid w:val="0E176739"/>
    <w:rsid w:val="0E285ADE"/>
    <w:rsid w:val="0E3C619F"/>
    <w:rsid w:val="0E3E5A73"/>
    <w:rsid w:val="0E537207"/>
    <w:rsid w:val="0E567261"/>
    <w:rsid w:val="0E5B5064"/>
    <w:rsid w:val="0E97594D"/>
    <w:rsid w:val="0ECF0DC1"/>
    <w:rsid w:val="0F065CEB"/>
    <w:rsid w:val="0F426E96"/>
    <w:rsid w:val="0F987405"/>
    <w:rsid w:val="0FA12732"/>
    <w:rsid w:val="0FBA7927"/>
    <w:rsid w:val="0FD32136"/>
    <w:rsid w:val="0FDC79A1"/>
    <w:rsid w:val="0FE443F8"/>
    <w:rsid w:val="0FEB6D6B"/>
    <w:rsid w:val="0FFC5815"/>
    <w:rsid w:val="10033834"/>
    <w:rsid w:val="10394CD8"/>
    <w:rsid w:val="10655129"/>
    <w:rsid w:val="10763895"/>
    <w:rsid w:val="108F0808"/>
    <w:rsid w:val="10A43CE3"/>
    <w:rsid w:val="10F57740"/>
    <w:rsid w:val="11044AF4"/>
    <w:rsid w:val="110A7E8F"/>
    <w:rsid w:val="11217992"/>
    <w:rsid w:val="11230F50"/>
    <w:rsid w:val="112D4670"/>
    <w:rsid w:val="113676AF"/>
    <w:rsid w:val="114C494B"/>
    <w:rsid w:val="11990339"/>
    <w:rsid w:val="119D51A7"/>
    <w:rsid w:val="11AE0346"/>
    <w:rsid w:val="11B90BA4"/>
    <w:rsid w:val="11E626AA"/>
    <w:rsid w:val="11FC011F"/>
    <w:rsid w:val="12154A9F"/>
    <w:rsid w:val="121A79FC"/>
    <w:rsid w:val="12252FE6"/>
    <w:rsid w:val="12371168"/>
    <w:rsid w:val="12547740"/>
    <w:rsid w:val="12A6200E"/>
    <w:rsid w:val="12BF2432"/>
    <w:rsid w:val="12E22503"/>
    <w:rsid w:val="12ED1E9A"/>
    <w:rsid w:val="12ED4198"/>
    <w:rsid w:val="12ED5FD8"/>
    <w:rsid w:val="13217712"/>
    <w:rsid w:val="135875D7"/>
    <w:rsid w:val="135B539A"/>
    <w:rsid w:val="13622FA0"/>
    <w:rsid w:val="136E0BA9"/>
    <w:rsid w:val="137455F6"/>
    <w:rsid w:val="137837D5"/>
    <w:rsid w:val="13806B2E"/>
    <w:rsid w:val="13900351"/>
    <w:rsid w:val="13B01C0F"/>
    <w:rsid w:val="13DC75A4"/>
    <w:rsid w:val="13E73EF9"/>
    <w:rsid w:val="13F55D3A"/>
    <w:rsid w:val="13F8357D"/>
    <w:rsid w:val="13FC6308"/>
    <w:rsid w:val="1410457B"/>
    <w:rsid w:val="14423DE3"/>
    <w:rsid w:val="14456E02"/>
    <w:rsid w:val="144B2C98"/>
    <w:rsid w:val="145C6C53"/>
    <w:rsid w:val="147D712D"/>
    <w:rsid w:val="14855888"/>
    <w:rsid w:val="149363ED"/>
    <w:rsid w:val="149634DA"/>
    <w:rsid w:val="14AE3227"/>
    <w:rsid w:val="14C02376"/>
    <w:rsid w:val="14D07641"/>
    <w:rsid w:val="14D45C73"/>
    <w:rsid w:val="14ED1815"/>
    <w:rsid w:val="1517701E"/>
    <w:rsid w:val="151D13FC"/>
    <w:rsid w:val="152440E5"/>
    <w:rsid w:val="1525798D"/>
    <w:rsid w:val="15323E58"/>
    <w:rsid w:val="154D055B"/>
    <w:rsid w:val="154D1CD8"/>
    <w:rsid w:val="15652DAA"/>
    <w:rsid w:val="156D58F9"/>
    <w:rsid w:val="159F14ED"/>
    <w:rsid w:val="15D553E2"/>
    <w:rsid w:val="15D8055B"/>
    <w:rsid w:val="15EC2259"/>
    <w:rsid w:val="160C1564"/>
    <w:rsid w:val="161D197D"/>
    <w:rsid w:val="162E461F"/>
    <w:rsid w:val="1635318D"/>
    <w:rsid w:val="163A1216"/>
    <w:rsid w:val="16790A1A"/>
    <w:rsid w:val="16A649DD"/>
    <w:rsid w:val="16B5089D"/>
    <w:rsid w:val="16B831D5"/>
    <w:rsid w:val="16BE50DE"/>
    <w:rsid w:val="16E42F30"/>
    <w:rsid w:val="16F51E76"/>
    <w:rsid w:val="17131E06"/>
    <w:rsid w:val="171406F0"/>
    <w:rsid w:val="173043C7"/>
    <w:rsid w:val="1774742B"/>
    <w:rsid w:val="178A3AD7"/>
    <w:rsid w:val="17AD1EDF"/>
    <w:rsid w:val="17B46DA6"/>
    <w:rsid w:val="17BD5C5B"/>
    <w:rsid w:val="17C74D2B"/>
    <w:rsid w:val="17DF606D"/>
    <w:rsid w:val="17E7717C"/>
    <w:rsid w:val="17E92EF4"/>
    <w:rsid w:val="18284094"/>
    <w:rsid w:val="182E6B59"/>
    <w:rsid w:val="18645FCC"/>
    <w:rsid w:val="189701E7"/>
    <w:rsid w:val="18980476"/>
    <w:rsid w:val="189A4A1C"/>
    <w:rsid w:val="18AD793B"/>
    <w:rsid w:val="18B3705E"/>
    <w:rsid w:val="18CF2CF7"/>
    <w:rsid w:val="18E96BE9"/>
    <w:rsid w:val="19037FE5"/>
    <w:rsid w:val="191C263F"/>
    <w:rsid w:val="193C14B4"/>
    <w:rsid w:val="197117DF"/>
    <w:rsid w:val="198F2258"/>
    <w:rsid w:val="19B337B9"/>
    <w:rsid w:val="19EE47F1"/>
    <w:rsid w:val="19F14EBC"/>
    <w:rsid w:val="19FE07AD"/>
    <w:rsid w:val="1A030919"/>
    <w:rsid w:val="1A034F7C"/>
    <w:rsid w:val="1A2A1CB1"/>
    <w:rsid w:val="1A4E2B62"/>
    <w:rsid w:val="1A593A81"/>
    <w:rsid w:val="1A6920CA"/>
    <w:rsid w:val="1A772A39"/>
    <w:rsid w:val="1A92257F"/>
    <w:rsid w:val="1A977CF2"/>
    <w:rsid w:val="1A9D7FC6"/>
    <w:rsid w:val="1AC306D2"/>
    <w:rsid w:val="1AD67034"/>
    <w:rsid w:val="1AD9671D"/>
    <w:rsid w:val="1AF20311"/>
    <w:rsid w:val="1AFB7C4D"/>
    <w:rsid w:val="1B8B6070"/>
    <w:rsid w:val="1B9273FE"/>
    <w:rsid w:val="1BEA47FF"/>
    <w:rsid w:val="1BF41E67"/>
    <w:rsid w:val="1C033E58"/>
    <w:rsid w:val="1C185B56"/>
    <w:rsid w:val="1C26041A"/>
    <w:rsid w:val="1C517DB6"/>
    <w:rsid w:val="1C856F63"/>
    <w:rsid w:val="1C8B457A"/>
    <w:rsid w:val="1CD83537"/>
    <w:rsid w:val="1CED54AF"/>
    <w:rsid w:val="1CEE37F0"/>
    <w:rsid w:val="1CF06AD2"/>
    <w:rsid w:val="1CF16DFA"/>
    <w:rsid w:val="1D0C42FA"/>
    <w:rsid w:val="1D0E4A0A"/>
    <w:rsid w:val="1D215F4D"/>
    <w:rsid w:val="1D8169F5"/>
    <w:rsid w:val="1D827470"/>
    <w:rsid w:val="1D887DB3"/>
    <w:rsid w:val="1D8D3608"/>
    <w:rsid w:val="1D954D97"/>
    <w:rsid w:val="1DA336FF"/>
    <w:rsid w:val="1DCC3935"/>
    <w:rsid w:val="1DEF28E6"/>
    <w:rsid w:val="1E320D82"/>
    <w:rsid w:val="1E4F7829"/>
    <w:rsid w:val="1E6B3CCD"/>
    <w:rsid w:val="1E7A22F1"/>
    <w:rsid w:val="1E8C45D9"/>
    <w:rsid w:val="1F170A4F"/>
    <w:rsid w:val="1F2E743E"/>
    <w:rsid w:val="1F446C62"/>
    <w:rsid w:val="1F8E612F"/>
    <w:rsid w:val="1FA05926"/>
    <w:rsid w:val="1FA45952"/>
    <w:rsid w:val="1FE50445"/>
    <w:rsid w:val="1FF02946"/>
    <w:rsid w:val="1FF1417F"/>
    <w:rsid w:val="20144886"/>
    <w:rsid w:val="201D4E64"/>
    <w:rsid w:val="20340A84"/>
    <w:rsid w:val="205C42A5"/>
    <w:rsid w:val="20656BE4"/>
    <w:rsid w:val="207D242B"/>
    <w:rsid w:val="20857532"/>
    <w:rsid w:val="20875058"/>
    <w:rsid w:val="20994D8B"/>
    <w:rsid w:val="20A21E92"/>
    <w:rsid w:val="20AF45AF"/>
    <w:rsid w:val="20B10C5F"/>
    <w:rsid w:val="20B47E17"/>
    <w:rsid w:val="20B83463"/>
    <w:rsid w:val="20D746F9"/>
    <w:rsid w:val="20D81D57"/>
    <w:rsid w:val="20DD5326"/>
    <w:rsid w:val="20E33E1A"/>
    <w:rsid w:val="210843BE"/>
    <w:rsid w:val="213F3A64"/>
    <w:rsid w:val="2150136E"/>
    <w:rsid w:val="216119B3"/>
    <w:rsid w:val="21681BD6"/>
    <w:rsid w:val="216C787B"/>
    <w:rsid w:val="216F14A7"/>
    <w:rsid w:val="21701F90"/>
    <w:rsid w:val="21CF5E82"/>
    <w:rsid w:val="21D61B86"/>
    <w:rsid w:val="22124DF5"/>
    <w:rsid w:val="22237360"/>
    <w:rsid w:val="22A10C5C"/>
    <w:rsid w:val="22E27B87"/>
    <w:rsid w:val="230E1A60"/>
    <w:rsid w:val="23166B67"/>
    <w:rsid w:val="232748D0"/>
    <w:rsid w:val="23424069"/>
    <w:rsid w:val="234A05BF"/>
    <w:rsid w:val="235769AD"/>
    <w:rsid w:val="23657AA0"/>
    <w:rsid w:val="23A979DB"/>
    <w:rsid w:val="23B56678"/>
    <w:rsid w:val="23B84276"/>
    <w:rsid w:val="23BF2B98"/>
    <w:rsid w:val="23C16AD3"/>
    <w:rsid w:val="23ED1676"/>
    <w:rsid w:val="24101808"/>
    <w:rsid w:val="241B6C18"/>
    <w:rsid w:val="2426102C"/>
    <w:rsid w:val="243C3419"/>
    <w:rsid w:val="24485707"/>
    <w:rsid w:val="246B4DD0"/>
    <w:rsid w:val="247B54A6"/>
    <w:rsid w:val="248F4E23"/>
    <w:rsid w:val="24B46637"/>
    <w:rsid w:val="24BB3FBB"/>
    <w:rsid w:val="24D12D46"/>
    <w:rsid w:val="24D61CD0"/>
    <w:rsid w:val="24D740D4"/>
    <w:rsid w:val="24E057D5"/>
    <w:rsid w:val="25323BFF"/>
    <w:rsid w:val="25583467"/>
    <w:rsid w:val="2559670C"/>
    <w:rsid w:val="255C6B5B"/>
    <w:rsid w:val="25733DFD"/>
    <w:rsid w:val="25EB42DB"/>
    <w:rsid w:val="25EF7007"/>
    <w:rsid w:val="26082CE5"/>
    <w:rsid w:val="26606A77"/>
    <w:rsid w:val="26671F9A"/>
    <w:rsid w:val="266A05DB"/>
    <w:rsid w:val="267728FE"/>
    <w:rsid w:val="26773DC1"/>
    <w:rsid w:val="26793695"/>
    <w:rsid w:val="267D28D7"/>
    <w:rsid w:val="26AB0E96"/>
    <w:rsid w:val="26D57446"/>
    <w:rsid w:val="26DF753D"/>
    <w:rsid w:val="26F42FD1"/>
    <w:rsid w:val="26FB3D55"/>
    <w:rsid w:val="26FD6EE4"/>
    <w:rsid w:val="27167136"/>
    <w:rsid w:val="271B474C"/>
    <w:rsid w:val="271F6798"/>
    <w:rsid w:val="27291C14"/>
    <w:rsid w:val="272D3ADF"/>
    <w:rsid w:val="27457610"/>
    <w:rsid w:val="2768048C"/>
    <w:rsid w:val="27A504B9"/>
    <w:rsid w:val="27A6495D"/>
    <w:rsid w:val="27D54102"/>
    <w:rsid w:val="27FD29EE"/>
    <w:rsid w:val="27FF406E"/>
    <w:rsid w:val="2813470D"/>
    <w:rsid w:val="2890104A"/>
    <w:rsid w:val="289C18BC"/>
    <w:rsid w:val="28B37C54"/>
    <w:rsid w:val="28B4591D"/>
    <w:rsid w:val="28CF5334"/>
    <w:rsid w:val="28DD687E"/>
    <w:rsid w:val="28DD6A42"/>
    <w:rsid w:val="28E441EA"/>
    <w:rsid w:val="28F95A74"/>
    <w:rsid w:val="29015BC3"/>
    <w:rsid w:val="290D6316"/>
    <w:rsid w:val="2916215C"/>
    <w:rsid w:val="291B0A33"/>
    <w:rsid w:val="292A511A"/>
    <w:rsid w:val="294A57BC"/>
    <w:rsid w:val="29604312"/>
    <w:rsid w:val="29A104CA"/>
    <w:rsid w:val="29C31994"/>
    <w:rsid w:val="29EC6874"/>
    <w:rsid w:val="2A3B3A33"/>
    <w:rsid w:val="2A564D67"/>
    <w:rsid w:val="2A5E7AA0"/>
    <w:rsid w:val="2A73664D"/>
    <w:rsid w:val="2A8936CA"/>
    <w:rsid w:val="2A97233B"/>
    <w:rsid w:val="2AA1765E"/>
    <w:rsid w:val="2ABC587B"/>
    <w:rsid w:val="2AE80DE9"/>
    <w:rsid w:val="2AFC6660"/>
    <w:rsid w:val="2B1A4D1A"/>
    <w:rsid w:val="2B4D6E9E"/>
    <w:rsid w:val="2B522706"/>
    <w:rsid w:val="2B632B65"/>
    <w:rsid w:val="2B804EAD"/>
    <w:rsid w:val="2B956D74"/>
    <w:rsid w:val="2BC3094D"/>
    <w:rsid w:val="2BFE4851"/>
    <w:rsid w:val="2C071743"/>
    <w:rsid w:val="2C4E2ECE"/>
    <w:rsid w:val="2C6170A5"/>
    <w:rsid w:val="2C666469"/>
    <w:rsid w:val="2C8E59C0"/>
    <w:rsid w:val="2CC17B44"/>
    <w:rsid w:val="2CE463B3"/>
    <w:rsid w:val="2CEF46B1"/>
    <w:rsid w:val="2D1063D5"/>
    <w:rsid w:val="2D121481"/>
    <w:rsid w:val="2D88240F"/>
    <w:rsid w:val="2D915768"/>
    <w:rsid w:val="2DBB0A37"/>
    <w:rsid w:val="2DED7FEE"/>
    <w:rsid w:val="2DEE1567"/>
    <w:rsid w:val="2E0B72F2"/>
    <w:rsid w:val="2E291E44"/>
    <w:rsid w:val="2E3B5280"/>
    <w:rsid w:val="2E426015"/>
    <w:rsid w:val="2E5D564A"/>
    <w:rsid w:val="2E693FEF"/>
    <w:rsid w:val="2E936F1E"/>
    <w:rsid w:val="2E964E15"/>
    <w:rsid w:val="2E9B6172"/>
    <w:rsid w:val="2EE76DAB"/>
    <w:rsid w:val="2EF04710"/>
    <w:rsid w:val="2EF835C5"/>
    <w:rsid w:val="2F77273B"/>
    <w:rsid w:val="2F846413"/>
    <w:rsid w:val="2F996B56"/>
    <w:rsid w:val="2FBB224C"/>
    <w:rsid w:val="2FD63906"/>
    <w:rsid w:val="2FEF2C1A"/>
    <w:rsid w:val="2FFF5140"/>
    <w:rsid w:val="303B19BB"/>
    <w:rsid w:val="303D1BD7"/>
    <w:rsid w:val="3049057C"/>
    <w:rsid w:val="30550CCF"/>
    <w:rsid w:val="305F38FB"/>
    <w:rsid w:val="30894E1C"/>
    <w:rsid w:val="308E2433"/>
    <w:rsid w:val="30EE2B85"/>
    <w:rsid w:val="31104BF6"/>
    <w:rsid w:val="311D0D4C"/>
    <w:rsid w:val="31376626"/>
    <w:rsid w:val="31447D35"/>
    <w:rsid w:val="31B15E56"/>
    <w:rsid w:val="31F13CA3"/>
    <w:rsid w:val="32104CEA"/>
    <w:rsid w:val="32221084"/>
    <w:rsid w:val="322748ED"/>
    <w:rsid w:val="323629ED"/>
    <w:rsid w:val="323808A8"/>
    <w:rsid w:val="32476D3D"/>
    <w:rsid w:val="325A370E"/>
    <w:rsid w:val="32794A1C"/>
    <w:rsid w:val="32B75C71"/>
    <w:rsid w:val="32CB171C"/>
    <w:rsid w:val="32F0569E"/>
    <w:rsid w:val="332C6F59"/>
    <w:rsid w:val="333B75B5"/>
    <w:rsid w:val="334760AD"/>
    <w:rsid w:val="337D2302"/>
    <w:rsid w:val="338840C3"/>
    <w:rsid w:val="33C63C91"/>
    <w:rsid w:val="33FD488B"/>
    <w:rsid w:val="34153244"/>
    <w:rsid w:val="343B467F"/>
    <w:rsid w:val="34452E08"/>
    <w:rsid w:val="344F0E54"/>
    <w:rsid w:val="34533777"/>
    <w:rsid w:val="34757B91"/>
    <w:rsid w:val="34AE30A3"/>
    <w:rsid w:val="34B7733E"/>
    <w:rsid w:val="34BF5C9B"/>
    <w:rsid w:val="34D7310F"/>
    <w:rsid w:val="34DE4EC9"/>
    <w:rsid w:val="34FE3B15"/>
    <w:rsid w:val="3502519D"/>
    <w:rsid w:val="35270097"/>
    <w:rsid w:val="35401C2F"/>
    <w:rsid w:val="35610116"/>
    <w:rsid w:val="356C0CEF"/>
    <w:rsid w:val="35771918"/>
    <w:rsid w:val="3579479B"/>
    <w:rsid w:val="357D4824"/>
    <w:rsid w:val="35D501BC"/>
    <w:rsid w:val="35D5640E"/>
    <w:rsid w:val="35F13A8D"/>
    <w:rsid w:val="360016DD"/>
    <w:rsid w:val="36200D59"/>
    <w:rsid w:val="362C28E4"/>
    <w:rsid w:val="36313986"/>
    <w:rsid w:val="364B03DB"/>
    <w:rsid w:val="3659703F"/>
    <w:rsid w:val="36825C31"/>
    <w:rsid w:val="36AA0D2F"/>
    <w:rsid w:val="36AE20F8"/>
    <w:rsid w:val="36BD19ED"/>
    <w:rsid w:val="36D6068F"/>
    <w:rsid w:val="37010470"/>
    <w:rsid w:val="3727738D"/>
    <w:rsid w:val="37465815"/>
    <w:rsid w:val="374750E9"/>
    <w:rsid w:val="375C6DE7"/>
    <w:rsid w:val="37722DB9"/>
    <w:rsid w:val="37734616"/>
    <w:rsid w:val="377759CE"/>
    <w:rsid w:val="37A96549"/>
    <w:rsid w:val="37CD1A92"/>
    <w:rsid w:val="37FA215C"/>
    <w:rsid w:val="3801126E"/>
    <w:rsid w:val="38172D0E"/>
    <w:rsid w:val="38174ABC"/>
    <w:rsid w:val="38184646"/>
    <w:rsid w:val="38266A45"/>
    <w:rsid w:val="38471845"/>
    <w:rsid w:val="385122F2"/>
    <w:rsid w:val="385B7D0A"/>
    <w:rsid w:val="3872263A"/>
    <w:rsid w:val="38D02EDF"/>
    <w:rsid w:val="392A081F"/>
    <w:rsid w:val="39477622"/>
    <w:rsid w:val="39641F82"/>
    <w:rsid w:val="3995213C"/>
    <w:rsid w:val="39AB7BB1"/>
    <w:rsid w:val="39B93316"/>
    <w:rsid w:val="39C42A21"/>
    <w:rsid w:val="39CC0C76"/>
    <w:rsid w:val="3A0B68A2"/>
    <w:rsid w:val="3A3D3746"/>
    <w:rsid w:val="3A4F678F"/>
    <w:rsid w:val="3A5C70FE"/>
    <w:rsid w:val="3A5F086E"/>
    <w:rsid w:val="3A6366DE"/>
    <w:rsid w:val="3A8E2F72"/>
    <w:rsid w:val="3AA429DB"/>
    <w:rsid w:val="3AAB598F"/>
    <w:rsid w:val="3AB72586"/>
    <w:rsid w:val="3AC21656"/>
    <w:rsid w:val="3ACF2D0A"/>
    <w:rsid w:val="3AE27603"/>
    <w:rsid w:val="3B0C034B"/>
    <w:rsid w:val="3B163750"/>
    <w:rsid w:val="3B4503AF"/>
    <w:rsid w:val="3B677B08"/>
    <w:rsid w:val="3B7C35D0"/>
    <w:rsid w:val="3B9D5C20"/>
    <w:rsid w:val="3BB00D7F"/>
    <w:rsid w:val="3BB31535"/>
    <w:rsid w:val="3BB64FAE"/>
    <w:rsid w:val="3BD602EF"/>
    <w:rsid w:val="3BD80A06"/>
    <w:rsid w:val="3C0A7EA2"/>
    <w:rsid w:val="3C0F1441"/>
    <w:rsid w:val="3C1063F2"/>
    <w:rsid w:val="3C1732DC"/>
    <w:rsid w:val="3C2B7832"/>
    <w:rsid w:val="3C3C71E7"/>
    <w:rsid w:val="3C854A1F"/>
    <w:rsid w:val="3CAB7EC8"/>
    <w:rsid w:val="3CC03974"/>
    <w:rsid w:val="3CCC16E4"/>
    <w:rsid w:val="3CD63197"/>
    <w:rsid w:val="3CEA4B96"/>
    <w:rsid w:val="3D2A5DFB"/>
    <w:rsid w:val="3D3A1978"/>
    <w:rsid w:val="3D42082D"/>
    <w:rsid w:val="3D595B76"/>
    <w:rsid w:val="3D5D4772"/>
    <w:rsid w:val="3D8A7087"/>
    <w:rsid w:val="3D8C7CFA"/>
    <w:rsid w:val="3DAF71B4"/>
    <w:rsid w:val="3DC456E6"/>
    <w:rsid w:val="3DC6320C"/>
    <w:rsid w:val="3DCB25D0"/>
    <w:rsid w:val="3DD27A1C"/>
    <w:rsid w:val="3E300A30"/>
    <w:rsid w:val="3E7205D3"/>
    <w:rsid w:val="3E762CD2"/>
    <w:rsid w:val="3E7D047A"/>
    <w:rsid w:val="3E7D5DE5"/>
    <w:rsid w:val="3E9F580B"/>
    <w:rsid w:val="3ED23E32"/>
    <w:rsid w:val="3EED2A1A"/>
    <w:rsid w:val="3EF73899"/>
    <w:rsid w:val="3F114C30"/>
    <w:rsid w:val="3F12422F"/>
    <w:rsid w:val="3F1735F3"/>
    <w:rsid w:val="3F1E423D"/>
    <w:rsid w:val="3F277CDA"/>
    <w:rsid w:val="3F446ADE"/>
    <w:rsid w:val="3F9A222F"/>
    <w:rsid w:val="3FA34CDD"/>
    <w:rsid w:val="3FAC01DF"/>
    <w:rsid w:val="3FAE525E"/>
    <w:rsid w:val="3FCC680A"/>
    <w:rsid w:val="3FE03D4A"/>
    <w:rsid w:val="3FFA719D"/>
    <w:rsid w:val="401B0D58"/>
    <w:rsid w:val="404B49C3"/>
    <w:rsid w:val="40642868"/>
    <w:rsid w:val="40905D53"/>
    <w:rsid w:val="40A4535A"/>
    <w:rsid w:val="40CB7D15"/>
    <w:rsid w:val="40DA6FCE"/>
    <w:rsid w:val="411B16D3"/>
    <w:rsid w:val="412070D7"/>
    <w:rsid w:val="41235E02"/>
    <w:rsid w:val="412B7110"/>
    <w:rsid w:val="414544E4"/>
    <w:rsid w:val="41895FC6"/>
    <w:rsid w:val="418F7718"/>
    <w:rsid w:val="41A2306B"/>
    <w:rsid w:val="41AB10A9"/>
    <w:rsid w:val="41AE6491"/>
    <w:rsid w:val="41B01BE8"/>
    <w:rsid w:val="41B4616B"/>
    <w:rsid w:val="41CC6917"/>
    <w:rsid w:val="41D25EA6"/>
    <w:rsid w:val="41D61543"/>
    <w:rsid w:val="41E023C2"/>
    <w:rsid w:val="41F540C0"/>
    <w:rsid w:val="42213106"/>
    <w:rsid w:val="422E0237"/>
    <w:rsid w:val="422E312E"/>
    <w:rsid w:val="42317A80"/>
    <w:rsid w:val="42426BD9"/>
    <w:rsid w:val="424B0183"/>
    <w:rsid w:val="426254CD"/>
    <w:rsid w:val="42672AE3"/>
    <w:rsid w:val="426978F3"/>
    <w:rsid w:val="427354AA"/>
    <w:rsid w:val="427A437C"/>
    <w:rsid w:val="42FC322C"/>
    <w:rsid w:val="433D76CF"/>
    <w:rsid w:val="433E1A96"/>
    <w:rsid w:val="43445F02"/>
    <w:rsid w:val="434A053E"/>
    <w:rsid w:val="434A0702"/>
    <w:rsid w:val="435B4D37"/>
    <w:rsid w:val="43C845C3"/>
    <w:rsid w:val="43D36633"/>
    <w:rsid w:val="440C749E"/>
    <w:rsid w:val="441F6F0C"/>
    <w:rsid w:val="44203F85"/>
    <w:rsid w:val="442E5667"/>
    <w:rsid w:val="44476729"/>
    <w:rsid w:val="44616D40"/>
    <w:rsid w:val="44976795"/>
    <w:rsid w:val="44C15470"/>
    <w:rsid w:val="44C333F6"/>
    <w:rsid w:val="44C36444"/>
    <w:rsid w:val="44D202F8"/>
    <w:rsid w:val="44DD7170"/>
    <w:rsid w:val="44DE708D"/>
    <w:rsid w:val="44E50E79"/>
    <w:rsid w:val="44FA379B"/>
    <w:rsid w:val="44FE4A6F"/>
    <w:rsid w:val="450308A1"/>
    <w:rsid w:val="453C0257"/>
    <w:rsid w:val="45513D03"/>
    <w:rsid w:val="4565330A"/>
    <w:rsid w:val="45991206"/>
    <w:rsid w:val="45BA27F4"/>
    <w:rsid w:val="45BC262E"/>
    <w:rsid w:val="45CC547D"/>
    <w:rsid w:val="463D789F"/>
    <w:rsid w:val="465A12E5"/>
    <w:rsid w:val="46686840"/>
    <w:rsid w:val="46971BE9"/>
    <w:rsid w:val="46D22C21"/>
    <w:rsid w:val="46E75FA1"/>
    <w:rsid w:val="47017063"/>
    <w:rsid w:val="470703F1"/>
    <w:rsid w:val="470706B6"/>
    <w:rsid w:val="4711558D"/>
    <w:rsid w:val="47190850"/>
    <w:rsid w:val="471A6376"/>
    <w:rsid w:val="473276AB"/>
    <w:rsid w:val="473A2575"/>
    <w:rsid w:val="474927B8"/>
    <w:rsid w:val="474B29D4"/>
    <w:rsid w:val="476475F1"/>
    <w:rsid w:val="477A232E"/>
    <w:rsid w:val="478101A3"/>
    <w:rsid w:val="478872E6"/>
    <w:rsid w:val="479B74B7"/>
    <w:rsid w:val="47B75973"/>
    <w:rsid w:val="47CF7161"/>
    <w:rsid w:val="47E30E5E"/>
    <w:rsid w:val="47FF1A67"/>
    <w:rsid w:val="48021F7D"/>
    <w:rsid w:val="480A2FBE"/>
    <w:rsid w:val="48411F89"/>
    <w:rsid w:val="48457423"/>
    <w:rsid w:val="486F44A0"/>
    <w:rsid w:val="488E157C"/>
    <w:rsid w:val="488F1019"/>
    <w:rsid w:val="489D4D45"/>
    <w:rsid w:val="48A50E09"/>
    <w:rsid w:val="48AE3F11"/>
    <w:rsid w:val="48B34581"/>
    <w:rsid w:val="48BD7EE4"/>
    <w:rsid w:val="48C06AA9"/>
    <w:rsid w:val="48F350D1"/>
    <w:rsid w:val="494E5F58"/>
    <w:rsid w:val="49526AE9"/>
    <w:rsid w:val="495539C5"/>
    <w:rsid w:val="49751E33"/>
    <w:rsid w:val="49804BB7"/>
    <w:rsid w:val="49E862B8"/>
    <w:rsid w:val="4A0A26D2"/>
    <w:rsid w:val="4A1946C3"/>
    <w:rsid w:val="4A27131C"/>
    <w:rsid w:val="4A3E237C"/>
    <w:rsid w:val="4A4B32FD"/>
    <w:rsid w:val="4A4E3944"/>
    <w:rsid w:val="4A7B35D0"/>
    <w:rsid w:val="4AAE12AF"/>
    <w:rsid w:val="4AAE31AA"/>
    <w:rsid w:val="4AC317E6"/>
    <w:rsid w:val="4AD93E52"/>
    <w:rsid w:val="4AE051E1"/>
    <w:rsid w:val="4AE7656F"/>
    <w:rsid w:val="4B5F335A"/>
    <w:rsid w:val="4B751938"/>
    <w:rsid w:val="4B840262"/>
    <w:rsid w:val="4BA91A77"/>
    <w:rsid w:val="4BAF6102"/>
    <w:rsid w:val="4BBF74EC"/>
    <w:rsid w:val="4BCB40E3"/>
    <w:rsid w:val="4BD765E4"/>
    <w:rsid w:val="4BE67E16"/>
    <w:rsid w:val="4BEE392E"/>
    <w:rsid w:val="4C1B0BC7"/>
    <w:rsid w:val="4C235CCD"/>
    <w:rsid w:val="4C324162"/>
    <w:rsid w:val="4C3677AE"/>
    <w:rsid w:val="4C5424E4"/>
    <w:rsid w:val="4C6A036A"/>
    <w:rsid w:val="4C79769B"/>
    <w:rsid w:val="4C7E4CB1"/>
    <w:rsid w:val="4C914A2C"/>
    <w:rsid w:val="4CA010CC"/>
    <w:rsid w:val="4CAA1F4A"/>
    <w:rsid w:val="4CBA03DF"/>
    <w:rsid w:val="4CC629D5"/>
    <w:rsid w:val="4CD9638C"/>
    <w:rsid w:val="4CFB4554"/>
    <w:rsid w:val="4D037CA3"/>
    <w:rsid w:val="4D21045F"/>
    <w:rsid w:val="4D477799"/>
    <w:rsid w:val="4D532D26"/>
    <w:rsid w:val="4D536CE8"/>
    <w:rsid w:val="4D665E71"/>
    <w:rsid w:val="4D8B1D7C"/>
    <w:rsid w:val="4D924EB8"/>
    <w:rsid w:val="4D9D1381"/>
    <w:rsid w:val="4DA449D2"/>
    <w:rsid w:val="4DE2784F"/>
    <w:rsid w:val="4DFA480C"/>
    <w:rsid w:val="4E1C4782"/>
    <w:rsid w:val="4E211996"/>
    <w:rsid w:val="4E716678"/>
    <w:rsid w:val="4E8011B5"/>
    <w:rsid w:val="4E804223"/>
    <w:rsid w:val="4E903BC7"/>
    <w:rsid w:val="4EB64BD7"/>
    <w:rsid w:val="4EBA011B"/>
    <w:rsid w:val="4EC72940"/>
    <w:rsid w:val="4EC933D2"/>
    <w:rsid w:val="4ECA68D4"/>
    <w:rsid w:val="4EDA42FA"/>
    <w:rsid w:val="4F155DA1"/>
    <w:rsid w:val="4F351202"/>
    <w:rsid w:val="4F427062"/>
    <w:rsid w:val="4F727462"/>
    <w:rsid w:val="4FB60E72"/>
    <w:rsid w:val="4FB64B8F"/>
    <w:rsid w:val="4FB84CBA"/>
    <w:rsid w:val="4FDF40C0"/>
    <w:rsid w:val="4FEA3FDA"/>
    <w:rsid w:val="4FEF31B4"/>
    <w:rsid w:val="4FF36048"/>
    <w:rsid w:val="50200547"/>
    <w:rsid w:val="502B33A2"/>
    <w:rsid w:val="50455C2E"/>
    <w:rsid w:val="50662865"/>
    <w:rsid w:val="50811214"/>
    <w:rsid w:val="5086682B"/>
    <w:rsid w:val="50895469"/>
    <w:rsid w:val="5099030C"/>
    <w:rsid w:val="50A8054F"/>
    <w:rsid w:val="50AA565F"/>
    <w:rsid w:val="50AB75F6"/>
    <w:rsid w:val="50D233FD"/>
    <w:rsid w:val="50E84DEF"/>
    <w:rsid w:val="50E8793A"/>
    <w:rsid w:val="51122237"/>
    <w:rsid w:val="51165E00"/>
    <w:rsid w:val="51254295"/>
    <w:rsid w:val="51323F3D"/>
    <w:rsid w:val="513D08D8"/>
    <w:rsid w:val="51490F5C"/>
    <w:rsid w:val="514C537E"/>
    <w:rsid w:val="51553C37"/>
    <w:rsid w:val="515F1555"/>
    <w:rsid w:val="51734070"/>
    <w:rsid w:val="5181771E"/>
    <w:rsid w:val="51894B77"/>
    <w:rsid w:val="51917235"/>
    <w:rsid w:val="519D2D48"/>
    <w:rsid w:val="51A7386E"/>
    <w:rsid w:val="51AD345E"/>
    <w:rsid w:val="51AD440F"/>
    <w:rsid w:val="51BB6BEF"/>
    <w:rsid w:val="51CB0999"/>
    <w:rsid w:val="51CE2E15"/>
    <w:rsid w:val="51EB103B"/>
    <w:rsid w:val="51FB0B52"/>
    <w:rsid w:val="52262073"/>
    <w:rsid w:val="522B1438"/>
    <w:rsid w:val="52632BDB"/>
    <w:rsid w:val="52666914"/>
    <w:rsid w:val="52A7419F"/>
    <w:rsid w:val="52AE3D0C"/>
    <w:rsid w:val="52DA30A5"/>
    <w:rsid w:val="52F263F9"/>
    <w:rsid w:val="537868FE"/>
    <w:rsid w:val="5382152B"/>
    <w:rsid w:val="53C75190"/>
    <w:rsid w:val="53FD0BB2"/>
    <w:rsid w:val="5408251D"/>
    <w:rsid w:val="54183C3E"/>
    <w:rsid w:val="541C5848"/>
    <w:rsid w:val="54624EB9"/>
    <w:rsid w:val="54640C31"/>
    <w:rsid w:val="546E6190"/>
    <w:rsid w:val="547017F8"/>
    <w:rsid w:val="548240CD"/>
    <w:rsid w:val="54857525"/>
    <w:rsid w:val="54936357"/>
    <w:rsid w:val="54977258"/>
    <w:rsid w:val="549C3CA0"/>
    <w:rsid w:val="54B716A8"/>
    <w:rsid w:val="54C620A2"/>
    <w:rsid w:val="54C829F5"/>
    <w:rsid w:val="54E104AF"/>
    <w:rsid w:val="551B5042"/>
    <w:rsid w:val="55202DAA"/>
    <w:rsid w:val="5520724E"/>
    <w:rsid w:val="552503C0"/>
    <w:rsid w:val="5559450E"/>
    <w:rsid w:val="5581229A"/>
    <w:rsid w:val="558C43EA"/>
    <w:rsid w:val="55DC64DA"/>
    <w:rsid w:val="55DD638A"/>
    <w:rsid w:val="55F04E72"/>
    <w:rsid w:val="55F33BA2"/>
    <w:rsid w:val="55F35DF2"/>
    <w:rsid w:val="560E576D"/>
    <w:rsid w:val="5618214E"/>
    <w:rsid w:val="56325EB0"/>
    <w:rsid w:val="563D3E2F"/>
    <w:rsid w:val="56467571"/>
    <w:rsid w:val="568F1225"/>
    <w:rsid w:val="56B91708"/>
    <w:rsid w:val="56BA0FDC"/>
    <w:rsid w:val="56C41E5B"/>
    <w:rsid w:val="56F50266"/>
    <w:rsid w:val="56FB2042"/>
    <w:rsid w:val="571C1C97"/>
    <w:rsid w:val="571F0F7D"/>
    <w:rsid w:val="573A3ECB"/>
    <w:rsid w:val="574A02E3"/>
    <w:rsid w:val="57CA22E0"/>
    <w:rsid w:val="57CF6D09"/>
    <w:rsid w:val="58002A29"/>
    <w:rsid w:val="58226A99"/>
    <w:rsid w:val="58256929"/>
    <w:rsid w:val="585A130E"/>
    <w:rsid w:val="586C27AA"/>
    <w:rsid w:val="588E2720"/>
    <w:rsid w:val="589A2E73"/>
    <w:rsid w:val="58A4192B"/>
    <w:rsid w:val="58AF298D"/>
    <w:rsid w:val="58CD3249"/>
    <w:rsid w:val="58D12E0C"/>
    <w:rsid w:val="58F636BF"/>
    <w:rsid w:val="5915074C"/>
    <w:rsid w:val="59172716"/>
    <w:rsid w:val="59402547"/>
    <w:rsid w:val="5968092A"/>
    <w:rsid w:val="59851D75"/>
    <w:rsid w:val="59A93F65"/>
    <w:rsid w:val="59AA17DC"/>
    <w:rsid w:val="59B14E01"/>
    <w:rsid w:val="59D601F1"/>
    <w:rsid w:val="5A1F5D26"/>
    <w:rsid w:val="5A225816"/>
    <w:rsid w:val="5A4532B2"/>
    <w:rsid w:val="5A715E56"/>
    <w:rsid w:val="5A737511"/>
    <w:rsid w:val="5A765E11"/>
    <w:rsid w:val="5A8A11E4"/>
    <w:rsid w:val="5A986507"/>
    <w:rsid w:val="5A9D5DB2"/>
    <w:rsid w:val="5AA1496E"/>
    <w:rsid w:val="5ABF6998"/>
    <w:rsid w:val="5AD957AE"/>
    <w:rsid w:val="5AF01470"/>
    <w:rsid w:val="5AF10470"/>
    <w:rsid w:val="5AFE1DDF"/>
    <w:rsid w:val="5B1C4013"/>
    <w:rsid w:val="5B24736C"/>
    <w:rsid w:val="5B4041A6"/>
    <w:rsid w:val="5B5479F7"/>
    <w:rsid w:val="5B767BC7"/>
    <w:rsid w:val="5B885B4D"/>
    <w:rsid w:val="5B8878FB"/>
    <w:rsid w:val="5B8D3163"/>
    <w:rsid w:val="5BFB1E7B"/>
    <w:rsid w:val="5BFB409E"/>
    <w:rsid w:val="5BFC461E"/>
    <w:rsid w:val="5C0D0AA3"/>
    <w:rsid w:val="5C1947DF"/>
    <w:rsid w:val="5C1967A5"/>
    <w:rsid w:val="5C2C472A"/>
    <w:rsid w:val="5C3A1EDF"/>
    <w:rsid w:val="5C425CFC"/>
    <w:rsid w:val="5C8C341B"/>
    <w:rsid w:val="5C8D7FBF"/>
    <w:rsid w:val="5C910581"/>
    <w:rsid w:val="5CA02A22"/>
    <w:rsid w:val="5CB00EB7"/>
    <w:rsid w:val="5CBF559E"/>
    <w:rsid w:val="5CCB5BB8"/>
    <w:rsid w:val="5CE24279"/>
    <w:rsid w:val="5CFC40FC"/>
    <w:rsid w:val="5CFF1E3E"/>
    <w:rsid w:val="5D1A637C"/>
    <w:rsid w:val="5D1C479E"/>
    <w:rsid w:val="5D1C5F3B"/>
    <w:rsid w:val="5D3430F6"/>
    <w:rsid w:val="5D4C5A1B"/>
    <w:rsid w:val="5D5C4B9B"/>
    <w:rsid w:val="5D6677C8"/>
    <w:rsid w:val="5D870E20"/>
    <w:rsid w:val="5D997B9D"/>
    <w:rsid w:val="5DB205B8"/>
    <w:rsid w:val="5DB3780B"/>
    <w:rsid w:val="5DEE7DDB"/>
    <w:rsid w:val="5E296A32"/>
    <w:rsid w:val="5E40270F"/>
    <w:rsid w:val="5E451714"/>
    <w:rsid w:val="5E604B5F"/>
    <w:rsid w:val="5E642C1E"/>
    <w:rsid w:val="5E8A637B"/>
    <w:rsid w:val="5E942587"/>
    <w:rsid w:val="5EA26F25"/>
    <w:rsid w:val="5EB62F90"/>
    <w:rsid w:val="5EDA046D"/>
    <w:rsid w:val="5EF63A66"/>
    <w:rsid w:val="5F1E2284"/>
    <w:rsid w:val="5F2703F7"/>
    <w:rsid w:val="5F405755"/>
    <w:rsid w:val="5F775CBC"/>
    <w:rsid w:val="5F9A5E4E"/>
    <w:rsid w:val="5FA3153B"/>
    <w:rsid w:val="5FA76AA8"/>
    <w:rsid w:val="5FB962D5"/>
    <w:rsid w:val="5FD17AC2"/>
    <w:rsid w:val="60107EBF"/>
    <w:rsid w:val="60161979"/>
    <w:rsid w:val="6037369D"/>
    <w:rsid w:val="606A3D3A"/>
    <w:rsid w:val="606B1D7E"/>
    <w:rsid w:val="607C7302"/>
    <w:rsid w:val="60847431"/>
    <w:rsid w:val="60AC7BE7"/>
    <w:rsid w:val="60C72C73"/>
    <w:rsid w:val="61113EEE"/>
    <w:rsid w:val="612E684E"/>
    <w:rsid w:val="61812E22"/>
    <w:rsid w:val="61822C96"/>
    <w:rsid w:val="61926DDD"/>
    <w:rsid w:val="619F599E"/>
    <w:rsid w:val="61A1331A"/>
    <w:rsid w:val="61A22D98"/>
    <w:rsid w:val="61B52ACC"/>
    <w:rsid w:val="61BC3E5A"/>
    <w:rsid w:val="61C60977"/>
    <w:rsid w:val="61E17D65"/>
    <w:rsid w:val="61E77036"/>
    <w:rsid w:val="61F53810"/>
    <w:rsid w:val="61FF01EB"/>
    <w:rsid w:val="622D2FAA"/>
    <w:rsid w:val="6234234D"/>
    <w:rsid w:val="623F608E"/>
    <w:rsid w:val="625B6A9B"/>
    <w:rsid w:val="62726C0F"/>
    <w:rsid w:val="6292105F"/>
    <w:rsid w:val="62E775FD"/>
    <w:rsid w:val="62EC4C13"/>
    <w:rsid w:val="62FF66F4"/>
    <w:rsid w:val="630D670F"/>
    <w:rsid w:val="631877B6"/>
    <w:rsid w:val="63786ADC"/>
    <w:rsid w:val="637D216D"/>
    <w:rsid w:val="638473F6"/>
    <w:rsid w:val="638766EA"/>
    <w:rsid w:val="638B61DA"/>
    <w:rsid w:val="63C811DC"/>
    <w:rsid w:val="63F14025"/>
    <w:rsid w:val="63F73EC8"/>
    <w:rsid w:val="641B57B0"/>
    <w:rsid w:val="643364F2"/>
    <w:rsid w:val="64574D14"/>
    <w:rsid w:val="64754C21"/>
    <w:rsid w:val="64A45122"/>
    <w:rsid w:val="64C01EB3"/>
    <w:rsid w:val="64C23E7D"/>
    <w:rsid w:val="64D14795"/>
    <w:rsid w:val="64F71E63"/>
    <w:rsid w:val="64FD4EB5"/>
    <w:rsid w:val="650B3674"/>
    <w:rsid w:val="651641C9"/>
    <w:rsid w:val="651E6BDA"/>
    <w:rsid w:val="65312DB1"/>
    <w:rsid w:val="653231E0"/>
    <w:rsid w:val="654B64F1"/>
    <w:rsid w:val="654B66B5"/>
    <w:rsid w:val="65895F06"/>
    <w:rsid w:val="658F7C81"/>
    <w:rsid w:val="65913850"/>
    <w:rsid w:val="659F41BF"/>
    <w:rsid w:val="65A05841"/>
    <w:rsid w:val="65E46C8B"/>
    <w:rsid w:val="660B53B0"/>
    <w:rsid w:val="6625038E"/>
    <w:rsid w:val="66285F62"/>
    <w:rsid w:val="662C350F"/>
    <w:rsid w:val="665603F0"/>
    <w:rsid w:val="66740704"/>
    <w:rsid w:val="667C1BC8"/>
    <w:rsid w:val="66846347"/>
    <w:rsid w:val="668908DE"/>
    <w:rsid w:val="66A55EB2"/>
    <w:rsid w:val="66CC190A"/>
    <w:rsid w:val="66E27AE8"/>
    <w:rsid w:val="66F61BBC"/>
    <w:rsid w:val="672901E4"/>
    <w:rsid w:val="67302D72"/>
    <w:rsid w:val="67380427"/>
    <w:rsid w:val="67452E4F"/>
    <w:rsid w:val="675B29A9"/>
    <w:rsid w:val="676B2854"/>
    <w:rsid w:val="67741CB9"/>
    <w:rsid w:val="677B7EFA"/>
    <w:rsid w:val="678E15A1"/>
    <w:rsid w:val="678F3DBF"/>
    <w:rsid w:val="67931B01"/>
    <w:rsid w:val="67A71E17"/>
    <w:rsid w:val="67BB7E1A"/>
    <w:rsid w:val="67F56318"/>
    <w:rsid w:val="68165224"/>
    <w:rsid w:val="68183DB4"/>
    <w:rsid w:val="68282249"/>
    <w:rsid w:val="683F3A37"/>
    <w:rsid w:val="686B0388"/>
    <w:rsid w:val="68AA0334"/>
    <w:rsid w:val="68AB6990"/>
    <w:rsid w:val="68C161FA"/>
    <w:rsid w:val="68CF7072"/>
    <w:rsid w:val="68D87BDF"/>
    <w:rsid w:val="68D91796"/>
    <w:rsid w:val="68DB3A27"/>
    <w:rsid w:val="68DC5257"/>
    <w:rsid w:val="68E00D76"/>
    <w:rsid w:val="68EE2E29"/>
    <w:rsid w:val="68EF0FB9"/>
    <w:rsid w:val="691A3C19"/>
    <w:rsid w:val="694035C3"/>
    <w:rsid w:val="69554C2C"/>
    <w:rsid w:val="69787200"/>
    <w:rsid w:val="6978790C"/>
    <w:rsid w:val="698614C8"/>
    <w:rsid w:val="69A47FF6"/>
    <w:rsid w:val="69C2222A"/>
    <w:rsid w:val="69E403F2"/>
    <w:rsid w:val="69EB1C71"/>
    <w:rsid w:val="69F97D3B"/>
    <w:rsid w:val="6A026ACA"/>
    <w:rsid w:val="6A146F17"/>
    <w:rsid w:val="6A1C5DDE"/>
    <w:rsid w:val="6A220F1A"/>
    <w:rsid w:val="6A222705"/>
    <w:rsid w:val="6A633A0D"/>
    <w:rsid w:val="6A6F45C3"/>
    <w:rsid w:val="6A7E0B45"/>
    <w:rsid w:val="6A9C6F59"/>
    <w:rsid w:val="6AB32CFC"/>
    <w:rsid w:val="6AC42137"/>
    <w:rsid w:val="6ACB0C44"/>
    <w:rsid w:val="6B1741DF"/>
    <w:rsid w:val="6B453112"/>
    <w:rsid w:val="6B562DA7"/>
    <w:rsid w:val="6B5B1630"/>
    <w:rsid w:val="6B634AD6"/>
    <w:rsid w:val="6B635940"/>
    <w:rsid w:val="6B6C5EC5"/>
    <w:rsid w:val="6B6E08BB"/>
    <w:rsid w:val="6B6F1F3D"/>
    <w:rsid w:val="6B721F30"/>
    <w:rsid w:val="6B9E5569"/>
    <w:rsid w:val="6BBD714D"/>
    <w:rsid w:val="6BCE7483"/>
    <w:rsid w:val="6BD23610"/>
    <w:rsid w:val="6BDD3D14"/>
    <w:rsid w:val="6BE26BB3"/>
    <w:rsid w:val="6BE740BE"/>
    <w:rsid w:val="6C042FCD"/>
    <w:rsid w:val="6C116020"/>
    <w:rsid w:val="6C511909"/>
    <w:rsid w:val="6C515553"/>
    <w:rsid w:val="6C585E4D"/>
    <w:rsid w:val="6C832144"/>
    <w:rsid w:val="6C976C1F"/>
    <w:rsid w:val="6CA125CA"/>
    <w:rsid w:val="6CA9147F"/>
    <w:rsid w:val="6CB26586"/>
    <w:rsid w:val="6CC30793"/>
    <w:rsid w:val="6CC85DA9"/>
    <w:rsid w:val="6CD96208"/>
    <w:rsid w:val="6CDE737B"/>
    <w:rsid w:val="6CE626D3"/>
    <w:rsid w:val="6CF90658"/>
    <w:rsid w:val="6D093DD5"/>
    <w:rsid w:val="6D286848"/>
    <w:rsid w:val="6D3708FB"/>
    <w:rsid w:val="6D3C66A0"/>
    <w:rsid w:val="6D496A5A"/>
    <w:rsid w:val="6D6A50B2"/>
    <w:rsid w:val="6D7D3037"/>
    <w:rsid w:val="6D964B22"/>
    <w:rsid w:val="6DC742B3"/>
    <w:rsid w:val="6DDE1315"/>
    <w:rsid w:val="6DE07122"/>
    <w:rsid w:val="6DFB0400"/>
    <w:rsid w:val="6E0031F1"/>
    <w:rsid w:val="6E1A0903"/>
    <w:rsid w:val="6E23493E"/>
    <w:rsid w:val="6E29552D"/>
    <w:rsid w:val="6E5D2F46"/>
    <w:rsid w:val="6E661451"/>
    <w:rsid w:val="6E7F1389"/>
    <w:rsid w:val="6E8B3532"/>
    <w:rsid w:val="6EAE7221"/>
    <w:rsid w:val="6EB13C8E"/>
    <w:rsid w:val="6EC10845"/>
    <w:rsid w:val="6ECB48CE"/>
    <w:rsid w:val="6ED22F0F"/>
    <w:rsid w:val="6EDF0EA2"/>
    <w:rsid w:val="6EE13152"/>
    <w:rsid w:val="6EE352C5"/>
    <w:rsid w:val="6EE82732"/>
    <w:rsid w:val="6EF03395"/>
    <w:rsid w:val="6EF50E20"/>
    <w:rsid w:val="6EFA1BDB"/>
    <w:rsid w:val="6F2C6481"/>
    <w:rsid w:val="6F3911E0"/>
    <w:rsid w:val="6F3E67F6"/>
    <w:rsid w:val="6F5953DE"/>
    <w:rsid w:val="6F7C2E7B"/>
    <w:rsid w:val="6F887A72"/>
    <w:rsid w:val="6FAF361C"/>
    <w:rsid w:val="6FC90CC0"/>
    <w:rsid w:val="6FFF0352"/>
    <w:rsid w:val="70030FCD"/>
    <w:rsid w:val="701C7146"/>
    <w:rsid w:val="708A6428"/>
    <w:rsid w:val="70BF2889"/>
    <w:rsid w:val="70D7582F"/>
    <w:rsid w:val="70E13317"/>
    <w:rsid w:val="70ED20F0"/>
    <w:rsid w:val="70FD7FEB"/>
    <w:rsid w:val="71174061"/>
    <w:rsid w:val="71184E25"/>
    <w:rsid w:val="712170AA"/>
    <w:rsid w:val="713F0604"/>
    <w:rsid w:val="715A58D2"/>
    <w:rsid w:val="715E0A8A"/>
    <w:rsid w:val="71663DE2"/>
    <w:rsid w:val="717209D9"/>
    <w:rsid w:val="71DB032D"/>
    <w:rsid w:val="71FC4D8C"/>
    <w:rsid w:val="71FD64F5"/>
    <w:rsid w:val="7207335A"/>
    <w:rsid w:val="722A12B4"/>
    <w:rsid w:val="724A54B2"/>
    <w:rsid w:val="724B2010"/>
    <w:rsid w:val="725E4ABA"/>
    <w:rsid w:val="7270316B"/>
    <w:rsid w:val="727A5D97"/>
    <w:rsid w:val="729A01E8"/>
    <w:rsid w:val="72BB015E"/>
    <w:rsid w:val="72E37031"/>
    <w:rsid w:val="72EE5E3E"/>
    <w:rsid w:val="73016E96"/>
    <w:rsid w:val="7304485C"/>
    <w:rsid w:val="7333450C"/>
    <w:rsid w:val="733F2B3D"/>
    <w:rsid w:val="735E125C"/>
    <w:rsid w:val="739F0CFB"/>
    <w:rsid w:val="73AB05A2"/>
    <w:rsid w:val="73E01C2A"/>
    <w:rsid w:val="74181EB8"/>
    <w:rsid w:val="74300D87"/>
    <w:rsid w:val="74336802"/>
    <w:rsid w:val="74563EFA"/>
    <w:rsid w:val="745F760F"/>
    <w:rsid w:val="746F2FAE"/>
    <w:rsid w:val="74956EB9"/>
    <w:rsid w:val="74D84FF7"/>
    <w:rsid w:val="74DA23F4"/>
    <w:rsid w:val="74FE287D"/>
    <w:rsid w:val="750D5096"/>
    <w:rsid w:val="75183646"/>
    <w:rsid w:val="751E57A1"/>
    <w:rsid w:val="75241FEA"/>
    <w:rsid w:val="75414E2E"/>
    <w:rsid w:val="75581C94"/>
    <w:rsid w:val="755B5EAC"/>
    <w:rsid w:val="757758AD"/>
    <w:rsid w:val="75AC7939"/>
    <w:rsid w:val="75E63744"/>
    <w:rsid w:val="75ED4AD2"/>
    <w:rsid w:val="76065B94"/>
    <w:rsid w:val="760A7432"/>
    <w:rsid w:val="762229CE"/>
    <w:rsid w:val="766C3C49"/>
    <w:rsid w:val="76742AFE"/>
    <w:rsid w:val="76A431DF"/>
    <w:rsid w:val="76A71125"/>
    <w:rsid w:val="76AA6A9D"/>
    <w:rsid w:val="76BD44A5"/>
    <w:rsid w:val="76BF646F"/>
    <w:rsid w:val="76E0164E"/>
    <w:rsid w:val="770B16B4"/>
    <w:rsid w:val="77253DF8"/>
    <w:rsid w:val="7730116A"/>
    <w:rsid w:val="77316C41"/>
    <w:rsid w:val="77440722"/>
    <w:rsid w:val="77687769"/>
    <w:rsid w:val="77707974"/>
    <w:rsid w:val="77740C7C"/>
    <w:rsid w:val="778F0700"/>
    <w:rsid w:val="779A3A7E"/>
    <w:rsid w:val="77A56C97"/>
    <w:rsid w:val="77B358A8"/>
    <w:rsid w:val="77C71871"/>
    <w:rsid w:val="780165FB"/>
    <w:rsid w:val="78025B51"/>
    <w:rsid w:val="78030EEE"/>
    <w:rsid w:val="780F6411"/>
    <w:rsid w:val="78112CFA"/>
    <w:rsid w:val="78126A72"/>
    <w:rsid w:val="781F4CEB"/>
    <w:rsid w:val="783267CC"/>
    <w:rsid w:val="784420C5"/>
    <w:rsid w:val="784E5D4C"/>
    <w:rsid w:val="784F3822"/>
    <w:rsid w:val="786848E4"/>
    <w:rsid w:val="78854455"/>
    <w:rsid w:val="7888534D"/>
    <w:rsid w:val="788A03C1"/>
    <w:rsid w:val="7890033A"/>
    <w:rsid w:val="789B79C2"/>
    <w:rsid w:val="78A638BF"/>
    <w:rsid w:val="78AE246B"/>
    <w:rsid w:val="78AF42C1"/>
    <w:rsid w:val="78C83A2D"/>
    <w:rsid w:val="78CC04D0"/>
    <w:rsid w:val="78D14237"/>
    <w:rsid w:val="78D756FA"/>
    <w:rsid w:val="78F45C2F"/>
    <w:rsid w:val="790C6D01"/>
    <w:rsid w:val="790F6B0E"/>
    <w:rsid w:val="79110AD8"/>
    <w:rsid w:val="79196FD9"/>
    <w:rsid w:val="7931667F"/>
    <w:rsid w:val="794C5FB4"/>
    <w:rsid w:val="7987219A"/>
    <w:rsid w:val="79D129F2"/>
    <w:rsid w:val="79F458A4"/>
    <w:rsid w:val="79FC6D23"/>
    <w:rsid w:val="79FD523D"/>
    <w:rsid w:val="7A580134"/>
    <w:rsid w:val="7A5F62EE"/>
    <w:rsid w:val="7A6D4434"/>
    <w:rsid w:val="7A801B3B"/>
    <w:rsid w:val="7A835199"/>
    <w:rsid w:val="7A8A0B42"/>
    <w:rsid w:val="7A9814B1"/>
    <w:rsid w:val="7A9D1C3A"/>
    <w:rsid w:val="7AB91427"/>
    <w:rsid w:val="7B272834"/>
    <w:rsid w:val="7B292109"/>
    <w:rsid w:val="7B450F0D"/>
    <w:rsid w:val="7B476A33"/>
    <w:rsid w:val="7B583A10"/>
    <w:rsid w:val="7B6018A2"/>
    <w:rsid w:val="7B76251D"/>
    <w:rsid w:val="7B777F9E"/>
    <w:rsid w:val="7B937ECA"/>
    <w:rsid w:val="7B9463F7"/>
    <w:rsid w:val="7BB17CBA"/>
    <w:rsid w:val="7BD77CBA"/>
    <w:rsid w:val="7BFA3E64"/>
    <w:rsid w:val="7C093AB5"/>
    <w:rsid w:val="7C20620A"/>
    <w:rsid w:val="7C254E23"/>
    <w:rsid w:val="7C413482"/>
    <w:rsid w:val="7CA2353B"/>
    <w:rsid w:val="7CB244A3"/>
    <w:rsid w:val="7D463234"/>
    <w:rsid w:val="7D4A45B8"/>
    <w:rsid w:val="7D4D6068"/>
    <w:rsid w:val="7D513B99"/>
    <w:rsid w:val="7D6F2271"/>
    <w:rsid w:val="7D853842"/>
    <w:rsid w:val="7D8B6BD2"/>
    <w:rsid w:val="7DD338F9"/>
    <w:rsid w:val="7DDB0EDD"/>
    <w:rsid w:val="7DE60785"/>
    <w:rsid w:val="7DEC38C1"/>
    <w:rsid w:val="7E21597E"/>
    <w:rsid w:val="7E2E7A36"/>
    <w:rsid w:val="7E3867F6"/>
    <w:rsid w:val="7E795155"/>
    <w:rsid w:val="7E7C4C45"/>
    <w:rsid w:val="7EAA7A04"/>
    <w:rsid w:val="7EEF3862"/>
    <w:rsid w:val="7F286B7B"/>
    <w:rsid w:val="7F397345"/>
    <w:rsid w:val="7F405C73"/>
    <w:rsid w:val="7F4D10AD"/>
    <w:rsid w:val="7F82628B"/>
    <w:rsid w:val="7FA426A6"/>
    <w:rsid w:val="7FAC44D4"/>
    <w:rsid w:val="7FAC50B6"/>
    <w:rsid w:val="7FAF54A8"/>
    <w:rsid w:val="7FBA71EA"/>
    <w:rsid w:val="7FC97E8B"/>
    <w:rsid w:val="7FDD3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1"/>
    <w:autoRedefine/>
    <w:qFormat/>
    <w:uiPriority w:val="9"/>
    <w:pPr>
      <w:keepNext/>
      <w:keepLines/>
      <w:jc w:val="center"/>
      <w:outlineLvl w:val="0"/>
    </w:pPr>
    <w:rPr>
      <w:rFonts w:ascii="Times New Roman" w:hAnsi="Times New Roman" w:eastAsia="宋体"/>
      <w:b/>
      <w:bCs/>
      <w:kern w:val="44"/>
      <w:sz w:val="30"/>
      <w:szCs w:val="44"/>
    </w:rPr>
  </w:style>
  <w:style w:type="paragraph" w:styleId="5">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7">
    <w:name w:val="heading 4"/>
    <w:basedOn w:val="1"/>
    <w:next w:val="1"/>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44"/>
    <w:autoRedefine/>
    <w:semiHidden/>
    <w:unhideWhenUsed/>
    <w:qFormat/>
    <w:uiPriority w:val="99"/>
    <w:pPr>
      <w:spacing w:after="120"/>
    </w:pPr>
  </w:style>
  <w:style w:type="paragraph" w:styleId="3">
    <w:name w:val="List Bullet 5"/>
    <w:basedOn w:val="1"/>
    <w:semiHidden/>
    <w:unhideWhenUsed/>
    <w:qFormat/>
    <w:uiPriority w:val="99"/>
    <w:pPr>
      <w:numPr>
        <w:ilvl w:val="0"/>
        <w:numId w:val="1"/>
      </w:numPr>
    </w:pPr>
  </w:style>
  <w:style w:type="paragraph" w:styleId="8">
    <w:name w:val="List 3"/>
    <w:basedOn w:val="1"/>
    <w:qFormat/>
    <w:uiPriority w:val="0"/>
    <w:pPr>
      <w:spacing w:line="240" w:lineRule="auto"/>
      <w:ind w:left="0" w:leftChars="0" w:firstLine="0" w:firstLineChars="0"/>
      <w:jc w:val="center"/>
    </w:pPr>
    <w:rPr>
      <w:sz w:val="21"/>
    </w:rPr>
  </w:style>
  <w:style w:type="paragraph" w:styleId="9">
    <w:name w:val="Note Heading"/>
    <w:basedOn w:val="1"/>
    <w:next w:val="1"/>
    <w:qFormat/>
    <w:uiPriority w:val="0"/>
    <w:pPr>
      <w:adjustRightInd w:val="0"/>
      <w:spacing w:line="360" w:lineRule="auto"/>
      <w:jc w:val="center"/>
    </w:pPr>
    <w:rPr>
      <w:szCs w:val="24"/>
    </w:rPr>
  </w:style>
  <w:style w:type="paragraph" w:styleId="10">
    <w:name w:val="Normal Indent"/>
    <w:basedOn w:val="1"/>
    <w:qFormat/>
    <w:uiPriority w:val="0"/>
    <w:pPr>
      <w:ind w:firstLine="420"/>
    </w:pPr>
    <w:rPr>
      <w:rFonts w:ascii="Calibri" w:hAnsi="Calibri"/>
      <w:szCs w:val="20"/>
    </w:rPr>
  </w:style>
  <w:style w:type="paragraph" w:styleId="11">
    <w:name w:val="annotation text"/>
    <w:basedOn w:val="1"/>
    <w:semiHidden/>
    <w:unhideWhenUsed/>
    <w:qFormat/>
    <w:uiPriority w:val="99"/>
    <w:pPr>
      <w:jc w:val="left"/>
    </w:pPr>
  </w:style>
  <w:style w:type="paragraph" w:styleId="12">
    <w:name w:val="Body Text Indent"/>
    <w:basedOn w:val="1"/>
    <w:next w:val="1"/>
    <w:link w:val="42"/>
    <w:autoRedefine/>
    <w:semiHidden/>
    <w:unhideWhenUsed/>
    <w:qFormat/>
    <w:uiPriority w:val="99"/>
    <w:pPr>
      <w:spacing w:after="120"/>
      <w:ind w:left="420" w:leftChars="200"/>
    </w:pPr>
  </w:style>
  <w:style w:type="paragraph" w:styleId="13">
    <w:name w:val="Block Text"/>
    <w:basedOn w:val="1"/>
    <w:qFormat/>
    <w:uiPriority w:val="0"/>
    <w:pPr>
      <w:spacing w:after="120"/>
      <w:ind w:left="1440" w:leftChars="700" w:right="1440" w:rightChars="700"/>
    </w:pPr>
    <w:rPr>
      <w:rFonts w:ascii="Calibri" w:hAnsi="Calibri"/>
      <w:szCs w:val="20"/>
    </w:rPr>
  </w:style>
  <w:style w:type="paragraph" w:styleId="14">
    <w:name w:val="Plain Text"/>
    <w:basedOn w:val="1"/>
    <w:qFormat/>
    <w:uiPriority w:val="0"/>
    <w:pPr>
      <w:widowControl w:val="0"/>
      <w:jc w:val="both"/>
    </w:pPr>
    <w:rPr>
      <w:rFonts w:ascii="宋体" w:hAnsi="Courier New"/>
      <w:kern w:val="2"/>
      <w:sz w:val="28"/>
    </w:rPr>
  </w:style>
  <w:style w:type="paragraph" w:styleId="15">
    <w:name w:val="Body Text Indent 2"/>
    <w:basedOn w:val="1"/>
    <w:qFormat/>
    <w:uiPriority w:val="0"/>
    <w:pPr>
      <w:widowControl w:val="0"/>
      <w:spacing w:after="120" w:line="480" w:lineRule="auto"/>
      <w:ind w:left="420" w:leftChars="200"/>
    </w:pPr>
    <w:rPr>
      <w:rFonts w:eastAsia="仿宋_GB2312"/>
      <w:sz w:val="28"/>
      <w:szCs w:val="24"/>
      <w:lang w:val="zh-CN"/>
    </w:rPr>
  </w:style>
  <w:style w:type="paragraph" w:styleId="16">
    <w:name w:val="Balloon Text"/>
    <w:basedOn w:val="1"/>
    <w:link w:val="49"/>
    <w:autoRedefine/>
    <w:semiHidden/>
    <w:unhideWhenUsed/>
    <w:qFormat/>
    <w:uiPriority w:val="99"/>
    <w:rPr>
      <w:sz w:val="18"/>
      <w:szCs w:val="18"/>
    </w:rPr>
  </w:style>
  <w:style w:type="paragraph" w:styleId="17">
    <w:name w:val="footer"/>
    <w:basedOn w:val="1"/>
    <w:link w:val="48"/>
    <w:autoRedefine/>
    <w:unhideWhenUsed/>
    <w:qFormat/>
    <w:uiPriority w:val="99"/>
    <w:pPr>
      <w:tabs>
        <w:tab w:val="center" w:pos="4153"/>
        <w:tab w:val="right" w:pos="8306"/>
      </w:tabs>
      <w:snapToGrid w:val="0"/>
      <w:jc w:val="left"/>
    </w:pPr>
    <w:rPr>
      <w:sz w:val="18"/>
      <w:szCs w:val="18"/>
    </w:rPr>
  </w:style>
  <w:style w:type="paragraph" w:styleId="18">
    <w:name w:val="header"/>
    <w:basedOn w:val="1"/>
    <w:link w:val="4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index heading"/>
    <w:basedOn w:val="1"/>
    <w:next w:val="21"/>
    <w:unhideWhenUsed/>
    <w:qFormat/>
    <w:uiPriority w:val="99"/>
    <w:rPr>
      <w:szCs w:val="20"/>
    </w:rPr>
  </w:style>
  <w:style w:type="paragraph" w:styleId="21">
    <w:name w:val="index 1"/>
    <w:basedOn w:val="1"/>
    <w:next w:val="1"/>
    <w:unhideWhenUsed/>
    <w:qFormat/>
    <w:uiPriority w:val="99"/>
    <w:pPr>
      <w:jc w:val="center"/>
    </w:pPr>
    <w:rPr>
      <w:szCs w:val="20"/>
    </w:rPr>
  </w:style>
  <w:style w:type="paragraph" w:styleId="22">
    <w:name w:val="Body Text Indent 3"/>
    <w:basedOn w:val="1"/>
    <w:autoRedefine/>
    <w:qFormat/>
    <w:uiPriority w:val="0"/>
    <w:pPr>
      <w:spacing w:line="280" w:lineRule="exact"/>
      <w:ind w:left="602" w:hanging="602"/>
    </w:pPr>
    <w:rPr>
      <w:kern w:val="0"/>
      <w:sz w:val="16"/>
      <w:szCs w:val="16"/>
    </w:rPr>
  </w:style>
  <w:style w:type="paragraph" w:styleId="23">
    <w:name w:val="Body Text 2"/>
    <w:basedOn w:val="1"/>
    <w:qFormat/>
    <w:uiPriority w:val="0"/>
    <w:pPr>
      <w:spacing w:after="120" w:line="480" w:lineRule="auto"/>
    </w:pPr>
  </w:style>
  <w:style w:type="paragraph" w:styleId="24">
    <w:name w:val="Normal (Web)"/>
    <w:basedOn w:val="1"/>
    <w:link w:val="52"/>
    <w:autoRedefine/>
    <w:unhideWhenUsed/>
    <w:qFormat/>
    <w:uiPriority w:val="0"/>
    <w:pPr>
      <w:widowControl/>
      <w:jc w:val="left"/>
    </w:pPr>
    <w:rPr>
      <w:rFonts w:ascii="宋体" w:hAnsi="宋体" w:eastAsia="宋体"/>
      <w:b/>
      <w:sz w:val="24"/>
    </w:rPr>
  </w:style>
  <w:style w:type="paragraph" w:styleId="25">
    <w:name w:val="Body Text First Indent"/>
    <w:basedOn w:val="2"/>
    <w:next w:val="1"/>
    <w:link w:val="45"/>
    <w:autoRedefine/>
    <w:qFormat/>
    <w:uiPriority w:val="0"/>
    <w:pPr>
      <w:ind w:firstLine="420" w:firstLineChars="100"/>
    </w:pPr>
    <w:rPr>
      <w:rFonts w:ascii="Times New Roman" w:hAnsi="Times New Roman" w:eastAsia="宋体" w:cs="Times New Roman"/>
      <w:szCs w:val="20"/>
    </w:rPr>
  </w:style>
  <w:style w:type="paragraph" w:styleId="26">
    <w:name w:val="Body Text First Indent 2"/>
    <w:basedOn w:val="1"/>
    <w:next w:val="1"/>
    <w:link w:val="43"/>
    <w:autoRedefine/>
    <w:qFormat/>
    <w:uiPriority w:val="99"/>
    <w:pPr>
      <w:ind w:firstLine="420" w:firstLineChars="200"/>
    </w:pPr>
    <w:rPr>
      <w:rFonts w:ascii="Times New Roman" w:hAnsi="Times New Roman" w:eastAsia="宋体" w:cs="Times New Roman"/>
      <w:szCs w:val="20"/>
    </w:rPr>
  </w:style>
  <w:style w:type="table" w:styleId="28">
    <w:name w:val="Table Grid"/>
    <w:basedOn w:val="2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rPr>
  </w:style>
  <w:style w:type="character" w:styleId="31">
    <w:name w:val="page number"/>
    <w:qFormat/>
    <w:uiPriority w:val="0"/>
  </w:style>
  <w:style w:type="character" w:styleId="32">
    <w:name w:val="Hyperlink"/>
    <w:autoRedefine/>
    <w:qFormat/>
    <w:uiPriority w:val="99"/>
    <w:rPr>
      <w:color w:val="0000FF"/>
      <w:u w:val="single"/>
    </w:rPr>
  </w:style>
  <w:style w:type="character" w:styleId="33">
    <w:name w:val="annotation reference"/>
    <w:basedOn w:val="29"/>
    <w:qFormat/>
    <w:uiPriority w:val="0"/>
    <w:rPr>
      <w:sz w:val="21"/>
      <w:szCs w:val="21"/>
    </w:rPr>
  </w:style>
  <w:style w:type="paragraph" w:customStyle="1" w:styleId="34">
    <w:name w:val="li_正文"/>
    <w:basedOn w:val="1"/>
    <w:qFormat/>
    <w:uiPriority w:val="0"/>
    <w:pPr>
      <w:tabs>
        <w:tab w:val="left" w:pos="2574"/>
      </w:tabs>
      <w:overflowPunct w:val="0"/>
      <w:topLinePunct/>
      <w:ind w:firstLine="480" w:firstLineChars="200"/>
      <w:jc w:val="left"/>
    </w:pPr>
    <w:rPr>
      <w:sz w:val="28"/>
      <w:szCs w:val="28"/>
    </w:rPr>
  </w:style>
  <w:style w:type="paragraph" w:customStyle="1" w:styleId="35">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36">
    <w:name w:val="Default"/>
    <w:basedOn w:val="37"/>
    <w:autoRedefine/>
    <w:qFormat/>
    <w:uiPriority w:val="0"/>
    <w:pPr>
      <w:widowControl w:val="0"/>
      <w:tabs>
        <w:tab w:val="left" w:pos="0"/>
      </w:tabs>
      <w:autoSpaceDE w:val="0"/>
      <w:autoSpaceDN w:val="0"/>
      <w:adjustRightInd w:val="0"/>
    </w:pPr>
    <w:rPr>
      <w:rFonts w:ascii="宋体" w:hAnsi="Calibri" w:eastAsia="宋体" w:cs="宋体"/>
      <w:color w:val="000000"/>
      <w:sz w:val="24"/>
      <w:szCs w:val="24"/>
      <w:lang w:val="en-US" w:eastAsia="zh-CN" w:bidi="ar-SA"/>
    </w:rPr>
  </w:style>
  <w:style w:type="paragraph" w:customStyle="1" w:styleId="3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8">
    <w:name w:val="标题2"/>
    <w:basedOn w:val="5"/>
    <w:autoRedefine/>
    <w:qFormat/>
    <w:uiPriority w:val="0"/>
    <w:pPr>
      <w:tabs>
        <w:tab w:val="left" w:pos="0"/>
      </w:tabs>
      <w:spacing w:line="440" w:lineRule="exact"/>
      <w:ind w:left="1560"/>
    </w:pPr>
    <w:rPr>
      <w:sz w:val="28"/>
    </w:rPr>
  </w:style>
  <w:style w:type="paragraph" w:customStyle="1" w:styleId="39">
    <w:name w:val="样式3"/>
    <w:basedOn w:val="19"/>
    <w:next w:val="40"/>
    <w:autoRedefine/>
    <w:qFormat/>
    <w:uiPriority w:val="0"/>
    <w:pPr>
      <w:widowControl/>
      <w:overflowPunct w:val="0"/>
      <w:autoSpaceDE w:val="0"/>
      <w:autoSpaceDN w:val="0"/>
      <w:adjustRightInd w:val="0"/>
      <w:snapToGrid w:val="0"/>
      <w:spacing w:line="360" w:lineRule="auto"/>
      <w:ind w:firstLine="567"/>
      <w:textAlignment w:val="baseline"/>
    </w:pPr>
    <w:rPr>
      <w:rFonts w:ascii="宋体"/>
      <w:spacing w:val="20"/>
      <w:kern w:val="0"/>
      <w:sz w:val="24"/>
      <w:szCs w:val="20"/>
    </w:rPr>
  </w:style>
  <w:style w:type="paragraph" w:customStyle="1" w:styleId="40">
    <w:name w:val="目录 53"/>
    <w:basedOn w:val="1"/>
    <w:next w:val="1"/>
    <w:autoRedefine/>
    <w:qFormat/>
    <w:uiPriority w:val="0"/>
    <w:pPr>
      <w:ind w:left="840"/>
    </w:pPr>
    <w:rPr>
      <w:rFonts w:cs="宋体"/>
      <w:color w:val="000000"/>
    </w:rPr>
  </w:style>
  <w:style w:type="character" w:customStyle="1" w:styleId="41">
    <w:name w:val="标题 1 字符"/>
    <w:basedOn w:val="29"/>
    <w:link w:val="4"/>
    <w:autoRedefine/>
    <w:qFormat/>
    <w:uiPriority w:val="9"/>
    <w:rPr>
      <w:rFonts w:ascii="Times New Roman" w:hAnsi="Times New Roman" w:eastAsia="宋体"/>
      <w:b/>
      <w:bCs/>
      <w:kern w:val="44"/>
      <w:sz w:val="30"/>
      <w:szCs w:val="44"/>
    </w:rPr>
  </w:style>
  <w:style w:type="character" w:customStyle="1" w:styleId="42">
    <w:name w:val="正文文本缩进 字符"/>
    <w:basedOn w:val="29"/>
    <w:link w:val="12"/>
    <w:autoRedefine/>
    <w:semiHidden/>
    <w:qFormat/>
    <w:uiPriority w:val="99"/>
  </w:style>
  <w:style w:type="character" w:customStyle="1" w:styleId="43">
    <w:name w:val="正文文本首行缩进 2 字符"/>
    <w:basedOn w:val="42"/>
    <w:link w:val="26"/>
    <w:autoRedefine/>
    <w:qFormat/>
    <w:uiPriority w:val="99"/>
    <w:rPr>
      <w:rFonts w:ascii="Times New Roman" w:hAnsi="Times New Roman" w:eastAsia="宋体" w:cs="Times New Roman"/>
      <w:szCs w:val="20"/>
    </w:rPr>
  </w:style>
  <w:style w:type="character" w:customStyle="1" w:styleId="44">
    <w:name w:val="正文文本 字符"/>
    <w:basedOn w:val="29"/>
    <w:link w:val="2"/>
    <w:autoRedefine/>
    <w:semiHidden/>
    <w:qFormat/>
    <w:uiPriority w:val="99"/>
  </w:style>
  <w:style w:type="character" w:customStyle="1" w:styleId="45">
    <w:name w:val="正文文本首行缩进 字符"/>
    <w:basedOn w:val="44"/>
    <w:link w:val="25"/>
    <w:autoRedefine/>
    <w:qFormat/>
    <w:uiPriority w:val="0"/>
    <w:rPr>
      <w:rFonts w:ascii="Times New Roman" w:hAnsi="Times New Roman" w:eastAsia="宋体" w:cs="Times New Roman"/>
      <w:szCs w:val="20"/>
    </w:rPr>
  </w:style>
  <w:style w:type="paragraph" w:styleId="46">
    <w:name w:val="List Paragraph"/>
    <w:basedOn w:val="1"/>
    <w:autoRedefine/>
    <w:qFormat/>
    <w:uiPriority w:val="34"/>
    <w:pPr>
      <w:ind w:firstLine="420" w:firstLineChars="200"/>
    </w:pPr>
  </w:style>
  <w:style w:type="character" w:customStyle="1" w:styleId="47">
    <w:name w:val="页眉 字符"/>
    <w:basedOn w:val="29"/>
    <w:link w:val="18"/>
    <w:autoRedefine/>
    <w:qFormat/>
    <w:uiPriority w:val="99"/>
    <w:rPr>
      <w:sz w:val="18"/>
      <w:szCs w:val="18"/>
    </w:rPr>
  </w:style>
  <w:style w:type="character" w:customStyle="1" w:styleId="48">
    <w:name w:val="页脚 字符"/>
    <w:basedOn w:val="29"/>
    <w:link w:val="17"/>
    <w:autoRedefine/>
    <w:qFormat/>
    <w:uiPriority w:val="99"/>
    <w:rPr>
      <w:sz w:val="18"/>
      <w:szCs w:val="18"/>
    </w:rPr>
  </w:style>
  <w:style w:type="character" w:customStyle="1" w:styleId="49">
    <w:name w:val="批注框文本 字符"/>
    <w:basedOn w:val="29"/>
    <w:link w:val="16"/>
    <w:autoRedefine/>
    <w:semiHidden/>
    <w:qFormat/>
    <w:uiPriority w:val="99"/>
    <w:rPr>
      <w:sz w:val="18"/>
      <w:szCs w:val="18"/>
    </w:rPr>
  </w:style>
  <w:style w:type="paragraph" w:customStyle="1" w:styleId="50">
    <w:name w:val="表格"/>
    <w:basedOn w:val="1"/>
    <w:next w:val="1"/>
    <w:link w:val="51"/>
    <w:autoRedefine/>
    <w:qFormat/>
    <w:uiPriority w:val="0"/>
    <w:pPr>
      <w:adjustRightInd w:val="0"/>
      <w:snapToGrid w:val="0"/>
      <w:spacing w:beforeLines="10" w:afterLines="10" w:line="259" w:lineRule="auto"/>
      <w:ind w:firstLine="420" w:firstLineChars="200"/>
      <w:jc w:val="center"/>
      <w:textAlignment w:val="baseline"/>
    </w:pPr>
    <w:rPr>
      <w:rFonts w:ascii="宋体" w:hAnsi="Times New Roman" w:eastAsia="黑体" w:cs="Times New Roman"/>
      <w:spacing w:val="-10"/>
      <w:kern w:val="0"/>
      <w:sz w:val="24"/>
      <w:szCs w:val="20"/>
    </w:rPr>
  </w:style>
  <w:style w:type="character" w:customStyle="1" w:styleId="51">
    <w:name w:val="表格 Char"/>
    <w:link w:val="50"/>
    <w:autoRedefine/>
    <w:qFormat/>
    <w:locked/>
    <w:uiPriority w:val="0"/>
    <w:rPr>
      <w:rFonts w:ascii="宋体" w:hAnsi="Times New Roman" w:eastAsia="黑体" w:cs="Times New Roman"/>
      <w:spacing w:val="-10"/>
      <w:kern w:val="0"/>
      <w:sz w:val="24"/>
      <w:szCs w:val="20"/>
    </w:rPr>
  </w:style>
  <w:style w:type="character" w:customStyle="1" w:styleId="52">
    <w:name w:val="普通(网站) 字符"/>
    <w:link w:val="24"/>
    <w:autoRedefine/>
    <w:qFormat/>
    <w:locked/>
    <w:uiPriority w:val="0"/>
    <w:rPr>
      <w:rFonts w:ascii="宋体" w:hAnsi="宋体" w:eastAsia="宋体"/>
      <w:b/>
      <w:sz w:val="24"/>
    </w:rPr>
  </w:style>
  <w:style w:type="character" w:customStyle="1" w:styleId="53">
    <w:name w:val="表格文字 Char"/>
    <w:link w:val="54"/>
    <w:autoRedefine/>
    <w:qFormat/>
    <w:uiPriority w:val="0"/>
    <w:rPr>
      <w:kern w:val="24"/>
      <w:sz w:val="24"/>
    </w:rPr>
  </w:style>
  <w:style w:type="paragraph" w:customStyle="1" w:styleId="54">
    <w:name w:val="表格文字"/>
    <w:link w:val="53"/>
    <w:autoRedefine/>
    <w:qFormat/>
    <w:uiPriority w:val="0"/>
    <w:pPr>
      <w:adjustRightInd w:val="0"/>
      <w:snapToGrid w:val="0"/>
      <w:jc w:val="center"/>
    </w:pPr>
    <w:rPr>
      <w:rFonts w:asciiTheme="minorHAnsi" w:hAnsiTheme="minorHAnsi" w:eastAsiaTheme="minorEastAsia" w:cstheme="minorBidi"/>
      <w:kern w:val="24"/>
      <w:sz w:val="24"/>
      <w:szCs w:val="22"/>
      <w:lang w:val="en-US" w:eastAsia="zh-CN" w:bidi="ar-SA"/>
    </w:rPr>
  </w:style>
  <w:style w:type="paragraph" w:customStyle="1" w:styleId="55">
    <w:name w:val="表格内容"/>
    <w:basedOn w:val="1"/>
    <w:next w:val="1"/>
    <w:autoRedefine/>
    <w:qFormat/>
    <w:uiPriority w:val="0"/>
    <w:pPr>
      <w:jc w:val="center"/>
    </w:pPr>
    <w:rPr>
      <w:szCs w:val="21"/>
    </w:rPr>
  </w:style>
  <w:style w:type="paragraph" w:customStyle="1" w:styleId="56">
    <w:name w:val="Table Paragraph"/>
    <w:basedOn w:val="1"/>
    <w:autoRedefine/>
    <w:qFormat/>
    <w:uiPriority w:val="1"/>
  </w:style>
  <w:style w:type="paragraph" w:customStyle="1" w:styleId="57">
    <w:name w:val="正文zy"/>
    <w:basedOn w:val="1"/>
    <w:autoRedefine/>
    <w:qFormat/>
    <w:uiPriority w:val="0"/>
    <w:pPr>
      <w:snapToGrid w:val="0"/>
      <w:spacing w:line="360" w:lineRule="auto"/>
      <w:ind w:firstLine="480" w:firstLineChars="200"/>
    </w:pPr>
    <w:rPr>
      <w:color w:val="000000"/>
      <w:kern w:val="2"/>
    </w:rPr>
  </w:style>
  <w:style w:type="character" w:customStyle="1" w:styleId="58">
    <w:name w:val="font21"/>
    <w:basedOn w:val="29"/>
    <w:autoRedefine/>
    <w:qFormat/>
    <w:uiPriority w:val="0"/>
    <w:rPr>
      <w:rFonts w:hint="eastAsia" w:ascii="宋体" w:hAnsi="宋体" w:eastAsia="宋体" w:cs="宋体"/>
      <w:color w:val="000000"/>
      <w:sz w:val="21"/>
      <w:szCs w:val="21"/>
      <w:u w:val="none"/>
    </w:rPr>
  </w:style>
  <w:style w:type="paragraph" w:customStyle="1" w:styleId="59">
    <w:name w:val="0正文"/>
    <w:basedOn w:val="1"/>
    <w:autoRedefine/>
    <w:qFormat/>
    <w:uiPriority w:val="0"/>
    <w:pPr>
      <w:spacing w:line="360" w:lineRule="auto"/>
      <w:ind w:firstLine="200" w:firstLineChars="200"/>
    </w:pPr>
    <w:rPr>
      <w:kern w:val="0"/>
      <w:sz w:val="24"/>
      <w:szCs w:val="22"/>
      <w:lang w:eastAsia="en-US"/>
    </w:rPr>
  </w:style>
  <w:style w:type="paragraph" w:customStyle="1" w:styleId="60">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61">
    <w:name w:val="表格标题"/>
    <w:basedOn w:val="1"/>
    <w:autoRedefine/>
    <w:qFormat/>
    <w:uiPriority w:val="0"/>
    <w:pPr>
      <w:ind w:firstLine="0" w:firstLineChars="0"/>
      <w:jc w:val="center"/>
    </w:pPr>
    <w:rPr>
      <w:b/>
      <w:szCs w:val="24"/>
    </w:rPr>
  </w:style>
  <w:style w:type="paragraph" w:customStyle="1" w:styleId="62">
    <w:name w:val="1正文"/>
    <w:basedOn w:val="63"/>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63">
    <w:name w:val="报告正文"/>
    <w:basedOn w:val="1"/>
    <w:qFormat/>
    <w:uiPriority w:val="0"/>
    <w:pPr>
      <w:adjustRightInd w:val="0"/>
      <w:snapToGrid w:val="0"/>
      <w:spacing w:line="480" w:lineRule="exact"/>
      <w:ind w:firstLine="560" w:firstLineChars="200"/>
      <w:jc w:val="left"/>
    </w:pPr>
    <w:rPr>
      <w:kern w:val="0"/>
      <w:sz w:val="20"/>
    </w:rPr>
  </w:style>
  <w:style w:type="paragraph" w:customStyle="1" w:styleId="64">
    <w:name w:val="D正文"/>
    <w:basedOn w:val="65"/>
    <w:qFormat/>
    <w:uiPriority w:val="0"/>
    <w:pPr>
      <w:spacing w:line="360" w:lineRule="auto"/>
      <w:ind w:firstLine="480"/>
      <w:jc w:val="both"/>
    </w:pPr>
    <w:rPr>
      <w:rFonts w:hAnsi="宋体"/>
      <w:kern w:val="2"/>
      <w:szCs w:val="24"/>
    </w:rPr>
  </w:style>
  <w:style w:type="paragraph" w:customStyle="1" w:styleId="65">
    <w:name w:val="正文对的"/>
    <w:basedOn w:val="14"/>
    <w:qFormat/>
    <w:uiPriority w:val="0"/>
    <w:pPr>
      <w:spacing w:line="500" w:lineRule="exact"/>
      <w:ind w:firstLine="200" w:firstLineChars="200"/>
    </w:pPr>
    <w:rPr>
      <w:rFonts w:hAnsi="宋体"/>
      <w:kern w:val="2"/>
      <w:sz w:val="24"/>
      <w:szCs w:val="24"/>
    </w:rPr>
  </w:style>
  <w:style w:type="paragraph" w:customStyle="1" w:styleId="66">
    <w:name w:val="陈正文"/>
    <w:basedOn w:val="1"/>
    <w:next w:val="1"/>
    <w:qFormat/>
    <w:uiPriority w:val="0"/>
    <w:pPr>
      <w:adjustRightInd w:val="0"/>
      <w:snapToGrid w:val="0"/>
      <w:spacing w:line="360" w:lineRule="auto"/>
      <w:ind w:firstLine="720" w:firstLineChars="200"/>
      <w:jc w:val="left"/>
    </w:pPr>
    <w:rPr>
      <w:kern w:val="0"/>
      <w:szCs w:val="20"/>
    </w:rPr>
  </w:style>
  <w:style w:type="paragraph" w:customStyle="1" w:styleId="67">
    <w:name w:val="正本文字"/>
    <w:basedOn w:val="1"/>
    <w:autoRedefine/>
    <w:qFormat/>
    <w:uiPriority w:val="0"/>
    <w:pPr>
      <w:adjustRightInd w:val="0"/>
      <w:snapToGrid w:val="0"/>
      <w:spacing w:line="360" w:lineRule="auto"/>
      <w:ind w:firstLine="200" w:firstLineChars="200"/>
      <w:jc w:val="left"/>
    </w:pPr>
    <w:rPr>
      <w:kern w:val="18"/>
      <w:sz w:val="24"/>
    </w:rPr>
  </w:style>
  <w:style w:type="paragraph" w:customStyle="1" w:styleId="68">
    <w:name w:val="表格普通"/>
    <w:basedOn w:val="1"/>
    <w:autoRedefine/>
    <w:qFormat/>
    <w:uiPriority w:val="0"/>
    <w:pPr>
      <w:jc w:val="center"/>
    </w:pPr>
    <w:rPr>
      <w:rFonts w:eastAsia="仿宋_GB2312"/>
    </w:rPr>
  </w:style>
  <w:style w:type="paragraph" w:customStyle="1" w:styleId="69">
    <w:name w:val="111正文"/>
    <w:basedOn w:val="1"/>
    <w:autoRedefine/>
    <w:qFormat/>
    <w:uiPriority w:val="0"/>
    <w:pPr>
      <w:tabs>
        <w:tab w:val="left" w:pos="600"/>
      </w:tabs>
      <w:spacing w:line="360" w:lineRule="auto"/>
      <w:ind w:firstLine="200" w:firstLineChars="200"/>
    </w:pPr>
    <w:rPr>
      <w:kern w:val="0"/>
      <w:sz w:val="24"/>
      <w:szCs w:val="22"/>
    </w:rPr>
  </w:style>
  <w:style w:type="paragraph" w:customStyle="1" w:styleId="70">
    <w:name w:val="0000"/>
    <w:basedOn w:val="1"/>
    <w:autoRedefine/>
    <w:qFormat/>
    <w:uiPriority w:val="0"/>
    <w:pPr>
      <w:adjustRightInd w:val="0"/>
      <w:snapToGrid w:val="0"/>
    </w:pPr>
    <w:rPr>
      <w:rFonts w:hint="eastAsia"/>
      <w:sz w:val="24"/>
      <w:lang w:val="zh-TW"/>
    </w:rPr>
  </w:style>
  <w:style w:type="paragraph" w:customStyle="1" w:styleId="71">
    <w:name w:val="环正文"/>
    <w:basedOn w:val="1"/>
    <w:autoRedefine/>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character" w:customStyle="1" w:styleId="72">
    <w:name w:val="apple-style-span"/>
    <w:autoRedefine/>
    <w:qFormat/>
    <w:uiPriority w:val="0"/>
  </w:style>
  <w:style w:type="paragraph" w:customStyle="1" w:styleId="73">
    <w:name w:val="二级无标题条"/>
    <w:basedOn w:val="1"/>
    <w:autoRedefine/>
    <w:qFormat/>
    <w:uiPriority w:val="0"/>
  </w:style>
  <w:style w:type="paragraph" w:customStyle="1" w:styleId="74">
    <w:name w:val="报告表正文"/>
    <w:basedOn w:val="75"/>
    <w:autoRedefine/>
    <w:qFormat/>
    <w:uiPriority w:val="0"/>
    <w:pPr>
      <w:ind w:firstLine="200" w:firstLineChars="200"/>
      <w:jc w:val="left"/>
    </w:pPr>
    <w:rPr>
      <w:rFonts w:ascii="Times New Roman" w:hAnsi="Times New Roman"/>
      <w:szCs w:val="24"/>
    </w:rPr>
  </w:style>
  <w:style w:type="paragraph" w:customStyle="1" w:styleId="75">
    <w:name w:val="列表1"/>
    <w:basedOn w:val="1"/>
    <w:autoRedefine/>
    <w:qFormat/>
    <w:uiPriority w:val="0"/>
    <w:pPr>
      <w:spacing w:line="400" w:lineRule="exact"/>
      <w:jc w:val="center"/>
    </w:pPr>
    <w:rPr>
      <w:rFonts w:ascii="宋体" w:hAnsi="宋体" w:eastAsia="仿宋_GB2312"/>
      <w:sz w:val="24"/>
      <w:szCs w:val="20"/>
    </w:rPr>
  </w:style>
  <w:style w:type="paragraph" w:customStyle="1" w:styleId="76">
    <w:name w:val="Z正文"/>
    <w:basedOn w:val="1"/>
    <w:qFormat/>
    <w:uiPriority w:val="0"/>
    <w:pPr>
      <w:spacing w:line="400" w:lineRule="exact"/>
      <w:ind w:firstLine="600" w:firstLineChars="200"/>
    </w:pPr>
    <w:rPr>
      <w:rFonts w:ascii="Times New Roman" w:hAnsi="Times New Roman" w:eastAsia="宋体" w:cs="Times New Roman"/>
      <w:szCs w:val="20"/>
    </w:rPr>
  </w:style>
  <w:style w:type="paragraph" w:customStyle="1" w:styleId="77">
    <w:name w:val="陈表格标题"/>
    <w:basedOn w:val="1"/>
    <w:next w:val="22"/>
    <w:qFormat/>
    <w:uiPriority w:val="0"/>
    <w:pPr>
      <w:adjustRightInd w:val="0"/>
      <w:snapToGrid w:val="0"/>
      <w:spacing w:line="240" w:lineRule="auto"/>
      <w:ind w:firstLine="720"/>
      <w:jc w:val="center"/>
    </w:pPr>
    <w:rPr>
      <w:rFonts w:hint="default" w:ascii="Times New Roman" w:hAnsi="Times New Roman"/>
      <w:b/>
      <w:kern w:val="0"/>
      <w:sz w:val="21"/>
      <w:szCs w:val="20"/>
    </w:rPr>
  </w:style>
  <w:style w:type="paragraph" w:customStyle="1" w:styleId="78">
    <w:name w:val="陈表格"/>
    <w:basedOn w:val="1"/>
    <w:qFormat/>
    <w:uiPriority w:val="0"/>
    <w:pPr>
      <w:adjustRightInd w:val="0"/>
      <w:snapToGrid w:val="0"/>
      <w:spacing w:line="240" w:lineRule="auto"/>
      <w:ind w:firstLine="0" w:firstLineChars="0"/>
      <w:jc w:val="center"/>
    </w:pPr>
    <w:rPr>
      <w:kern w:val="0"/>
      <w:sz w:val="21"/>
      <w:szCs w:val="20"/>
    </w:rPr>
  </w:style>
  <w:style w:type="paragraph" w:customStyle="1" w:styleId="79">
    <w:name w:val="Z嵌套表格内容"/>
    <w:basedOn w:val="1"/>
    <w:qFormat/>
    <w:uiPriority w:val="0"/>
    <w:pPr>
      <w:jc w:val="center"/>
    </w:pPr>
    <w:rPr>
      <w:rFonts w:ascii="Times New Roman" w:hAnsi="Times New Roman" w:eastAsia="宋体"/>
      <w:sz w:val="18"/>
    </w:rPr>
  </w:style>
  <w:style w:type="character" w:customStyle="1" w:styleId="80">
    <w:name w:val="font51"/>
    <w:basedOn w:val="29"/>
    <w:qFormat/>
    <w:uiPriority w:val="0"/>
    <w:rPr>
      <w:rFonts w:hint="eastAsia" w:ascii="宋体" w:hAnsi="宋体" w:eastAsia="宋体" w:cs="宋体"/>
      <w:color w:val="00B050"/>
      <w:sz w:val="22"/>
      <w:szCs w:val="22"/>
      <w:u w:val="none"/>
    </w:rPr>
  </w:style>
  <w:style w:type="character" w:customStyle="1" w:styleId="81">
    <w:name w:val="font61"/>
    <w:basedOn w:val="29"/>
    <w:qFormat/>
    <w:uiPriority w:val="0"/>
    <w:rPr>
      <w:rFonts w:hint="eastAsia" w:ascii="宋体" w:hAnsi="宋体" w:eastAsia="宋体" w:cs="宋体"/>
      <w:color w:val="000000"/>
      <w:sz w:val="22"/>
      <w:szCs w:val="22"/>
      <w:u w:val="none"/>
    </w:rPr>
  </w:style>
  <w:style w:type="character" w:customStyle="1" w:styleId="82">
    <w:name w:val="font71"/>
    <w:basedOn w:val="29"/>
    <w:qFormat/>
    <w:uiPriority w:val="0"/>
    <w:rPr>
      <w:rFonts w:hint="eastAsia" w:ascii="宋体" w:hAnsi="宋体" w:eastAsia="宋体" w:cs="宋体"/>
      <w:color w:val="339966"/>
      <w:sz w:val="22"/>
      <w:szCs w:val="22"/>
      <w:u w:val="none"/>
    </w:rPr>
  </w:style>
  <w:style w:type="character" w:customStyle="1" w:styleId="83">
    <w:name w:val="font31"/>
    <w:basedOn w:val="29"/>
    <w:qFormat/>
    <w:uiPriority w:val="0"/>
    <w:rPr>
      <w:rFonts w:hint="eastAsia" w:ascii="宋体" w:hAnsi="宋体" w:eastAsia="宋体" w:cs="宋体"/>
      <w:color w:val="00B050"/>
      <w:sz w:val="22"/>
      <w:szCs w:val="22"/>
      <w:u w:val="none"/>
    </w:rPr>
  </w:style>
  <w:style w:type="paragraph" w:customStyle="1" w:styleId="84">
    <w:name w:val=" Char Char Char Char"/>
    <w:basedOn w:val="1"/>
    <w:qFormat/>
    <w:uiPriority w:val="0"/>
    <w:pPr>
      <w:adjustRightInd w:val="0"/>
      <w:snapToGrid w:val="0"/>
      <w:spacing w:line="360" w:lineRule="auto"/>
      <w:ind w:firstLine="420" w:firstLineChars="200"/>
    </w:pPr>
  </w:style>
  <w:style w:type="paragraph" w:customStyle="1" w:styleId="85">
    <w:name w:val="Z表格标题"/>
    <w:basedOn w:val="1"/>
    <w:next w:val="1"/>
    <w:qFormat/>
    <w:uiPriority w:val="0"/>
    <w:pPr>
      <w:spacing w:line="400" w:lineRule="exact"/>
      <w:jc w:val="center"/>
    </w:pPr>
    <w:rPr>
      <w:rFonts w:ascii="Times New Roman" w:hAnsi="Times New Roman" w:eastAsia="宋体"/>
      <w:b/>
    </w:rPr>
  </w:style>
  <w:style w:type="paragraph" w:customStyle="1" w:styleId="86">
    <w:name w:val="陈111"/>
    <w:basedOn w:val="1"/>
    <w:qFormat/>
    <w:uiPriority w:val="0"/>
    <w:pPr>
      <w:adjustRightInd w:val="0"/>
      <w:snapToGrid w:val="0"/>
      <w:spacing w:line="240" w:lineRule="auto"/>
      <w:ind w:firstLine="0" w:firstLineChars="0"/>
      <w:jc w:val="center"/>
    </w:pPr>
    <w:rPr>
      <w:rFonts w:ascii="Times New Roman" w:hAnsi="Times New Roman" w:eastAsia="宋体"/>
      <w:kern w:val="0"/>
      <w:sz w:val="24"/>
      <w:szCs w:val="20"/>
    </w:rPr>
  </w:style>
  <w:style w:type="character" w:customStyle="1" w:styleId="87">
    <w:name w:val="font11"/>
    <w:basedOn w:val="29"/>
    <w:qFormat/>
    <w:uiPriority w:val="0"/>
    <w:rPr>
      <w:rFonts w:hint="eastAsia" w:ascii="宋体" w:hAnsi="宋体" w:eastAsia="宋体" w:cs="宋体"/>
      <w:color w:val="000000"/>
      <w:sz w:val="21"/>
      <w:szCs w:val="21"/>
      <w:u w:val="none"/>
    </w:rPr>
  </w:style>
  <w:style w:type="paragraph" w:customStyle="1" w:styleId="88">
    <w:name w:val="p0"/>
    <w:basedOn w:val="1"/>
    <w:qFormat/>
    <w:uiPriority w:val="0"/>
    <w:pPr>
      <w:widowControl/>
      <w:snapToGrid w:val="0"/>
      <w:spacing w:line="300" w:lineRule="auto"/>
    </w:pPr>
    <w:rPr>
      <w:rFonts w:ascii="仿宋_GB2312" w:hAnsi="宋体" w:eastAsia="仿宋_GB2312" w:cs="宋体"/>
      <w:kern w:val="0"/>
      <w:sz w:val="28"/>
      <w:szCs w:val="28"/>
    </w:rPr>
  </w:style>
  <w:style w:type="paragraph" w:customStyle="1" w:styleId="89">
    <w:name w:val="样式 样式 样式 自动设置 + 五号 段前: 0.5 行 行距: 单倍行距 + 段前: 0.5 行"/>
    <w:basedOn w:val="1"/>
    <w:autoRedefine/>
    <w:qFormat/>
    <w:uiPriority w:val="0"/>
    <w:pPr>
      <w:autoSpaceDE w:val="0"/>
      <w:autoSpaceDN w:val="0"/>
      <w:adjustRightInd w:val="0"/>
      <w:snapToGrid w:val="0"/>
    </w:pPr>
    <w:rPr>
      <w:rFonts w:cs="宋体"/>
      <w:szCs w:val="20"/>
    </w:rPr>
  </w:style>
  <w:style w:type="paragraph" w:customStyle="1" w:styleId="90">
    <w:name w:val="1  正文"/>
    <w:basedOn w:val="1"/>
    <w:autoRedefine/>
    <w:qFormat/>
    <w:uiPriority w:val="0"/>
    <w:pPr>
      <w:spacing w:line="360" w:lineRule="auto"/>
      <w:ind w:firstLine="480" w:firstLineChars="200"/>
    </w:pPr>
    <w:rPr>
      <w:rFonts w:eastAsia="宋体"/>
      <w:sz w:val="24"/>
    </w:rPr>
  </w:style>
  <w:style w:type="paragraph" w:customStyle="1" w:styleId="91">
    <w:name w:val="1111 表格内容"/>
    <w:basedOn w:val="92"/>
    <w:autoRedefine/>
    <w:qFormat/>
    <w:uiPriority w:val="0"/>
    <w:pPr>
      <w:widowControl w:val="0"/>
    </w:pPr>
    <w:rPr>
      <w:rFonts w:cs="Times New Roman"/>
    </w:rPr>
  </w:style>
  <w:style w:type="paragraph" w:customStyle="1" w:styleId="92">
    <w:name w:val="01表格正文"/>
    <w:autoRedefine/>
    <w:qFormat/>
    <w:uiPriority w:val="0"/>
    <w:pPr>
      <w:adjustRightInd w:val="0"/>
      <w:snapToGrid w:val="0"/>
      <w:spacing w:line="320" w:lineRule="exact"/>
      <w:jc w:val="center"/>
    </w:pPr>
    <w:rPr>
      <w:rFonts w:ascii="Times New Roman" w:hAnsi="Times New Roman" w:eastAsia="宋体" w:cs="Times New Roman"/>
      <w:kern w:val="2"/>
      <w:sz w:val="21"/>
      <w:szCs w:val="21"/>
      <w:lang w:val="en-US" w:eastAsia="zh-CN" w:bidi="ar-SA"/>
    </w:rPr>
  </w:style>
  <w:style w:type="paragraph" w:customStyle="1" w:styleId="93">
    <w:name w:val="创业表格"/>
    <w:basedOn w:val="94"/>
    <w:qFormat/>
    <w:uiPriority w:val="0"/>
    <w:pPr>
      <w:spacing w:line="300" w:lineRule="auto"/>
    </w:pPr>
    <w:rPr>
      <w:rFonts w:eastAsia="仿宋"/>
      <w:b w:val="0"/>
      <w:sz w:val="21"/>
    </w:rPr>
  </w:style>
  <w:style w:type="paragraph" w:customStyle="1" w:styleId="94">
    <w:name w:val="创业表头"/>
    <w:basedOn w:val="95"/>
    <w:qFormat/>
    <w:uiPriority w:val="99"/>
    <w:pPr>
      <w:snapToGrid w:val="0"/>
      <w:spacing w:line="360" w:lineRule="auto"/>
      <w:jc w:val="center"/>
    </w:pPr>
    <w:rPr>
      <w:b/>
      <w:sz w:val="24"/>
      <w:szCs w:val="20"/>
    </w:rPr>
  </w:style>
  <w:style w:type="paragraph" w:customStyle="1" w:styleId="95">
    <w:name w:val="创业正文"/>
    <w:basedOn w:val="1"/>
    <w:qFormat/>
    <w:uiPriority w:val="99"/>
    <w:pPr>
      <w:widowControl/>
      <w:autoSpaceDE w:val="0"/>
      <w:autoSpaceDN w:val="0"/>
      <w:adjustRightInd w:val="0"/>
      <w:snapToGrid w:val="0"/>
      <w:spacing w:line="480" w:lineRule="exact"/>
      <w:ind w:firstLine="480" w:firstLineChars="200"/>
      <w:jc w:val="left"/>
    </w:pPr>
    <w:rPr>
      <w:rFonts w:ascii="Times New Roman" w:hAnsi="Times New Roman"/>
      <w:bCs/>
      <w:sz w:val="24"/>
      <w:szCs w:val="28"/>
      <w:lang w:val="zh-CN"/>
    </w:rPr>
  </w:style>
  <w:style w:type="table" w:customStyle="1" w:styleId="96">
    <w:name w:val="Table Normal"/>
    <w:semiHidden/>
    <w:unhideWhenUsed/>
    <w:qFormat/>
    <w:uiPriority w:val="0"/>
    <w:tblPr>
      <w:tblCellMar>
        <w:top w:w="0" w:type="dxa"/>
        <w:left w:w="0" w:type="dxa"/>
        <w:bottom w:w="0" w:type="dxa"/>
        <w:right w:w="0" w:type="dxa"/>
      </w:tblCellMar>
    </w:tblPr>
  </w:style>
  <w:style w:type="paragraph" w:customStyle="1" w:styleId="97">
    <w:name w:val="Table Text"/>
    <w:basedOn w:val="1"/>
    <w:semiHidden/>
    <w:qFormat/>
    <w:uiPriority w:val="0"/>
    <w:rPr>
      <w:rFonts w:ascii="宋体" w:hAnsi="宋体" w:eastAsia="宋体" w:cs="宋体"/>
      <w:sz w:val="19"/>
      <w:szCs w:val="19"/>
      <w:lang w:val="en-US" w:eastAsia="en-US" w:bidi="ar-SA"/>
    </w:rPr>
  </w:style>
  <w:style w:type="character" w:customStyle="1" w:styleId="98">
    <w:name w:val="font01"/>
    <w:basedOn w:val="29"/>
    <w:qFormat/>
    <w:uiPriority w:val="0"/>
    <w:rPr>
      <w:rFonts w:hint="eastAsia" w:ascii="宋体" w:hAnsi="宋体" w:eastAsia="宋体" w:cs="宋体"/>
      <w:color w:val="000000"/>
      <w:sz w:val="24"/>
      <w:szCs w:val="24"/>
      <w:u w:val="none"/>
    </w:rPr>
  </w:style>
  <w:style w:type="character" w:customStyle="1" w:styleId="99">
    <w:name w:val="fontstyle01"/>
    <w:qFormat/>
    <w:uiPriority w:val="0"/>
    <w:rPr>
      <w:rFonts w:hint="eastAsia" w:ascii="宋体" w:hAnsi="宋体" w:eastAsia="宋体"/>
      <w:color w:val="000000"/>
      <w:sz w:val="24"/>
      <w:szCs w:val="24"/>
    </w:rPr>
  </w:style>
  <w:style w:type="character" w:customStyle="1" w:styleId="100">
    <w:name w:val="fontstyle21"/>
    <w:qFormat/>
    <w:uiPriority w:val="0"/>
    <w:rPr>
      <w:rFonts w:hint="default" w:ascii="Times New Roman" w:hAnsi="Times New Roman" w:cs="Times New Roman"/>
      <w:color w:val="000000"/>
      <w:sz w:val="24"/>
      <w:szCs w:val="24"/>
    </w:rPr>
  </w:style>
  <w:style w:type="paragraph" w:customStyle="1" w:styleId="101">
    <w:name w:val="05F凡式正文"/>
    <w:basedOn w:val="1"/>
    <w:qFormat/>
    <w:uiPriority w:val="0"/>
    <w:rPr>
      <w:kern w:val="0"/>
      <w:szCs w:val="20"/>
    </w:rPr>
  </w:style>
  <w:style w:type="paragraph" w:customStyle="1" w:styleId="102">
    <w:name w:val="表格正文"/>
    <w:basedOn w:val="1"/>
    <w:qFormat/>
    <w:uiPriority w:val="0"/>
    <w:pPr>
      <w:spacing w:line="360" w:lineRule="exact"/>
      <w:jc w:val="center"/>
    </w:pPr>
    <w:rPr>
      <w:kern w:val="0"/>
      <w:szCs w:val="20"/>
    </w:rPr>
  </w:style>
  <w:style w:type="table" w:customStyle="1" w:styleId="103">
    <w:name w:val="网格型浅色2"/>
    <w:basedOn w:val="27"/>
    <w:qFormat/>
    <w:uiPriority w:val="40"/>
    <w:pPr>
      <w:jc w:val="both"/>
    </w:p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"/>
    </extobj>
    <extobj name="ECB019B1-382A-4266-B25C-5B523AA43C14-2">
      <extobjdata type="ECB019B1-382A-4266-B25C-5B523AA43C14" data="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"/>
    </extobj>
    <extobj name="ECB019B1-382A-4266-B25C-5B523AA43C14-3">
      <extobjdata type="ECB019B1-382A-4266-B25C-5B523AA43C14" data="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"/>
    </extobj>
    <extobj name="ECB019B1-382A-4266-B25C-5B523AA43C14-4">
      <extobjdata type="ECB019B1-382A-4266-B25C-5B523AA43C14" data="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122</Pages>
  <Words>34</Words>
  <Characters>60</Characters>
  <Lines>370</Lines>
  <Paragraphs>104</Paragraphs>
  <TotalTime>1</TotalTime>
  <ScaleCrop>false</ScaleCrop>
  <LinksUpToDate>false</LinksUpToDate>
  <CharactersWithSpaces>60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2023-09-13T02:21:00Z</dcterms:created>
  <dc:creator>China</dc:creator>
  <cp:lastModifiedBy>球球</cp:lastModifiedBy>
  <cp:lastPrinted>2025-08-29T06:24:00Z</cp:lastPrinted>
  <dcterms:modified xsi:type="dcterms:W3CDTF">2025-09-08T06:33:58Z</dcterms:modified>
  <cp:revision>2180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A96D0669135A49D3923D24BA7B9F5AC7_13</vt:lpwstr>
  </property>
  <property fmtid="{D5CDD505-2E9C-101B-9397-08002B2CF9AE}" pid="4" name="KSOTemplateDocerSaveRecord">
    <vt:lpwstr>eyJoZGlkIjoiYWZhMzA0MTE2MGQ3ODcwOTgyMWY3NzY0ZDhkYzQxODciLCJ1c2VySWQiOiIzODk2NzQyOTcifQ==</vt:lpwstr>
  </property>
</Properties>
</file>