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14C394">
      <w:pPr>
        <w:pStyle w:val="23"/>
        <w:jc w:val="center"/>
        <w:outlineLvl w:val="0"/>
        <w:rPr>
          <w:rFonts w:hint="eastAsia" w:ascii="Times New Roman" w:hAnsi="Times New Roman" w:eastAsia="黑体"/>
          <w:snapToGrid w:val="0"/>
          <w:color w:val="auto"/>
          <w:sz w:val="30"/>
          <w:szCs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drawing>
          <wp:inline distT="0" distB="0" distL="114300" distR="114300">
            <wp:extent cx="5610860" cy="7866380"/>
            <wp:effectExtent l="0" t="0" r="889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610860" cy="7866380"/>
                    </a:xfrm>
                    <a:prstGeom prst="rect">
                      <a:avLst/>
                    </a:prstGeom>
                    <a:noFill/>
                    <a:ln>
                      <a:noFill/>
                    </a:ln>
                  </pic:spPr>
                </pic:pic>
              </a:graphicData>
            </a:graphic>
          </wp:inline>
        </w:drawing>
      </w:r>
      <w:r>
        <w:drawing>
          <wp:inline distT="0" distB="0" distL="114300" distR="114300">
            <wp:extent cx="5600700" cy="79057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600700" cy="7905750"/>
                    </a:xfrm>
                    <a:prstGeom prst="rect">
                      <a:avLst/>
                    </a:prstGeom>
                    <a:noFill/>
                    <a:ln>
                      <a:noFill/>
                    </a:ln>
                  </pic:spPr>
                </pic:pic>
              </a:graphicData>
            </a:graphic>
          </wp:inline>
        </w:drawing>
      </w:r>
    </w:p>
    <w:p w14:paraId="0AD2CC58">
      <w:pPr>
        <w:pStyle w:val="23"/>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47"/>
        <w:gridCol w:w="1341"/>
        <w:gridCol w:w="1819"/>
        <w:gridCol w:w="1884"/>
        <w:gridCol w:w="3079"/>
      </w:tblGrid>
      <w:tr w14:paraId="39F8A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0202F4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6782" w:type="dxa"/>
            <w:gridSpan w:val="3"/>
            <w:noWrap w:val="0"/>
            <w:vAlign w:val="center"/>
          </w:tcPr>
          <w:p w14:paraId="4287DF7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高性能、高强度特种锻件技术改造项目</w:t>
            </w:r>
          </w:p>
        </w:tc>
      </w:tr>
      <w:tr w14:paraId="034EF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0CFB8A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6782" w:type="dxa"/>
            <w:gridSpan w:val="3"/>
            <w:noWrap w:val="0"/>
            <w:vAlign w:val="center"/>
          </w:tcPr>
          <w:p w14:paraId="4944215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eastAsia="zh-CN"/>
              </w:rPr>
              <w:t>2505-320413-07-02-173474</w:t>
            </w:r>
          </w:p>
        </w:tc>
      </w:tr>
      <w:tr w14:paraId="2E743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768DA0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819" w:type="dxa"/>
            <w:noWrap w:val="0"/>
            <w:vAlign w:val="center"/>
          </w:tcPr>
          <w:p w14:paraId="2F6F25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季建芳</w:t>
            </w:r>
          </w:p>
        </w:tc>
        <w:tc>
          <w:tcPr>
            <w:tcW w:w="1884" w:type="dxa"/>
            <w:noWrap w:val="0"/>
            <w:vAlign w:val="center"/>
          </w:tcPr>
          <w:p w14:paraId="1C916D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3079" w:type="dxa"/>
            <w:noWrap w:val="0"/>
            <w:vAlign w:val="center"/>
          </w:tcPr>
          <w:p w14:paraId="3B3D094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1381</w:t>
            </w:r>
            <w:r>
              <w:rPr>
                <w:rFonts w:hint="eastAsia"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eastAsia="zh-CN"/>
              </w:rPr>
              <w:t>222</w:t>
            </w:r>
          </w:p>
        </w:tc>
      </w:tr>
      <w:tr w14:paraId="7D4FC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02817B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6782" w:type="dxa"/>
            <w:gridSpan w:val="3"/>
            <w:noWrap w:val="0"/>
            <w:vAlign w:val="center"/>
          </w:tcPr>
          <w:p w14:paraId="0939DA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u w:val="single"/>
              </w:rPr>
              <w:t>江苏</w:t>
            </w:r>
            <w:r>
              <w:rPr>
                <w:rFonts w:hint="default" w:ascii="Times New Roman" w:hAnsi="Times New Roman" w:cs="Times New Roman"/>
                <w:color w:val="auto"/>
                <w:sz w:val="24"/>
                <w:szCs w:val="24"/>
                <w:highlight w:val="none"/>
              </w:rPr>
              <w:t>省</w:t>
            </w:r>
            <w:r>
              <w:rPr>
                <w:rFonts w:hint="default" w:ascii="Times New Roman" w:hAnsi="Times New Roman" w:cs="Times New Roman"/>
                <w:color w:val="auto"/>
                <w:sz w:val="24"/>
                <w:szCs w:val="24"/>
                <w:highlight w:val="none"/>
                <w:u w:val="single"/>
              </w:rPr>
              <w:t>常州</w:t>
            </w:r>
            <w:r>
              <w:rPr>
                <w:rFonts w:hint="default" w:ascii="Times New Roman" w:hAnsi="Times New Roman" w:cs="Times New Roman"/>
                <w:color w:val="auto"/>
                <w:sz w:val="24"/>
                <w:szCs w:val="24"/>
                <w:highlight w:val="none"/>
              </w:rPr>
              <w:t>市</w:t>
            </w:r>
            <w:r>
              <w:rPr>
                <w:rFonts w:hint="default" w:ascii="Times New Roman" w:hAnsi="Times New Roman" w:cs="Times New Roman"/>
                <w:color w:val="auto"/>
                <w:sz w:val="24"/>
                <w:szCs w:val="24"/>
                <w:highlight w:val="none"/>
                <w:u w:val="single"/>
              </w:rPr>
              <w:t>金坛</w:t>
            </w:r>
            <w:r>
              <w:rPr>
                <w:rFonts w:hint="default" w:ascii="Times New Roman" w:hAnsi="Times New Roman" w:cs="Times New Roman"/>
                <w:color w:val="auto"/>
                <w:sz w:val="24"/>
                <w:szCs w:val="24"/>
                <w:highlight w:val="none"/>
              </w:rPr>
              <w:t>（区）</w:t>
            </w:r>
            <w:r>
              <w:rPr>
                <w:rFonts w:hint="eastAsia" w:ascii="Times New Roman" w:hAnsi="Times New Roman" w:cs="Times New Roman"/>
                <w:color w:val="auto"/>
                <w:sz w:val="24"/>
                <w:szCs w:val="24"/>
                <w:highlight w:val="none"/>
                <w:u w:val="single"/>
                <w:lang w:val="en-US" w:eastAsia="zh-CN"/>
              </w:rPr>
              <w:t>指前镇</w:t>
            </w:r>
            <w:r>
              <w:rPr>
                <w:rFonts w:hint="eastAsia" w:cs="Times New Roman"/>
                <w:color w:val="auto"/>
                <w:sz w:val="24"/>
                <w:szCs w:val="24"/>
                <w:highlight w:val="none"/>
                <w:u w:val="single"/>
                <w:lang w:val="en-US" w:eastAsia="zh-CN"/>
              </w:rPr>
              <w:t>洮西工业集中区中路1</w:t>
            </w:r>
            <w:r>
              <w:rPr>
                <w:rFonts w:hint="eastAsia" w:ascii="Times New Roman" w:hAnsi="Times New Roman" w:cs="Times New Roman"/>
                <w:color w:val="auto"/>
                <w:sz w:val="24"/>
                <w:szCs w:val="24"/>
                <w:highlight w:val="none"/>
                <w:u w:val="single"/>
                <w:lang w:val="en-US" w:eastAsia="zh-CN"/>
              </w:rPr>
              <w:t>号</w:t>
            </w:r>
          </w:p>
        </w:tc>
      </w:tr>
      <w:tr w14:paraId="72ACC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6902EE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6782" w:type="dxa"/>
            <w:gridSpan w:val="3"/>
            <w:noWrap w:val="0"/>
            <w:vAlign w:val="center"/>
          </w:tcPr>
          <w:p w14:paraId="17E8697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119</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18</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41.424</w:t>
            </w:r>
            <w:r>
              <w:rPr>
                <w:rFonts w:hint="default" w:ascii="Times New Roman" w:hAnsi="Times New Roman" w:cs="Times New Roman"/>
                <w:color w:val="auto"/>
                <w:sz w:val="24"/>
                <w:szCs w:val="24"/>
                <w:highlight w:val="none"/>
              </w:rPr>
              <w:t>秒</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rPr>
              <w:t>31</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24</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10.332</w:t>
            </w:r>
            <w:r>
              <w:rPr>
                <w:rFonts w:hint="default" w:ascii="Times New Roman" w:hAnsi="Times New Roman" w:cs="Times New Roman"/>
                <w:color w:val="auto"/>
                <w:sz w:val="24"/>
                <w:szCs w:val="24"/>
                <w:highlight w:val="none"/>
              </w:rPr>
              <w:t>秒）</w:t>
            </w:r>
          </w:p>
        </w:tc>
      </w:tr>
      <w:tr w14:paraId="263F7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88" w:type="dxa"/>
            <w:gridSpan w:val="2"/>
            <w:noWrap w:val="0"/>
            <w:tcMar>
              <w:top w:w="16" w:type="dxa"/>
              <w:left w:w="16" w:type="dxa"/>
              <w:right w:w="16" w:type="dxa"/>
            </w:tcMar>
            <w:vAlign w:val="center"/>
          </w:tcPr>
          <w:p w14:paraId="5CB174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1B758D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819" w:type="dxa"/>
            <w:noWrap w:val="0"/>
            <w:vAlign w:val="center"/>
          </w:tcPr>
          <w:p w14:paraId="2DD787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eastAsia="zh-CN"/>
              </w:rPr>
              <w:t>C3393锻件及粉末冶金制品制造</w:t>
            </w:r>
          </w:p>
        </w:tc>
        <w:tc>
          <w:tcPr>
            <w:tcW w:w="1884" w:type="dxa"/>
            <w:noWrap w:val="0"/>
            <w:vAlign w:val="center"/>
          </w:tcPr>
          <w:p w14:paraId="126FC5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bookmarkStart w:id="0" w:name="_Hlk49843745"/>
            <w:r>
              <w:rPr>
                <w:rFonts w:hint="default" w:ascii="Times New Roman" w:hAnsi="Times New Roman" w:cs="Times New Roman"/>
                <w:color w:val="auto"/>
                <w:sz w:val="24"/>
                <w:szCs w:val="24"/>
                <w:highlight w:val="none"/>
              </w:rPr>
              <w:t>建设项目</w:t>
            </w:r>
          </w:p>
          <w:p w14:paraId="34A84D7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0"/>
          </w:p>
        </w:tc>
        <w:tc>
          <w:tcPr>
            <w:tcW w:w="3079" w:type="dxa"/>
            <w:noWrap w:val="0"/>
            <w:vAlign w:val="center"/>
          </w:tcPr>
          <w:p w14:paraId="4E978BAF">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三十、</w:t>
            </w:r>
            <w:r>
              <w:rPr>
                <w:rFonts w:hint="eastAsia" w:cs="Times New Roman"/>
                <w:color w:val="auto"/>
                <w:sz w:val="24"/>
                <w:szCs w:val="24"/>
                <w:highlight w:val="none"/>
                <w:lang w:val="en-US" w:eastAsia="zh-CN"/>
              </w:rPr>
              <w:t>金属制品业33</w:t>
            </w:r>
            <w:r>
              <w:rPr>
                <w:rFonts w:hint="eastAsia" w:ascii="Times New Roman" w:hAnsi="Times New Roman" w:cs="Times New Roman"/>
                <w:color w:val="auto"/>
                <w:sz w:val="24"/>
                <w:szCs w:val="24"/>
                <w:lang w:val="en-US" w:eastAsia="zh-CN"/>
              </w:rPr>
              <w:t>－</w:t>
            </w:r>
            <w:r>
              <w:rPr>
                <w:rFonts w:hint="eastAsia" w:cs="Times New Roman"/>
                <w:color w:val="auto"/>
                <w:sz w:val="24"/>
                <w:szCs w:val="24"/>
                <w:lang w:val="en-US" w:eastAsia="zh-CN"/>
              </w:rPr>
              <w:t>068</w:t>
            </w:r>
            <w:r>
              <w:rPr>
                <w:rFonts w:hint="eastAsia" w:ascii="Times New Roman" w:hAnsi="Times New Roman" w:cs="Times New Roman"/>
                <w:color w:val="auto"/>
                <w:sz w:val="24"/>
                <w:szCs w:val="24"/>
                <w:highlight w:val="none"/>
                <w:lang w:val="en-US" w:eastAsia="zh-CN"/>
              </w:rPr>
              <w:t>铸造及其他金属制品制造339</w:t>
            </w:r>
          </w:p>
        </w:tc>
      </w:tr>
      <w:tr w14:paraId="76F16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88" w:type="dxa"/>
            <w:gridSpan w:val="2"/>
            <w:noWrap w:val="0"/>
            <w:tcMar>
              <w:top w:w="16" w:type="dxa"/>
              <w:left w:w="16" w:type="dxa"/>
              <w:right w:w="16" w:type="dxa"/>
            </w:tcMar>
            <w:vAlign w:val="center"/>
          </w:tcPr>
          <w:p w14:paraId="787A803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819" w:type="dxa"/>
            <w:noWrap w:val="0"/>
            <w:vAlign w:val="center"/>
          </w:tcPr>
          <w:p w14:paraId="2C7F9913">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新建（迁建）</w:t>
            </w:r>
          </w:p>
          <w:p w14:paraId="60AF7AAF">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373A6027">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048CA604">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1884" w:type="dxa"/>
            <w:noWrap w:val="0"/>
            <w:vAlign w:val="center"/>
          </w:tcPr>
          <w:p w14:paraId="196046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314EF1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3079" w:type="dxa"/>
            <w:noWrap w:val="0"/>
            <w:vAlign w:val="center"/>
          </w:tcPr>
          <w:p w14:paraId="19568846">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首次申报项目</w:t>
            </w:r>
          </w:p>
          <w:p w14:paraId="627696C0">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不予批准后再次申报项目</w:t>
            </w:r>
          </w:p>
          <w:p w14:paraId="2124674C">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超五年重新审核项目</w:t>
            </w:r>
          </w:p>
          <w:p w14:paraId="02676566">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重大变动重新报批项目</w:t>
            </w:r>
          </w:p>
        </w:tc>
      </w:tr>
      <w:tr w14:paraId="4BCE8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088" w:type="dxa"/>
            <w:gridSpan w:val="2"/>
            <w:noWrap w:val="0"/>
            <w:tcMar>
              <w:top w:w="16" w:type="dxa"/>
              <w:left w:w="16" w:type="dxa"/>
              <w:right w:w="16" w:type="dxa"/>
            </w:tcMar>
            <w:vAlign w:val="center"/>
          </w:tcPr>
          <w:p w14:paraId="140787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5D38A4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备案）部门（选填）</w:t>
            </w:r>
          </w:p>
        </w:tc>
        <w:tc>
          <w:tcPr>
            <w:tcW w:w="1819" w:type="dxa"/>
            <w:noWrap w:val="0"/>
            <w:vAlign w:val="center"/>
          </w:tcPr>
          <w:p w14:paraId="175D7A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江苏省金坛</w:t>
            </w:r>
            <w:r>
              <w:rPr>
                <w:rFonts w:hint="eastAsia" w:ascii="Times New Roman" w:hAnsi="Times New Roman" w:cs="Times New Roman"/>
                <w:color w:val="auto"/>
                <w:sz w:val="24"/>
                <w:szCs w:val="24"/>
                <w:highlight w:val="none"/>
                <w:lang w:val="en-US" w:eastAsia="zh-CN"/>
              </w:rPr>
              <w:t>区工业和信息化局</w:t>
            </w:r>
          </w:p>
        </w:tc>
        <w:tc>
          <w:tcPr>
            <w:tcW w:w="1884" w:type="dxa"/>
            <w:noWrap w:val="0"/>
            <w:vAlign w:val="center"/>
          </w:tcPr>
          <w:p w14:paraId="54441BA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0F2FDF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3079" w:type="dxa"/>
            <w:noWrap w:val="0"/>
            <w:vAlign w:val="center"/>
          </w:tcPr>
          <w:p w14:paraId="71D5E4D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eastAsia" w:ascii="Times New Roman" w:hAnsi="Times New Roman" w:cs="Times New Roman"/>
                <w:bCs/>
                <w:color w:val="auto"/>
                <w:sz w:val="24"/>
                <w:szCs w:val="24"/>
                <w:highlight w:val="none"/>
              </w:rPr>
              <w:t>坛工信备〔202</w:t>
            </w:r>
            <w:r>
              <w:rPr>
                <w:rFonts w:hint="eastAsia" w:cs="Times New Roman"/>
                <w:bCs/>
                <w:color w:val="auto"/>
                <w:sz w:val="24"/>
                <w:szCs w:val="24"/>
                <w:highlight w:val="none"/>
                <w:lang w:val="en-US" w:eastAsia="zh-CN"/>
              </w:rPr>
              <w:t>5</w:t>
            </w:r>
            <w:r>
              <w:rPr>
                <w:rFonts w:hint="eastAsia" w:ascii="宋体" w:hAnsi="宋体" w:eastAsia="宋体" w:cs="宋体"/>
                <w:bCs/>
                <w:color w:val="auto"/>
                <w:sz w:val="24"/>
                <w:szCs w:val="24"/>
                <w:highlight w:val="none"/>
              </w:rPr>
              <w:t>〕</w:t>
            </w:r>
            <w:r>
              <w:rPr>
                <w:rFonts w:hint="eastAsia" w:cs="Times New Roman"/>
                <w:bCs/>
                <w:color w:val="auto"/>
                <w:sz w:val="24"/>
                <w:szCs w:val="24"/>
                <w:highlight w:val="none"/>
                <w:lang w:val="en-US" w:eastAsia="zh-CN"/>
              </w:rPr>
              <w:t>49</w:t>
            </w:r>
            <w:r>
              <w:rPr>
                <w:rFonts w:hint="eastAsia" w:ascii="Times New Roman" w:hAnsi="Times New Roman" w:cs="Times New Roman"/>
                <w:bCs/>
                <w:color w:val="auto"/>
                <w:sz w:val="24"/>
                <w:szCs w:val="24"/>
                <w:highlight w:val="none"/>
              </w:rPr>
              <w:t>号</w:t>
            </w:r>
          </w:p>
        </w:tc>
      </w:tr>
      <w:tr w14:paraId="3199B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341771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819" w:type="dxa"/>
            <w:noWrap w:val="0"/>
            <w:vAlign w:val="center"/>
          </w:tcPr>
          <w:p w14:paraId="51514DF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000</w:t>
            </w:r>
          </w:p>
        </w:tc>
        <w:tc>
          <w:tcPr>
            <w:tcW w:w="1884" w:type="dxa"/>
            <w:noWrap w:val="0"/>
            <w:tcMar>
              <w:top w:w="16" w:type="dxa"/>
              <w:left w:w="16" w:type="dxa"/>
              <w:right w:w="16" w:type="dxa"/>
            </w:tcMar>
            <w:vAlign w:val="center"/>
          </w:tcPr>
          <w:p w14:paraId="342216A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3079" w:type="dxa"/>
            <w:noWrap w:val="0"/>
            <w:vAlign w:val="center"/>
          </w:tcPr>
          <w:p w14:paraId="23FB55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200</w:t>
            </w:r>
          </w:p>
        </w:tc>
      </w:tr>
      <w:tr w14:paraId="0AA876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2088" w:type="dxa"/>
            <w:gridSpan w:val="2"/>
            <w:noWrap w:val="0"/>
            <w:tcMar>
              <w:top w:w="16" w:type="dxa"/>
              <w:left w:w="16" w:type="dxa"/>
              <w:right w:w="16" w:type="dxa"/>
            </w:tcMar>
            <w:vAlign w:val="center"/>
          </w:tcPr>
          <w:p w14:paraId="167B81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819" w:type="dxa"/>
            <w:noWrap w:val="0"/>
            <w:vAlign w:val="center"/>
          </w:tcPr>
          <w:p w14:paraId="5B2E6A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6.7</w:t>
            </w:r>
          </w:p>
        </w:tc>
        <w:tc>
          <w:tcPr>
            <w:tcW w:w="1884" w:type="dxa"/>
            <w:noWrap w:val="0"/>
            <w:tcMar>
              <w:top w:w="16" w:type="dxa"/>
              <w:left w:w="16" w:type="dxa"/>
              <w:right w:w="16" w:type="dxa"/>
            </w:tcMar>
            <w:vAlign w:val="center"/>
          </w:tcPr>
          <w:p w14:paraId="7151D92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3079" w:type="dxa"/>
            <w:noWrap w:val="0"/>
            <w:vAlign w:val="center"/>
          </w:tcPr>
          <w:p w14:paraId="438321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个月</w:t>
            </w:r>
          </w:p>
        </w:tc>
      </w:tr>
      <w:tr w14:paraId="7E656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88" w:type="dxa"/>
            <w:gridSpan w:val="2"/>
            <w:noWrap w:val="0"/>
            <w:tcMar>
              <w:top w:w="16" w:type="dxa"/>
              <w:left w:w="16" w:type="dxa"/>
              <w:right w:w="16" w:type="dxa"/>
            </w:tcMar>
            <w:vAlign w:val="center"/>
          </w:tcPr>
          <w:p w14:paraId="7FB9AA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819" w:type="dxa"/>
            <w:noWrap w:val="0"/>
            <w:vAlign w:val="center"/>
          </w:tcPr>
          <w:p w14:paraId="7FF38F9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否</w:t>
            </w:r>
          </w:p>
          <w:p w14:paraId="60C3767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rPr>
              <w:t>是：</w:t>
            </w:r>
          </w:p>
        </w:tc>
        <w:tc>
          <w:tcPr>
            <w:tcW w:w="1884" w:type="dxa"/>
            <w:noWrap w:val="0"/>
            <w:tcMar>
              <w:top w:w="16" w:type="dxa"/>
              <w:left w:w="16" w:type="dxa"/>
              <w:right w:w="16" w:type="dxa"/>
            </w:tcMar>
            <w:vAlign w:val="center"/>
          </w:tcPr>
          <w:p w14:paraId="56D8E9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14:paraId="5D4630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3079" w:type="dxa"/>
            <w:noWrap w:val="0"/>
            <w:vAlign w:val="center"/>
          </w:tcPr>
          <w:p w14:paraId="522589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（本项目不新增用地）</w:t>
            </w:r>
          </w:p>
        </w:tc>
      </w:tr>
      <w:tr w14:paraId="65AD2D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36" w:hRule="atLeast"/>
          <w:jc w:val="center"/>
        </w:trPr>
        <w:tc>
          <w:tcPr>
            <w:tcW w:w="2088" w:type="dxa"/>
            <w:gridSpan w:val="2"/>
            <w:noWrap w:val="0"/>
            <w:vAlign w:val="center"/>
          </w:tcPr>
          <w:p w14:paraId="1F714A9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4"/>
                <w:szCs w:val="24"/>
                <w:highlight w:val="none"/>
              </w:rPr>
              <w:t>专项评价设置情况</w:t>
            </w:r>
          </w:p>
        </w:tc>
        <w:tc>
          <w:tcPr>
            <w:tcW w:w="6782" w:type="dxa"/>
            <w:gridSpan w:val="3"/>
            <w:noWrap w:val="0"/>
            <w:vAlign w:val="center"/>
          </w:tcPr>
          <w:p w14:paraId="11938568">
            <w:pPr>
              <w:keepNext w:val="0"/>
              <w:keepLines w:val="0"/>
              <w:suppressLineNumbers w:val="0"/>
              <w:adjustRightInd w:val="0"/>
              <w:snapToGrid w:val="0"/>
              <w:spacing w:before="120" w:beforeLines="5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专项评价设置</w:t>
            </w:r>
            <w:r>
              <w:rPr>
                <w:rFonts w:hint="eastAsia" w:ascii="Times New Roman" w:hAnsi="Times New Roman" w:cs="Times New Roman"/>
                <w:b/>
                <w:bCs/>
                <w:color w:val="auto"/>
                <w:sz w:val="21"/>
                <w:szCs w:val="21"/>
                <w:lang w:val="en-US" w:eastAsia="zh-CN"/>
              </w:rPr>
              <w:t>对照表</w:t>
            </w:r>
            <w:r>
              <w:rPr>
                <w:rFonts w:hint="default" w:ascii="Times New Roman" w:hAnsi="Times New Roman" w:cs="Times New Roman"/>
                <w:b/>
                <w:bCs/>
                <w:color w:val="auto"/>
                <w:sz w:val="21"/>
                <w:szCs w:val="21"/>
              </w:rPr>
              <w:t xml:space="preserve"> </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80"/>
              <w:gridCol w:w="3013"/>
              <w:gridCol w:w="2031"/>
              <w:gridCol w:w="938"/>
            </w:tblGrid>
            <w:tr w14:paraId="06269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4" w:hRule="atLeast"/>
                <w:jc w:val="center"/>
              </w:trPr>
              <w:tc>
                <w:tcPr>
                  <w:tcW w:w="442" w:type="pct"/>
                  <w:tcBorders>
                    <w:tl2br w:val="nil"/>
                    <w:tr2bl w:val="nil"/>
                  </w:tcBorders>
                  <w:noWrap w:val="0"/>
                  <w:vAlign w:val="center"/>
                </w:tcPr>
                <w:p w14:paraId="32582422">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2295" w:type="pct"/>
                  <w:tcBorders>
                    <w:tl2br w:val="nil"/>
                    <w:tr2bl w:val="nil"/>
                  </w:tcBorders>
                  <w:noWrap w:val="0"/>
                  <w:vAlign w:val="center"/>
                </w:tcPr>
                <w:p w14:paraId="3B253786">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设置原则</w:t>
                  </w:r>
                </w:p>
              </w:tc>
              <w:tc>
                <w:tcPr>
                  <w:tcW w:w="1547" w:type="pct"/>
                  <w:tcBorders>
                    <w:tl2br w:val="nil"/>
                    <w:tr2bl w:val="nil"/>
                  </w:tcBorders>
                  <w:noWrap w:val="0"/>
                  <w:vAlign w:val="center"/>
                </w:tcPr>
                <w:p w14:paraId="4E0CFE7C">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本项目对照情况</w:t>
                  </w:r>
                </w:p>
              </w:tc>
              <w:tc>
                <w:tcPr>
                  <w:tcW w:w="714" w:type="pct"/>
                  <w:tcBorders>
                    <w:tl2br w:val="nil"/>
                    <w:tr2bl w:val="nil"/>
                  </w:tcBorders>
                  <w:noWrap w:val="0"/>
                  <w:vAlign w:val="center"/>
                </w:tcPr>
                <w:p w14:paraId="7F934876">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是否设置</w:t>
                  </w:r>
                </w:p>
              </w:tc>
            </w:tr>
            <w:tr w14:paraId="07A60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tcBorders>
                    <w:tl2br w:val="nil"/>
                    <w:tr2bl w:val="nil"/>
                  </w:tcBorders>
                  <w:noWrap w:val="0"/>
                  <w:vAlign w:val="center"/>
                </w:tcPr>
                <w:p w14:paraId="7D5A3536">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2295" w:type="pct"/>
                  <w:tcBorders>
                    <w:tl2br w:val="nil"/>
                    <w:tr2bl w:val="nil"/>
                  </w:tcBorders>
                  <w:noWrap w:val="0"/>
                  <w:vAlign w:val="center"/>
                </w:tcPr>
                <w:p w14:paraId="0314BA69">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排放废气含有毒有害污染物、二噁英、苯并[a]芘、氰化物、氯气且厂界外500米范围内有环境空气保护目标的建设项目</w:t>
                  </w:r>
                </w:p>
              </w:tc>
              <w:tc>
                <w:tcPr>
                  <w:tcW w:w="1547" w:type="pct"/>
                  <w:tcBorders>
                    <w:tl2br w:val="nil"/>
                    <w:tr2bl w:val="nil"/>
                  </w:tcBorders>
                  <w:noWrap w:val="0"/>
                  <w:vAlign w:val="center"/>
                </w:tcPr>
                <w:p w14:paraId="0639F779">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cs="Times New Roman"/>
                      <w:color w:val="auto"/>
                      <w:sz w:val="21"/>
                      <w:szCs w:val="21"/>
                    </w:rPr>
                  </w:pPr>
                  <w:r>
                    <w:rPr>
                      <w:rFonts w:hint="default" w:eastAsia="宋体"/>
                      <w:color w:val="auto"/>
                      <w:kern w:val="21"/>
                      <w:szCs w:val="21"/>
                    </w:rPr>
                    <w:t>本项目排放废气含</w:t>
                  </w:r>
                  <w:r>
                    <w:rPr>
                      <w:rFonts w:hint="eastAsia" w:eastAsia="宋体"/>
                      <w:color w:val="auto"/>
                      <w:kern w:val="21"/>
                      <w:szCs w:val="21"/>
                      <w:lang w:val="en-US" w:eastAsia="zh-CN"/>
                    </w:rPr>
                    <w:t>铬及其化合物</w:t>
                  </w:r>
                  <w:r>
                    <w:rPr>
                      <w:rFonts w:hint="default" w:eastAsia="宋体"/>
                      <w:color w:val="auto"/>
                      <w:kern w:val="21"/>
                      <w:szCs w:val="21"/>
                    </w:rPr>
                    <w:t>，属于有毒有害污染物，且厂界外500米范围内有环境空气保护目标</w:t>
                  </w:r>
                </w:p>
              </w:tc>
              <w:tc>
                <w:tcPr>
                  <w:tcW w:w="714" w:type="pct"/>
                  <w:tcBorders>
                    <w:tl2br w:val="nil"/>
                    <w:tr2bl w:val="nil"/>
                  </w:tcBorders>
                  <w:noWrap w:val="0"/>
                  <w:vAlign w:val="center"/>
                </w:tcPr>
                <w:p w14:paraId="77DF50B4">
                  <w:pPr>
                    <w:keepNext w:val="0"/>
                    <w:keepLines w:val="0"/>
                    <w:suppressLineNumbers w:val="0"/>
                    <w:autoSpaceDE w:val="0"/>
                    <w:autoSpaceDN w:val="0"/>
                    <w:adjustRightInd w:val="0"/>
                    <w:snapToGrid w:val="0"/>
                    <w:spacing w:before="24" w:beforeAutospacing="0" w:after="24"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需设置大气专项评价</w:t>
                  </w:r>
                </w:p>
              </w:tc>
            </w:tr>
            <w:tr w14:paraId="04381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442" w:type="pct"/>
                  <w:tcBorders>
                    <w:tl2br w:val="nil"/>
                    <w:tr2bl w:val="nil"/>
                  </w:tcBorders>
                  <w:noWrap w:val="0"/>
                  <w:vAlign w:val="center"/>
                </w:tcPr>
                <w:p w14:paraId="30BD3CCA">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2295" w:type="pct"/>
                  <w:tcBorders>
                    <w:tl2br w:val="nil"/>
                    <w:tr2bl w:val="nil"/>
                  </w:tcBorders>
                  <w:noWrap w:val="0"/>
                  <w:vAlign w:val="center"/>
                </w:tcPr>
                <w:p w14:paraId="6108B596">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新增工业废水直排建设项目（槽罐车外送污水处理厂的除外）；新增废水直排的污水集中处理厂</w:t>
                  </w:r>
                </w:p>
              </w:tc>
              <w:tc>
                <w:tcPr>
                  <w:tcW w:w="1547" w:type="pct"/>
                  <w:tcBorders>
                    <w:tl2br w:val="nil"/>
                    <w:tr2bl w:val="nil"/>
                  </w:tcBorders>
                  <w:noWrap w:val="0"/>
                  <w:vAlign w:val="center"/>
                </w:tcPr>
                <w:p w14:paraId="501F1044">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val="en-US" w:eastAsia="zh-CN"/>
                    </w:rPr>
                    <w:t>无工业废水直接排放</w:t>
                  </w:r>
                </w:p>
              </w:tc>
              <w:tc>
                <w:tcPr>
                  <w:tcW w:w="714" w:type="pct"/>
                  <w:tcBorders>
                    <w:tl2br w:val="nil"/>
                    <w:tr2bl w:val="nil"/>
                  </w:tcBorders>
                  <w:noWrap w:val="0"/>
                  <w:vAlign w:val="center"/>
                </w:tcPr>
                <w:p w14:paraId="65891267">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否</w:t>
                  </w:r>
                </w:p>
              </w:tc>
            </w:tr>
            <w:tr w14:paraId="0DBFA3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tcBorders>
                    <w:tl2br w:val="nil"/>
                    <w:tr2bl w:val="nil"/>
                  </w:tcBorders>
                  <w:noWrap w:val="0"/>
                  <w:vAlign w:val="center"/>
                </w:tcPr>
                <w:p w14:paraId="59877AAB">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2295" w:type="pct"/>
                  <w:tcBorders>
                    <w:tl2br w:val="nil"/>
                    <w:tr2bl w:val="nil"/>
                  </w:tcBorders>
                  <w:noWrap w:val="0"/>
                  <w:vAlign w:val="center"/>
                </w:tcPr>
                <w:p w14:paraId="5B71AB3C">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有毒有害和易燃易爆危险物质存储量超过临界量的建设项目</w:t>
                  </w:r>
                </w:p>
              </w:tc>
              <w:tc>
                <w:tcPr>
                  <w:tcW w:w="1547" w:type="pct"/>
                  <w:tcBorders>
                    <w:tl2br w:val="nil"/>
                    <w:tr2bl w:val="nil"/>
                  </w:tcBorders>
                  <w:noWrap w:val="0"/>
                  <w:vAlign w:val="center"/>
                </w:tcPr>
                <w:p w14:paraId="6D1E340D">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本项目存储的有毒有害和易燃易爆危险物质未超过临界量</w:t>
                  </w:r>
                </w:p>
              </w:tc>
              <w:tc>
                <w:tcPr>
                  <w:tcW w:w="714" w:type="pct"/>
                  <w:tcBorders>
                    <w:tl2br w:val="nil"/>
                    <w:tr2bl w:val="nil"/>
                  </w:tcBorders>
                  <w:noWrap w:val="0"/>
                  <w:vAlign w:val="center"/>
                </w:tcPr>
                <w:p w14:paraId="48411E3C">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否</w:t>
                  </w:r>
                </w:p>
              </w:tc>
            </w:tr>
            <w:tr w14:paraId="58B56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tcBorders>
                    <w:tl2br w:val="nil"/>
                    <w:tr2bl w:val="nil"/>
                  </w:tcBorders>
                  <w:noWrap w:val="0"/>
                  <w:vAlign w:val="center"/>
                </w:tcPr>
                <w:p w14:paraId="2196C021">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2295" w:type="pct"/>
                  <w:tcBorders>
                    <w:tl2br w:val="nil"/>
                    <w:tr2bl w:val="nil"/>
                  </w:tcBorders>
                  <w:noWrap w:val="0"/>
                  <w:vAlign w:val="center"/>
                </w:tcPr>
                <w:p w14:paraId="50CB5517">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取水口下游500米范围内有重要水生生物的自然产卵场、索饵场、越冬场和洄游通道的新增河道取水的污染类建设项目</w:t>
                  </w:r>
                </w:p>
              </w:tc>
              <w:tc>
                <w:tcPr>
                  <w:tcW w:w="1547" w:type="pct"/>
                  <w:tcBorders>
                    <w:tl2br w:val="nil"/>
                    <w:tr2bl w:val="nil"/>
                  </w:tcBorders>
                  <w:noWrap w:val="0"/>
                  <w:vAlign w:val="center"/>
                </w:tcPr>
                <w:p w14:paraId="48C7F9EA">
                  <w:pPr>
                    <w:keepNext w:val="0"/>
                    <w:keepLines w:val="0"/>
                    <w:suppressLineNumbers w:val="0"/>
                    <w:autoSpaceDE w:val="0"/>
                    <w:autoSpaceDN w:val="0"/>
                    <w:adjustRightInd w:val="0"/>
                    <w:snapToGrid w:val="0"/>
                    <w:spacing w:before="24" w:beforeAutospacing="0" w:after="24"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不涉及</w:t>
                  </w:r>
                </w:p>
              </w:tc>
              <w:tc>
                <w:tcPr>
                  <w:tcW w:w="714" w:type="pct"/>
                  <w:tcBorders>
                    <w:tl2br w:val="nil"/>
                    <w:tr2bl w:val="nil"/>
                  </w:tcBorders>
                  <w:noWrap w:val="0"/>
                  <w:vAlign w:val="center"/>
                </w:tcPr>
                <w:p w14:paraId="2F5903FF">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否</w:t>
                  </w:r>
                </w:p>
              </w:tc>
            </w:tr>
            <w:tr w14:paraId="76FAC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42" w:type="pct"/>
                  <w:tcBorders>
                    <w:tl2br w:val="nil"/>
                    <w:tr2bl w:val="nil"/>
                  </w:tcBorders>
                  <w:noWrap w:val="0"/>
                  <w:vAlign w:val="center"/>
                </w:tcPr>
                <w:p w14:paraId="611783DE">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海洋</w:t>
                  </w:r>
                </w:p>
              </w:tc>
              <w:tc>
                <w:tcPr>
                  <w:tcW w:w="2295" w:type="pct"/>
                  <w:tcBorders>
                    <w:tl2br w:val="nil"/>
                    <w:tr2bl w:val="nil"/>
                  </w:tcBorders>
                  <w:noWrap w:val="0"/>
                  <w:vAlign w:val="center"/>
                </w:tcPr>
                <w:p w14:paraId="297A5B0E">
                  <w:pPr>
                    <w:keepNext w:val="0"/>
                    <w:keepLines w:val="0"/>
                    <w:suppressLineNumbers w:val="0"/>
                    <w:autoSpaceDE w:val="0"/>
                    <w:autoSpaceDN w:val="0"/>
                    <w:adjustRightInd w:val="0"/>
                    <w:snapToGrid w:val="0"/>
                    <w:spacing w:before="24" w:beforeAutospacing="0" w:after="24"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直接向海排放污染物的海洋工程建设项目</w:t>
                  </w:r>
                </w:p>
              </w:tc>
              <w:tc>
                <w:tcPr>
                  <w:tcW w:w="1547" w:type="pct"/>
                  <w:tcBorders>
                    <w:tl2br w:val="nil"/>
                    <w:tr2bl w:val="nil"/>
                  </w:tcBorders>
                  <w:noWrap w:val="0"/>
                  <w:vAlign w:val="center"/>
                </w:tcPr>
                <w:p w14:paraId="221C7368">
                  <w:pPr>
                    <w:keepNext w:val="0"/>
                    <w:keepLines w:val="0"/>
                    <w:suppressLineNumbers w:val="0"/>
                    <w:autoSpaceDE w:val="0"/>
                    <w:autoSpaceDN w:val="0"/>
                    <w:adjustRightInd w:val="0"/>
                    <w:snapToGrid w:val="0"/>
                    <w:spacing w:before="24" w:beforeAutospacing="0" w:after="24" w:afterAutospacing="0"/>
                    <w:ind w:left="0" w:right="0"/>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不涉及</w:t>
                  </w:r>
                </w:p>
              </w:tc>
              <w:tc>
                <w:tcPr>
                  <w:tcW w:w="714" w:type="pct"/>
                  <w:tcBorders>
                    <w:tl2br w:val="nil"/>
                    <w:tr2bl w:val="nil"/>
                  </w:tcBorders>
                  <w:noWrap w:val="0"/>
                  <w:vAlign w:val="center"/>
                </w:tcPr>
                <w:p w14:paraId="4A9135DC">
                  <w:pPr>
                    <w:keepNext w:val="0"/>
                    <w:keepLines w:val="0"/>
                    <w:suppressLineNumbers w:val="0"/>
                    <w:autoSpaceDE w:val="0"/>
                    <w:autoSpaceDN w:val="0"/>
                    <w:adjustRightInd w:val="0"/>
                    <w:snapToGrid w:val="0"/>
                    <w:spacing w:before="24" w:beforeAutospacing="0" w:after="24"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否</w:t>
                  </w:r>
                </w:p>
              </w:tc>
            </w:tr>
          </w:tbl>
          <w:p w14:paraId="065C088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p>
        </w:tc>
      </w:tr>
      <w:tr w14:paraId="74ABE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2088" w:type="dxa"/>
            <w:gridSpan w:val="2"/>
            <w:noWrap w:val="0"/>
            <w:vAlign w:val="center"/>
          </w:tcPr>
          <w:p w14:paraId="5B185A5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6782" w:type="dxa"/>
            <w:gridSpan w:val="3"/>
            <w:noWrap w:val="0"/>
            <w:vAlign w:val="center"/>
          </w:tcPr>
          <w:p w14:paraId="632D102B">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kern w:val="0"/>
                <w:sz w:val="24"/>
              </w:rPr>
              <w:t>规划名称：</w:t>
            </w:r>
            <w:r>
              <w:rPr>
                <w:rFonts w:hint="default" w:ascii="Times New Roman" w:hAnsi="Times New Roman" w:cs="Times New Roman"/>
                <w:color w:val="auto"/>
                <w:sz w:val="24"/>
              </w:rPr>
              <w:t>《江苏省金坛经济产业园指前现代产业园/常州市金坛区指前产业新镇总体规划（2016-2030）》</w:t>
            </w:r>
          </w:p>
          <w:p w14:paraId="4699610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kern w:val="0"/>
                <w:sz w:val="24"/>
              </w:rPr>
              <w:t>审批机关：</w:t>
            </w:r>
            <w:r>
              <w:rPr>
                <w:rFonts w:hint="default" w:ascii="Times New Roman" w:hAnsi="Times New Roman" w:cs="Times New Roman"/>
                <w:color w:val="auto"/>
                <w:sz w:val="24"/>
              </w:rPr>
              <w:t>常州市金坛区人民政府</w:t>
            </w:r>
          </w:p>
          <w:p w14:paraId="6CFE8703">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4"/>
              </w:rPr>
              <w:t>审批文件名称及文号：</w:t>
            </w:r>
            <w:r>
              <w:rPr>
                <w:rFonts w:hint="default" w:ascii="Times New Roman" w:hAnsi="Times New Roman" w:cs="Times New Roman"/>
                <w:color w:val="auto"/>
                <w:sz w:val="24"/>
              </w:rPr>
              <w:t>坛政复</w:t>
            </w:r>
            <w:r>
              <w:rPr>
                <w:rFonts w:hint="eastAsia" w:ascii="Times New Roman" w:hAnsi="Times New Roman" w:cs="Times New Roman"/>
                <w:color w:val="auto"/>
                <w:sz w:val="24"/>
              </w:rPr>
              <w:t>〔</w:t>
            </w:r>
            <w:r>
              <w:rPr>
                <w:rFonts w:hint="default" w:ascii="Times New Roman" w:hAnsi="Times New Roman" w:cs="Times New Roman"/>
                <w:color w:val="auto"/>
                <w:sz w:val="24"/>
              </w:rPr>
              <w:t>2017</w:t>
            </w:r>
            <w:r>
              <w:rPr>
                <w:rFonts w:hint="eastAsia" w:ascii="Times New Roman" w:hAnsi="Times New Roman" w:cs="Times New Roman"/>
                <w:color w:val="auto"/>
                <w:sz w:val="24"/>
              </w:rPr>
              <w:t>〕</w:t>
            </w:r>
            <w:r>
              <w:rPr>
                <w:rFonts w:hint="default" w:ascii="Times New Roman" w:hAnsi="Times New Roman" w:cs="Times New Roman"/>
                <w:color w:val="auto"/>
                <w:sz w:val="24"/>
              </w:rPr>
              <w:t>85号</w:t>
            </w:r>
          </w:p>
        </w:tc>
      </w:tr>
      <w:tr w14:paraId="567B5E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47" w:type="dxa"/>
            <w:noWrap w:val="0"/>
            <w:vAlign w:val="center"/>
          </w:tcPr>
          <w:p w14:paraId="59A6FA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规划环境影响评价情况</w:t>
            </w:r>
          </w:p>
        </w:tc>
        <w:tc>
          <w:tcPr>
            <w:tcW w:w="8123" w:type="dxa"/>
            <w:gridSpan w:val="4"/>
            <w:noWrap w:val="0"/>
            <w:vAlign w:val="center"/>
          </w:tcPr>
          <w:p w14:paraId="76F8FFB9">
            <w:pPr>
              <w:keepNext w:val="0"/>
              <w:keepLines w:val="0"/>
              <w:suppressLineNumbers w:val="0"/>
              <w:adjustRightInd w:val="0"/>
              <w:snapToGrid w:val="0"/>
              <w:spacing w:before="0" w:beforeAutospacing="0" w:after="0" w:afterAutospacing="0" w:line="480" w:lineRule="exact"/>
              <w:ind w:left="0" w:right="0"/>
              <w:jc w:val="both"/>
              <w:rPr>
                <w:rFonts w:hint="default" w:ascii="Times New Roman" w:hAnsi="Times New Roman" w:cs="Times New Roman"/>
                <w:color w:val="auto"/>
                <w:sz w:val="24"/>
              </w:rPr>
            </w:pPr>
            <w:r>
              <w:rPr>
                <w:rFonts w:hint="default" w:ascii="Times New Roman" w:hAnsi="Times New Roman" w:cs="Times New Roman"/>
                <w:color w:val="auto"/>
                <w:kern w:val="0"/>
                <w:sz w:val="24"/>
              </w:rPr>
              <w:t>规划名称：</w:t>
            </w:r>
            <w:r>
              <w:rPr>
                <w:rFonts w:hint="default" w:ascii="Times New Roman" w:hAnsi="Times New Roman" w:cs="Times New Roman"/>
                <w:color w:val="auto"/>
                <w:sz w:val="24"/>
                <w:szCs w:val="22"/>
              </w:rPr>
              <w:t>《常州市金坛区指前现代产业园发展规划环境影响报告书》</w:t>
            </w:r>
          </w:p>
          <w:p w14:paraId="3881B9D7">
            <w:pPr>
              <w:keepNext w:val="0"/>
              <w:keepLines w:val="0"/>
              <w:suppressLineNumbers w:val="0"/>
              <w:adjustRightInd w:val="0"/>
              <w:snapToGrid w:val="0"/>
              <w:spacing w:before="0" w:beforeAutospacing="0" w:after="0" w:afterAutospacing="0" w:line="480" w:lineRule="exact"/>
              <w:ind w:left="0" w:right="0"/>
              <w:jc w:val="both"/>
              <w:rPr>
                <w:rFonts w:hint="default" w:ascii="Times New Roman" w:hAnsi="Times New Roman" w:cs="Times New Roman"/>
                <w:color w:val="auto"/>
                <w:sz w:val="24"/>
              </w:rPr>
            </w:pPr>
            <w:r>
              <w:rPr>
                <w:rFonts w:hint="default" w:ascii="Times New Roman" w:hAnsi="Times New Roman" w:cs="Times New Roman"/>
                <w:color w:val="auto"/>
                <w:kern w:val="0"/>
                <w:sz w:val="24"/>
              </w:rPr>
              <w:t>审批机关：</w:t>
            </w:r>
            <w:r>
              <w:rPr>
                <w:rFonts w:hint="default" w:ascii="Times New Roman" w:hAnsi="Times New Roman" w:cs="Times New Roman"/>
                <w:color w:val="auto"/>
                <w:sz w:val="24"/>
              </w:rPr>
              <w:t>常州市生态环境局</w:t>
            </w:r>
          </w:p>
          <w:p w14:paraId="690302A9">
            <w:pPr>
              <w:keepNext w:val="0"/>
              <w:keepLines w:val="0"/>
              <w:suppressLineNumbers w:val="0"/>
              <w:adjustRightInd w:val="0"/>
              <w:snapToGrid w:val="0"/>
              <w:spacing w:before="0" w:beforeAutospacing="0" w:after="0" w:afterAutospacing="0" w:line="480" w:lineRule="exact"/>
              <w:ind w:left="0" w:right="0"/>
              <w:jc w:val="both"/>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4"/>
              </w:rPr>
              <w:t>审批文件名称及文号：</w:t>
            </w:r>
            <w:r>
              <w:rPr>
                <w:rFonts w:hint="default" w:ascii="Times New Roman" w:hAnsi="Times New Roman" w:cs="Times New Roman"/>
                <w:color w:val="auto"/>
                <w:sz w:val="24"/>
              </w:rPr>
              <w:t>常金环审</w:t>
            </w:r>
            <w:r>
              <w:rPr>
                <w:rFonts w:hint="eastAsia" w:ascii="Times New Roman" w:hAnsi="Times New Roman" w:cs="Times New Roman"/>
                <w:color w:val="auto"/>
                <w:sz w:val="24"/>
              </w:rPr>
              <w:t>〔</w:t>
            </w:r>
            <w:r>
              <w:rPr>
                <w:rFonts w:hint="default" w:ascii="Times New Roman" w:hAnsi="Times New Roman" w:cs="Times New Roman"/>
                <w:color w:val="auto"/>
                <w:sz w:val="24"/>
              </w:rPr>
              <w:t>20</w:t>
            </w:r>
            <w:r>
              <w:rPr>
                <w:rFonts w:hint="eastAsia" w:cs="Times New Roman"/>
                <w:color w:val="auto"/>
                <w:sz w:val="24"/>
                <w:lang w:val="en-US" w:eastAsia="zh-CN"/>
              </w:rPr>
              <w:t>21</w:t>
            </w:r>
            <w:r>
              <w:rPr>
                <w:rFonts w:hint="eastAsia" w:ascii="Times New Roman" w:hAnsi="Times New Roman" w:cs="Times New Roman"/>
                <w:color w:val="auto"/>
                <w:sz w:val="24"/>
              </w:rPr>
              <w:t>〕</w:t>
            </w:r>
            <w:r>
              <w:rPr>
                <w:rFonts w:hint="default" w:ascii="Times New Roman" w:hAnsi="Times New Roman" w:cs="Times New Roman"/>
                <w:color w:val="auto"/>
                <w:sz w:val="24"/>
              </w:rPr>
              <w:t>184号</w:t>
            </w:r>
          </w:p>
        </w:tc>
      </w:tr>
      <w:tr w14:paraId="4E0698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7" w:type="dxa"/>
            <w:noWrap w:val="0"/>
            <w:vAlign w:val="center"/>
          </w:tcPr>
          <w:p w14:paraId="12ABE848">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规划及规划环境影响评价符合性分析</w:t>
            </w:r>
          </w:p>
        </w:tc>
        <w:tc>
          <w:tcPr>
            <w:tcW w:w="8123" w:type="dxa"/>
            <w:gridSpan w:val="4"/>
            <w:noWrap w:val="0"/>
            <w:vAlign w:val="center"/>
          </w:tcPr>
          <w:p w14:paraId="3B6FF767">
            <w:pPr>
              <w:keepNext w:val="0"/>
              <w:keepLines w:val="0"/>
              <w:suppressLineNumbers w:val="0"/>
              <w:spacing w:before="0" w:beforeAutospacing="0" w:after="0" w:afterAutospacing="0" w:line="480" w:lineRule="exact"/>
              <w:ind w:left="0" w:right="0"/>
              <w:rPr>
                <w:rFonts w:hint="default" w:ascii="Times New Roman" w:hAnsi="Times New Roman" w:cs="Times New Roman"/>
                <w:color w:val="auto"/>
                <w:sz w:val="24"/>
                <w:szCs w:val="22"/>
              </w:rPr>
            </w:pPr>
            <w:r>
              <w:rPr>
                <w:rFonts w:hint="default" w:ascii="Times New Roman" w:hAnsi="Times New Roman" w:cs="Times New Roman"/>
                <w:b/>
                <w:bCs/>
                <w:color w:val="auto"/>
                <w:sz w:val="24"/>
              </w:rPr>
              <w:t>1、指前现代产业园用地规划</w:t>
            </w:r>
          </w:p>
          <w:p w14:paraId="799B670D">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常州市金坛区指前现代产业园发展规划环境影响报告书》，园区规划范围：指前现代产业园规划总面积3.25平方公里。其中，指前园面积为2.3平方公里，具体范围为东至芦家中河、南至白石港、西至丹金溧漕河、北至大浦港。洮西园面积为0.95平方公里，具体范围为东至G233国道、南至新河北路、西至洮新线西侧企业厂区边界、北至水洮路。</w:t>
            </w:r>
          </w:p>
          <w:p w14:paraId="79C76212">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2"/>
              </w:rPr>
              <w:t>产业定位：</w:t>
            </w:r>
            <w:r>
              <w:rPr>
                <w:rFonts w:hint="default" w:ascii="Times New Roman" w:hAnsi="Times New Roman" w:cs="Times New Roman"/>
                <w:color w:val="auto"/>
                <w:sz w:val="24"/>
              </w:rPr>
              <w:t>以电子信息业、农副食品深加工业、新材料业、通用设备制造业为主导产业，逐步打造成为以港口物流为依托、农产品深加工为特色的现代高效畅通物流区、滨水生态投资创业园。重点发展电子信息业、农副食品深加工业、新材料业、通用设备制造业</w:t>
            </w:r>
            <w:r>
              <w:rPr>
                <w:rFonts w:hint="default" w:ascii="Times New Roman" w:hAnsi="Times New Roman" w:cs="Times New Roman"/>
                <w:color w:val="auto"/>
                <w:sz w:val="24"/>
                <w:szCs w:val="22"/>
              </w:rPr>
              <w:t>。</w:t>
            </w:r>
          </w:p>
          <w:p w14:paraId="27D63153">
            <w:pPr>
              <w:keepNext w:val="0"/>
              <w:keepLines w:val="0"/>
              <w:suppressLineNumbers w:val="0"/>
              <w:autoSpaceDE w:val="0"/>
              <w:autoSpaceDN w:val="0"/>
              <w:adjustRightInd w:val="0"/>
              <w:snapToGrid w:val="0"/>
              <w:spacing w:before="0" w:beforeAutospacing="0" w:after="0" w:afterAutospacing="0" w:line="500" w:lineRule="exact"/>
              <w:ind w:left="0" w:right="0" w:firstLine="482" w:firstLineChars="200"/>
              <w:jc w:val="left"/>
              <w:rPr>
                <w:rFonts w:hint="default" w:ascii="Times New Roman" w:hAnsi="Times New Roman" w:cs="Times New Roman"/>
                <w:b/>
                <w:bCs/>
                <w:color w:val="auto"/>
                <w:sz w:val="24"/>
              </w:rPr>
            </w:pPr>
            <w:r>
              <w:rPr>
                <w:rFonts w:hint="eastAsia" w:ascii="Times New Roman" w:hAnsi="Times New Roman" w:cs="Times New Roman"/>
                <w:b/>
                <w:bCs/>
                <w:color w:val="auto"/>
                <w:sz w:val="24"/>
                <w:szCs w:val="22"/>
                <w:lang w:val="en-US" w:eastAsia="zh-CN"/>
              </w:rPr>
              <w:t>项目产品为工程机械配件</w:t>
            </w:r>
            <w:r>
              <w:rPr>
                <w:rFonts w:hint="eastAsia" w:cs="Times New Roman"/>
                <w:b/>
                <w:bCs/>
                <w:color w:val="auto"/>
                <w:sz w:val="24"/>
                <w:szCs w:val="22"/>
                <w:lang w:val="en-US" w:eastAsia="zh-CN"/>
              </w:rPr>
              <w:t>、</w:t>
            </w:r>
            <w:r>
              <w:rPr>
                <w:rFonts w:hint="eastAsia" w:ascii="Times New Roman" w:hAnsi="Times New Roman" w:cs="Times New Roman"/>
                <w:b/>
                <w:bCs/>
                <w:color w:val="auto"/>
                <w:sz w:val="24"/>
                <w:szCs w:val="22"/>
                <w:lang w:val="en-US" w:eastAsia="zh-CN"/>
              </w:rPr>
              <w:t>盾构机配件</w:t>
            </w:r>
            <w:r>
              <w:rPr>
                <w:rFonts w:hint="eastAsia" w:cs="Times New Roman"/>
                <w:b/>
                <w:bCs/>
                <w:color w:val="auto"/>
                <w:sz w:val="24"/>
                <w:szCs w:val="22"/>
                <w:lang w:val="en-US" w:eastAsia="zh-CN"/>
              </w:rPr>
              <w:t>、</w:t>
            </w:r>
            <w:r>
              <w:rPr>
                <w:rFonts w:hint="eastAsia" w:ascii="Times New Roman" w:hAnsi="Times New Roman" w:cs="Times New Roman"/>
                <w:b/>
                <w:bCs/>
                <w:color w:val="auto"/>
                <w:sz w:val="24"/>
                <w:szCs w:val="22"/>
                <w:lang w:val="en-US" w:eastAsia="zh-CN"/>
              </w:rPr>
              <w:t>航空发动机配件</w:t>
            </w:r>
            <w:r>
              <w:rPr>
                <w:rFonts w:hint="eastAsia" w:cs="Times New Roman"/>
                <w:b/>
                <w:bCs/>
                <w:color w:val="auto"/>
                <w:sz w:val="24"/>
                <w:szCs w:val="22"/>
                <w:lang w:val="en-US" w:eastAsia="zh-CN"/>
              </w:rPr>
              <w:t>等</w:t>
            </w:r>
            <w:r>
              <w:rPr>
                <w:rFonts w:hint="default" w:ascii="Times New Roman" w:hAnsi="Times New Roman" w:cs="Times New Roman"/>
                <w:b/>
                <w:bCs/>
                <w:color w:val="auto"/>
                <w:sz w:val="24"/>
                <w:szCs w:val="22"/>
              </w:rPr>
              <w:t>，属于</w:t>
            </w:r>
            <w:r>
              <w:rPr>
                <w:rFonts w:hint="eastAsia" w:ascii="Times New Roman" w:hAnsi="Times New Roman" w:cs="Times New Roman"/>
                <w:b/>
                <w:bCs/>
                <w:color w:val="auto"/>
                <w:sz w:val="24"/>
                <w:szCs w:val="22"/>
                <w:lang w:val="en-US" w:eastAsia="zh-CN"/>
              </w:rPr>
              <w:t>通用设备制造业</w:t>
            </w:r>
            <w:r>
              <w:rPr>
                <w:rFonts w:hint="default" w:ascii="Times New Roman" w:hAnsi="Times New Roman" w:cs="Times New Roman"/>
                <w:b/>
                <w:bCs/>
                <w:color w:val="auto"/>
                <w:sz w:val="24"/>
                <w:szCs w:val="22"/>
              </w:rPr>
              <w:t>，与园区发展定位相符；根据《</w:t>
            </w:r>
            <w:r>
              <w:rPr>
                <w:rFonts w:hint="eastAsia" w:ascii="Times New Roman" w:hAnsi="Times New Roman" w:cs="Times New Roman"/>
                <w:b/>
                <w:bCs/>
                <w:color w:val="auto"/>
                <w:sz w:val="24"/>
                <w:szCs w:val="22"/>
              </w:rPr>
              <w:t>江苏省金坛经济开发区</w:t>
            </w:r>
            <w:r>
              <w:rPr>
                <w:rFonts w:hint="default" w:ascii="Times New Roman" w:hAnsi="Times New Roman" w:cs="Times New Roman"/>
                <w:b/>
                <w:bCs/>
                <w:color w:val="auto"/>
                <w:sz w:val="24"/>
                <w:szCs w:val="22"/>
              </w:rPr>
              <w:t>指前</w:t>
            </w:r>
            <w:r>
              <w:rPr>
                <w:rFonts w:hint="eastAsia" w:ascii="Times New Roman" w:hAnsi="Times New Roman" w:cs="Times New Roman"/>
                <w:b/>
                <w:bCs/>
                <w:color w:val="auto"/>
                <w:sz w:val="24"/>
                <w:szCs w:val="22"/>
              </w:rPr>
              <w:t>现代产业园常州市金坛区指前产业新镇</w:t>
            </w:r>
            <w:r>
              <w:rPr>
                <w:rFonts w:hint="default" w:ascii="Times New Roman" w:hAnsi="Times New Roman" w:cs="Times New Roman"/>
                <w:b/>
                <w:bCs/>
                <w:color w:val="auto"/>
                <w:sz w:val="24"/>
                <w:szCs w:val="22"/>
              </w:rPr>
              <w:t>控制性详细规划</w:t>
            </w:r>
            <w:r>
              <w:rPr>
                <w:rFonts w:hint="eastAsia" w:ascii="Times New Roman" w:hAnsi="Times New Roman" w:cs="Times New Roman"/>
                <w:b/>
                <w:bCs/>
                <w:color w:val="auto"/>
                <w:sz w:val="24"/>
                <w:szCs w:val="22"/>
              </w:rPr>
              <w:t>（修编）</w:t>
            </w:r>
            <w:r>
              <w:rPr>
                <w:rFonts w:hint="default" w:ascii="Times New Roman" w:hAnsi="Times New Roman" w:cs="Times New Roman"/>
                <w:b/>
                <w:bCs/>
                <w:color w:val="auto"/>
                <w:sz w:val="24"/>
                <w:szCs w:val="22"/>
              </w:rPr>
              <w:t>》，</w:t>
            </w:r>
            <w:r>
              <w:rPr>
                <w:rFonts w:hint="default" w:ascii="Times New Roman" w:hAnsi="Times New Roman" w:cs="Times New Roman"/>
                <w:b/>
                <w:bCs/>
                <w:color w:val="auto"/>
                <w:sz w:val="24"/>
              </w:rPr>
              <w:t>本项目为规划</w:t>
            </w:r>
            <w:r>
              <w:rPr>
                <w:rFonts w:hint="eastAsia" w:cs="Times New Roman"/>
                <w:b/>
                <w:bCs/>
                <w:color w:val="auto"/>
                <w:sz w:val="24"/>
                <w:lang w:val="en-US" w:eastAsia="zh-CN"/>
              </w:rPr>
              <w:t>一</w:t>
            </w:r>
            <w:r>
              <w:rPr>
                <w:rFonts w:hint="default" w:ascii="Times New Roman" w:hAnsi="Times New Roman" w:cs="Times New Roman"/>
                <w:b/>
                <w:bCs/>
                <w:color w:val="auto"/>
                <w:sz w:val="24"/>
              </w:rPr>
              <w:t>类工业用地，土地利用规划图见附图5。</w:t>
            </w:r>
          </w:p>
          <w:p w14:paraId="4AF5D9E1">
            <w:pPr>
              <w:keepNext w:val="0"/>
              <w:keepLines w:val="0"/>
              <w:suppressLineNumbers w:val="0"/>
              <w:autoSpaceDE w:val="0"/>
              <w:autoSpaceDN w:val="0"/>
              <w:adjustRightInd w:val="0"/>
              <w:snapToGrid w:val="0"/>
              <w:spacing w:before="0" w:beforeAutospacing="0" w:after="0" w:afterAutospacing="0" w:line="500" w:lineRule="exact"/>
              <w:ind w:left="0" w:right="0"/>
              <w:jc w:val="lef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w:t>
            </w:r>
            <w:r>
              <w:rPr>
                <w:rFonts w:hint="default" w:ascii="Times New Roman" w:hAnsi="宋体" w:cs="Times New Roman"/>
                <w:b/>
                <w:bCs/>
                <w:color w:val="auto"/>
                <w:kern w:val="0"/>
                <w:sz w:val="24"/>
              </w:rPr>
              <w:t>规划环境影响评价符合性分析</w:t>
            </w:r>
          </w:p>
          <w:p w14:paraId="4C7F0C67">
            <w:pPr>
              <w:keepNext w:val="0"/>
              <w:keepLines w:val="0"/>
              <w:suppressLineNumbers w:val="0"/>
              <w:autoSpaceDE w:val="0"/>
              <w:autoSpaceDN w:val="0"/>
              <w:adjustRightInd w:val="0"/>
              <w:snapToGrid w:val="0"/>
              <w:spacing w:before="0" w:beforeAutospacing="0" w:after="0" w:afterAutospacing="0" w:line="500" w:lineRule="exact"/>
              <w:ind w:left="0" w:right="0" w:firstLine="480" w:firstLineChars="200"/>
              <w:jc w:val="left"/>
              <w:rPr>
                <w:rFonts w:hint="default" w:ascii="Times New Roman" w:hAnsi="Times New Roman" w:cs="Times New Roman"/>
                <w:color w:val="auto"/>
                <w:kern w:val="0"/>
                <w:sz w:val="24"/>
              </w:rPr>
            </w:pPr>
            <w:r>
              <w:rPr>
                <w:rFonts w:hint="default" w:ascii="Times New Roman" w:hAnsi="宋体" w:cs="Times New Roman"/>
                <w:color w:val="auto"/>
                <w:kern w:val="0"/>
                <w:sz w:val="24"/>
              </w:rPr>
              <w:t>本项目与《市生态环境局关于常州市金坛区指前现代产业园发展规划环境影响评价报告书的审查意见》（常金环审</w:t>
            </w:r>
            <w:r>
              <w:rPr>
                <w:rFonts w:hint="eastAsia" w:hAnsi="宋体" w:cs="Times New Roman"/>
                <w:color w:val="auto"/>
                <w:kern w:val="0"/>
                <w:sz w:val="24"/>
                <w:lang w:eastAsia="zh-CN"/>
              </w:rPr>
              <w:t>〔2021〕184号</w:t>
            </w:r>
            <w:r>
              <w:rPr>
                <w:rFonts w:hint="default" w:ascii="Times New Roman" w:hAnsi="宋体" w:cs="Times New Roman"/>
                <w:color w:val="auto"/>
                <w:kern w:val="0"/>
                <w:sz w:val="24"/>
              </w:rPr>
              <w:t>）对照分析情况</w:t>
            </w:r>
            <w:r>
              <w:rPr>
                <w:rFonts w:hint="eastAsia" w:ascii="Times New Roman" w:hAnsi="宋体" w:cs="Times New Roman"/>
                <w:color w:val="auto"/>
                <w:kern w:val="0"/>
                <w:sz w:val="24"/>
              </w:rPr>
              <w:t>见表1-1-1，与产业园生态环境准入清单相符性分析见表1-1-2</w:t>
            </w:r>
            <w:r>
              <w:rPr>
                <w:rFonts w:hint="default" w:ascii="Times New Roman" w:hAnsi="宋体" w:cs="Times New Roman"/>
                <w:color w:val="auto"/>
                <w:kern w:val="0"/>
                <w:sz w:val="24"/>
              </w:rPr>
              <w:t>。</w:t>
            </w:r>
          </w:p>
          <w:p w14:paraId="073CFFA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auto"/>
                <w:sz w:val="24"/>
              </w:rPr>
            </w:pPr>
            <w:r>
              <w:rPr>
                <w:rFonts w:hint="default" w:ascii="Times New Roman" w:hAnsi="宋体" w:cs="Times New Roman"/>
                <w:b/>
                <w:bCs/>
                <w:color w:val="auto"/>
                <w:sz w:val="24"/>
              </w:rPr>
              <w:t>表</w:t>
            </w:r>
            <w:r>
              <w:rPr>
                <w:rFonts w:hint="default" w:ascii="Times New Roman" w:hAnsi="Times New Roman" w:cs="Times New Roman"/>
                <w:b/>
                <w:bCs/>
                <w:color w:val="auto"/>
                <w:sz w:val="24"/>
              </w:rPr>
              <w:t>1-1</w:t>
            </w:r>
            <w:r>
              <w:rPr>
                <w:rFonts w:hint="eastAsia" w:ascii="Times New Roman" w:hAnsi="Times New Roman" w:cs="Times New Roman"/>
                <w:b/>
                <w:bCs/>
                <w:color w:val="auto"/>
                <w:sz w:val="24"/>
              </w:rPr>
              <w:t>-1</w:t>
            </w:r>
            <w:r>
              <w:rPr>
                <w:rFonts w:hint="default" w:ascii="Times New Roman" w:hAnsi="宋体" w:cs="Times New Roman"/>
                <w:b/>
                <w:bCs/>
                <w:color w:val="auto"/>
                <w:sz w:val="24"/>
              </w:rPr>
              <w:t>与常金环审</w:t>
            </w:r>
            <w:r>
              <w:rPr>
                <w:rFonts w:hint="eastAsia" w:hAnsi="宋体" w:cs="Times New Roman"/>
                <w:b/>
                <w:bCs/>
                <w:color w:val="auto"/>
                <w:sz w:val="24"/>
                <w:lang w:eastAsia="zh-CN"/>
              </w:rPr>
              <w:t>〔2021〕184号</w:t>
            </w:r>
            <w:r>
              <w:rPr>
                <w:rFonts w:hint="default" w:ascii="Times New Roman" w:hAnsi="宋体" w:cs="Times New Roman"/>
                <w:b/>
                <w:bCs/>
                <w:color w:val="auto"/>
                <w:sz w:val="24"/>
              </w:rPr>
              <w:t>对照分析情况</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37"/>
              <w:gridCol w:w="2602"/>
              <w:gridCol w:w="768"/>
            </w:tblGrid>
            <w:tr w14:paraId="632BB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68" w:type="pct"/>
                  <w:tcBorders>
                    <w:tl2br w:val="nil"/>
                    <w:tr2bl w:val="nil"/>
                  </w:tcBorders>
                  <w:noWrap w:val="0"/>
                  <w:vAlign w:val="center"/>
                </w:tcPr>
                <w:p w14:paraId="03913319">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区域环评审查意见</w:t>
                  </w:r>
                </w:p>
              </w:tc>
              <w:tc>
                <w:tcPr>
                  <w:tcW w:w="1645" w:type="pct"/>
                  <w:tcBorders>
                    <w:tl2br w:val="nil"/>
                    <w:tr2bl w:val="nil"/>
                  </w:tcBorders>
                  <w:noWrap w:val="0"/>
                  <w:vAlign w:val="center"/>
                </w:tcPr>
                <w:p w14:paraId="375F1449">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本项目</w:t>
                  </w:r>
                </w:p>
              </w:tc>
              <w:tc>
                <w:tcPr>
                  <w:tcW w:w="485" w:type="pct"/>
                  <w:tcBorders>
                    <w:tl2br w:val="nil"/>
                    <w:tr2bl w:val="nil"/>
                  </w:tcBorders>
                  <w:noWrap w:val="0"/>
                  <w:vAlign w:val="center"/>
                </w:tcPr>
                <w:p w14:paraId="5FD3F9BF">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相符性</w:t>
                  </w:r>
                </w:p>
              </w:tc>
            </w:tr>
            <w:tr w14:paraId="3C15A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68" w:type="pct"/>
                  <w:tcBorders>
                    <w:tl2br w:val="nil"/>
                    <w:tr2bl w:val="nil"/>
                  </w:tcBorders>
                  <w:noWrap w:val="0"/>
                  <w:vAlign w:val="center"/>
                </w:tcPr>
                <w:p w14:paraId="71743370">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园区规划范围：指前现代产业园规划总面积</w:t>
                  </w:r>
                  <w:r>
                    <w:rPr>
                      <w:rFonts w:hint="default" w:ascii="Times New Roman" w:hAnsi="Times New Roman" w:eastAsia="宋体" w:cs="Times New Roman"/>
                      <w:color w:val="auto"/>
                      <w:sz w:val="21"/>
                      <w:szCs w:val="21"/>
                    </w:rPr>
                    <w:t>3.25</w:t>
                  </w:r>
                  <w:r>
                    <w:rPr>
                      <w:rFonts w:hint="default" w:ascii="Times New Roman" w:hAnsi="宋体" w:eastAsia="宋体" w:cs="Times New Roman"/>
                      <w:color w:val="auto"/>
                      <w:sz w:val="21"/>
                      <w:szCs w:val="21"/>
                    </w:rPr>
                    <w:t>平方公里。其中，指前园面积为</w:t>
                  </w:r>
                  <w:r>
                    <w:rPr>
                      <w:rFonts w:hint="default" w:ascii="Times New Roman" w:hAnsi="Times New Roman" w:eastAsia="宋体" w:cs="Times New Roman"/>
                      <w:color w:val="auto"/>
                      <w:sz w:val="21"/>
                      <w:szCs w:val="21"/>
                    </w:rPr>
                    <w:t>2.3</w:t>
                  </w:r>
                  <w:r>
                    <w:rPr>
                      <w:rFonts w:hint="default" w:ascii="Times New Roman" w:hAnsi="宋体" w:eastAsia="宋体" w:cs="Times New Roman"/>
                      <w:color w:val="auto"/>
                      <w:sz w:val="21"/>
                      <w:szCs w:val="21"/>
                    </w:rPr>
                    <w:t>平方公里，具体范围为东至芦家中河、南至白石港、西至丹金溧漕河、北至大浦港。洮河园面积为</w:t>
                  </w:r>
                  <w:r>
                    <w:rPr>
                      <w:rFonts w:hint="default" w:ascii="Times New Roman" w:hAnsi="Times New Roman" w:eastAsia="宋体" w:cs="Times New Roman"/>
                      <w:color w:val="auto"/>
                      <w:sz w:val="21"/>
                      <w:szCs w:val="21"/>
                    </w:rPr>
                    <w:t>0.95</w:t>
                  </w:r>
                  <w:r>
                    <w:rPr>
                      <w:rFonts w:hint="default" w:ascii="Times New Roman" w:hAnsi="宋体" w:eastAsia="宋体" w:cs="Times New Roman"/>
                      <w:color w:val="auto"/>
                      <w:sz w:val="21"/>
                      <w:szCs w:val="21"/>
                    </w:rPr>
                    <w:t>平方公里，具体范围为东至</w:t>
                  </w:r>
                  <w:r>
                    <w:rPr>
                      <w:rFonts w:hint="default" w:ascii="Times New Roman" w:hAnsi="Times New Roman" w:eastAsia="宋体" w:cs="Times New Roman"/>
                      <w:color w:val="auto"/>
                      <w:sz w:val="21"/>
                      <w:szCs w:val="21"/>
                    </w:rPr>
                    <w:t>G233</w:t>
                  </w:r>
                  <w:r>
                    <w:rPr>
                      <w:rFonts w:hint="default" w:ascii="Times New Roman" w:hAnsi="宋体" w:eastAsia="宋体" w:cs="Times New Roman"/>
                      <w:color w:val="auto"/>
                      <w:sz w:val="21"/>
                      <w:szCs w:val="21"/>
                    </w:rPr>
                    <w:t>国道、南至新河北路、西至洮新线西侧企业厂区边界、北至水洮路。</w:t>
                  </w:r>
                </w:p>
              </w:tc>
              <w:tc>
                <w:tcPr>
                  <w:tcW w:w="1645" w:type="pct"/>
                  <w:tcBorders>
                    <w:tl2br w:val="nil"/>
                    <w:tr2bl w:val="nil"/>
                  </w:tcBorders>
                  <w:noWrap w:val="0"/>
                  <w:vAlign w:val="center"/>
                </w:tcPr>
                <w:p w14:paraId="01BDBFAD">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本项目位于</w:t>
                  </w:r>
                  <w:r>
                    <w:rPr>
                      <w:rFonts w:hint="eastAsia" w:hAnsi="宋体" w:cs="Times New Roman"/>
                      <w:color w:val="auto"/>
                      <w:sz w:val="21"/>
                      <w:szCs w:val="21"/>
                      <w:lang w:val="en-US" w:eastAsia="zh-CN"/>
                    </w:rPr>
                    <w:t>指前镇洮西工业集中区中路1号</w:t>
                  </w:r>
                  <w:r>
                    <w:rPr>
                      <w:rFonts w:hint="default" w:ascii="Times New Roman" w:hAnsi="宋体" w:eastAsia="宋体" w:cs="Times New Roman"/>
                      <w:color w:val="auto"/>
                      <w:sz w:val="21"/>
                      <w:szCs w:val="21"/>
                    </w:rPr>
                    <w:t>，属于指前现代产业园范围内，用地性质与规划相符，选址合理。</w:t>
                  </w:r>
                </w:p>
              </w:tc>
              <w:tc>
                <w:tcPr>
                  <w:tcW w:w="485" w:type="pct"/>
                  <w:tcBorders>
                    <w:tl2br w:val="nil"/>
                    <w:tr2bl w:val="nil"/>
                  </w:tcBorders>
                  <w:noWrap w:val="0"/>
                  <w:vAlign w:val="center"/>
                </w:tcPr>
                <w:p w14:paraId="7B383C8C">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相符</w:t>
                  </w:r>
                </w:p>
              </w:tc>
            </w:tr>
            <w:tr w14:paraId="087B6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68" w:type="pct"/>
                  <w:tcBorders>
                    <w:tl2br w:val="nil"/>
                    <w:tr2bl w:val="nil"/>
                  </w:tcBorders>
                  <w:noWrap w:val="0"/>
                  <w:vAlign w:val="center"/>
                </w:tcPr>
                <w:p w14:paraId="064A7510">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产业定位：电子通讯、机械装备、纺织服装、建筑新材料等。</w:t>
                  </w:r>
                </w:p>
              </w:tc>
              <w:tc>
                <w:tcPr>
                  <w:tcW w:w="1645" w:type="pct"/>
                  <w:tcBorders>
                    <w:tl2br w:val="nil"/>
                    <w:tr2bl w:val="nil"/>
                  </w:tcBorders>
                  <w:noWrap w:val="0"/>
                  <w:vAlign w:val="center"/>
                </w:tcPr>
                <w:p w14:paraId="51C61811">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项目</w:t>
                  </w:r>
                  <w:r>
                    <w:rPr>
                      <w:rFonts w:hint="eastAsia" w:ascii="Times New Roman" w:hAnsi="宋体" w:eastAsia="宋体" w:cs="Times New Roman"/>
                      <w:color w:val="auto"/>
                      <w:sz w:val="21"/>
                      <w:szCs w:val="21"/>
                      <w:lang w:val="en-US" w:eastAsia="zh-CN"/>
                    </w:rPr>
                    <w:t>产品为工程机械配件、盾构机配件、航空发动机配件等</w:t>
                  </w:r>
                  <w:r>
                    <w:rPr>
                      <w:rFonts w:hint="default" w:ascii="Times New Roman" w:hAnsi="宋体" w:eastAsia="宋体" w:cs="Times New Roman"/>
                      <w:color w:val="auto"/>
                      <w:sz w:val="21"/>
                      <w:szCs w:val="21"/>
                    </w:rPr>
                    <w:t>，属于</w:t>
                  </w:r>
                  <w:r>
                    <w:rPr>
                      <w:rFonts w:hint="eastAsia" w:ascii="Times New Roman" w:hAnsi="宋体" w:eastAsia="宋体" w:cs="Times New Roman"/>
                      <w:color w:val="auto"/>
                      <w:sz w:val="21"/>
                      <w:szCs w:val="21"/>
                      <w:lang w:val="en-US" w:eastAsia="zh-CN"/>
                    </w:rPr>
                    <w:t>机械装备</w:t>
                  </w:r>
                  <w:r>
                    <w:rPr>
                      <w:rFonts w:hint="default" w:ascii="Times New Roman" w:hAnsi="宋体" w:eastAsia="宋体" w:cs="Times New Roman"/>
                      <w:color w:val="auto"/>
                      <w:sz w:val="21"/>
                      <w:szCs w:val="21"/>
                    </w:rPr>
                    <w:t>产业，符合园区产业定位。</w:t>
                  </w:r>
                </w:p>
              </w:tc>
              <w:tc>
                <w:tcPr>
                  <w:tcW w:w="485" w:type="pct"/>
                  <w:tcBorders>
                    <w:tl2br w:val="nil"/>
                    <w:tr2bl w:val="nil"/>
                  </w:tcBorders>
                  <w:noWrap w:val="0"/>
                  <w:vAlign w:val="center"/>
                </w:tcPr>
                <w:p w14:paraId="5CCCC8FE">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相符</w:t>
                  </w:r>
                </w:p>
              </w:tc>
            </w:tr>
            <w:tr w14:paraId="5A47A0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68" w:type="pct"/>
                  <w:tcBorders>
                    <w:tl2br w:val="nil"/>
                    <w:tr2bl w:val="nil"/>
                  </w:tcBorders>
                  <w:noWrap w:val="0"/>
                  <w:vAlign w:val="center"/>
                </w:tcPr>
                <w:p w14:paraId="604C9453">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环保基础设施：园区给水依托指前水厂，由指前水厂传输区域供水的模式。规划在</w:t>
                  </w:r>
                  <w:r>
                    <w:rPr>
                      <w:rFonts w:hint="default" w:ascii="Times New Roman" w:hAnsi="Times New Roman" w:eastAsia="宋体" w:cs="Times New Roman"/>
                      <w:color w:val="auto"/>
                      <w:sz w:val="21"/>
                      <w:szCs w:val="21"/>
                    </w:rPr>
                    <w:t>233</w:t>
                  </w:r>
                  <w:r>
                    <w:rPr>
                      <w:rFonts w:hint="default" w:ascii="Times New Roman" w:hAnsi="宋体" w:eastAsia="宋体" w:cs="Times New Roman"/>
                      <w:color w:val="auto"/>
                      <w:sz w:val="21"/>
                      <w:szCs w:val="21"/>
                    </w:rPr>
                    <w:t>国道以西的工业园区内，丹金溧漕河畔新建污水处理厂，近期规模为</w:t>
                  </w:r>
                  <w:r>
                    <w:rPr>
                      <w:rFonts w:hint="default" w:ascii="Times New Roman" w:hAnsi="Times New Roman" w:eastAsia="宋体" w:cs="Times New Roman"/>
                      <w:color w:val="auto"/>
                      <w:sz w:val="21"/>
                      <w:szCs w:val="21"/>
                    </w:rPr>
                    <w:t>0.5</w:t>
                  </w:r>
                  <w:r>
                    <w:rPr>
                      <w:rFonts w:hint="default" w:ascii="Times New Roman" w:hAnsi="宋体" w:eastAsia="宋体" w:cs="Times New Roman"/>
                      <w:color w:val="auto"/>
                      <w:sz w:val="21"/>
                      <w:szCs w:val="21"/>
                    </w:rPr>
                    <w:t>万</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宋体" w:eastAsia="宋体" w:cs="Times New Roman"/>
                      <w:color w:val="auto"/>
                      <w:sz w:val="21"/>
                      <w:szCs w:val="21"/>
                    </w:rPr>
                    <w:t>，远期规模</w:t>
                  </w:r>
                  <w:r>
                    <w:rPr>
                      <w:rFonts w:hint="default" w:ascii="Times New Roman" w:hAnsi="Times New Roman" w:eastAsia="宋体" w:cs="Times New Roman"/>
                      <w:color w:val="auto"/>
                      <w:sz w:val="21"/>
                      <w:szCs w:val="21"/>
                    </w:rPr>
                    <w:t>1</w:t>
                  </w:r>
                  <w:r>
                    <w:rPr>
                      <w:rFonts w:hint="default" w:ascii="Times New Roman" w:hAnsi="宋体" w:eastAsia="宋体" w:cs="Times New Roman"/>
                      <w:color w:val="auto"/>
                      <w:sz w:val="21"/>
                      <w:szCs w:val="21"/>
                    </w:rPr>
                    <w:t>万</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宋体" w:eastAsia="宋体" w:cs="Times New Roman"/>
                      <w:color w:val="auto"/>
                      <w:sz w:val="21"/>
                      <w:szCs w:val="21"/>
                    </w:rPr>
                    <w:t>。采用雨污分流为主，截</w:t>
                  </w:r>
                  <w:r>
                    <w:rPr>
                      <w:rFonts w:hint="eastAsia" w:ascii="Times New Roman" w:hAnsi="宋体" w:eastAsia="宋体" w:cs="Times New Roman"/>
                      <w:color w:val="auto"/>
                      <w:sz w:val="21"/>
                      <w:szCs w:val="21"/>
                      <w:lang w:val="en-US" w:eastAsia="zh-CN"/>
                    </w:rPr>
                    <w:t>流</w:t>
                  </w:r>
                  <w:r>
                    <w:rPr>
                      <w:rFonts w:hint="default" w:ascii="Times New Roman" w:hAnsi="宋体" w:eastAsia="宋体" w:cs="Times New Roman"/>
                      <w:color w:val="auto"/>
                      <w:sz w:val="21"/>
                      <w:szCs w:val="21"/>
                    </w:rPr>
                    <w:t>为辅的排水体制。规划雨水管网沿道路分布，雨水采用分散就近排放的原则，高地自排，低地机排。新建</w:t>
                  </w:r>
                  <w:r>
                    <w:rPr>
                      <w:rFonts w:hint="default" w:ascii="Times New Roman" w:hAnsi="Times New Roman" w:eastAsia="宋体" w:cs="Times New Roman"/>
                      <w:color w:val="auto"/>
                      <w:sz w:val="21"/>
                      <w:szCs w:val="21"/>
                    </w:rPr>
                    <w:t>110kV</w:t>
                  </w:r>
                  <w:r>
                    <w:rPr>
                      <w:rFonts w:hint="default" w:ascii="Times New Roman" w:hAnsi="宋体" w:eastAsia="宋体" w:cs="Times New Roman"/>
                      <w:color w:val="auto"/>
                      <w:sz w:val="21"/>
                      <w:szCs w:val="21"/>
                    </w:rPr>
                    <w:t>指前变，主变容量</w:t>
                  </w:r>
                  <w:r>
                    <w:rPr>
                      <w:rFonts w:hint="default" w:ascii="Times New Roman" w:hAnsi="Times New Roman" w:eastAsia="宋体" w:cs="Times New Roman"/>
                      <w:color w:val="auto"/>
                      <w:sz w:val="21"/>
                      <w:szCs w:val="21"/>
                    </w:rPr>
                    <w:t>2*50MVA</w:t>
                  </w:r>
                  <w:r>
                    <w:rPr>
                      <w:rFonts w:hint="default" w:ascii="Times New Roman" w:hAnsi="宋体" w:eastAsia="宋体" w:cs="Times New Roman"/>
                      <w:color w:val="auto"/>
                      <w:sz w:val="21"/>
                      <w:szCs w:val="21"/>
                    </w:rPr>
                    <w:t>；保留</w:t>
                  </w:r>
                  <w:r>
                    <w:rPr>
                      <w:rFonts w:hint="default" w:ascii="Times New Roman" w:hAnsi="Times New Roman" w:eastAsia="宋体" w:cs="Times New Roman"/>
                      <w:color w:val="auto"/>
                      <w:sz w:val="21"/>
                      <w:szCs w:val="21"/>
                    </w:rPr>
                    <w:t>220kV</w:t>
                  </w:r>
                  <w:r>
                    <w:rPr>
                      <w:rFonts w:hint="default" w:ascii="Times New Roman" w:hAnsi="宋体" w:eastAsia="宋体" w:cs="Times New Roman"/>
                      <w:color w:val="auto"/>
                      <w:sz w:val="21"/>
                      <w:szCs w:val="21"/>
                    </w:rPr>
                    <w:t>洮湖变，远期扩容至</w:t>
                  </w:r>
                  <w:r>
                    <w:rPr>
                      <w:rFonts w:hint="default" w:ascii="Times New Roman" w:hAnsi="Times New Roman" w:eastAsia="宋体" w:cs="Times New Roman"/>
                      <w:color w:val="auto"/>
                      <w:sz w:val="21"/>
                      <w:szCs w:val="21"/>
                    </w:rPr>
                    <w:t>2*240MVA</w:t>
                  </w:r>
                  <w:r>
                    <w:rPr>
                      <w:rFonts w:hint="default" w:ascii="Times New Roman" w:hAnsi="宋体" w:eastAsia="宋体" w:cs="Times New Roman"/>
                      <w:color w:val="auto"/>
                      <w:sz w:val="21"/>
                      <w:szCs w:val="21"/>
                    </w:rPr>
                    <w:t>。天然气规划同时为工业提供用气，天然气高压管拟沿</w:t>
                  </w:r>
                  <w:r>
                    <w:rPr>
                      <w:rFonts w:hint="default" w:ascii="Times New Roman" w:hAnsi="Times New Roman" w:eastAsia="宋体" w:cs="Times New Roman"/>
                      <w:color w:val="auto"/>
                      <w:sz w:val="21"/>
                      <w:szCs w:val="21"/>
                    </w:rPr>
                    <w:t>233</w:t>
                  </w:r>
                  <w:r>
                    <w:rPr>
                      <w:rFonts w:hint="default" w:ascii="Times New Roman" w:hAnsi="宋体" w:eastAsia="宋体" w:cs="Times New Roman"/>
                      <w:color w:val="auto"/>
                      <w:sz w:val="21"/>
                      <w:szCs w:val="21"/>
                    </w:rPr>
                    <w:t>国道自北向南引入，</w:t>
                  </w:r>
                  <w:r>
                    <w:rPr>
                      <w:rFonts w:hint="eastAsia" w:ascii="Times New Roman" w:hAnsi="宋体" w:eastAsia="宋体" w:cs="Times New Roman"/>
                      <w:color w:val="auto"/>
                      <w:sz w:val="21"/>
                      <w:szCs w:val="21"/>
                    </w:rPr>
                    <w:t>于</w:t>
                  </w:r>
                  <w:r>
                    <w:rPr>
                      <w:rFonts w:hint="default" w:ascii="Times New Roman" w:hAnsi="宋体" w:eastAsia="宋体" w:cs="Times New Roman"/>
                      <w:color w:val="auto"/>
                      <w:sz w:val="21"/>
                      <w:szCs w:val="21"/>
                    </w:rPr>
                    <w:t>洮西片新港河以南设高中压调压站一座，控制用地</w:t>
                  </w:r>
                  <w:r>
                    <w:rPr>
                      <w:rFonts w:hint="default" w:ascii="Times New Roman" w:hAnsi="Times New Roman" w:eastAsia="宋体" w:cs="Times New Roman"/>
                      <w:color w:val="auto"/>
                      <w:sz w:val="21"/>
                      <w:szCs w:val="21"/>
                    </w:rPr>
                    <w:t>1000</w:t>
                  </w:r>
                  <w:r>
                    <w:rPr>
                      <w:rFonts w:hint="default" w:ascii="Times New Roman" w:hAnsi="宋体" w:eastAsia="宋体" w:cs="Times New Roman"/>
                      <w:color w:val="auto"/>
                      <w:sz w:val="21"/>
                      <w:szCs w:val="21"/>
                    </w:rPr>
                    <w:t>平方米，调压站引出中压管沿</w:t>
                  </w:r>
                  <w:r>
                    <w:rPr>
                      <w:rFonts w:hint="default" w:ascii="Times New Roman" w:hAnsi="Times New Roman" w:eastAsia="宋体" w:cs="Times New Roman"/>
                      <w:color w:val="auto"/>
                      <w:sz w:val="21"/>
                      <w:szCs w:val="21"/>
                    </w:rPr>
                    <w:t>233</w:t>
                  </w:r>
                  <w:r>
                    <w:rPr>
                      <w:rFonts w:hint="default" w:ascii="Times New Roman" w:hAnsi="宋体" w:eastAsia="宋体" w:cs="Times New Roman"/>
                      <w:color w:val="auto"/>
                      <w:sz w:val="21"/>
                      <w:szCs w:val="21"/>
                    </w:rPr>
                    <w:t>国道引至镇区。垃圾压缩后由市环卫处转运和集中处置。</w:t>
                  </w:r>
                </w:p>
              </w:tc>
              <w:tc>
                <w:tcPr>
                  <w:tcW w:w="1645" w:type="pct"/>
                  <w:tcBorders>
                    <w:tl2br w:val="nil"/>
                    <w:tr2bl w:val="nil"/>
                  </w:tcBorders>
                  <w:noWrap w:val="0"/>
                  <w:vAlign w:val="center"/>
                </w:tcPr>
                <w:p w14:paraId="5770515F">
                  <w:pPr>
                    <w:pStyle w:val="85"/>
                    <w:keepNext w:val="0"/>
                    <w:keepLines w:val="0"/>
                    <w:suppressLineNumbers w:val="0"/>
                    <w:snapToGrid w:val="0"/>
                    <w:spacing w:before="0" w:beforeAutospacing="0" w:after="0" w:afterAutospacing="0"/>
                    <w:ind w:left="0" w:right="0"/>
                    <w:jc w:val="left"/>
                    <w:rPr>
                      <w:rFonts w:hint="eastAsia" w:ascii="Times New Roman" w:hAnsi="Times New Roman" w:eastAsia="宋体" w:cs="Times New Roman"/>
                      <w:color w:val="auto"/>
                      <w:sz w:val="21"/>
                      <w:szCs w:val="21"/>
                      <w:lang w:eastAsia="zh-CN"/>
                    </w:rPr>
                  </w:pPr>
                  <w:r>
                    <w:rPr>
                      <w:rFonts w:hint="default" w:ascii="Times New Roman" w:hAnsi="宋体" w:eastAsia="宋体" w:cs="Times New Roman"/>
                      <w:color w:val="auto"/>
                      <w:sz w:val="21"/>
                      <w:szCs w:val="21"/>
                    </w:rPr>
                    <w:t>本项目</w:t>
                  </w:r>
                  <w:r>
                    <w:rPr>
                      <w:rFonts w:hint="eastAsia" w:ascii="Times New Roman" w:hAnsi="宋体" w:eastAsia="宋体" w:cs="Times New Roman"/>
                      <w:color w:val="auto"/>
                      <w:sz w:val="21"/>
                      <w:szCs w:val="21"/>
                    </w:rPr>
                    <w:t>冷却水循环使用，</w:t>
                  </w:r>
                  <w:r>
                    <w:rPr>
                      <w:rFonts w:hint="eastAsia" w:ascii="Times New Roman" w:hAnsi="宋体" w:eastAsia="宋体" w:cs="Times New Roman"/>
                      <w:color w:val="auto"/>
                      <w:sz w:val="21"/>
                      <w:szCs w:val="21"/>
                      <w:lang w:val="en-US" w:eastAsia="zh-CN"/>
                    </w:rPr>
                    <w:t>不外排；项目不新增员工，不新增</w:t>
                  </w:r>
                  <w:r>
                    <w:rPr>
                      <w:rFonts w:hint="default" w:ascii="Times New Roman" w:hAnsi="宋体" w:eastAsia="宋体" w:cs="Times New Roman"/>
                      <w:color w:val="auto"/>
                      <w:sz w:val="21"/>
                      <w:szCs w:val="21"/>
                    </w:rPr>
                    <w:t>生活污水；项目各类固体废物无害化处置，危险废物委托有资质单位安全处置</w:t>
                  </w:r>
                  <w:r>
                    <w:rPr>
                      <w:rFonts w:hint="eastAsia" w:ascii="Times New Roman" w:hAnsi="宋体" w:eastAsia="宋体" w:cs="Times New Roman"/>
                      <w:color w:val="auto"/>
                      <w:sz w:val="21"/>
                      <w:szCs w:val="21"/>
                      <w:lang w:eastAsia="zh-CN"/>
                    </w:rPr>
                    <w:t>。</w:t>
                  </w:r>
                </w:p>
              </w:tc>
              <w:tc>
                <w:tcPr>
                  <w:tcW w:w="485" w:type="pct"/>
                  <w:tcBorders>
                    <w:tl2br w:val="nil"/>
                    <w:tr2bl w:val="nil"/>
                  </w:tcBorders>
                  <w:noWrap w:val="0"/>
                  <w:vAlign w:val="center"/>
                </w:tcPr>
                <w:p w14:paraId="6418874D">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相符</w:t>
                  </w:r>
                </w:p>
              </w:tc>
            </w:tr>
            <w:tr w14:paraId="0E38D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68" w:type="pct"/>
                  <w:tcBorders>
                    <w:tl2br w:val="nil"/>
                    <w:tr2bl w:val="nil"/>
                  </w:tcBorders>
                  <w:noWrap w:val="0"/>
                  <w:vAlign w:val="center"/>
                </w:tcPr>
                <w:p w14:paraId="63B750BC">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环境管理：入园企业必须配备专职或者兼职环保管理人员，园区内企业严格执行环保</w:t>
                  </w:r>
                  <w:r>
                    <w:rPr>
                      <w:rFonts w:hint="default" w:ascii="Times New Roman" w:hAnsi="Times New Roman" w:eastAsia="宋体" w:cs="Times New Roman"/>
                      <w:color w:val="auto"/>
                      <w:sz w:val="21"/>
                      <w:szCs w:val="21"/>
                    </w:rPr>
                    <w:t>“</w:t>
                  </w:r>
                  <w:r>
                    <w:rPr>
                      <w:rFonts w:hint="default" w:ascii="Times New Roman" w:hAnsi="宋体" w:eastAsia="宋体" w:cs="Times New Roman"/>
                      <w:color w:val="auto"/>
                      <w:sz w:val="21"/>
                      <w:szCs w:val="21"/>
                    </w:rPr>
                    <w:t>三同时</w:t>
                  </w:r>
                  <w:r>
                    <w:rPr>
                      <w:rFonts w:hint="default" w:ascii="Times New Roman" w:hAnsi="Times New Roman" w:eastAsia="宋体" w:cs="Times New Roman"/>
                      <w:color w:val="auto"/>
                      <w:sz w:val="21"/>
                      <w:szCs w:val="21"/>
                    </w:rPr>
                    <w:t>”</w:t>
                  </w:r>
                  <w:r>
                    <w:rPr>
                      <w:rFonts w:hint="default" w:ascii="Times New Roman" w:hAnsi="宋体" w:eastAsia="宋体" w:cs="Times New Roman"/>
                      <w:color w:val="auto"/>
                      <w:sz w:val="21"/>
                      <w:szCs w:val="21"/>
                    </w:rPr>
                    <w:t>制度。</w:t>
                  </w:r>
                </w:p>
              </w:tc>
              <w:tc>
                <w:tcPr>
                  <w:tcW w:w="1645" w:type="pct"/>
                  <w:tcBorders>
                    <w:tl2br w:val="nil"/>
                    <w:tr2bl w:val="nil"/>
                  </w:tcBorders>
                  <w:noWrap w:val="0"/>
                  <w:vAlign w:val="center"/>
                </w:tcPr>
                <w:p w14:paraId="4D9E6F1D">
                  <w:pPr>
                    <w:pStyle w:val="85"/>
                    <w:keepNext w:val="0"/>
                    <w:keepLines w:val="0"/>
                    <w:suppressLineNumbers w:val="0"/>
                    <w:snapToGrid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本项目将严格落实环境管理要求，配备环保管理人员，严格执行环保</w:t>
                  </w:r>
                  <w:r>
                    <w:rPr>
                      <w:rFonts w:hint="default" w:ascii="Times New Roman" w:hAnsi="Times New Roman" w:eastAsia="宋体" w:cs="Times New Roman"/>
                      <w:color w:val="auto"/>
                      <w:sz w:val="21"/>
                      <w:szCs w:val="21"/>
                    </w:rPr>
                    <w:t>“</w:t>
                  </w:r>
                  <w:r>
                    <w:rPr>
                      <w:rFonts w:hint="default" w:ascii="Times New Roman" w:hAnsi="宋体" w:eastAsia="宋体" w:cs="Times New Roman"/>
                      <w:color w:val="auto"/>
                      <w:sz w:val="21"/>
                      <w:szCs w:val="21"/>
                    </w:rPr>
                    <w:t>三同时</w:t>
                  </w:r>
                  <w:r>
                    <w:rPr>
                      <w:rFonts w:hint="default" w:ascii="Times New Roman" w:hAnsi="Times New Roman" w:eastAsia="宋体" w:cs="Times New Roman"/>
                      <w:color w:val="auto"/>
                      <w:sz w:val="21"/>
                      <w:szCs w:val="21"/>
                    </w:rPr>
                    <w:t>”</w:t>
                  </w:r>
                  <w:r>
                    <w:rPr>
                      <w:rFonts w:hint="default" w:ascii="Times New Roman" w:hAnsi="宋体" w:eastAsia="宋体" w:cs="Times New Roman"/>
                      <w:color w:val="auto"/>
                      <w:sz w:val="21"/>
                      <w:szCs w:val="21"/>
                    </w:rPr>
                    <w:t>制度。</w:t>
                  </w:r>
                </w:p>
              </w:tc>
              <w:tc>
                <w:tcPr>
                  <w:tcW w:w="485" w:type="pct"/>
                  <w:tcBorders>
                    <w:tl2br w:val="nil"/>
                    <w:tr2bl w:val="nil"/>
                  </w:tcBorders>
                  <w:noWrap w:val="0"/>
                  <w:vAlign w:val="center"/>
                </w:tcPr>
                <w:p w14:paraId="5E76EDBF">
                  <w:pPr>
                    <w:pStyle w:val="85"/>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宋体" w:eastAsia="宋体" w:cs="Times New Roman"/>
                      <w:color w:val="auto"/>
                      <w:sz w:val="21"/>
                      <w:szCs w:val="21"/>
                    </w:rPr>
                    <w:t>相符</w:t>
                  </w:r>
                </w:p>
              </w:tc>
            </w:tr>
          </w:tbl>
          <w:p w14:paraId="7055AB07">
            <w:pPr>
              <w:keepNext w:val="0"/>
              <w:keepLines w:val="0"/>
              <w:suppressLineNumbers w:val="0"/>
              <w:spacing w:before="0" w:beforeAutospacing="0" w:after="0" w:afterAutospacing="0" w:line="480" w:lineRule="exact"/>
              <w:ind w:left="0" w:right="0" w:firstLine="482" w:firstLineChars="200"/>
              <w:jc w:val="center"/>
              <w:rPr>
                <w:rFonts w:hint="eastAsia" w:ascii="Times New Roman" w:hAnsi="Times New Roman" w:cs="Times New Roman"/>
                <w:b/>
                <w:bCs/>
                <w:color w:val="auto"/>
                <w:sz w:val="24"/>
              </w:rPr>
            </w:pPr>
            <w:r>
              <w:rPr>
                <w:rFonts w:hint="eastAsia" w:ascii="Times New Roman" w:hAnsi="Times New Roman" w:cs="Times New Roman"/>
                <w:b/>
                <w:bCs/>
                <w:color w:val="auto"/>
                <w:sz w:val="24"/>
              </w:rPr>
              <w:t>表1-1-2与产业园生态环境准入清单相符性分析情况</w:t>
            </w:r>
          </w:p>
          <w:tbl>
            <w:tblPr>
              <w:tblStyle w:val="2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41"/>
              <w:gridCol w:w="4319"/>
              <w:gridCol w:w="2322"/>
              <w:gridCol w:w="625"/>
            </w:tblGrid>
            <w:tr w14:paraId="31E51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3135" w:type="pct"/>
                  <w:gridSpan w:val="2"/>
                  <w:tcBorders>
                    <w:tl2br w:val="nil"/>
                    <w:tr2bl w:val="nil"/>
                  </w:tcBorders>
                  <w:noWrap w:val="0"/>
                  <w:vAlign w:val="center"/>
                </w:tcPr>
                <w:p w14:paraId="6CD7D2A8">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内容要求</w:t>
                  </w:r>
                </w:p>
              </w:tc>
              <w:tc>
                <w:tcPr>
                  <w:tcW w:w="1468" w:type="pct"/>
                  <w:tcBorders>
                    <w:tl2br w:val="nil"/>
                    <w:tr2bl w:val="nil"/>
                  </w:tcBorders>
                  <w:noWrap w:val="0"/>
                  <w:vAlign w:val="center"/>
                </w:tcPr>
                <w:p w14:paraId="5E86CD41">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本项目情况</w:t>
                  </w:r>
                </w:p>
              </w:tc>
              <w:tc>
                <w:tcPr>
                  <w:tcW w:w="395" w:type="pct"/>
                  <w:tcBorders>
                    <w:tl2br w:val="nil"/>
                    <w:tr2bl w:val="nil"/>
                  </w:tcBorders>
                  <w:noWrap w:val="0"/>
                  <w:vAlign w:val="center"/>
                </w:tcPr>
                <w:p w14:paraId="16661C0E">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是否相符</w:t>
                  </w:r>
                </w:p>
              </w:tc>
            </w:tr>
            <w:tr w14:paraId="73275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05" w:type="pct"/>
                  <w:tcBorders>
                    <w:tl2br w:val="nil"/>
                    <w:tr2bl w:val="nil"/>
                  </w:tcBorders>
                  <w:noWrap w:val="0"/>
                  <w:vAlign w:val="center"/>
                </w:tcPr>
                <w:p w14:paraId="25F5B36C">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bCs/>
                      <w:color w:val="auto"/>
                      <w:szCs w:val="21"/>
                    </w:rPr>
                    <w:t>空间布局约束</w:t>
                  </w:r>
                </w:p>
              </w:tc>
              <w:tc>
                <w:tcPr>
                  <w:tcW w:w="2729" w:type="pct"/>
                  <w:tcBorders>
                    <w:tl2br w:val="nil"/>
                    <w:tr2bl w:val="nil"/>
                  </w:tcBorders>
                  <w:noWrap w:val="0"/>
                  <w:vAlign w:val="center"/>
                </w:tcPr>
                <w:p w14:paraId="5A685A85">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1、不得占用生态红线，禁止建设与生态红线保护相违背的设施；</w:t>
                  </w:r>
                </w:p>
                <w:p w14:paraId="0DB4D200">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2、园区范围内规划“蓝线”按要求控制；</w:t>
                  </w:r>
                </w:p>
                <w:p w14:paraId="501CEB01">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3、指前园工业用地与居住用地预留一定宽度的绿化带；</w:t>
                  </w:r>
                </w:p>
              </w:tc>
              <w:tc>
                <w:tcPr>
                  <w:tcW w:w="1468" w:type="pct"/>
                  <w:tcBorders>
                    <w:tl2br w:val="nil"/>
                    <w:tr2bl w:val="nil"/>
                  </w:tcBorders>
                  <w:noWrap w:val="0"/>
                  <w:vAlign w:val="center"/>
                </w:tcPr>
                <w:p w14:paraId="312D956A">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本项目位于江苏省常州市</w:t>
                  </w:r>
                  <w:r>
                    <w:rPr>
                      <w:rFonts w:hint="eastAsia" w:ascii="Times New Roman" w:hAnsi="Times New Roman" w:cs="Times New Roman"/>
                      <w:color w:val="auto"/>
                      <w:sz w:val="21"/>
                      <w:szCs w:val="21"/>
                      <w:lang w:val="en-US" w:eastAsia="zh-CN"/>
                    </w:rPr>
                    <w:t>金坛区指前镇洮西工业集中区中路1号</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不占用生态红线，周边200m范围内无敏感目标。</w:t>
                  </w:r>
                </w:p>
              </w:tc>
              <w:tc>
                <w:tcPr>
                  <w:tcW w:w="395" w:type="pct"/>
                  <w:tcBorders>
                    <w:tl2br w:val="nil"/>
                    <w:tr2bl w:val="nil"/>
                  </w:tcBorders>
                  <w:noWrap w:val="0"/>
                  <w:vAlign w:val="center"/>
                </w:tcPr>
                <w:p w14:paraId="2C30D1D0">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76E45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05" w:type="pct"/>
                  <w:tcBorders>
                    <w:tl2br w:val="nil"/>
                    <w:tr2bl w:val="nil"/>
                  </w:tcBorders>
                  <w:noWrap w:val="0"/>
                  <w:vAlign w:val="center"/>
                </w:tcPr>
                <w:p w14:paraId="6C3B28E2">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bCs/>
                      <w:color w:val="auto"/>
                      <w:szCs w:val="21"/>
                    </w:rPr>
                    <w:t>产业布局约数</w:t>
                  </w:r>
                </w:p>
              </w:tc>
              <w:tc>
                <w:tcPr>
                  <w:tcW w:w="2729" w:type="pct"/>
                  <w:tcBorders>
                    <w:tl2br w:val="nil"/>
                    <w:tr2bl w:val="nil"/>
                  </w:tcBorders>
                  <w:noWrap w:val="0"/>
                  <w:vAlign w:val="center"/>
                </w:tcPr>
                <w:p w14:paraId="0FDC907D">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eastAsia="Times New Roman" w:cs="Times New Roman"/>
                      <w:color w:val="auto"/>
                    </w:rPr>
                    <w:t>1</w:t>
                  </w:r>
                  <w:r>
                    <w:rPr>
                      <w:rFonts w:hint="eastAsia" w:ascii="Times New Roman" w:hAnsi="Times New Roman" w:cs="Times New Roman"/>
                      <w:bCs/>
                      <w:color w:val="auto"/>
                      <w:szCs w:val="21"/>
                    </w:rPr>
                    <w:t>、禁止新增、改扩建有印染工艺的纺织项目；</w:t>
                  </w:r>
                </w:p>
                <w:p w14:paraId="06DE1A0C">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2、禁止新增铸造产能项目；</w:t>
                  </w:r>
                </w:p>
                <w:p w14:paraId="38E24DA2">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 xml:space="preserve">3、禁止新建、改建、扩建化学制浆造纸、制革、酿造、染料、电镀以及其他排放含磷、氮等污染物的企业和项目； </w:t>
                  </w:r>
                </w:p>
                <w:p w14:paraId="50980F97">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4、新建、改建、扩建排放含磷、氮等污染物的战略性新兴产业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p>
                <w:p w14:paraId="59179084">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5、企业事业单位和其他生产经营者超过污染物排放标准或者超过重点污染物排放总量控制指标排放污染物的，新建、改建、扩建重点行业建设项目实行主要污染物排放减量置换；</w:t>
                  </w:r>
                </w:p>
                <w:p w14:paraId="6B8AC214">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6、禁止新（扩）建燃烧原（散）煤、重油、石油焦等高污染燃料的设施和装置；</w:t>
                  </w:r>
                </w:p>
                <w:p w14:paraId="495B5989">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7、洮西园禁止新增工业废水直接排放项目；</w:t>
                  </w:r>
                </w:p>
                <w:p w14:paraId="6C08E3B0">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8、禁止新建周边用地200m范围内有永久基本农田、耕地的排放重金属废气污染项目；</w:t>
                  </w:r>
                </w:p>
                <w:p w14:paraId="07E07458">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9、禁止引入不能满足现行环境管理要求的露天和敞开式喷涂、刷漆生产工艺的项目；</w:t>
                  </w:r>
                </w:p>
                <w:p w14:paraId="45207268">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10、汽车及零部件制造、包装印刷、工程机械制造、集装箱制造、金属制品、家用电器、电子元件制造等行业全面推广使用低VOCs含量的原辅材料；</w:t>
                  </w:r>
                </w:p>
                <w:p w14:paraId="5A78DEEB">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11、禁止引入需自行处理处置直排周边水体的项目</w:t>
                  </w:r>
                  <w:r>
                    <w:rPr>
                      <w:rFonts w:hint="eastAsia" w:cs="Times New Roman"/>
                      <w:bCs/>
                      <w:color w:val="auto"/>
                      <w:szCs w:val="21"/>
                      <w:lang w:eastAsia="zh-CN"/>
                    </w:rPr>
                    <w:t>。</w:t>
                  </w:r>
                </w:p>
              </w:tc>
              <w:tc>
                <w:tcPr>
                  <w:tcW w:w="1468" w:type="pct"/>
                  <w:tcBorders>
                    <w:tl2br w:val="nil"/>
                    <w:tr2bl w:val="nil"/>
                  </w:tcBorders>
                  <w:noWrap w:val="0"/>
                  <w:vAlign w:val="center"/>
                </w:tcPr>
                <w:p w14:paraId="6DA5330E">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color w:val="auto"/>
                      <w:sz w:val="21"/>
                      <w:szCs w:val="21"/>
                    </w:rPr>
                    <w:t>本项</w:t>
                  </w:r>
                  <w:r>
                    <w:rPr>
                      <w:rFonts w:hint="eastAsia" w:ascii="Times New Roman"/>
                      <w:color w:val="auto"/>
                      <w:sz w:val="21"/>
                      <w:szCs w:val="21"/>
                      <w:lang w:eastAsia="zh-CN"/>
                    </w:rPr>
                    <w:t>目为</w:t>
                  </w:r>
                  <w:r>
                    <w:rPr>
                      <w:rFonts w:hint="eastAsia" w:ascii="Times New Roman"/>
                      <w:color w:val="auto"/>
                      <w:sz w:val="21"/>
                      <w:szCs w:val="21"/>
                      <w:lang w:val="en-US" w:eastAsia="zh-CN"/>
                    </w:rPr>
                    <w:t>技改项目，不改变原有铸造产能，不属于上述禁止类项目。</w:t>
                  </w:r>
                </w:p>
              </w:tc>
              <w:tc>
                <w:tcPr>
                  <w:tcW w:w="395" w:type="pct"/>
                  <w:tcBorders>
                    <w:tl2br w:val="nil"/>
                    <w:tr2bl w:val="nil"/>
                  </w:tcBorders>
                  <w:noWrap w:val="0"/>
                  <w:vAlign w:val="center"/>
                </w:tcPr>
                <w:p w14:paraId="147B931B">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5DFEA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05" w:type="pct"/>
                  <w:tcBorders>
                    <w:tl2br w:val="nil"/>
                    <w:tr2bl w:val="nil"/>
                  </w:tcBorders>
                  <w:noWrap w:val="0"/>
                  <w:vAlign w:val="center"/>
                </w:tcPr>
                <w:p w14:paraId="07A1395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bCs/>
                      <w:color w:val="auto"/>
                      <w:szCs w:val="21"/>
                    </w:rPr>
                    <w:t>污染物排放管控</w:t>
                  </w:r>
                </w:p>
              </w:tc>
              <w:tc>
                <w:tcPr>
                  <w:tcW w:w="2729" w:type="pct"/>
                  <w:tcBorders>
                    <w:tl2br w:val="nil"/>
                    <w:tr2bl w:val="nil"/>
                  </w:tcBorders>
                  <w:noWrap w:val="0"/>
                  <w:vAlign w:val="center"/>
                </w:tcPr>
                <w:p w14:paraId="5532A0B8">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1、</w:t>
                  </w:r>
                  <w:r>
                    <w:rPr>
                      <w:rFonts w:hint="default" w:ascii="Times New Roman" w:hAnsi="Times New Roman" w:cs="Times New Roman"/>
                      <w:bCs/>
                      <w:color w:val="auto"/>
                      <w:szCs w:val="21"/>
                    </w:rPr>
                    <w:t>对涉及新增大气污染物排放量的新建、改扩建项目，应提出区域倍量削减要求；</w:t>
                  </w:r>
                </w:p>
                <w:p w14:paraId="5EF9426B">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2、</w:t>
                  </w:r>
                  <w:r>
                    <w:rPr>
                      <w:rFonts w:hint="default" w:ascii="Times New Roman" w:hAnsi="Times New Roman" w:cs="Times New Roman"/>
                      <w:bCs/>
                      <w:color w:val="auto"/>
                      <w:szCs w:val="21"/>
                    </w:rPr>
                    <w:t>大气主要污染物排放强度控制要求：规划期末</w:t>
                  </w:r>
                  <w:r>
                    <w:rPr>
                      <w:rFonts w:hint="eastAsia" w:ascii="Times New Roman" w:hAnsi="Times New Roman" w:cs="Times New Roman"/>
                      <w:bCs/>
                      <w:color w:val="auto"/>
                      <w:szCs w:val="21"/>
                    </w:rPr>
                    <w:t>SO</w:t>
                  </w:r>
                  <w:r>
                    <w:rPr>
                      <w:rFonts w:hint="eastAsia" w:ascii="Times New Roman" w:hAnsi="Times New Roman" w:cs="Times New Roman"/>
                      <w:bCs/>
                      <w:color w:val="auto"/>
                      <w:szCs w:val="21"/>
                      <w:vertAlign w:val="subscript"/>
                    </w:rPr>
                    <w:t>2</w:t>
                  </w:r>
                  <w:r>
                    <w:rPr>
                      <w:rFonts w:hint="eastAsia" w:ascii="Times New Roman" w:hAnsi="Times New Roman" w:cs="Times New Roman"/>
                      <w:bCs/>
                      <w:color w:val="auto"/>
                      <w:szCs w:val="21"/>
                    </w:rPr>
                    <w:t>40.326t/a</w:t>
                  </w:r>
                  <w:r>
                    <w:rPr>
                      <w:rFonts w:hint="default" w:ascii="Times New Roman" w:hAnsi="Times New Roman" w:cs="Times New Roman"/>
                      <w:bCs/>
                      <w:color w:val="auto"/>
                      <w:szCs w:val="21"/>
                    </w:rPr>
                    <w:t>，氮氧化物</w:t>
                  </w:r>
                  <w:r>
                    <w:rPr>
                      <w:rFonts w:hint="eastAsia" w:ascii="Times New Roman" w:hAnsi="Times New Roman" w:cs="Times New Roman"/>
                      <w:bCs/>
                      <w:color w:val="auto"/>
                      <w:szCs w:val="21"/>
                    </w:rPr>
                    <w:t>103.3723t/a</w:t>
                  </w:r>
                  <w:r>
                    <w:rPr>
                      <w:rFonts w:hint="default" w:ascii="Times New Roman" w:hAnsi="Times New Roman" w:cs="Times New Roman"/>
                      <w:bCs/>
                      <w:color w:val="auto"/>
                      <w:szCs w:val="21"/>
                    </w:rPr>
                    <w:t>，烟粉尘</w:t>
                  </w:r>
                  <w:r>
                    <w:rPr>
                      <w:rFonts w:hint="eastAsia" w:ascii="Times New Roman" w:hAnsi="Times New Roman" w:cs="Times New Roman"/>
                      <w:bCs/>
                      <w:color w:val="auto"/>
                      <w:szCs w:val="21"/>
                    </w:rPr>
                    <w:t>67.9625t/a</w:t>
                  </w:r>
                  <w:r>
                    <w:rPr>
                      <w:rFonts w:hint="default" w:ascii="Times New Roman" w:hAnsi="Times New Roman" w:cs="Times New Roman"/>
                      <w:bCs/>
                      <w:color w:val="auto"/>
                      <w:szCs w:val="21"/>
                    </w:rPr>
                    <w:t>，</w:t>
                  </w:r>
                  <w:r>
                    <w:rPr>
                      <w:rFonts w:hint="eastAsia" w:ascii="Times New Roman" w:hAnsi="Times New Roman" w:cs="Times New Roman"/>
                      <w:bCs/>
                      <w:color w:val="auto"/>
                      <w:szCs w:val="21"/>
                    </w:rPr>
                    <w:t>VOCs25.7418t/a</w:t>
                  </w:r>
                  <w:r>
                    <w:rPr>
                      <w:rFonts w:hint="default" w:ascii="Times New Roman" w:hAnsi="Times New Roman" w:cs="Times New Roman"/>
                      <w:bCs/>
                      <w:color w:val="auto"/>
                      <w:szCs w:val="21"/>
                    </w:rPr>
                    <w:t>。</w:t>
                  </w:r>
                </w:p>
                <w:p w14:paraId="15F66807">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3、</w:t>
                  </w:r>
                  <w:r>
                    <w:rPr>
                      <w:rFonts w:hint="default" w:ascii="Times New Roman" w:hAnsi="Times New Roman" w:cs="Times New Roman"/>
                      <w:bCs/>
                      <w:color w:val="auto"/>
                      <w:szCs w:val="21"/>
                    </w:rPr>
                    <w:t>区域水污染物排放总量：规划期末废水总量</w:t>
                  </w:r>
                  <w:r>
                    <w:rPr>
                      <w:rFonts w:hint="eastAsia" w:ascii="Times New Roman" w:hAnsi="Times New Roman" w:cs="Times New Roman"/>
                      <w:bCs/>
                      <w:color w:val="auto"/>
                      <w:szCs w:val="21"/>
                    </w:rPr>
                    <w:t>132.22</w:t>
                  </w:r>
                  <w:r>
                    <w:rPr>
                      <w:rFonts w:hint="default" w:ascii="Times New Roman" w:hAnsi="Times New Roman" w:cs="Times New Roman"/>
                      <w:bCs/>
                      <w:color w:val="auto"/>
                      <w:szCs w:val="21"/>
                    </w:rPr>
                    <w:t>万</w:t>
                  </w:r>
                  <w:r>
                    <w:rPr>
                      <w:rFonts w:hint="eastAsia" w:ascii="Times New Roman" w:hAnsi="Times New Roman" w:cs="Times New Roman"/>
                      <w:bCs/>
                      <w:color w:val="auto"/>
                      <w:szCs w:val="21"/>
                    </w:rPr>
                    <w:t>t/a</w:t>
                  </w:r>
                  <w:r>
                    <w:rPr>
                      <w:rFonts w:hint="default" w:ascii="Times New Roman" w:hAnsi="Times New Roman" w:cs="Times New Roman"/>
                      <w:bCs/>
                      <w:color w:val="auto"/>
                      <w:szCs w:val="21"/>
                    </w:rPr>
                    <w:t>，</w:t>
                  </w:r>
                  <w:r>
                    <w:rPr>
                      <w:rFonts w:hint="eastAsia" w:ascii="Times New Roman" w:hAnsi="Times New Roman" w:cs="Times New Roman"/>
                      <w:bCs/>
                      <w:color w:val="auto"/>
                      <w:szCs w:val="21"/>
                    </w:rPr>
                    <w:t>COD</w:t>
                  </w:r>
                  <w:r>
                    <w:rPr>
                      <w:rFonts w:hint="default" w:ascii="Times New Roman" w:hAnsi="Times New Roman" w:cs="Times New Roman"/>
                      <w:bCs/>
                      <w:color w:val="auto"/>
                      <w:szCs w:val="21"/>
                    </w:rPr>
                    <w:t>总量</w:t>
                  </w:r>
                  <w:r>
                    <w:rPr>
                      <w:rFonts w:hint="eastAsia" w:ascii="Times New Roman" w:hAnsi="Times New Roman" w:cs="Times New Roman"/>
                      <w:bCs/>
                      <w:color w:val="auto"/>
                      <w:szCs w:val="21"/>
                    </w:rPr>
                    <w:t>66.11t/a</w:t>
                  </w:r>
                  <w:r>
                    <w:rPr>
                      <w:rFonts w:hint="default" w:ascii="Times New Roman" w:hAnsi="Times New Roman" w:cs="Times New Roman"/>
                      <w:bCs/>
                      <w:color w:val="auto"/>
                      <w:szCs w:val="21"/>
                    </w:rPr>
                    <w:t>，氨氮</w:t>
                  </w:r>
                  <w:r>
                    <w:rPr>
                      <w:rFonts w:hint="eastAsia" w:ascii="Times New Roman" w:hAnsi="Times New Roman" w:cs="Times New Roman"/>
                      <w:bCs/>
                      <w:color w:val="auto"/>
                      <w:szCs w:val="21"/>
                    </w:rPr>
                    <w:t>5.2888t/a</w:t>
                  </w:r>
                  <w:r>
                    <w:rPr>
                      <w:rFonts w:hint="default" w:ascii="Times New Roman" w:hAnsi="Times New Roman" w:cs="Times New Roman"/>
                      <w:bCs/>
                      <w:color w:val="auto"/>
                      <w:szCs w:val="21"/>
                    </w:rPr>
                    <w:t>，总磷</w:t>
                  </w:r>
                  <w:r>
                    <w:rPr>
                      <w:rFonts w:hint="eastAsia" w:ascii="Times New Roman" w:hAnsi="Times New Roman" w:cs="Times New Roman"/>
                      <w:bCs/>
                      <w:color w:val="auto"/>
                      <w:szCs w:val="21"/>
                    </w:rPr>
                    <w:t>0.6611t/a</w:t>
                  </w:r>
                  <w:r>
                    <w:rPr>
                      <w:rFonts w:hint="default" w:ascii="Times New Roman" w:hAnsi="Times New Roman" w:cs="Times New Roman"/>
                      <w:bCs/>
                      <w:color w:val="auto"/>
                      <w:szCs w:val="21"/>
                    </w:rPr>
                    <w:t>。</w:t>
                  </w:r>
                </w:p>
              </w:tc>
              <w:tc>
                <w:tcPr>
                  <w:tcW w:w="1468" w:type="pct"/>
                  <w:tcBorders>
                    <w:tl2br w:val="nil"/>
                    <w:tr2bl w:val="nil"/>
                  </w:tcBorders>
                  <w:noWrap w:val="0"/>
                  <w:vAlign w:val="center"/>
                </w:tcPr>
                <w:p w14:paraId="4ED1D5BB">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不新增废（污）水排放，新增大气污染物排放量在金坛区内2倍削减平衡</w:t>
                  </w:r>
                  <w:r>
                    <w:rPr>
                      <w:rFonts w:hint="default" w:ascii="Times New Roman" w:hAnsi="Times New Roman" w:cs="Times New Roman"/>
                      <w:color w:val="auto"/>
                      <w:sz w:val="21"/>
                      <w:szCs w:val="21"/>
                      <w:lang w:val="en-US" w:eastAsia="zh-CN"/>
                    </w:rPr>
                    <w:t>。符合污染物排放总量控制要求，固废全部合规处置，不排放。</w:t>
                  </w:r>
                </w:p>
              </w:tc>
              <w:tc>
                <w:tcPr>
                  <w:tcW w:w="395" w:type="pct"/>
                  <w:tcBorders>
                    <w:tl2br w:val="nil"/>
                    <w:tr2bl w:val="nil"/>
                  </w:tcBorders>
                  <w:noWrap w:val="0"/>
                  <w:vAlign w:val="center"/>
                </w:tcPr>
                <w:p w14:paraId="20439868">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44CD0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05" w:type="pct"/>
                  <w:tcBorders>
                    <w:tl2br w:val="nil"/>
                    <w:tr2bl w:val="nil"/>
                  </w:tcBorders>
                  <w:noWrap w:val="0"/>
                  <w:vAlign w:val="center"/>
                </w:tcPr>
                <w:p w14:paraId="0027CF20">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bCs/>
                      <w:color w:val="auto"/>
                      <w:szCs w:val="21"/>
                    </w:rPr>
                    <w:t>环境风险管控</w:t>
                  </w:r>
                </w:p>
              </w:tc>
              <w:tc>
                <w:tcPr>
                  <w:tcW w:w="2729" w:type="pct"/>
                  <w:tcBorders>
                    <w:tl2br w:val="nil"/>
                    <w:tr2bl w:val="nil"/>
                  </w:tcBorders>
                  <w:noWrap w:val="0"/>
                  <w:vAlign w:val="center"/>
                </w:tcPr>
                <w:p w14:paraId="6CFE87F3">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1、禁止引入危险货物道路运输及危险化学品仓储项目。</w:t>
                  </w:r>
                </w:p>
                <w:p w14:paraId="1038BBCA">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2、完善园区环境风险应急预案，落实责任主体，明确预警预报与响应程序、应急处置及保障措施等内容，依法及时公布预警信息。</w:t>
                  </w:r>
                </w:p>
                <w:p w14:paraId="58A5E25C">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3、限制生产和使用高环境风险化学品，依法淘汰高毒、难降解、高环境危害的化学品。</w:t>
                  </w:r>
                </w:p>
                <w:p w14:paraId="73B4EFE6">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4、禁止引入涉POPs等有毒有害污染物的项目；</w:t>
                  </w:r>
                </w:p>
                <w:p w14:paraId="2108C3ED">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5、禁止引入危险货物道路运输及危险化学品仓储项目。</w:t>
                  </w:r>
                </w:p>
                <w:p w14:paraId="66C53798">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6、生产、使用、贮存、运输、回收、处置、排放有毒有害物质的单位和个人，应当采取有效措施，防止有毒有害物质渗漏、流失、扬散，避免土壤受到污染。</w:t>
                  </w:r>
                </w:p>
              </w:tc>
              <w:tc>
                <w:tcPr>
                  <w:tcW w:w="1468" w:type="pct"/>
                  <w:tcBorders>
                    <w:tl2br w:val="nil"/>
                    <w:tr2bl w:val="nil"/>
                  </w:tcBorders>
                  <w:noWrap w:val="0"/>
                  <w:vAlign w:val="center"/>
                </w:tcPr>
                <w:p w14:paraId="7EC1CC98">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不属于上述禁止引入项目，</w:t>
                  </w:r>
                  <w:r>
                    <w:rPr>
                      <w:rFonts w:hint="default" w:ascii="Times New Roman" w:hAnsi="Times New Roman" w:cs="Times New Roman"/>
                      <w:color w:val="auto"/>
                      <w:sz w:val="21"/>
                      <w:szCs w:val="21"/>
                      <w:lang w:val="en-US" w:eastAsia="zh-CN"/>
                    </w:rPr>
                    <w:t>在生产过程中建立事故应急救援体系，定期开展演练，加强应急物资装备储备。</w:t>
                  </w:r>
                </w:p>
              </w:tc>
              <w:tc>
                <w:tcPr>
                  <w:tcW w:w="395" w:type="pct"/>
                  <w:tcBorders>
                    <w:tl2br w:val="nil"/>
                    <w:tr2bl w:val="nil"/>
                  </w:tcBorders>
                  <w:noWrap w:val="0"/>
                  <w:vAlign w:val="center"/>
                </w:tcPr>
                <w:p w14:paraId="2252778E">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r w14:paraId="54566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05" w:type="pct"/>
                  <w:tcBorders>
                    <w:tl2br w:val="nil"/>
                    <w:tr2bl w:val="nil"/>
                  </w:tcBorders>
                  <w:noWrap w:val="0"/>
                  <w:vAlign w:val="center"/>
                </w:tcPr>
                <w:p w14:paraId="52A61922">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eastAsia" w:ascii="Times New Roman" w:hAnsi="Times New Roman" w:cs="Times New Roman"/>
                      <w:bCs/>
                      <w:color w:val="auto"/>
                      <w:szCs w:val="21"/>
                    </w:rPr>
                    <w:t>资源开发效率要求</w:t>
                  </w:r>
                </w:p>
              </w:tc>
              <w:tc>
                <w:tcPr>
                  <w:tcW w:w="2729" w:type="pct"/>
                  <w:tcBorders>
                    <w:tl2br w:val="nil"/>
                    <w:tr2bl w:val="nil"/>
                  </w:tcBorders>
                  <w:noWrap w:val="0"/>
                  <w:vAlign w:val="center"/>
                </w:tcPr>
                <w:p w14:paraId="0F9C2C2C">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1、禁燃区禁止新建、扩建燃用高污染燃料的项目和设施；</w:t>
                  </w:r>
                </w:p>
                <w:p w14:paraId="3AD92643">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2、不得突破区域建设用地总量；</w:t>
                  </w:r>
                </w:p>
                <w:p w14:paraId="48EA3B3E">
                  <w:pPr>
                    <w:keepNext w:val="0"/>
                    <w:keepLines w:val="0"/>
                    <w:suppressLineNumbers w:val="0"/>
                    <w:spacing w:before="0" w:beforeAutospacing="0" w:after="0" w:afterAutospacing="0"/>
                    <w:ind w:left="0" w:right="0"/>
                    <w:jc w:val="left"/>
                    <w:rPr>
                      <w:rFonts w:hint="default" w:ascii="Times New Roman" w:hAnsi="Times New Roman" w:cs="Times New Roman"/>
                      <w:b/>
                      <w:color w:val="auto"/>
                      <w:szCs w:val="21"/>
                    </w:rPr>
                  </w:pPr>
                  <w:r>
                    <w:rPr>
                      <w:rFonts w:hint="default" w:ascii="Times New Roman" w:hAnsi="Times New Roman" w:cs="Times New Roman"/>
                      <w:bCs/>
                      <w:color w:val="auto"/>
                      <w:szCs w:val="21"/>
                    </w:rPr>
                    <w:t>3、根据地方水资源管理需要，落实每年分配的水资源总量要求。</w:t>
                  </w:r>
                </w:p>
              </w:tc>
              <w:tc>
                <w:tcPr>
                  <w:tcW w:w="1468" w:type="pct"/>
                  <w:tcBorders>
                    <w:tl2br w:val="nil"/>
                    <w:tr2bl w:val="nil"/>
                  </w:tcBorders>
                  <w:noWrap w:val="0"/>
                  <w:vAlign w:val="center"/>
                </w:tcPr>
                <w:p w14:paraId="4E92C1F7">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本项目采用水、电等清洁能源，各能耗指标可达到市定目标，不涉及高污染燃料，满足管控要求。</w:t>
                  </w:r>
                </w:p>
              </w:tc>
              <w:tc>
                <w:tcPr>
                  <w:tcW w:w="395" w:type="pct"/>
                  <w:tcBorders>
                    <w:tl2br w:val="nil"/>
                    <w:tr2bl w:val="nil"/>
                  </w:tcBorders>
                  <w:noWrap w:val="0"/>
                  <w:vAlign w:val="center"/>
                </w:tcPr>
                <w:p w14:paraId="05B95AD6">
                  <w:pPr>
                    <w:pStyle w:val="84"/>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bl>
          <w:p w14:paraId="2EA66FAB">
            <w:pPr>
              <w:keepNext w:val="0"/>
              <w:keepLines w:val="0"/>
              <w:suppressLineNumbers w:val="0"/>
              <w:spacing w:before="0" w:beforeAutospacing="0" w:after="0" w:afterAutospacing="0" w:line="480" w:lineRule="exact"/>
              <w:ind w:left="0" w:right="0"/>
              <w:rPr>
                <w:rFonts w:hint="default" w:ascii="Times New Roman" w:hAnsi="Times New Roman" w:cs="Times New Roman"/>
                <w:b/>
                <w:bCs/>
                <w:snapToGrid w:val="0"/>
                <w:color w:val="auto"/>
                <w:kern w:val="0"/>
                <w:sz w:val="24"/>
              </w:rPr>
            </w:pPr>
            <w:r>
              <w:rPr>
                <w:rFonts w:hint="eastAsia" w:ascii="Times New Roman" w:hAnsi="Times New Roman" w:cs="Times New Roman"/>
                <w:b/>
                <w:bCs/>
                <w:color w:val="auto"/>
                <w:sz w:val="24"/>
              </w:rPr>
              <w:t>3</w:t>
            </w:r>
            <w:r>
              <w:rPr>
                <w:rFonts w:hint="default" w:ascii="Times New Roman" w:hAnsi="Times New Roman" w:cs="Times New Roman"/>
                <w:b/>
                <w:bCs/>
                <w:snapToGrid w:val="0"/>
                <w:color w:val="auto"/>
                <w:kern w:val="0"/>
                <w:sz w:val="24"/>
              </w:rPr>
              <w:t>、指前</w:t>
            </w:r>
            <w:r>
              <w:rPr>
                <w:rFonts w:hint="eastAsia" w:cs="Times New Roman"/>
                <w:b/>
                <w:bCs/>
                <w:snapToGrid w:val="0"/>
                <w:color w:val="auto"/>
                <w:kern w:val="0"/>
                <w:sz w:val="24"/>
                <w:lang w:val="en-US" w:eastAsia="zh-CN"/>
              </w:rPr>
              <w:t>现代产业园</w:t>
            </w:r>
            <w:r>
              <w:rPr>
                <w:rFonts w:hint="default" w:ascii="Times New Roman" w:hAnsi="Times New Roman" w:cs="Times New Roman"/>
                <w:b/>
                <w:bCs/>
                <w:snapToGrid w:val="0"/>
                <w:color w:val="auto"/>
                <w:kern w:val="0"/>
                <w:sz w:val="24"/>
              </w:rPr>
              <w:t>基础设施现状与规划</w:t>
            </w:r>
          </w:p>
          <w:p w14:paraId="3C78DBF6">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一、给水</w:t>
            </w:r>
          </w:p>
          <w:p w14:paraId="768E32D8">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园区给水依托指前水厂，指前水厂转输区域供水的模式。</w:t>
            </w:r>
          </w:p>
          <w:p w14:paraId="773B7F62">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给水管网：保留沿233国道DN400-DN500、沿205县道DN400区域供水管。镇区管网考虑供水的安全延续性，管网以环状布置，保留现有干管，支管采用DN300-DN200。给水管一般沿镇区道路西、北侧埋设。</w:t>
            </w:r>
          </w:p>
          <w:p w14:paraId="5AB9D2DA">
            <w:pPr>
              <w:keepNext w:val="0"/>
              <w:keepLines w:val="0"/>
              <w:suppressLineNumbers w:val="0"/>
              <w:snapToGrid w:val="0"/>
              <w:spacing w:before="0" w:beforeAutospacing="0" w:after="0" w:afterAutospacing="0" w:line="480" w:lineRule="exact"/>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本项目给水由区域供水。目前园区内管网已基本铺设到位。</w:t>
            </w:r>
          </w:p>
          <w:p w14:paraId="113DC433">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二、排水</w:t>
            </w:r>
          </w:p>
          <w:p w14:paraId="27971DC8">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采用雨污分流为主，截流为辅的排水体制。</w:t>
            </w:r>
          </w:p>
          <w:p w14:paraId="4C572141">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（1）雨水工程</w:t>
            </w:r>
          </w:p>
          <w:p w14:paraId="3359CE13">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规划雨水管网沿道路布置，雨水采用分散就近排放的原则，高地自排，低地机排。镇区雨水根据排水排涝布局就近排往周边内河，禁止直接排往长荡湖。</w:t>
            </w:r>
          </w:p>
          <w:p w14:paraId="08090D43">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依据河道及道路合理划分排水区域。雨水主干管管径d1500-d1000，次干管管径为d800-d600，沿镇区道路埋设。</w:t>
            </w:r>
          </w:p>
          <w:p w14:paraId="786D08F9">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（2）污水工程</w:t>
            </w:r>
          </w:p>
          <w:p w14:paraId="5CAD98CF">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污水量预测：预测指前污水集中处理总量近期约0.62万m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/d；远期约0.92万m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3D03C3E0">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服务范围：指前镇区、社头中心村纳入指前污水处理厂服务范围，洮西中心村纳入金坛城区污水收集处理系统。故进指前污水处理厂污水量近期约0.45万m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/d；远期约0.81万m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/d。指前污水处理厂规划总规模容量比镇区预测污水量多出的部分，用于远期非镇区范围内长荡湖西岸旅游发展用地带来的相关污水处理量，统一纳入指前镇区统筹考虑。</w:t>
            </w:r>
          </w:p>
          <w:p w14:paraId="47F66988">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污水处理厂：指前集镇现有污水处理厂一座，其前身为卿卿针织厂废水处理站，处理规模5000t/d，占地4900</w:t>
            </w:r>
            <w:r>
              <w:rPr>
                <w:rFonts w:hint="eastAsia" w:ascii="Times New Roman" w:hAnsi="Times New Roman" w:cs="Times New Roman"/>
                <w:color w:val="auto"/>
                <w:sz w:val="24"/>
              </w:rPr>
              <w:t>平方米</w:t>
            </w:r>
            <w:r>
              <w:rPr>
                <w:rFonts w:hint="default" w:ascii="Times New Roman" w:hAnsi="Times New Roman" w:cs="Times New Roman"/>
                <w:color w:val="auto"/>
                <w:sz w:val="24"/>
              </w:rPr>
              <w:t>，2011年完成脱氮除磷提标改造。现日均处理水量3500t/d，其中绝大部分为工业废水。在233国道以西的工业园区内，丹金溧漕河畔新建污水处理厂，用地规模2.99公顷，指前污水处理厂总规模近期为0.5万m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/d，远期为1万m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p>
          <w:p w14:paraId="33CD7E68">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污水收集系统：新污水处理厂建成后，现状</w:t>
            </w:r>
            <w:r>
              <w:rPr>
                <w:rFonts w:hint="eastAsia" w:ascii="Times New Roman" w:hAnsi="Times New Roman" w:cs="Times New Roman"/>
                <w:color w:val="auto"/>
                <w:sz w:val="24"/>
              </w:rPr>
              <w:t>污水处理厂</w:t>
            </w:r>
            <w:r>
              <w:rPr>
                <w:rFonts w:hint="default" w:ascii="Times New Roman" w:hAnsi="Times New Roman" w:cs="Times New Roman"/>
                <w:color w:val="auto"/>
                <w:sz w:val="24"/>
              </w:rPr>
              <w:t>作为卿卿针织厂废水处理站，处理达到污水排入城市下水道水质标准后排入镇区污水收集系统，进入新指前污水处理厂处理排放。莊河以南、233国道以东地块污水经湖口路污水泵站提升后进入新指前污水处理厂处理排放。莊河以北、233国道以东地块污水经守风湾污水泵站提升后排入守凤湾路现状污水管道，进入新指前污水处理厂处理排放。湖口南路以南、233国道以西地块污水通过规划污水主干管进入新指前污水处理厂处理排放。湖口路以北，233国道以西地块污水通过兴旺路现状污水干管进入新指前污水处理厂处理排放。</w:t>
            </w:r>
          </w:p>
          <w:p w14:paraId="182F50D2">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接管要求：工业污水应经预处理达到接管标准后接入城镇管网。</w:t>
            </w:r>
          </w:p>
          <w:p w14:paraId="0DB3783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本项目位于常州市金</w:t>
            </w:r>
            <w:r>
              <w:rPr>
                <w:rFonts w:hint="default" w:ascii="Times New Roman" w:hAnsi="Times New Roman" w:cs="Times New Roman"/>
                <w:b/>
                <w:bCs/>
                <w:color w:val="auto"/>
                <w:spacing w:val="10"/>
                <w:sz w:val="24"/>
                <w:szCs w:val="20"/>
              </w:rPr>
              <w:t>坛区</w:t>
            </w:r>
            <w:r>
              <w:rPr>
                <w:rFonts w:hint="eastAsia" w:cs="Times New Roman"/>
                <w:b/>
                <w:bCs/>
                <w:color w:val="auto"/>
                <w:spacing w:val="10"/>
                <w:sz w:val="24"/>
                <w:szCs w:val="20"/>
                <w:lang w:val="en-US" w:eastAsia="zh-CN"/>
              </w:rPr>
              <w:t>洮西工业集中区中路1号</w:t>
            </w:r>
            <w:r>
              <w:rPr>
                <w:rFonts w:hint="default" w:ascii="Times New Roman" w:hAnsi="Times New Roman" w:cs="Times New Roman"/>
                <w:b/>
                <w:bCs/>
                <w:color w:val="auto"/>
                <w:sz w:val="24"/>
              </w:rPr>
              <w:t>，在</w:t>
            </w:r>
            <w:r>
              <w:rPr>
                <w:rFonts w:hint="eastAsia" w:ascii="Times New Roman" w:hAnsi="Times New Roman" w:cs="Times New Roman"/>
                <w:b/>
                <w:bCs/>
                <w:color w:val="auto"/>
                <w:sz w:val="24"/>
              </w:rPr>
              <w:t>污水处理厂</w:t>
            </w:r>
            <w:r>
              <w:rPr>
                <w:rFonts w:hint="default" w:ascii="Times New Roman" w:hAnsi="Times New Roman" w:cs="Times New Roman"/>
                <w:b/>
                <w:bCs/>
                <w:color w:val="auto"/>
                <w:sz w:val="24"/>
              </w:rPr>
              <w:t>的服务范围内，</w:t>
            </w:r>
            <w:r>
              <w:rPr>
                <w:rFonts w:hint="eastAsia" w:cs="Times New Roman"/>
                <w:b/>
                <w:bCs/>
                <w:color w:val="auto"/>
                <w:sz w:val="24"/>
                <w:lang w:val="en-US" w:eastAsia="zh-CN"/>
              </w:rPr>
              <w:t>但</w:t>
            </w:r>
            <w:r>
              <w:rPr>
                <w:rFonts w:hint="default" w:ascii="Times New Roman" w:hAnsi="Times New Roman" w:cs="Times New Roman"/>
                <w:b/>
                <w:bCs/>
                <w:color w:val="auto"/>
                <w:sz w:val="24"/>
              </w:rPr>
              <w:t>目前项目周边污水管网</w:t>
            </w:r>
            <w:r>
              <w:rPr>
                <w:rFonts w:hint="eastAsia" w:cs="Times New Roman"/>
                <w:b/>
                <w:bCs/>
                <w:color w:val="auto"/>
                <w:sz w:val="24"/>
                <w:lang w:val="en-US" w:eastAsia="zh-CN"/>
              </w:rPr>
              <w:t>尚未</w:t>
            </w:r>
            <w:r>
              <w:rPr>
                <w:rFonts w:hint="default" w:ascii="Times New Roman" w:hAnsi="Times New Roman" w:cs="Times New Roman"/>
                <w:b/>
                <w:bCs/>
                <w:color w:val="auto"/>
                <w:sz w:val="24"/>
              </w:rPr>
              <w:t>敷设完成。</w:t>
            </w:r>
            <w:r>
              <w:rPr>
                <w:rFonts w:hint="eastAsia" w:cs="Times New Roman"/>
                <w:b/>
                <w:bCs/>
                <w:color w:val="auto"/>
                <w:sz w:val="24"/>
                <w:lang w:val="en-US" w:eastAsia="zh-CN"/>
              </w:rPr>
              <w:t>本项目不新增废（污）水排放，原有生活污水近期由金坛区指前镇新河村委收集后集中处理，尾水自用于农田灌溉，不排到附近河流；远期待符合接管条件时，排放至市政管网。</w:t>
            </w:r>
          </w:p>
          <w:p w14:paraId="4EB5C94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宋体" w:cs="Times New Roman"/>
                <w:b/>
                <w:bCs w:val="0"/>
                <w:color w:val="auto"/>
                <w:kern w:val="0"/>
                <w:sz w:val="24"/>
                <w:szCs w:val="24"/>
                <w:lang w:val="en-US" w:eastAsia="zh-CN"/>
              </w:rPr>
            </w:pPr>
            <w:r>
              <w:rPr>
                <w:rFonts w:hint="eastAsia" w:ascii="Times New Roman" w:hAnsi="宋体" w:cs="Times New Roman"/>
                <w:b/>
                <w:bCs w:val="0"/>
                <w:color w:val="auto"/>
                <w:kern w:val="0"/>
                <w:sz w:val="24"/>
                <w:szCs w:val="24"/>
                <w:lang w:val="en-US" w:eastAsia="zh-CN"/>
              </w:rPr>
              <w:t>与《常州市金坛区国土空间总体规划（2020—2035年）》相符性分析</w:t>
            </w:r>
          </w:p>
          <w:p w14:paraId="74136F3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金坛区全域面积975.7平方公里，现辖6个镇、3个街道、1个省级经济开发区、1个省级高新技术开发区，2个省级旅游度假区，常住人口56.35万人，是全国综合实力百强区、科技创新百强区、投资潜力百强区。</w:t>
            </w:r>
          </w:p>
          <w:p w14:paraId="0356D66C">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发展目标</w:t>
            </w:r>
          </w:p>
          <w:p w14:paraId="01FC0C1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常州西部新城区、发展重要增长极。</w:t>
            </w:r>
          </w:p>
          <w:p w14:paraId="0F926650">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发展策略</w:t>
            </w:r>
          </w:p>
          <w:p w14:paraId="615330A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宋体" w:eastAsia="宋体" w:cs="Times New Roman"/>
                <w:b w:val="0"/>
                <w:bCs/>
                <w:color w:val="auto"/>
                <w:kern w:val="0"/>
                <w:sz w:val="24"/>
                <w:szCs w:val="24"/>
                <w:lang w:val="en-US" w:eastAsia="zh-CN"/>
              </w:rPr>
            </w:pPr>
            <w:r>
              <w:rPr>
                <w:rFonts w:hint="eastAsia" w:ascii="Times New Roman" w:hAnsi="宋体" w:eastAsia="宋体" w:cs="Times New Roman"/>
                <w:b w:val="0"/>
                <w:bCs/>
                <w:color w:val="auto"/>
                <w:kern w:val="0"/>
                <w:sz w:val="24"/>
                <w:szCs w:val="24"/>
                <w:lang w:val="en-US" w:eastAsia="zh-CN"/>
              </w:rPr>
              <w:t>积极融入国家和全省战略布局，加强与区域交通网络互联互通，建设江苏中轴枢纽节点城市；</w:t>
            </w:r>
            <w:r>
              <w:rPr>
                <w:rFonts w:hint="default" w:ascii="Times New Roman" w:hAnsi="宋体" w:eastAsia="宋体" w:cs="Times New Roman"/>
                <w:b w:val="0"/>
                <w:bCs/>
                <w:color w:val="auto"/>
                <w:kern w:val="0"/>
                <w:sz w:val="24"/>
                <w:szCs w:val="24"/>
                <w:lang w:val="en-US" w:eastAsia="zh-CN"/>
              </w:rPr>
              <w:t>区域协同带动产业发展，共建宁杭生态经济带，深度融入南京都市圈</w:t>
            </w:r>
            <w:r>
              <w:rPr>
                <w:rFonts w:hint="eastAsia" w:ascii="Times New Roman" w:hAnsi="宋体" w:eastAsia="宋体" w:cs="Times New Roman"/>
                <w:b w:val="0"/>
                <w:bCs/>
                <w:color w:val="auto"/>
                <w:kern w:val="0"/>
                <w:sz w:val="24"/>
                <w:szCs w:val="24"/>
                <w:lang w:val="en-US" w:eastAsia="zh-CN"/>
              </w:rPr>
              <w:t>，</w:t>
            </w:r>
            <w:r>
              <w:rPr>
                <w:rFonts w:hint="default" w:ascii="Times New Roman" w:hAnsi="宋体" w:eastAsia="宋体" w:cs="Times New Roman"/>
                <w:b w:val="0"/>
                <w:bCs/>
                <w:color w:val="auto"/>
                <w:kern w:val="0"/>
                <w:sz w:val="24"/>
                <w:szCs w:val="24"/>
                <w:lang w:val="en-US" w:eastAsia="zh-CN"/>
              </w:rPr>
              <w:t>全方位接轨常州</w:t>
            </w:r>
            <w:r>
              <w:rPr>
                <w:rFonts w:hint="eastAsia" w:ascii="Times New Roman" w:hAnsi="宋体" w:eastAsia="宋体" w:cs="Times New Roman"/>
                <w:b w:val="0"/>
                <w:bCs/>
                <w:color w:val="auto"/>
                <w:kern w:val="0"/>
                <w:sz w:val="24"/>
                <w:szCs w:val="24"/>
                <w:lang w:val="en-US" w:eastAsia="zh-CN"/>
              </w:rPr>
              <w:t>。</w:t>
            </w:r>
          </w:p>
          <w:p w14:paraId="65D01FC4">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宋体" w:eastAsia="宋体" w:cs="Times New Roman"/>
                <w:b w:val="0"/>
                <w:bCs/>
                <w:color w:val="auto"/>
                <w:kern w:val="0"/>
                <w:sz w:val="24"/>
                <w:szCs w:val="24"/>
                <w:lang w:val="en-US" w:eastAsia="zh-CN"/>
              </w:rPr>
            </w:pPr>
            <w:r>
              <w:rPr>
                <w:rFonts w:hint="eastAsia" w:ascii="Times New Roman" w:hAnsi="宋体" w:eastAsia="宋体" w:cs="Times New Roman"/>
                <w:b w:val="0"/>
                <w:bCs/>
                <w:color w:val="auto"/>
                <w:kern w:val="0"/>
                <w:sz w:val="24"/>
                <w:szCs w:val="24"/>
                <w:lang w:val="en-US" w:eastAsia="zh-CN"/>
              </w:rPr>
              <w:t>功能结构</w:t>
            </w:r>
          </w:p>
          <w:p w14:paraId="6E483B6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宋体" w:eastAsia="宋体" w:cs="Times New Roman"/>
                <w:b w:val="0"/>
                <w:bCs/>
                <w:color w:val="auto"/>
                <w:kern w:val="0"/>
                <w:sz w:val="24"/>
                <w:szCs w:val="24"/>
                <w:lang w:val="en-US" w:eastAsia="zh-CN"/>
              </w:rPr>
            </w:pPr>
            <w:r>
              <w:rPr>
                <w:rFonts w:hint="eastAsia" w:ascii="Times New Roman" w:hAnsi="宋体" w:eastAsia="宋体" w:cs="Times New Roman"/>
                <w:b w:val="0"/>
                <w:bCs/>
                <w:color w:val="auto"/>
                <w:kern w:val="0"/>
                <w:sz w:val="24"/>
                <w:szCs w:val="24"/>
                <w:lang w:val="en-US" w:eastAsia="zh-CN"/>
              </w:rPr>
              <w:t>一轴三带、两城四区。</w:t>
            </w:r>
          </w:p>
          <w:p w14:paraId="4FFD817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一轴：城乡联动发展轴；</w:t>
            </w:r>
          </w:p>
          <w:p w14:paraId="5875A5E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三带：茅山旅游生态带、长荡湖旅游生态带、圩田湿地旅游生态带；</w:t>
            </w:r>
          </w:p>
          <w:p w14:paraId="4FE752E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两城：金沙老城、滨湖新城；</w:t>
            </w:r>
          </w:p>
          <w:p w14:paraId="110301A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四区：金坛经开区、华罗庚高新区、茅山旅游度假区、长荡湖旅游度假区。</w:t>
            </w:r>
          </w:p>
          <w:p w14:paraId="3CE8D537">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交通体系</w:t>
            </w:r>
          </w:p>
          <w:p w14:paraId="6D9ACBD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eastAsia="宋体" w:cs="Times New Roman"/>
                <w:b w:val="0"/>
                <w:bCs/>
                <w:color w:val="auto"/>
                <w:kern w:val="0"/>
                <w:sz w:val="24"/>
                <w:szCs w:val="24"/>
                <w:lang w:val="en-US" w:eastAsia="zh-CN"/>
              </w:rPr>
            </w:pPr>
            <w:r>
              <w:rPr>
                <w:rFonts w:hint="eastAsia" w:ascii="Times New Roman" w:hAnsi="宋体" w:eastAsia="宋体" w:cs="Times New Roman"/>
                <w:b w:val="0"/>
                <w:bCs/>
                <w:color w:val="auto"/>
                <w:kern w:val="0"/>
                <w:sz w:val="24"/>
                <w:szCs w:val="24"/>
                <w:lang w:val="en-US" w:eastAsia="zh-CN"/>
              </w:rPr>
              <w:t>贯通区域南北通道，打造“十字”交通枢纽城市。加强南北通道建设，对外交通格局由“承东启西”向与“沟通南北”并重转变。规划形成十字形的铁路网、两纵两横高速公路网。</w:t>
            </w:r>
          </w:p>
          <w:p w14:paraId="3DCC765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加速融入常州，构建“高效”“绿色”“品质”的城市交通系统。在井字型高速公路基础上，重点向东构筑与主城区联系的快速通道；完善“七横七纵”干路网。</w:t>
            </w:r>
          </w:p>
          <w:p w14:paraId="50420E55">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生态安全格局</w:t>
            </w:r>
          </w:p>
          <w:p w14:paraId="44D7859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20" w:leftChars="200" w:right="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一环四横六纵，四核多节点交通体系。</w:t>
            </w:r>
          </w:p>
          <w:p w14:paraId="596B7AC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一环：由新丹金溧漕河、钱资湖及东河和尧塘河形成的新城生态环；</w:t>
            </w:r>
          </w:p>
          <w:p w14:paraId="5EF15F28">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四横：沿江高速、S340、通济河、薛埠河；</w:t>
            </w:r>
          </w:p>
          <w:p w14:paraId="75DE684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六纵：扬溧高速、常溧高速、S241、S240、丹金溧漕河、新孟河；</w:t>
            </w:r>
          </w:p>
          <w:p w14:paraId="6155749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四核：茅山和茅东森林公园、长荡湖、钱资湖、天荒湖；</w:t>
            </w:r>
          </w:p>
          <w:p w14:paraId="18103E5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多节点：河流交汇处、河流入湖处、道路互通</w:t>
            </w:r>
          </w:p>
          <w:p w14:paraId="4BCCCFAB">
            <w:pPr>
              <w:keepNext w:val="0"/>
              <w:keepLines w:val="0"/>
              <w:pageBreakBefore w:val="0"/>
              <w:widowControl w:val="0"/>
              <w:numPr>
                <w:ilvl w:val="0"/>
                <w:numId w:val="2"/>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绿地与开敞空间</w:t>
            </w:r>
          </w:p>
          <w:p w14:paraId="4791D15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420" w:leftChars="200" w:right="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一脉、一环、一核、多园、多廊</w:t>
            </w:r>
          </w:p>
          <w:p w14:paraId="379AEB2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一脉：湿地公园—丹金溧漕河（局部）—下塘河—岸头河形成纵贯整个金坛城区的水脉。</w:t>
            </w:r>
          </w:p>
          <w:p w14:paraId="7F450DD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一环：由老丹金溧漕河、钱资湖、钱资东河、尧塘河形成的具有城市历史地域特色的水环，兼具城市休闲、生态涵养功能。</w:t>
            </w:r>
          </w:p>
          <w:p w14:paraId="01CB8FB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一核：多个重要城市公园。</w:t>
            </w:r>
          </w:p>
          <w:p w14:paraId="504A949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宋体" w:cs="Times New Roman"/>
                <w:b w:val="0"/>
                <w:bCs/>
                <w:color w:val="auto"/>
                <w:kern w:val="0"/>
                <w:sz w:val="24"/>
                <w:szCs w:val="24"/>
                <w:lang w:val="en-US" w:eastAsia="zh-CN"/>
              </w:rPr>
            </w:pPr>
            <w:r>
              <w:rPr>
                <w:rFonts w:hint="eastAsia" w:ascii="Times New Roman" w:hAnsi="宋体" w:cs="Times New Roman"/>
                <w:b w:val="0"/>
                <w:bCs/>
                <w:color w:val="auto"/>
                <w:kern w:val="0"/>
                <w:sz w:val="24"/>
                <w:szCs w:val="24"/>
                <w:lang w:val="en-US" w:eastAsia="zh-CN"/>
              </w:rPr>
              <w:t>多廊：依托大柘荡、新丹金溧漕河、常合高速（江东大道）、银湖路（阜溧高速）形成。</w:t>
            </w:r>
          </w:p>
          <w:p w14:paraId="24A0C32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ascii="Times New Roman" w:hAnsi="宋体" w:cs="Times New Roman"/>
                <w:b/>
                <w:bCs w:val="0"/>
                <w:color w:val="auto"/>
                <w:kern w:val="0"/>
                <w:sz w:val="24"/>
                <w:szCs w:val="24"/>
                <w:lang w:val="en-US" w:eastAsia="zh-CN"/>
              </w:rPr>
            </w:pPr>
            <w:r>
              <w:rPr>
                <w:rFonts w:hint="eastAsia" w:ascii="Times New Roman" w:hAnsi="宋体" w:cs="Times New Roman"/>
                <w:b/>
                <w:bCs w:val="0"/>
                <w:color w:val="auto"/>
                <w:kern w:val="0"/>
                <w:sz w:val="24"/>
                <w:szCs w:val="24"/>
                <w:lang w:val="en-US" w:eastAsia="zh-CN"/>
              </w:rPr>
              <w:t>本项目位于常州市金坛区指前镇洮西工业集中区中路1号，属于指前现代产业园，属于发展片区，因此，本项目符合《常州市金坛区国土空间总体规划（2020—2035年）》的相关要求。</w:t>
            </w:r>
          </w:p>
          <w:p w14:paraId="14E2847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color w:val="auto"/>
              </w:rPr>
            </w:pPr>
            <w:r>
              <w:rPr>
                <w:rFonts w:hint="eastAsia" w:hAnsi="宋体"/>
                <w:b/>
                <w:bCs w:val="0"/>
                <w:color w:val="auto"/>
                <w:kern w:val="0"/>
                <w:sz w:val="24"/>
                <w:szCs w:val="24"/>
                <w:lang w:val="en-US" w:eastAsia="zh-CN"/>
              </w:rPr>
              <w:t>根据企业提供的</w:t>
            </w:r>
            <w:r>
              <w:rPr>
                <w:rFonts w:hint="default" w:ascii="Times New Roman" w:hAnsi="Times New Roman" w:cs="Times New Roman"/>
                <w:b/>
                <w:bCs w:val="0"/>
                <w:color w:val="auto"/>
                <w:kern w:val="0"/>
                <w:sz w:val="24"/>
                <w:szCs w:val="24"/>
                <w:lang w:bidi="ar"/>
              </w:rPr>
              <w:t>不动产权证（苏（</w:t>
            </w:r>
            <w:r>
              <w:rPr>
                <w:rFonts w:hint="eastAsia" w:ascii="Times New Roman" w:hAnsi="Times New Roman" w:cs="Times New Roman"/>
                <w:b/>
                <w:bCs w:val="0"/>
                <w:color w:val="auto"/>
                <w:kern w:val="0"/>
                <w:sz w:val="24"/>
                <w:szCs w:val="24"/>
                <w:lang w:val="en-US" w:eastAsia="zh-CN" w:bidi="ar"/>
              </w:rPr>
              <w:t>2021</w:t>
            </w:r>
            <w:r>
              <w:rPr>
                <w:rFonts w:hint="default" w:ascii="Times New Roman" w:hAnsi="Times New Roman" w:cs="Times New Roman"/>
                <w:b/>
                <w:bCs w:val="0"/>
                <w:color w:val="auto"/>
                <w:kern w:val="0"/>
                <w:sz w:val="24"/>
                <w:szCs w:val="24"/>
                <w:lang w:bidi="ar"/>
              </w:rPr>
              <w:t>）</w:t>
            </w:r>
            <w:r>
              <w:rPr>
                <w:rFonts w:hint="eastAsia" w:ascii="Times New Roman" w:hAnsi="Times New Roman" w:cs="Times New Roman"/>
                <w:b/>
                <w:bCs w:val="0"/>
                <w:color w:val="auto"/>
                <w:kern w:val="0"/>
                <w:sz w:val="24"/>
                <w:szCs w:val="24"/>
                <w:lang w:val="en-US" w:eastAsia="zh-CN" w:bidi="ar"/>
              </w:rPr>
              <w:t>金坛区</w:t>
            </w:r>
            <w:r>
              <w:rPr>
                <w:rFonts w:hint="default" w:ascii="Times New Roman" w:hAnsi="Times New Roman" w:cs="Times New Roman"/>
                <w:b/>
                <w:bCs w:val="0"/>
                <w:color w:val="auto"/>
                <w:kern w:val="0"/>
                <w:sz w:val="24"/>
                <w:szCs w:val="24"/>
                <w:lang w:bidi="ar"/>
              </w:rPr>
              <w:t>不动产权第</w:t>
            </w:r>
            <w:r>
              <w:rPr>
                <w:rFonts w:hint="eastAsia" w:ascii="Times New Roman" w:hAnsi="Times New Roman" w:cs="Times New Roman"/>
                <w:b/>
                <w:bCs w:val="0"/>
                <w:color w:val="auto"/>
                <w:kern w:val="0"/>
                <w:sz w:val="24"/>
                <w:szCs w:val="24"/>
                <w:lang w:val="en-US" w:eastAsia="zh-CN" w:bidi="ar"/>
              </w:rPr>
              <w:t>0017992</w:t>
            </w:r>
            <w:r>
              <w:rPr>
                <w:rFonts w:hint="default" w:ascii="Times New Roman" w:hAnsi="Times New Roman" w:cs="Times New Roman"/>
                <w:b/>
                <w:bCs w:val="0"/>
                <w:color w:val="auto"/>
                <w:kern w:val="0"/>
                <w:sz w:val="24"/>
                <w:szCs w:val="24"/>
                <w:lang w:bidi="ar"/>
              </w:rPr>
              <w:t>号），项目用地性质为工业用地；</w:t>
            </w:r>
            <w:r>
              <w:rPr>
                <w:rFonts w:hint="eastAsia" w:hAnsi="宋体"/>
                <w:b/>
                <w:bCs w:val="0"/>
                <w:color w:val="auto"/>
                <w:kern w:val="0"/>
                <w:sz w:val="24"/>
                <w:szCs w:val="24"/>
                <w:lang w:val="en-US" w:eastAsia="zh-CN"/>
              </w:rPr>
              <w:t>对照市域国土空间控制线规划图，不涉及占用基本农田、生态保护红线，详见附图9。</w:t>
            </w:r>
          </w:p>
        </w:tc>
      </w:tr>
      <w:tr w14:paraId="7C76E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7" w:type="dxa"/>
            <w:noWrap w:val="0"/>
            <w:vAlign w:val="center"/>
          </w:tcPr>
          <w:p w14:paraId="5ECB917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4"/>
                <w:szCs w:val="24"/>
                <w:highlight w:val="none"/>
              </w:rPr>
              <w:t>其他符合性分析</w:t>
            </w:r>
          </w:p>
        </w:tc>
        <w:tc>
          <w:tcPr>
            <w:tcW w:w="8123" w:type="dxa"/>
            <w:gridSpan w:val="4"/>
            <w:noWrap w:val="0"/>
            <w:vAlign w:val="center"/>
          </w:tcPr>
          <w:p w14:paraId="5DFB268B">
            <w:pPr>
              <w:pStyle w:val="107"/>
              <w:keepNext w:val="0"/>
              <w:keepLines w:val="0"/>
              <w:numPr>
                <w:ilvl w:val="0"/>
                <w:numId w:val="0"/>
              </w:numPr>
              <w:suppressLineNumbers w:val="0"/>
              <w:snapToGrid/>
              <w:spacing w:before="0" w:beforeLines="0" w:beforeAutospacing="0" w:after="0" w:afterAutospacing="0" w:line="480" w:lineRule="exact"/>
              <w:ind w:left="0" w:right="0"/>
              <w:jc w:val="left"/>
              <w:rPr>
                <w:rFonts w:hint="default" w:ascii="Times New Roman" w:hAnsi="Times New Roman"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产业政策相符性</w:t>
            </w:r>
          </w:p>
          <w:p w14:paraId="43E55590">
            <w:pPr>
              <w:pStyle w:val="107"/>
              <w:keepNext w:val="0"/>
              <w:keepLines w:val="0"/>
              <w:numPr>
                <w:ilvl w:val="0"/>
                <w:numId w:val="0"/>
              </w:numPr>
              <w:suppressLineNumbers w:val="0"/>
              <w:snapToGrid/>
              <w:spacing w:before="0" w:beforeLines="0" w:beforeAutospacing="0" w:after="0" w:afterAutospacing="0" w:line="480" w:lineRule="exact"/>
              <w:ind w:left="0" w:right="0"/>
              <w:jc w:val="center"/>
              <w:rPr>
                <w:rFonts w:hint="eastAsia" w:ascii="Times New Roman" w:hAnsi="Times New Roman" w:cs="Times New Roman"/>
                <w:b/>
                <w:color w:val="auto"/>
                <w:sz w:val="24"/>
                <w:szCs w:val="24"/>
              </w:rPr>
            </w:pPr>
          </w:p>
          <w:p w14:paraId="6F406C21">
            <w:pPr>
              <w:pStyle w:val="107"/>
              <w:keepNext w:val="0"/>
              <w:keepLines w:val="0"/>
              <w:numPr>
                <w:ilvl w:val="0"/>
                <w:numId w:val="0"/>
              </w:numPr>
              <w:suppressLineNumbers w:val="0"/>
              <w:snapToGrid/>
              <w:spacing w:before="0" w:beforeLines="0" w:beforeAutospacing="0" w:after="0" w:afterAutospacing="0" w:line="480" w:lineRule="exact"/>
              <w:ind w:left="0" w:right="0"/>
              <w:jc w:val="center"/>
              <w:rPr>
                <w:rFonts w:hint="eastAsia" w:ascii="Times New Roman" w:hAnsi="Times New Roman" w:cs="Times New Roman"/>
                <w:b/>
                <w:color w:val="auto"/>
                <w:sz w:val="24"/>
                <w:szCs w:val="24"/>
              </w:rPr>
            </w:pPr>
            <w:r>
              <w:rPr>
                <w:rFonts w:hint="eastAsia" w:ascii="Times New Roman" w:hAnsi="Times New Roman" w:cs="Times New Roman"/>
                <w:b/>
                <w:color w:val="auto"/>
                <w:sz w:val="24"/>
                <w:szCs w:val="24"/>
              </w:rPr>
              <w:t>表1-</w:t>
            </w:r>
            <w:r>
              <w:rPr>
                <w:rFonts w:hint="eastAsia" w:ascii="Times New Roman" w:hAnsi="Times New Roman" w:cs="Times New Roman"/>
                <w:b/>
                <w:color w:val="auto"/>
                <w:sz w:val="24"/>
                <w:szCs w:val="24"/>
                <w:lang w:val="en-US" w:eastAsia="zh-CN"/>
              </w:rPr>
              <w:t>2</w:t>
            </w:r>
            <w:r>
              <w:rPr>
                <w:rFonts w:hint="eastAsia" w:ascii="Times New Roman" w:hAnsi="Times New Roman" w:cs="Times New Roman"/>
                <w:b/>
                <w:color w:val="auto"/>
                <w:sz w:val="24"/>
                <w:szCs w:val="24"/>
              </w:rPr>
              <w:t xml:space="preserve"> 项目产业政策相符性分析</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5"/>
              <w:gridCol w:w="2625"/>
              <w:gridCol w:w="4352"/>
              <w:gridCol w:w="505"/>
            </w:tblGrid>
            <w:tr w14:paraId="5C0598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noWrap w:val="0"/>
                  <w:vAlign w:val="center"/>
                </w:tcPr>
                <w:p w14:paraId="11718DE7">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判断</w:t>
                  </w:r>
                </w:p>
                <w:p w14:paraId="04E19F80">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类型</w:t>
                  </w:r>
                </w:p>
              </w:tc>
              <w:tc>
                <w:tcPr>
                  <w:tcW w:w="1659" w:type="pct"/>
                  <w:noWrap w:val="0"/>
                  <w:vAlign w:val="center"/>
                </w:tcPr>
                <w:p w14:paraId="01CBE802">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相关政策文件</w:t>
                  </w:r>
                </w:p>
              </w:tc>
              <w:tc>
                <w:tcPr>
                  <w:tcW w:w="2751" w:type="pct"/>
                  <w:noWrap w:val="0"/>
                  <w:vAlign w:val="center"/>
                </w:tcPr>
                <w:p w14:paraId="17FE949E">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对照简析</w:t>
                  </w:r>
                </w:p>
              </w:tc>
              <w:tc>
                <w:tcPr>
                  <w:tcW w:w="319" w:type="pct"/>
                  <w:noWrap w:val="0"/>
                  <w:vAlign w:val="center"/>
                </w:tcPr>
                <w:p w14:paraId="69F0DDC0">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rPr>
                    <w:t>是否相符</w:t>
                  </w:r>
                </w:p>
              </w:tc>
            </w:tr>
            <w:tr w14:paraId="186FE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restart"/>
                  <w:noWrap w:val="0"/>
                  <w:vAlign w:val="center"/>
                </w:tcPr>
                <w:p w14:paraId="5D6C3A7F">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产业</w:t>
                  </w:r>
                </w:p>
                <w:p w14:paraId="2C6BC69F">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政策</w:t>
                  </w:r>
                </w:p>
              </w:tc>
              <w:tc>
                <w:tcPr>
                  <w:tcW w:w="1659" w:type="pct"/>
                  <w:noWrap w:val="0"/>
                  <w:vAlign w:val="center"/>
                </w:tcPr>
                <w:p w14:paraId="68716D75">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《产业结构调整指导目录（20</w:t>
                  </w:r>
                  <w:r>
                    <w:rPr>
                      <w:rFonts w:hint="eastAsia" w:ascii="Times New Roman" w:hAnsi="Times New Roman" w:cs="Times New Roman"/>
                      <w:color w:val="auto"/>
                      <w:szCs w:val="21"/>
                      <w:lang w:val="en-US" w:eastAsia="zh-CN"/>
                    </w:rPr>
                    <w:t>24</w:t>
                  </w:r>
                  <w:r>
                    <w:rPr>
                      <w:rFonts w:hint="default" w:ascii="Times New Roman" w:hAnsi="Times New Roman" w:cs="Times New Roman"/>
                      <w:color w:val="auto"/>
                      <w:szCs w:val="21"/>
                    </w:rPr>
                    <w:t>年本）》</w:t>
                  </w:r>
                </w:p>
              </w:tc>
              <w:tc>
                <w:tcPr>
                  <w:tcW w:w="2751" w:type="pct"/>
                  <w:noWrap w:val="0"/>
                  <w:vAlign w:val="center"/>
                </w:tcPr>
                <w:p w14:paraId="0C3067D5">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本项目为</w:t>
                  </w:r>
                  <w:r>
                    <w:rPr>
                      <w:rFonts w:hint="eastAsia" w:cs="Times New Roman"/>
                      <w:color w:val="auto"/>
                      <w:szCs w:val="21"/>
                      <w:lang w:val="en-US" w:eastAsia="zh-CN"/>
                    </w:rPr>
                    <w:t>锻件及粉末冶金制品制造</w:t>
                  </w:r>
                  <w:r>
                    <w:rPr>
                      <w:rFonts w:hint="eastAsia" w:ascii="Times New Roman" w:hAnsi="Times New Roman" w:cs="Times New Roman"/>
                      <w:color w:val="auto"/>
                      <w:szCs w:val="21"/>
                      <w:lang w:val="en-US" w:eastAsia="zh-CN"/>
                    </w:rPr>
                    <w:t>项目，原有铸造产能不变，</w:t>
                  </w:r>
                  <w:r>
                    <w:rPr>
                      <w:rFonts w:hint="eastAsia" w:cs="Times New Roman"/>
                      <w:color w:val="auto"/>
                      <w:szCs w:val="21"/>
                      <w:lang w:val="en-US" w:eastAsia="zh-CN"/>
                    </w:rPr>
                    <w:t>不</w:t>
                  </w:r>
                  <w:r>
                    <w:rPr>
                      <w:rFonts w:hint="default" w:ascii="Times New Roman" w:hAnsi="Times New Roman" w:cs="Times New Roman"/>
                      <w:color w:val="auto"/>
                      <w:szCs w:val="21"/>
                    </w:rPr>
                    <w:t>属于《产业结构调整指导目录（20</w:t>
                  </w:r>
                  <w:r>
                    <w:rPr>
                      <w:rFonts w:hint="eastAsia" w:ascii="Times New Roman" w:hAnsi="Times New Roman" w:cs="Times New Roman"/>
                      <w:color w:val="auto"/>
                      <w:szCs w:val="21"/>
                      <w:lang w:val="en-US" w:eastAsia="zh-CN"/>
                    </w:rPr>
                    <w:t>24</w:t>
                  </w:r>
                  <w:r>
                    <w:rPr>
                      <w:rFonts w:hint="default" w:ascii="Times New Roman" w:hAnsi="Times New Roman" w:cs="Times New Roman"/>
                      <w:color w:val="auto"/>
                      <w:szCs w:val="21"/>
                    </w:rPr>
                    <w:t>年本）》</w:t>
                  </w:r>
                  <w:r>
                    <w:rPr>
                      <w:rFonts w:hint="eastAsia" w:cs="Times New Roman"/>
                      <w:color w:val="auto"/>
                      <w:szCs w:val="21"/>
                      <w:lang w:val="en-US" w:eastAsia="zh-CN"/>
                    </w:rPr>
                    <w:t>中限制类和淘汰类</w:t>
                  </w:r>
                  <w:r>
                    <w:rPr>
                      <w:rFonts w:hint="default" w:ascii="Times New Roman" w:hAnsi="Times New Roman" w:cs="Times New Roman"/>
                      <w:color w:val="auto"/>
                      <w:szCs w:val="21"/>
                    </w:rPr>
                    <w:t>。</w:t>
                  </w:r>
                </w:p>
              </w:tc>
              <w:tc>
                <w:tcPr>
                  <w:tcW w:w="319" w:type="pct"/>
                  <w:noWrap w:val="0"/>
                  <w:vAlign w:val="center"/>
                </w:tcPr>
                <w:p w14:paraId="4ABA8B5B">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14:paraId="6DCEF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continue"/>
                  <w:noWrap w:val="0"/>
                  <w:vAlign w:val="center"/>
                </w:tcPr>
                <w:p w14:paraId="41150444">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1659" w:type="pct"/>
                  <w:noWrap w:val="0"/>
                  <w:vAlign w:val="center"/>
                </w:tcPr>
                <w:p w14:paraId="72A00C76">
                  <w:pPr>
                    <w:pStyle w:val="109"/>
                    <w:keepNext w:val="0"/>
                    <w:keepLines w:val="0"/>
                    <w:suppressLineNumbers w:val="0"/>
                    <w:spacing w:before="0" w:beforeAutospacing="0" w:after="0" w:afterAutospacing="0" w:line="240" w:lineRule="auto"/>
                    <w:ind w:left="0" w:right="0"/>
                    <w:rPr>
                      <w:rFonts w:hint="eastAsia"/>
                      <w:color w:val="auto"/>
                      <w:szCs w:val="21"/>
                      <w:lang w:eastAsia="zh-CN"/>
                    </w:rPr>
                  </w:pPr>
                  <w:r>
                    <w:rPr>
                      <w:rFonts w:hint="default" w:ascii="Times New Roman" w:hAnsi="Times New Roman" w:cs="Times New Roman"/>
                      <w:color w:val="auto"/>
                      <w:szCs w:val="21"/>
                    </w:rPr>
                    <w:t>《江苏省产业结构调整限制、淘汰和禁止目录（2018年本）》</w:t>
                  </w:r>
                </w:p>
              </w:tc>
              <w:tc>
                <w:tcPr>
                  <w:tcW w:w="2751" w:type="pct"/>
                  <w:vMerge w:val="restart"/>
                  <w:noWrap w:val="0"/>
                  <w:vAlign w:val="center"/>
                </w:tcPr>
                <w:p w14:paraId="4B80E6C7">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本项目为</w:t>
                  </w:r>
                  <w:r>
                    <w:rPr>
                      <w:rFonts w:hint="eastAsia" w:cs="Times New Roman"/>
                      <w:color w:val="auto"/>
                      <w:szCs w:val="21"/>
                      <w:lang w:val="en-US" w:eastAsia="zh-CN"/>
                    </w:rPr>
                    <w:t>锻件及粉末冶金制品制造</w:t>
                  </w:r>
                  <w:r>
                    <w:rPr>
                      <w:rFonts w:hint="eastAsia" w:ascii="Times New Roman" w:hAnsi="Times New Roman" w:cs="Times New Roman"/>
                      <w:color w:val="auto"/>
                      <w:szCs w:val="21"/>
                      <w:lang w:val="en-US" w:eastAsia="zh-CN"/>
                    </w:rPr>
                    <w:t>，产品为工程机械配件、盾构机配件、航空发动机配件等</w:t>
                  </w:r>
                  <w:r>
                    <w:rPr>
                      <w:rFonts w:hint="default" w:ascii="Times New Roman" w:hAnsi="Times New Roman" w:cs="Times New Roman"/>
                      <w:color w:val="auto"/>
                      <w:szCs w:val="21"/>
                    </w:rPr>
                    <w:t>，不属于《江苏省产业结构调整限制、淘汰和禁止目录（2018年本）》限制类、淘汰类和禁止类</w:t>
                  </w:r>
                  <w:r>
                    <w:rPr>
                      <w:rFonts w:hint="eastAsia" w:ascii="Times New Roman" w:hAnsi="Times New Roman" w:cs="Times New Roman"/>
                      <w:color w:val="auto"/>
                      <w:szCs w:val="21"/>
                      <w:lang w:eastAsia="zh-CN"/>
                    </w:rPr>
                    <w:t>，</w:t>
                  </w:r>
                  <w:r>
                    <w:rPr>
                      <w:rFonts w:hint="eastAsia"/>
                      <w:color w:val="auto"/>
                      <w:szCs w:val="21"/>
                      <w:lang w:val="en-US" w:eastAsia="zh-CN"/>
                    </w:rPr>
                    <w:t>不属于《</w:t>
                  </w:r>
                  <w:r>
                    <w:rPr>
                      <w:rFonts w:hint="eastAsia"/>
                      <w:color w:val="auto"/>
                      <w:szCs w:val="21"/>
                    </w:rPr>
                    <w:t>江苏省太湖流域禁止和限制的产业产品目录（2024年本）</w:t>
                  </w:r>
                  <w:r>
                    <w:rPr>
                      <w:rFonts w:hint="eastAsia"/>
                      <w:color w:val="auto"/>
                      <w:szCs w:val="21"/>
                      <w:lang w:eastAsia="zh-CN"/>
                    </w:rPr>
                    <w:t>》</w:t>
                  </w:r>
                  <w:r>
                    <w:rPr>
                      <w:rFonts w:hint="default"/>
                      <w:color w:val="auto"/>
                      <w:szCs w:val="21"/>
                    </w:rPr>
                    <w:t>限制类、淘汰类和禁止类</w:t>
                  </w:r>
                  <w:r>
                    <w:rPr>
                      <w:rFonts w:hint="eastAsia"/>
                      <w:color w:val="auto"/>
                      <w:szCs w:val="21"/>
                      <w:lang w:eastAsia="zh-CN"/>
                    </w:rPr>
                    <w:t>。</w:t>
                  </w:r>
                </w:p>
              </w:tc>
              <w:tc>
                <w:tcPr>
                  <w:tcW w:w="319" w:type="pct"/>
                  <w:noWrap w:val="0"/>
                  <w:vAlign w:val="center"/>
                </w:tcPr>
                <w:p w14:paraId="20F0EB75">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r>
            <w:tr w14:paraId="76FF0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continue"/>
                  <w:noWrap w:val="0"/>
                  <w:vAlign w:val="center"/>
                </w:tcPr>
                <w:p w14:paraId="04018E8C">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1659" w:type="pct"/>
                  <w:noWrap w:val="0"/>
                  <w:vAlign w:val="center"/>
                </w:tcPr>
                <w:p w14:paraId="6DCE8C90">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eastAsia"/>
                      <w:color w:val="auto"/>
                      <w:szCs w:val="21"/>
                      <w:lang w:eastAsia="zh-CN"/>
                    </w:rPr>
                    <w:t>《江苏省太湖流域禁止和限制的产业产品目录（2024年本）》</w:t>
                  </w:r>
                </w:p>
              </w:tc>
              <w:tc>
                <w:tcPr>
                  <w:tcW w:w="2751" w:type="pct"/>
                  <w:vMerge w:val="continue"/>
                  <w:noWrap w:val="0"/>
                  <w:vAlign w:val="center"/>
                </w:tcPr>
                <w:p w14:paraId="3DDAD690">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319" w:type="pct"/>
                  <w:noWrap w:val="0"/>
                  <w:vAlign w:val="center"/>
                </w:tcPr>
                <w:p w14:paraId="1FB2584D">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14:paraId="5E9F2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continue"/>
                  <w:noWrap w:val="0"/>
                  <w:vAlign w:val="center"/>
                </w:tcPr>
                <w:p w14:paraId="3DBD4A9C">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1659" w:type="pct"/>
                  <w:noWrap w:val="0"/>
                  <w:vAlign w:val="center"/>
                </w:tcPr>
                <w:p w14:paraId="473DE35D">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《长江经济带发展负面清单指南》（试行，2022年版）及《关于印发</w:t>
                  </w:r>
                  <w:r>
                    <w:rPr>
                      <w:rFonts w:hint="eastAsia" w:ascii="Times New Roman" w:hAnsi="Times New Roman" w:cs="Times New Roman"/>
                      <w:color w:val="auto"/>
                      <w:szCs w:val="21"/>
                    </w:rPr>
                    <w:t>〈</w:t>
                  </w:r>
                  <w:r>
                    <w:rPr>
                      <w:rFonts w:hint="default" w:ascii="Times New Roman" w:hAnsi="Times New Roman" w:cs="Times New Roman"/>
                      <w:color w:val="auto"/>
                      <w:szCs w:val="21"/>
                    </w:rPr>
                    <w:t>长江经济带发展负面清单指南（试行，2022年版）</w:t>
                  </w:r>
                  <w:r>
                    <w:rPr>
                      <w:rFonts w:hint="eastAsia" w:ascii="Times New Roman" w:hAnsi="Times New Roman" w:cs="Times New Roman"/>
                      <w:color w:val="auto"/>
                      <w:szCs w:val="21"/>
                    </w:rPr>
                    <w:t>〉</w:t>
                  </w:r>
                  <w:r>
                    <w:rPr>
                      <w:rFonts w:hint="default" w:ascii="Times New Roman" w:hAnsi="Times New Roman" w:cs="Times New Roman"/>
                      <w:color w:val="auto"/>
                      <w:szCs w:val="21"/>
                    </w:rPr>
                    <w:t>江苏省实施细则的通知》（苏长江办发〔2022〕55号）</w:t>
                  </w:r>
                </w:p>
              </w:tc>
              <w:tc>
                <w:tcPr>
                  <w:tcW w:w="2751" w:type="pct"/>
                  <w:vMerge w:val="restart"/>
                  <w:noWrap w:val="0"/>
                  <w:vAlign w:val="center"/>
                </w:tcPr>
                <w:p w14:paraId="11AE4634">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本项目不属于《长江经济带发展负面清单指南》（试行，2022年版）及《关于印发</w:t>
                  </w:r>
                  <w:r>
                    <w:rPr>
                      <w:rFonts w:hint="eastAsia" w:ascii="Times New Roman" w:hAnsi="Times New Roman" w:cs="Times New Roman"/>
                      <w:color w:val="auto"/>
                      <w:szCs w:val="21"/>
                    </w:rPr>
                    <w:t>〈</w:t>
                  </w:r>
                  <w:r>
                    <w:rPr>
                      <w:rFonts w:hint="default" w:ascii="Times New Roman" w:hAnsi="Times New Roman" w:cs="Times New Roman"/>
                      <w:color w:val="auto"/>
                      <w:szCs w:val="21"/>
                    </w:rPr>
                    <w:t>长江经济带发展负面清单指南（试行，2022年版）</w:t>
                  </w:r>
                  <w:r>
                    <w:rPr>
                      <w:rFonts w:hint="eastAsia" w:ascii="Times New Roman" w:hAnsi="Times New Roman" w:cs="Times New Roman"/>
                      <w:color w:val="auto"/>
                      <w:szCs w:val="21"/>
                    </w:rPr>
                    <w:t>〉</w:t>
                  </w:r>
                  <w:r>
                    <w:rPr>
                      <w:rFonts w:hint="default" w:ascii="Times New Roman" w:hAnsi="Times New Roman" w:cs="Times New Roman"/>
                      <w:color w:val="auto"/>
                      <w:szCs w:val="21"/>
                    </w:rPr>
                    <w:t>江苏省实施细则的通知》（苏长江办发〔2022〕55号）中的禁止入驻类项目，不属于</w:t>
                  </w:r>
                  <w:r>
                    <w:rPr>
                      <w:rFonts w:hint="eastAsia" w:cs="Times New Roman"/>
                      <w:color w:val="auto"/>
                      <w:szCs w:val="21"/>
                      <w:lang w:eastAsia="zh-CN"/>
                    </w:rPr>
                    <w:t>《市场准入负面清单（2025年版）》</w:t>
                  </w:r>
                  <w:r>
                    <w:rPr>
                      <w:rFonts w:hint="default" w:ascii="Times New Roman" w:hAnsi="Times New Roman" w:cs="Times New Roman"/>
                      <w:color w:val="auto"/>
                      <w:szCs w:val="21"/>
                    </w:rPr>
                    <w:t>中的禁止准入类，为许可准入类项目。</w:t>
                  </w:r>
                </w:p>
              </w:tc>
              <w:tc>
                <w:tcPr>
                  <w:tcW w:w="319" w:type="pct"/>
                  <w:noWrap w:val="0"/>
                  <w:vAlign w:val="center"/>
                </w:tcPr>
                <w:p w14:paraId="733C48A9">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14:paraId="651B9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continue"/>
                  <w:noWrap w:val="0"/>
                  <w:vAlign w:val="center"/>
                </w:tcPr>
                <w:p w14:paraId="715F83C5">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1659" w:type="pct"/>
                  <w:noWrap w:val="0"/>
                  <w:vAlign w:val="center"/>
                </w:tcPr>
                <w:p w14:paraId="789561FD">
                  <w:pPr>
                    <w:pStyle w:val="109"/>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szCs w:val="21"/>
                      <w:lang w:eastAsia="zh-CN"/>
                    </w:rPr>
                  </w:pPr>
                  <w:r>
                    <w:rPr>
                      <w:rFonts w:hint="eastAsia" w:cs="Times New Roman"/>
                      <w:color w:val="auto"/>
                      <w:szCs w:val="21"/>
                      <w:lang w:eastAsia="zh-CN"/>
                    </w:rPr>
                    <w:t>《市场准入负面清单（2025年版）》</w:t>
                  </w:r>
                </w:p>
              </w:tc>
              <w:tc>
                <w:tcPr>
                  <w:tcW w:w="2751" w:type="pct"/>
                  <w:vMerge w:val="continue"/>
                  <w:noWrap w:val="0"/>
                  <w:vAlign w:val="center"/>
                </w:tcPr>
                <w:p w14:paraId="59F0B7F3">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319" w:type="pct"/>
                  <w:noWrap w:val="0"/>
                  <w:vAlign w:val="center"/>
                </w:tcPr>
                <w:p w14:paraId="086586B2">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14:paraId="48AB3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continue"/>
                  <w:noWrap w:val="0"/>
                  <w:vAlign w:val="center"/>
                </w:tcPr>
                <w:p w14:paraId="308368EE">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1659" w:type="pct"/>
                  <w:shd w:val="clear" w:color="auto" w:fill="auto"/>
                  <w:noWrap w:val="0"/>
                  <w:vAlign w:val="center"/>
                </w:tcPr>
                <w:p w14:paraId="0F00DB2B">
                  <w:pPr>
                    <w:pStyle w:val="1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Cs w:val="21"/>
                    </w:rPr>
                    <w:t>《自然资源要素支撑产业高质量发展指导目录（2024年本）》</w:t>
                  </w:r>
                </w:p>
              </w:tc>
              <w:tc>
                <w:tcPr>
                  <w:tcW w:w="2751" w:type="pct"/>
                  <w:shd w:val="clear" w:color="auto" w:fill="auto"/>
                  <w:noWrap w:val="0"/>
                  <w:vAlign w:val="center"/>
                </w:tcPr>
                <w:p w14:paraId="71842BF6">
                  <w:pPr>
                    <w:pStyle w:val="1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kern w:val="0"/>
                      <w:sz w:val="21"/>
                      <w:szCs w:val="21"/>
                      <w:lang w:val="en-US" w:eastAsia="zh-CN" w:bidi="ar-SA"/>
                    </w:rPr>
                  </w:pPr>
                  <w:r>
                    <w:rPr>
                      <w:rFonts w:hint="default"/>
                      <w:color w:val="auto"/>
                      <w:szCs w:val="21"/>
                    </w:rPr>
                    <w:t>本项目不属于</w:t>
                  </w:r>
                  <w:r>
                    <w:rPr>
                      <w:rFonts w:hint="eastAsia"/>
                      <w:color w:val="auto"/>
                      <w:szCs w:val="21"/>
                    </w:rPr>
                    <w:t>《自然资源要素支撑产业高质量发展指导目录（2024年本）》</w:t>
                  </w:r>
                  <w:r>
                    <w:rPr>
                      <w:rFonts w:hint="default"/>
                      <w:color w:val="auto"/>
                      <w:szCs w:val="21"/>
                    </w:rPr>
                    <w:t>中的限制类及禁止类项目。</w:t>
                  </w:r>
                </w:p>
              </w:tc>
              <w:tc>
                <w:tcPr>
                  <w:tcW w:w="319" w:type="pct"/>
                  <w:noWrap w:val="0"/>
                  <w:vAlign w:val="center"/>
                </w:tcPr>
                <w:p w14:paraId="5C8D41C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r w14:paraId="72D32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269" w:type="pct"/>
                  <w:vMerge w:val="continue"/>
                  <w:noWrap w:val="0"/>
                  <w:vAlign w:val="center"/>
                </w:tcPr>
                <w:p w14:paraId="04754E41">
                  <w:pPr>
                    <w:pStyle w:val="109"/>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p>
              </w:tc>
              <w:tc>
                <w:tcPr>
                  <w:tcW w:w="1659" w:type="pct"/>
                  <w:shd w:val="clear" w:color="auto" w:fill="auto"/>
                  <w:noWrap w:val="0"/>
                  <w:vAlign w:val="center"/>
                </w:tcPr>
                <w:p w14:paraId="2EAEBB3E">
                  <w:pPr>
                    <w:pStyle w:val="1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Times New Roman"/>
                      <w:color w:val="auto"/>
                      <w:kern w:val="0"/>
                      <w:sz w:val="21"/>
                      <w:szCs w:val="21"/>
                      <w:lang w:val="en-US" w:eastAsia="zh-CN" w:bidi="ar-SA"/>
                    </w:rPr>
                  </w:pPr>
                  <w:r>
                    <w:rPr>
                      <w:rFonts w:hint="eastAsia"/>
                      <w:color w:val="auto"/>
                      <w:szCs w:val="21"/>
                      <w:lang w:eastAsia="zh-CN"/>
                    </w:rPr>
                    <w:t>《</w:t>
                  </w:r>
                  <w:r>
                    <w:rPr>
                      <w:rFonts w:hint="eastAsia"/>
                      <w:color w:val="auto"/>
                      <w:szCs w:val="21"/>
                      <w:lang w:val="en-US" w:eastAsia="zh-CN"/>
                    </w:rPr>
                    <w:t>江苏省“两高”项目管理目录》（2025年版）</w:t>
                  </w:r>
                </w:p>
              </w:tc>
              <w:tc>
                <w:tcPr>
                  <w:tcW w:w="2751" w:type="pct"/>
                  <w:shd w:val="clear" w:color="auto" w:fill="auto"/>
                  <w:noWrap w:val="0"/>
                  <w:vAlign w:val="center"/>
                </w:tcPr>
                <w:p w14:paraId="1A561444">
                  <w:pPr>
                    <w:pStyle w:val="10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auto"/>
                      <w:kern w:val="0"/>
                      <w:sz w:val="21"/>
                      <w:szCs w:val="21"/>
                      <w:lang w:val="en-US" w:eastAsia="zh-CN" w:bidi="ar-SA"/>
                    </w:rPr>
                  </w:pPr>
                  <w:r>
                    <w:rPr>
                      <w:rFonts w:hint="eastAsia"/>
                      <w:color w:val="auto"/>
                      <w:szCs w:val="21"/>
                      <w:lang w:val="en-US" w:eastAsia="zh-CN"/>
                    </w:rPr>
                    <w:t>本项目属于C3393锻件及粉末冶金制品制造，不属于“两高”项目。</w:t>
                  </w:r>
                </w:p>
              </w:tc>
              <w:tc>
                <w:tcPr>
                  <w:tcW w:w="319" w:type="pct"/>
                  <w:noWrap w:val="0"/>
                  <w:vAlign w:val="center"/>
                </w:tcPr>
                <w:p w14:paraId="54FCFCB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w:t>
                  </w:r>
                </w:p>
              </w:tc>
            </w:tr>
          </w:tbl>
          <w:p w14:paraId="3EC70C97">
            <w:pPr>
              <w:keepNext w:val="0"/>
              <w:keepLines w:val="0"/>
              <w:suppressLineNumbers w:val="0"/>
              <w:spacing w:before="0" w:beforeAutospacing="0" w:after="0" w:afterAutospacing="0" w:line="480" w:lineRule="exact"/>
              <w:ind w:left="0" w:right="0" w:firstLine="482" w:firstLineChars="200"/>
              <w:jc w:val="left"/>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rPr>
              <w:t>2、与</w:t>
            </w:r>
            <w:r>
              <w:rPr>
                <w:rFonts w:hint="default" w:ascii="Times New Roman" w:hAnsi="Times New Roman" w:cs="Times New Roman"/>
                <w:b/>
                <w:color w:val="auto"/>
                <w:sz w:val="24"/>
                <w:szCs w:val="24"/>
              </w:rPr>
              <w:t>“三线一单”相符性分析</w:t>
            </w:r>
          </w:p>
          <w:p w14:paraId="78E5BC2E">
            <w:pPr>
              <w:keepNext w:val="0"/>
              <w:keepLines w:val="0"/>
              <w:suppressLineNumbers w:val="0"/>
              <w:adjustRightInd w:val="0"/>
              <w:snapToGrid w:val="0"/>
              <w:spacing w:before="0" w:beforeAutospacing="0" w:after="0" w:afterAutospacing="0" w:line="460" w:lineRule="exact"/>
              <w:ind w:left="0" w:right="0" w:firstLine="480" w:firstLineChars="200"/>
              <w:rPr>
                <w:rFonts w:hint="default" w:ascii="Times New Roman" w:hAnsi="Times New Roman" w:cs="Times New Roman"/>
                <w:color w:val="auto"/>
                <w:kern w:val="0"/>
                <w:sz w:val="21"/>
                <w:szCs w:val="21"/>
                <w:highlight w:val="none"/>
              </w:rPr>
            </w:pPr>
            <w:r>
              <w:rPr>
                <w:rFonts w:hint="default" w:ascii="Times New Roman" w:hAnsi="Times New Roman" w:cs="Times New Roman"/>
                <w:bCs/>
                <w:color w:val="auto"/>
                <w:sz w:val="24"/>
                <w:szCs w:val="24"/>
              </w:rPr>
              <w:t>本项目与“三线一单”相符性分析</w:t>
            </w:r>
            <w:r>
              <w:rPr>
                <w:rFonts w:hint="eastAsia" w:ascii="Times New Roman" w:hAnsi="Times New Roman" w:cs="Times New Roman"/>
                <w:bCs/>
                <w:color w:val="auto"/>
                <w:sz w:val="24"/>
                <w:szCs w:val="24"/>
              </w:rPr>
              <w:t>见下表</w:t>
            </w:r>
            <w:r>
              <w:rPr>
                <w:rFonts w:hint="default" w:ascii="Times New Roman" w:hAnsi="Times New Roman" w:cs="Times New Roman"/>
                <w:bCs/>
                <w:color w:val="auto"/>
                <w:sz w:val="24"/>
                <w:szCs w:val="24"/>
              </w:rPr>
              <w:t>：</w:t>
            </w:r>
          </w:p>
          <w:p w14:paraId="05D460DC">
            <w:pPr>
              <w:pStyle w:val="2"/>
              <w:keepNext w:val="0"/>
              <w:keepLines w:val="0"/>
              <w:suppressLineNumbers w:val="0"/>
              <w:spacing w:beforeAutospacing="0" w:afterAutospacing="0"/>
              <w:ind w:left="0"/>
              <w:rPr>
                <w:rFonts w:hint="eastAsia" w:ascii="Times New Roman" w:hAnsi="Times New Roman" w:cs="Times New Roman"/>
                <w:color w:val="auto"/>
                <w:sz w:val="21"/>
                <w:szCs w:val="21"/>
                <w:lang w:eastAsia="zh-CN"/>
              </w:rPr>
            </w:pPr>
          </w:p>
          <w:p w14:paraId="5D4EE48A">
            <w:pPr>
              <w:pStyle w:val="2"/>
              <w:keepNext w:val="0"/>
              <w:keepLines w:val="0"/>
              <w:suppressLineNumbers w:val="0"/>
              <w:spacing w:beforeAutospacing="0" w:afterAutospacing="0"/>
              <w:ind w:left="0"/>
              <w:rPr>
                <w:rFonts w:hint="eastAsia" w:ascii="Times New Roman" w:hAnsi="Times New Roman" w:cs="Times New Roman"/>
                <w:color w:val="auto"/>
                <w:sz w:val="21"/>
                <w:szCs w:val="21"/>
                <w:lang w:eastAsia="zh-CN"/>
              </w:rPr>
            </w:pPr>
          </w:p>
          <w:p w14:paraId="33BECAE2">
            <w:pPr>
              <w:pStyle w:val="2"/>
              <w:keepNext w:val="0"/>
              <w:keepLines w:val="0"/>
              <w:suppressLineNumbers w:val="0"/>
              <w:spacing w:beforeAutospacing="0" w:afterAutospacing="0"/>
              <w:ind w:left="0"/>
              <w:rPr>
                <w:rFonts w:hint="eastAsia" w:ascii="Times New Roman" w:hAnsi="Times New Roman" w:cs="Times New Roman"/>
                <w:color w:val="auto"/>
                <w:sz w:val="21"/>
                <w:szCs w:val="21"/>
                <w:lang w:eastAsia="zh-CN"/>
              </w:rPr>
            </w:pPr>
          </w:p>
          <w:p w14:paraId="74E9EF68">
            <w:pPr>
              <w:pStyle w:val="2"/>
              <w:keepNext w:val="0"/>
              <w:keepLines w:val="0"/>
              <w:suppressLineNumbers w:val="0"/>
              <w:spacing w:beforeAutospacing="0" w:afterAutospacing="0"/>
              <w:ind w:left="0"/>
              <w:rPr>
                <w:rFonts w:hint="eastAsia" w:ascii="Times New Roman" w:hAnsi="Times New Roman" w:cs="Times New Roman"/>
                <w:color w:val="auto"/>
                <w:sz w:val="21"/>
                <w:szCs w:val="21"/>
                <w:lang w:eastAsia="zh-CN"/>
              </w:rPr>
            </w:pPr>
          </w:p>
          <w:p w14:paraId="70B8EC1B">
            <w:pPr>
              <w:pStyle w:val="2"/>
              <w:keepNext w:val="0"/>
              <w:keepLines w:val="0"/>
              <w:suppressLineNumbers w:val="0"/>
              <w:spacing w:beforeAutospacing="0" w:afterAutospacing="0"/>
              <w:ind w:left="0"/>
              <w:rPr>
                <w:rFonts w:hint="eastAsia" w:ascii="Times New Roman" w:hAnsi="Times New Roman" w:cs="Times New Roman"/>
                <w:color w:val="auto"/>
                <w:sz w:val="21"/>
                <w:szCs w:val="21"/>
                <w:lang w:eastAsia="zh-CN"/>
              </w:rPr>
            </w:pPr>
          </w:p>
          <w:p w14:paraId="07BBDDEA">
            <w:pPr>
              <w:pStyle w:val="2"/>
              <w:keepNext w:val="0"/>
              <w:keepLines w:val="0"/>
              <w:suppressLineNumbers w:val="0"/>
              <w:spacing w:beforeAutospacing="0" w:afterAutospacing="0"/>
              <w:ind w:left="0"/>
              <w:rPr>
                <w:rFonts w:hint="eastAsia" w:ascii="Times New Roman" w:hAnsi="Times New Roman" w:eastAsia="宋体" w:cs="Times New Roman"/>
                <w:color w:val="auto"/>
                <w:sz w:val="21"/>
                <w:szCs w:val="21"/>
                <w:lang w:eastAsia="zh-CN"/>
              </w:rPr>
            </w:pPr>
          </w:p>
          <w:p w14:paraId="7EA505AE">
            <w:pPr>
              <w:pStyle w:val="3"/>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color w:val="auto"/>
                <w:sz w:val="21"/>
                <w:szCs w:val="21"/>
                <w:lang w:eastAsia="zh-CN"/>
              </w:rPr>
            </w:pPr>
          </w:p>
          <w:p w14:paraId="77A5E5CF">
            <w:pPr>
              <w:pStyle w:val="3"/>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color w:val="auto"/>
                <w:sz w:val="21"/>
                <w:szCs w:val="21"/>
                <w:lang w:eastAsia="zh-CN"/>
              </w:rPr>
            </w:pPr>
          </w:p>
          <w:p w14:paraId="016E4DCA">
            <w:pPr>
              <w:pStyle w:val="3"/>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color w:val="auto"/>
                <w:sz w:val="21"/>
                <w:szCs w:val="21"/>
                <w:lang w:eastAsia="zh-CN"/>
              </w:rPr>
            </w:pPr>
          </w:p>
          <w:p w14:paraId="3F35F309">
            <w:pPr>
              <w:pStyle w:val="3"/>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color w:val="auto"/>
                <w:sz w:val="21"/>
                <w:szCs w:val="21"/>
                <w:lang w:eastAsia="zh-CN"/>
              </w:rPr>
            </w:pPr>
          </w:p>
        </w:tc>
      </w:tr>
    </w:tbl>
    <w:p w14:paraId="0EBD6474">
      <w:pPr>
        <w:spacing w:line="360" w:lineRule="auto"/>
        <w:outlineLvl w:val="0"/>
        <w:rPr>
          <w:rFonts w:eastAsia="黑体"/>
          <w:color w:val="auto"/>
          <w:sz w:val="30"/>
          <w:highlight w:val="none"/>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
        <w:gridCol w:w="13314"/>
      </w:tblGrid>
      <w:tr w14:paraId="5308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3" w:hRule="atLeast"/>
        </w:trPr>
        <w:tc>
          <w:tcPr>
            <w:tcW w:w="338" w:type="dxa"/>
            <w:noWrap w:val="0"/>
            <w:vAlign w:val="center"/>
          </w:tcPr>
          <w:p w14:paraId="12884567">
            <w:pPr>
              <w:pStyle w:val="2"/>
              <w:keepNext w:val="0"/>
              <w:keepLines w:val="0"/>
              <w:suppressLineNumbers w:val="0"/>
              <w:spacing w:beforeAutospacing="0" w:afterAutospacing="0"/>
              <w:ind w:left="0"/>
              <w:jc w:val="center"/>
              <w:rPr>
                <w:rFonts w:hint="default" w:ascii="Times New Roman" w:hAnsi="Times New Roman" w:cs="Times New Roman"/>
                <w:color w:val="auto"/>
                <w:sz w:val="24"/>
                <w:szCs w:val="24"/>
                <w:vertAlign w:val="baseline"/>
              </w:rPr>
            </w:pPr>
            <w:r>
              <w:rPr>
                <w:rFonts w:hint="default" w:ascii="Times New Roman" w:hAnsi="Times New Roman" w:cs="Times New Roman"/>
                <w:color w:val="auto"/>
                <w:kern w:val="0"/>
                <w:sz w:val="24"/>
                <w:szCs w:val="24"/>
              </w:rPr>
              <w:t>其他符合性分析</w:t>
            </w:r>
          </w:p>
        </w:tc>
        <w:tc>
          <w:tcPr>
            <w:tcW w:w="13314" w:type="dxa"/>
            <w:noWrap w:val="0"/>
            <w:vAlign w:val="top"/>
          </w:tcPr>
          <w:p w14:paraId="003BFAEE">
            <w:pPr>
              <w:keepNext w:val="0"/>
              <w:keepLines w:val="0"/>
              <w:suppressLineNumbers w:val="0"/>
              <w:snapToGrid w:val="0"/>
              <w:spacing w:before="72" w:beforeLines="30" w:beforeAutospacing="0" w:after="0" w:afterAutospacing="0"/>
              <w:ind w:left="0" w:right="0"/>
              <w:jc w:val="center"/>
              <w:rPr>
                <w:rFonts w:hint="default" w:ascii="Times New Roman" w:hAnsi="Times New Roman" w:cs="Times New Roman"/>
                <w:b/>
                <w:bCs/>
                <w:color w:val="auto"/>
                <w:sz w:val="24"/>
                <w:szCs w:val="21"/>
              </w:rPr>
            </w:pPr>
            <w:r>
              <w:rPr>
                <w:rFonts w:hint="default" w:ascii="Times New Roman" w:hAnsi="Times New Roman" w:cs="Times New Roman"/>
                <w:b/>
                <w:bCs/>
                <w:color w:val="auto"/>
                <w:sz w:val="24"/>
                <w:szCs w:val="21"/>
              </w:rPr>
              <w:t>表1-</w:t>
            </w:r>
            <w:r>
              <w:rPr>
                <w:rFonts w:hint="eastAsia" w:ascii="Times New Roman" w:hAnsi="Times New Roman" w:cs="Times New Roman"/>
                <w:b/>
                <w:bCs/>
                <w:color w:val="auto"/>
                <w:sz w:val="24"/>
                <w:szCs w:val="21"/>
                <w:lang w:val="en-US" w:eastAsia="zh-CN"/>
              </w:rPr>
              <w:t>3</w:t>
            </w:r>
            <w:r>
              <w:rPr>
                <w:rFonts w:hint="default" w:ascii="Times New Roman" w:hAnsi="Times New Roman" w:cs="Times New Roman"/>
                <w:b/>
                <w:bCs/>
                <w:color w:val="auto"/>
                <w:sz w:val="24"/>
                <w:szCs w:val="21"/>
              </w:rPr>
              <w:t xml:space="preserve">  </w:t>
            </w:r>
            <w:r>
              <w:rPr>
                <w:rFonts w:hint="eastAsia" w:ascii="Times New Roman" w:hAnsi="Times New Roman" w:cs="Times New Roman"/>
                <w:b/>
                <w:bCs/>
                <w:color w:val="auto"/>
                <w:sz w:val="24"/>
                <w:szCs w:val="21"/>
              </w:rPr>
              <w:t>与</w:t>
            </w:r>
            <w:r>
              <w:rPr>
                <w:rFonts w:hint="default" w:ascii="Times New Roman" w:hAnsi="Times New Roman" w:cs="Times New Roman"/>
                <w:b/>
                <w:bCs/>
                <w:color w:val="auto"/>
                <w:sz w:val="24"/>
                <w:szCs w:val="21"/>
              </w:rPr>
              <w:t>“三线一单”符合性分析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552"/>
              <w:gridCol w:w="710"/>
            </w:tblGrid>
            <w:tr w14:paraId="409D4C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19" w:type="pct"/>
                  <w:tcBorders>
                    <w:tl2br w:val="nil"/>
                    <w:tr2bl w:val="nil"/>
                  </w:tcBorders>
                  <w:noWrap w:val="0"/>
                  <w:vAlign w:val="center"/>
                </w:tcPr>
                <w:p w14:paraId="686E1D36">
                  <w:pPr>
                    <w:keepNext w:val="0"/>
                    <w:keepLines w:val="0"/>
                    <w:suppressLineNumbers w:val="0"/>
                    <w:tabs>
                      <w:tab w:val="left" w:pos="470"/>
                    </w:tabs>
                    <w:spacing w:before="0" w:beforeAutospacing="0" w:after="0" w:afterAutospacing="0" w:line="24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tc>
              <w:tc>
                <w:tcPr>
                  <w:tcW w:w="4408" w:type="pct"/>
                  <w:tcBorders>
                    <w:tl2br w:val="nil"/>
                    <w:tr2bl w:val="nil"/>
                  </w:tcBorders>
                  <w:noWrap w:val="0"/>
                  <w:vAlign w:val="center"/>
                </w:tcPr>
                <w:p w14:paraId="36DA4A19">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符合性分析</w:t>
                  </w:r>
                </w:p>
              </w:tc>
              <w:tc>
                <w:tcPr>
                  <w:tcW w:w="271" w:type="pct"/>
                  <w:tcBorders>
                    <w:tl2br w:val="nil"/>
                    <w:tr2bl w:val="nil"/>
                  </w:tcBorders>
                  <w:noWrap w:val="0"/>
                  <w:vAlign w:val="center"/>
                </w:tcPr>
                <w:p w14:paraId="410BA82A">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是否符合</w:t>
                  </w:r>
                </w:p>
              </w:tc>
            </w:tr>
            <w:tr w14:paraId="2E4C6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0" w:hRule="atLeast"/>
                <w:tblHeader/>
                <w:jc w:val="center"/>
              </w:trPr>
              <w:tc>
                <w:tcPr>
                  <w:tcW w:w="319" w:type="pct"/>
                  <w:tcBorders>
                    <w:tl2br w:val="nil"/>
                    <w:tr2bl w:val="nil"/>
                  </w:tcBorders>
                  <w:noWrap w:val="0"/>
                  <w:vAlign w:val="center"/>
                </w:tcPr>
                <w:p w14:paraId="548EDD9C">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生态保护红线</w:t>
                  </w:r>
                </w:p>
              </w:tc>
              <w:tc>
                <w:tcPr>
                  <w:tcW w:w="4408" w:type="pct"/>
                  <w:tcBorders>
                    <w:tl2br w:val="nil"/>
                    <w:tr2bl w:val="nil"/>
                  </w:tcBorders>
                  <w:noWrap w:val="0"/>
                  <w:vAlign w:val="center"/>
                </w:tcPr>
                <w:p w14:paraId="467D7702">
                  <w:pPr>
                    <w:keepNext w:val="0"/>
                    <w:keepLines w:val="0"/>
                    <w:suppressLineNumbers w:val="0"/>
                    <w:spacing w:before="0" w:beforeAutospacing="0" w:after="0" w:afterAutospacing="0" w:line="240" w:lineRule="exact"/>
                    <w:ind w:left="0" w:right="0"/>
                    <w:rPr>
                      <w:rFonts w:hint="eastAsia" w:ascii="Times New Roman" w:hAnsi="Times New Roman"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洮西工业集中区中路1号</w:t>
                  </w:r>
                  <w:r>
                    <w:rPr>
                      <w:rFonts w:hint="default" w:ascii="Times New Roman" w:hAnsi="Times New Roman" w:eastAsia="宋体" w:cs="Times New Roman"/>
                      <w:color w:val="auto"/>
                      <w:sz w:val="21"/>
                      <w:szCs w:val="21"/>
                    </w:rPr>
                    <w:t>，对照《省政府关于印发江苏省国家级生态保护红线规划的通知》（苏政发</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2018</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74号）和《江苏省政府关于印发江苏省生态空间管控区域规划的通知》（苏政发</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1号），本项目</w:t>
                  </w:r>
                  <w:r>
                    <w:rPr>
                      <w:rFonts w:hint="eastAsia" w:ascii="Times New Roman" w:hAnsi="Times New Roman" w:eastAsia="宋体" w:cs="Times New Roman"/>
                      <w:color w:val="auto"/>
                      <w:sz w:val="21"/>
                      <w:szCs w:val="21"/>
                      <w:lang w:val="en-US"/>
                    </w:rPr>
                    <w:t>距离最近</w:t>
                  </w:r>
                  <w:r>
                    <w:rPr>
                      <w:rFonts w:hint="eastAsia" w:cs="Times New Roman"/>
                      <w:color w:val="auto"/>
                      <w:sz w:val="21"/>
                      <w:szCs w:val="21"/>
                      <w:lang w:val="en-US" w:eastAsia="zh-CN"/>
                    </w:rPr>
                    <w:t>的</w:t>
                  </w:r>
                  <w:r>
                    <w:rPr>
                      <w:rFonts w:hint="eastAsia" w:ascii="Times New Roman" w:hAnsi="Times New Roman" w:eastAsia="宋体" w:cs="Times New Roman"/>
                      <w:color w:val="auto"/>
                      <w:sz w:val="21"/>
                      <w:szCs w:val="21"/>
                      <w:lang w:val="en-US"/>
                    </w:rPr>
                    <w:t>生态空间保护区为</w:t>
                  </w:r>
                  <w:r>
                    <w:rPr>
                      <w:rFonts w:hint="default" w:ascii="Times New Roman" w:hAnsi="Times New Roman" w:cs="Times New Roman"/>
                      <w:color w:val="auto"/>
                      <w:spacing w:val="0"/>
                      <w:w w:val="100"/>
                      <w:position w:val="0"/>
                      <w:sz w:val="21"/>
                      <w:szCs w:val="21"/>
                    </w:rPr>
                    <w:t>丹金</w:t>
                  </w:r>
                  <w:r>
                    <w:rPr>
                      <w:rFonts w:hint="default" w:ascii="Times New Roman" w:hAnsi="Times New Roman" w:cs="Times New Roman"/>
                      <w:color w:val="auto"/>
                      <w:spacing w:val="0"/>
                      <w:w w:val="100"/>
                      <w:position w:val="0"/>
                      <w:sz w:val="21"/>
                      <w:szCs w:val="21"/>
                      <w:lang w:eastAsia="zh-CN"/>
                    </w:rPr>
                    <w:t>溧</w:t>
                  </w:r>
                  <w:r>
                    <w:rPr>
                      <w:rFonts w:hint="default" w:ascii="Times New Roman" w:hAnsi="Times New Roman" w:cs="Times New Roman"/>
                      <w:color w:val="auto"/>
                      <w:spacing w:val="0"/>
                      <w:w w:val="100"/>
                      <w:position w:val="0"/>
                      <w:sz w:val="21"/>
                      <w:szCs w:val="21"/>
                    </w:rPr>
                    <w:t>漕河（金坛区）洪水调蓄区</w:t>
                  </w:r>
                  <w:r>
                    <w:rPr>
                      <w:rFonts w:hint="eastAsia" w:ascii="Times New Roman" w:hAnsi="Times New Roman" w:cs="Times New Roman"/>
                      <w:color w:val="auto"/>
                      <w:sz w:val="21"/>
                      <w:szCs w:val="21"/>
                    </w:rPr>
                    <w:t>生态空间管控区</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最近距离为</w:t>
                  </w:r>
                  <w:r>
                    <w:rPr>
                      <w:rFonts w:hint="eastAsia" w:cs="Times New Roman"/>
                      <w:color w:val="auto"/>
                      <w:sz w:val="21"/>
                      <w:szCs w:val="21"/>
                      <w:lang w:val="en-US" w:eastAsia="zh-CN"/>
                    </w:rPr>
                    <w:t>950</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val="en-US"/>
                    </w:rPr>
                    <w:t>故</w:t>
                  </w:r>
                  <w:r>
                    <w:rPr>
                      <w:rFonts w:hint="default" w:ascii="Times New Roman" w:hAnsi="Times New Roman" w:eastAsia="宋体" w:cs="Times New Roman"/>
                      <w:color w:val="auto"/>
                      <w:sz w:val="21"/>
                      <w:szCs w:val="21"/>
                    </w:rPr>
                    <w:t>不在江苏省常州市生态空间保护区域范围内，符合《江苏省生态空间管控区域规划》和《江苏省国家级生态保护红线规划》要求。</w:t>
                  </w:r>
                  <w:r>
                    <w:rPr>
                      <w:rFonts w:hint="default" w:ascii="Times New Roman" w:hAnsi="Times New Roman" w:cs="Times New Roman"/>
                      <w:color w:val="auto"/>
                      <w:sz w:val="21"/>
                      <w:szCs w:val="21"/>
                    </w:rPr>
                    <w:t>项目地附近生态空间区域详见附图5</w:t>
                  </w:r>
                  <w:r>
                    <w:rPr>
                      <w:rFonts w:hint="eastAsia" w:ascii="Times New Roman" w:hAnsi="Times New Roman" w:cs="Times New Roman"/>
                      <w:color w:val="auto"/>
                      <w:sz w:val="21"/>
                      <w:szCs w:val="21"/>
                    </w:rPr>
                    <w:t>。</w:t>
                  </w:r>
                </w:p>
              </w:tc>
              <w:tc>
                <w:tcPr>
                  <w:tcW w:w="271" w:type="pct"/>
                  <w:tcBorders>
                    <w:tl2br w:val="nil"/>
                    <w:tr2bl w:val="nil"/>
                  </w:tcBorders>
                  <w:noWrap w:val="0"/>
                  <w:vAlign w:val="center"/>
                </w:tcPr>
                <w:p w14:paraId="6CA8F0FA">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是</w:t>
                  </w:r>
                </w:p>
              </w:tc>
            </w:tr>
            <w:tr w14:paraId="02F3F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0" w:hRule="atLeast"/>
                <w:tblHeader/>
                <w:jc w:val="center"/>
              </w:trPr>
              <w:tc>
                <w:tcPr>
                  <w:tcW w:w="319" w:type="pct"/>
                  <w:tcBorders>
                    <w:tl2br w:val="nil"/>
                    <w:tr2bl w:val="nil"/>
                  </w:tcBorders>
                  <w:noWrap w:val="0"/>
                  <w:vAlign w:val="center"/>
                </w:tcPr>
                <w:p w14:paraId="605666B0">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环境质量底线</w:t>
                  </w:r>
                </w:p>
              </w:tc>
              <w:tc>
                <w:tcPr>
                  <w:tcW w:w="4408" w:type="pct"/>
                  <w:tcBorders>
                    <w:tl2br w:val="nil"/>
                    <w:tr2bl w:val="nil"/>
                  </w:tcBorders>
                  <w:noWrap w:val="0"/>
                  <w:vAlign w:val="center"/>
                </w:tcPr>
                <w:p w14:paraId="33A852E4">
                  <w:pPr>
                    <w:keepNext w:val="0"/>
                    <w:keepLines w:val="0"/>
                    <w:pageBreakBefore w:val="0"/>
                    <w:widowControl w:val="0"/>
                    <w:suppressLineNumbers w:val="0"/>
                    <w:kinsoku/>
                    <w:wordWrap/>
                    <w:topLinePunct w:val="0"/>
                    <w:autoSpaceDE/>
                    <w:autoSpaceDN/>
                    <w:bidi w:val="0"/>
                    <w:spacing w:before="0" w:beforeAutospacing="0" w:after="0" w:afterAutospacing="0" w:line="240" w:lineRule="auto"/>
                    <w:ind w:left="0" w:right="0"/>
                    <w:jc w:val="both"/>
                    <w:rPr>
                      <w:rStyle w:val="34"/>
                      <w:rFonts w:hint="default" w:ascii="Times New Roman" w:hAnsi="Times New Roman" w:cs="Times New Roman"/>
                      <w:color w:val="auto"/>
                      <w:kern w:val="0"/>
                      <w:sz w:val="21"/>
                      <w:szCs w:val="21"/>
                    </w:rPr>
                  </w:pPr>
                  <w:r>
                    <w:rPr>
                      <w:rFonts w:hint="eastAsia" w:ascii="宋体" w:hAnsi="宋体" w:cs="宋体"/>
                      <w:color w:val="auto"/>
                      <w:sz w:val="21"/>
                      <w:szCs w:val="21"/>
                    </w:rPr>
                    <w:t>①</w:t>
                  </w:r>
                  <w:r>
                    <w:rPr>
                      <w:rFonts w:hint="default" w:ascii="Times New Roman" w:hAnsi="Times New Roman" w:cs="Times New Roman"/>
                      <w:color w:val="auto"/>
                      <w:sz w:val="21"/>
                      <w:szCs w:val="21"/>
                    </w:rPr>
                    <w:t>大气：</w:t>
                  </w:r>
                  <w:r>
                    <w:rPr>
                      <w:rFonts w:hint="eastAsia" w:ascii="Times New Roman" w:hAnsi="Times New Roman" w:cs="Times New Roman"/>
                      <w:color w:val="auto"/>
                      <w:sz w:val="21"/>
                      <w:szCs w:val="21"/>
                    </w:rPr>
                    <w:t>根据《</w:t>
                  </w:r>
                  <w:r>
                    <w:rPr>
                      <w:rFonts w:hint="eastAsia" w:cs="Times New Roman"/>
                      <w:color w:val="auto"/>
                      <w:sz w:val="21"/>
                      <w:szCs w:val="21"/>
                      <w:lang w:eastAsia="zh-CN"/>
                    </w:rPr>
                    <w:t>2024年常州市生态环境状况公报</w:t>
                  </w:r>
                  <w:r>
                    <w:rPr>
                      <w:rFonts w:hint="eastAsia" w:ascii="Times New Roman" w:hAnsi="Times New Roman" w:cs="Times New Roman"/>
                      <w:color w:val="auto"/>
                      <w:sz w:val="21"/>
                      <w:szCs w:val="21"/>
                    </w:rPr>
                    <w:t>》可知，项目所在地为不达标区，常州市已提出环境改善措施，通过各项有效措施，本项目所在地的空气环境质量将得到改善。项目污染防治措施可行，排放的大气污染物对周围空气环境影响较小，新增污染物在区域内减量替代，在实施区域削减方案后，大气环境质量状况可以得到整体改善。</w:t>
                  </w:r>
                </w:p>
                <w:p w14:paraId="25935CD3">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宋体" w:hAnsi="宋体" w:cs="宋体"/>
                      <w:color w:val="auto"/>
                      <w:sz w:val="21"/>
                      <w:szCs w:val="21"/>
                    </w:rPr>
                    <w:t>②</w:t>
                  </w:r>
                  <w:r>
                    <w:rPr>
                      <w:rFonts w:hint="default" w:ascii="Times New Roman" w:hAnsi="Times New Roman" w:cs="Times New Roman"/>
                      <w:color w:val="auto"/>
                      <w:sz w:val="21"/>
                      <w:szCs w:val="21"/>
                    </w:rPr>
                    <w:t>地表水：国考、省考断面水质达到或好于Ⅲ类比例超额完成省定考核要求，常州市纳</w:t>
                  </w:r>
                  <w:r>
                    <w:rPr>
                      <w:rFonts w:hint="eastAsia" w:ascii="宋体" w:hAnsi="宋体" w:eastAsia="宋体" w:cs="宋体"/>
                      <w:color w:val="auto"/>
                      <w:sz w:val="21"/>
                      <w:szCs w:val="21"/>
                    </w:rPr>
                    <w:t>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十四五</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国家</w:t>
                  </w:r>
                  <w:r>
                    <w:rPr>
                      <w:rFonts w:hint="default" w:ascii="Times New Roman" w:hAnsi="Times New Roman" w:cs="Times New Roman"/>
                      <w:color w:val="auto"/>
                      <w:sz w:val="21"/>
                      <w:szCs w:val="21"/>
                    </w:rPr>
                    <w:t>地表水环境质量考核的20个断面中，年均水质达到或好于《地表水环境质量标准》Ⅲ类标准的断面比例为85%，无劣Ⅴ类断面。纳入江苏省</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十四五</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水环</w:t>
                  </w:r>
                  <w:r>
                    <w:rPr>
                      <w:rFonts w:hint="default" w:ascii="Times New Roman" w:hAnsi="Times New Roman" w:cs="Times New Roman"/>
                      <w:color w:val="auto"/>
                      <w:sz w:val="21"/>
                      <w:szCs w:val="21"/>
                    </w:rPr>
                    <w:t>境质量目标考核51个断面，年均水质达到或好于Ⅲ类的比例为94.1%，无劣Ⅴ类断面。</w:t>
                  </w:r>
                  <w:r>
                    <w:rPr>
                      <w:rFonts w:hint="eastAsia" w:ascii="Times New Roman" w:hAnsi="Times New Roman" w:cs="Times New Roman"/>
                      <w:color w:val="auto"/>
                      <w:sz w:val="21"/>
                      <w:szCs w:val="21"/>
                      <w:lang w:val="en-US" w:eastAsia="zh-CN"/>
                    </w:rPr>
                    <w:t>本项目不新增废（污）水排放。</w:t>
                  </w:r>
                </w:p>
                <w:p w14:paraId="6FC4E88E">
                  <w:pPr>
                    <w:keepNext w:val="0"/>
                    <w:keepLines w:val="0"/>
                    <w:suppressLineNumbers w:val="0"/>
                    <w:kinsoku w:val="0"/>
                    <w:overflowPunct w:val="0"/>
                    <w:adjustRightInd w:val="0"/>
                    <w:snapToGrid w:val="0"/>
                    <w:spacing w:before="0" w:beforeAutospacing="0" w:after="0" w:afterAutospacing="0"/>
                    <w:ind w:left="0" w:right="0"/>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③</w:t>
                  </w:r>
                  <w:r>
                    <w:rPr>
                      <w:rFonts w:hint="eastAsia" w:ascii="Times New Roman" w:hAnsi="Times New Roman" w:cs="Times New Roman"/>
                      <w:color w:val="auto"/>
                      <w:sz w:val="21"/>
                      <w:szCs w:val="21"/>
                    </w:rPr>
                    <w:t>土壤环境质量</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rPr>
                    <w:t>根据《</w:t>
                  </w:r>
                  <w:r>
                    <w:rPr>
                      <w:rFonts w:hint="eastAsia" w:cs="Times New Roman"/>
                      <w:color w:val="auto"/>
                      <w:sz w:val="21"/>
                      <w:szCs w:val="21"/>
                      <w:lang w:eastAsia="zh-CN"/>
                    </w:rPr>
                    <w:t>2024年常州市生态环境状况公报</w:t>
                  </w:r>
                  <w:r>
                    <w:rPr>
                      <w:rFonts w:hint="eastAsia" w:ascii="Times New Roman" w:hAnsi="Times New Roman" w:cs="Times New Roman"/>
                      <w:color w:val="auto"/>
                      <w:sz w:val="21"/>
                      <w:szCs w:val="21"/>
                    </w:rPr>
                    <w:t>》中相关内容，</w:t>
                  </w:r>
                  <w:r>
                    <w:rPr>
                      <w:rFonts w:hint="default" w:ascii="Times New Roman" w:hAnsi="Times New Roman" w:eastAsia="宋体" w:cs="Times New Roman"/>
                      <w:color w:val="auto"/>
                      <w:sz w:val="21"/>
                      <w:szCs w:val="21"/>
                    </w:rPr>
                    <w:t>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年，常州市对7个国家网土壤环境质量一般风险监控点开展监测。监测结果表明，根据内梅罗污染指数PN值分级评价，常州市7个一般风险监控点中3个达到清洁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安全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水平，2个为尚清洁，2个为轻度污染。</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十四五</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rPr>
                    <w:t>期间，常州市土壤环境质量总体状况较稳定，总达标率为85.7%</w:t>
                  </w:r>
                  <w:r>
                    <w:rPr>
                      <w:rFonts w:hint="eastAsia" w:ascii="Times New Roman" w:hAnsi="Times New Roman" w:cs="Times New Roman"/>
                      <w:color w:val="auto"/>
                      <w:sz w:val="21"/>
                      <w:szCs w:val="21"/>
                    </w:rPr>
                    <w:t>。</w:t>
                  </w:r>
                </w:p>
                <w:p w14:paraId="519993B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综上所述，本项目建设对周边环境影响较小，建成后不会突破当地环境质量底线。</w:t>
                  </w:r>
                </w:p>
              </w:tc>
              <w:tc>
                <w:tcPr>
                  <w:tcW w:w="271" w:type="pct"/>
                  <w:tcBorders>
                    <w:tl2br w:val="nil"/>
                    <w:tr2bl w:val="nil"/>
                  </w:tcBorders>
                  <w:noWrap w:val="0"/>
                  <w:vAlign w:val="center"/>
                </w:tcPr>
                <w:p w14:paraId="7B2C1152">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是</w:t>
                  </w:r>
                </w:p>
              </w:tc>
            </w:tr>
            <w:tr w14:paraId="214A2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5" w:hRule="atLeast"/>
                <w:tblHeader/>
                <w:jc w:val="center"/>
              </w:trPr>
              <w:tc>
                <w:tcPr>
                  <w:tcW w:w="319" w:type="pct"/>
                  <w:tcBorders>
                    <w:tl2br w:val="nil"/>
                    <w:tr2bl w:val="nil"/>
                  </w:tcBorders>
                  <w:noWrap w:val="0"/>
                  <w:vAlign w:val="center"/>
                </w:tcPr>
                <w:p w14:paraId="6EE1A2D7">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资源利用上线</w:t>
                  </w:r>
                </w:p>
              </w:tc>
              <w:tc>
                <w:tcPr>
                  <w:tcW w:w="4408" w:type="pct"/>
                  <w:tcBorders>
                    <w:tl2br w:val="nil"/>
                    <w:tr2bl w:val="nil"/>
                  </w:tcBorders>
                  <w:noWrap w:val="0"/>
                  <w:vAlign w:val="center"/>
                </w:tcPr>
                <w:p w14:paraId="0C2F2FA1">
                  <w:pPr>
                    <w:pStyle w:val="108"/>
                    <w:keepNext w:val="0"/>
                    <w:keepLines w:val="0"/>
                    <w:suppressLineNumbers w:val="0"/>
                    <w:spacing w:before="0" w:beforeAutospacing="0" w:after="0" w:afterAutospacing="0" w:line="240" w:lineRule="exact"/>
                    <w:ind w:left="0" w:right="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本项目营运期所用的资源能源主要为水、电、</w:t>
                  </w:r>
                  <w:r>
                    <w:rPr>
                      <w:rFonts w:hint="eastAsia" w:ascii="Times New Roman" w:eastAsia="宋体" w:cs="Times New Roman"/>
                      <w:color w:val="auto"/>
                      <w:sz w:val="21"/>
                      <w:szCs w:val="21"/>
                      <w:lang w:val="en-US" w:eastAsia="zh-CN"/>
                    </w:rPr>
                    <w:t>天然气、</w:t>
                  </w:r>
                  <w:r>
                    <w:rPr>
                      <w:rFonts w:hint="eastAsia" w:ascii="Times New Roman" w:hAnsi="Times New Roman" w:eastAsia="宋体" w:cs="Times New Roman"/>
                      <w:color w:val="auto"/>
                      <w:sz w:val="21"/>
                      <w:szCs w:val="21"/>
                    </w:rPr>
                    <w:t>土地资源。</w:t>
                  </w:r>
                  <w:r>
                    <w:rPr>
                      <w:rFonts w:hint="eastAsia" w:hAnsi="Times New Roman" w:cs="Times New Roman"/>
                      <w:color w:val="auto"/>
                      <w:sz w:val="21"/>
                      <w:szCs w:val="21"/>
                    </w:rPr>
                    <w:t>本项目所在地水资源丰富，电力资源由当地电网公司输送，根据固定资产投</w:t>
                  </w:r>
                  <w:r>
                    <w:rPr>
                      <w:rFonts w:hint="default" w:ascii="Times New Roman" w:hAnsi="Times New Roman" w:cs="Times New Roman"/>
                      <w:color w:val="auto"/>
                      <w:sz w:val="21"/>
                      <w:szCs w:val="21"/>
                    </w:rPr>
                    <w:t>资项目节能承诺表，本项目达产后年综合能源消费量可控制在</w:t>
                  </w:r>
                  <w:r>
                    <w:rPr>
                      <w:rFonts w:hint="eastAsia" w:ascii="Times New Roman" w:cs="Times New Roman"/>
                      <w:color w:val="auto"/>
                      <w:sz w:val="21"/>
                      <w:szCs w:val="21"/>
                      <w:lang w:val="en-US" w:eastAsia="zh-CN"/>
                    </w:rPr>
                    <w:t>4412</w:t>
                  </w:r>
                  <w:r>
                    <w:rPr>
                      <w:rFonts w:hint="default" w:ascii="Times New Roman" w:hAnsi="Times New Roman" w:cs="Times New Roman"/>
                      <w:color w:val="auto"/>
                      <w:sz w:val="21"/>
                      <w:szCs w:val="21"/>
                    </w:rPr>
                    <w:t>吨标准煤（当量值）以内，预测</w:t>
                  </w:r>
                  <w:r>
                    <w:rPr>
                      <w:rFonts w:hint="eastAsia" w:ascii="Times New Roman" w:hAnsi="Times New Roman" w:cs="Times New Roman"/>
                      <w:color w:val="auto"/>
                      <w:sz w:val="21"/>
                      <w:szCs w:val="21"/>
                      <w:lang w:val="en-US" w:eastAsia="zh-CN"/>
                    </w:rPr>
                    <w:t>单位产量综合能耗</w:t>
                  </w:r>
                  <w:r>
                    <w:rPr>
                      <w:rFonts w:hint="default" w:ascii="Times New Roman" w:hAnsi="Times New Roman" w:cs="Times New Roman"/>
                      <w:color w:val="auto"/>
                      <w:sz w:val="21"/>
                      <w:szCs w:val="21"/>
                    </w:rPr>
                    <w:t>为</w:t>
                  </w:r>
                  <w:r>
                    <w:rPr>
                      <w:rFonts w:hint="eastAsia" w:ascii="Times New Roman" w:cs="Times New Roman"/>
                      <w:color w:val="auto"/>
                      <w:sz w:val="21"/>
                      <w:szCs w:val="21"/>
                      <w:lang w:val="en-US" w:eastAsia="zh-CN"/>
                    </w:rPr>
                    <w:t>101.4</w:t>
                  </w:r>
                  <w:r>
                    <w:rPr>
                      <w:rFonts w:hint="eastAsia" w:ascii="Times New Roman" w:hAnsi="Times New Roman" w:cs="Times New Roman"/>
                      <w:color w:val="auto"/>
                      <w:sz w:val="21"/>
                      <w:szCs w:val="21"/>
                      <w:lang w:val="en-US" w:eastAsia="zh-CN"/>
                    </w:rPr>
                    <w:t>kg</w:t>
                  </w:r>
                  <w:r>
                    <w:rPr>
                      <w:rFonts w:hint="default" w:ascii="Times New Roman" w:hAnsi="Times New Roman" w:cs="Times New Roman"/>
                      <w:color w:val="auto"/>
                      <w:sz w:val="21"/>
                      <w:szCs w:val="21"/>
                    </w:rPr>
                    <w:t>标准煤，符合资源利用上线相关要求。</w:t>
                  </w:r>
                </w:p>
              </w:tc>
              <w:tc>
                <w:tcPr>
                  <w:tcW w:w="271" w:type="pct"/>
                  <w:tcBorders>
                    <w:tl2br w:val="nil"/>
                    <w:tr2bl w:val="nil"/>
                  </w:tcBorders>
                  <w:noWrap w:val="0"/>
                  <w:vAlign w:val="center"/>
                </w:tcPr>
                <w:p w14:paraId="138704F3">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是</w:t>
                  </w:r>
                </w:p>
              </w:tc>
            </w:tr>
            <w:tr w14:paraId="09B9FC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319" w:type="pct"/>
                  <w:tcBorders>
                    <w:tl2br w:val="nil"/>
                    <w:tr2bl w:val="nil"/>
                  </w:tcBorders>
                  <w:noWrap w:val="0"/>
                  <w:vAlign w:val="center"/>
                </w:tcPr>
                <w:p w14:paraId="42B46AE4">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环境准入负面清单</w:t>
                  </w:r>
                </w:p>
              </w:tc>
              <w:tc>
                <w:tcPr>
                  <w:tcW w:w="4408" w:type="pct"/>
                  <w:tcBorders>
                    <w:tl2br w:val="nil"/>
                    <w:tr2bl w:val="nil"/>
                  </w:tcBorders>
                  <w:noWrap w:val="0"/>
                  <w:vAlign w:val="center"/>
                </w:tcPr>
                <w:p w14:paraId="23332D5D">
                  <w:pPr>
                    <w:pStyle w:val="7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w:t>
                  </w:r>
                  <w:r>
                    <w:rPr>
                      <w:rFonts w:hint="default" w:ascii="Times New Roman" w:hAnsi="Times New Roman" w:cs="Times New Roman"/>
                      <w:color w:val="auto"/>
                      <w:sz w:val="21"/>
                      <w:szCs w:val="21"/>
                      <w:lang w:val="en-US" w:eastAsia="zh-CN"/>
                    </w:rPr>
                    <w:t>本项目为</w:t>
                  </w:r>
                  <w:r>
                    <w:rPr>
                      <w:rFonts w:hint="eastAsia" w:ascii="Times New Roman" w:hAnsi="Times New Roman" w:cs="Times New Roman"/>
                      <w:color w:val="auto"/>
                      <w:sz w:val="21"/>
                      <w:szCs w:val="21"/>
                      <w:lang w:val="en-US" w:eastAsia="zh-CN"/>
                    </w:rPr>
                    <w:t>锻件及粉末冶金制品制造项目</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不</w:t>
                  </w:r>
                  <w:r>
                    <w:rPr>
                      <w:rFonts w:hint="default" w:ascii="Times New Roman" w:hAnsi="Times New Roman" w:cs="Times New Roman"/>
                      <w:color w:val="auto"/>
                      <w:sz w:val="21"/>
                      <w:szCs w:val="21"/>
                    </w:rPr>
                    <w:t>属于《产业结构调整指导目录（20</w:t>
                  </w:r>
                  <w:r>
                    <w:rPr>
                      <w:rFonts w:hint="default"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年本）》</w:t>
                  </w:r>
                  <w:r>
                    <w:rPr>
                      <w:rFonts w:hint="eastAsia" w:ascii="Times New Roman" w:hAnsi="Times New Roman" w:cs="Times New Roman"/>
                      <w:color w:val="auto"/>
                      <w:sz w:val="21"/>
                      <w:szCs w:val="21"/>
                      <w:lang w:val="en-US" w:eastAsia="zh-CN"/>
                    </w:rPr>
                    <w:t>中限制类和淘汰类</w:t>
                  </w:r>
                  <w:r>
                    <w:rPr>
                      <w:rFonts w:hint="default" w:ascii="Times New Roman" w:hAnsi="Times New Roman" w:eastAsia="宋体" w:cs="Times New Roman"/>
                      <w:color w:val="auto"/>
                      <w:sz w:val="21"/>
                      <w:szCs w:val="21"/>
                    </w:rPr>
                    <w:t>。</w:t>
                  </w:r>
                </w:p>
                <w:p w14:paraId="165A0B04">
                  <w:pPr>
                    <w:pStyle w:val="7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②本项目</w:t>
                  </w:r>
                  <w:r>
                    <w:rPr>
                      <w:rFonts w:hint="default" w:ascii="Times New Roman" w:hAnsi="Times New Roman" w:eastAsia="宋体" w:cs="Times New Roman"/>
                      <w:color w:val="auto"/>
                      <w:sz w:val="21"/>
                      <w:szCs w:val="21"/>
                      <w:lang w:val="en-US" w:eastAsia="zh-CN"/>
                    </w:rPr>
                    <w:t>不新增废（污）水排放</w:t>
                  </w:r>
                  <w:r>
                    <w:rPr>
                      <w:rFonts w:hint="default" w:ascii="Times New Roman" w:hAnsi="Times New Roman" w:eastAsia="宋体" w:cs="Times New Roman"/>
                      <w:color w:val="auto"/>
                      <w:sz w:val="21"/>
                      <w:szCs w:val="21"/>
                    </w:rPr>
                    <w:t>，符合《江苏省太湖水污染防治条例》和《太湖流域管理条例》的相关规定，与太湖流域相关法规及环境政策相容。</w:t>
                  </w:r>
                </w:p>
                <w:p w14:paraId="21A6EDEA">
                  <w:pPr>
                    <w:pStyle w:val="7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③本项目不属于</w:t>
                  </w:r>
                  <w:r>
                    <w:rPr>
                      <w:rFonts w:hint="eastAsia" w:ascii="Times New Roman" w:hAnsi="Times New Roman" w:cs="Times New Roman"/>
                      <w:color w:val="auto"/>
                      <w:sz w:val="21"/>
                      <w:szCs w:val="21"/>
                      <w:lang w:eastAsia="zh-CN"/>
                    </w:rPr>
                    <w:t>《市场准入负面清单（2025年版）》</w:t>
                  </w:r>
                  <w:r>
                    <w:rPr>
                      <w:rFonts w:hint="default" w:ascii="Times New Roman" w:hAnsi="Times New Roman" w:eastAsia="宋体" w:cs="Times New Roman"/>
                      <w:color w:val="auto"/>
                      <w:sz w:val="21"/>
                      <w:szCs w:val="21"/>
                    </w:rPr>
                    <w:t>《长江经济带发展负面清单指南（试行，2022年版）》中禁止准入类。</w:t>
                  </w:r>
                </w:p>
                <w:p w14:paraId="39C80EB1">
                  <w:pPr>
                    <w:pStyle w:val="71"/>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④本项目产品不属于</w:t>
                  </w:r>
                  <w:r>
                    <w:rPr>
                      <w:rFonts w:hint="default" w:ascii="Times New Roman" w:hAnsi="Times New Roman" w:eastAsia="宋体" w:cs="Times New Roman"/>
                      <w:color w:val="auto"/>
                      <w:kern w:val="0"/>
                      <w:sz w:val="21"/>
                      <w:szCs w:val="21"/>
                    </w:rPr>
                    <w:t>《环境保护综合目录（2021年版）》中“高污染、高风险”产品。</w:t>
                  </w:r>
                </w:p>
                <w:p w14:paraId="56039C60">
                  <w:pPr>
                    <w:keepNext w:val="0"/>
                    <w:keepLines w:val="0"/>
                    <w:suppressLineNumbers w:val="0"/>
                    <w:spacing w:before="0" w:beforeAutospacing="0" w:after="0" w:afterAutospacing="0" w:line="240" w:lineRule="exact"/>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⑤本项目不属于“两高”项目，符合《遏制“两高”项目盲目发展的通知》</w:t>
                  </w:r>
                  <w:r>
                    <w:rPr>
                      <w:rFonts w:hint="default" w:ascii="Times New Roman" w:hAnsi="Times New Roman" w:eastAsia="宋体" w:cs="Times New Roman"/>
                      <w:color w:val="auto"/>
                      <w:sz w:val="21"/>
                      <w:szCs w:val="21"/>
                    </w:rPr>
                    <w:t>。</w:t>
                  </w:r>
                </w:p>
              </w:tc>
              <w:tc>
                <w:tcPr>
                  <w:tcW w:w="271" w:type="pct"/>
                  <w:tcBorders>
                    <w:tl2br w:val="nil"/>
                    <w:tr2bl w:val="nil"/>
                  </w:tcBorders>
                  <w:noWrap w:val="0"/>
                  <w:vAlign w:val="center"/>
                </w:tcPr>
                <w:p w14:paraId="64B235EB">
                  <w:pPr>
                    <w:keepNext w:val="0"/>
                    <w:keepLines w:val="0"/>
                    <w:widowControl/>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是</w:t>
                  </w:r>
                </w:p>
              </w:tc>
            </w:tr>
          </w:tbl>
          <w:p w14:paraId="1B380F0D">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b/>
                <w:bCs/>
                <w:color w:val="auto"/>
                <w:sz w:val="24"/>
              </w:rPr>
            </w:pPr>
            <w:r>
              <w:rPr>
                <w:rFonts w:hint="eastAsia" w:cs="Times New Roman"/>
                <w:color w:val="auto"/>
                <w:sz w:val="24"/>
                <w:lang w:val="en-US" w:eastAsia="zh-CN"/>
              </w:rPr>
              <w:t>根据</w:t>
            </w:r>
            <w:r>
              <w:rPr>
                <w:rFonts w:hint="default" w:ascii="Times New Roman" w:hAnsi="Times New Roman" w:cs="Times New Roman"/>
                <w:color w:val="auto"/>
                <w:sz w:val="24"/>
              </w:rPr>
              <w:t>《江苏省人民政府关于印发江苏省“三线一单”生态环境分区管控方案的通知（江苏省2023年度生态环境分区管控动态更新成果）》（苏政发</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rPr>
              <w:t>〕</w:t>
            </w:r>
            <w:r>
              <w:rPr>
                <w:rFonts w:hint="default" w:ascii="Times New Roman" w:hAnsi="Times New Roman" w:cs="Times New Roman"/>
                <w:color w:val="auto"/>
                <w:sz w:val="24"/>
              </w:rPr>
              <w:t>49号）本项目所在地位于江苏省划定的重点管控单元，对照太湖流域与长江流域重点区域管控要求，如下：</w:t>
            </w:r>
          </w:p>
          <w:p w14:paraId="00F433A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rPr>
            </w:pPr>
            <w:r>
              <w:rPr>
                <w:rFonts w:hint="eastAsia" w:ascii="Times New Roman" w:hAnsi="Times New Roman" w:cs="Times New Roman"/>
                <w:b/>
                <w:bCs/>
                <w:color w:val="auto"/>
                <w:sz w:val="24"/>
              </w:rPr>
              <w:t>表</w:t>
            </w:r>
            <w:r>
              <w:rPr>
                <w:rFonts w:hint="default" w:ascii="Times New Roman" w:hAnsi="Times New Roman" w:cs="Times New Roman"/>
                <w:b/>
                <w:bCs/>
                <w:color w:val="auto"/>
                <w:sz w:val="24"/>
              </w:rPr>
              <w:t>1-</w:t>
            </w:r>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 xml:space="preserve">  </w:t>
            </w:r>
            <w:r>
              <w:rPr>
                <w:rFonts w:hint="eastAsia" w:ascii="Times New Roman" w:hAnsi="Times New Roman" w:cs="Times New Roman"/>
                <w:b/>
                <w:bCs/>
                <w:color w:val="auto"/>
                <w:sz w:val="24"/>
              </w:rPr>
              <w:t>江苏省重点区域（流域）生态环境分区管控要求</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6590"/>
              <w:gridCol w:w="4727"/>
              <w:gridCol w:w="666"/>
            </w:tblGrid>
            <w:tr w14:paraId="5E07F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26" w:type="pct"/>
                  <w:tcBorders>
                    <w:tl2br w:val="nil"/>
                    <w:tr2bl w:val="nil"/>
                  </w:tcBorders>
                  <w:noWrap w:val="0"/>
                  <w:vAlign w:val="center"/>
                </w:tcPr>
                <w:p w14:paraId="2285137B">
                  <w:pPr>
                    <w:pStyle w:val="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eastAsia" w:ascii="Times New Roman" w:hAnsi="宋体" w:cs="Times New Roman"/>
                      <w:b/>
                      <w:bCs/>
                      <w:color w:val="auto"/>
                      <w:szCs w:val="21"/>
                    </w:rPr>
                    <w:t>管控类别</w:t>
                  </w:r>
                </w:p>
              </w:tc>
              <w:tc>
                <w:tcPr>
                  <w:tcW w:w="2515" w:type="pct"/>
                  <w:tcBorders>
                    <w:tl2br w:val="nil"/>
                    <w:tr2bl w:val="nil"/>
                  </w:tcBorders>
                  <w:noWrap w:val="0"/>
                  <w:vAlign w:val="center"/>
                </w:tcPr>
                <w:p w14:paraId="519764BB">
                  <w:pPr>
                    <w:pStyle w:val="3"/>
                    <w:keepNext w:val="0"/>
                    <w:keepLines w:val="0"/>
                    <w:numPr>
                      <w:ilvl w:val="0"/>
                      <w:numId w:val="0"/>
                    </w:numPr>
                    <w:suppressLineNumbers w:val="0"/>
                    <w:tabs>
                      <w:tab w:val="left" w:pos="420"/>
                    </w:tabs>
                    <w:spacing w:before="0" w:beforeAutospacing="0" w:after="0" w:afterAutospacing="0"/>
                    <w:ind w:left="0" w:right="0"/>
                    <w:jc w:val="center"/>
                    <w:rPr>
                      <w:rFonts w:hint="default" w:ascii="Times New Roman" w:hAnsi="Times New Roman" w:cs="Times New Roman"/>
                      <w:b/>
                      <w:bCs/>
                      <w:color w:val="auto"/>
                      <w:szCs w:val="21"/>
                    </w:rPr>
                  </w:pPr>
                  <w:r>
                    <w:rPr>
                      <w:rFonts w:hint="eastAsia" w:ascii="Times New Roman" w:hAnsi="宋体" w:cs="Times New Roman"/>
                      <w:b/>
                      <w:bCs/>
                      <w:color w:val="auto"/>
                      <w:szCs w:val="21"/>
                    </w:rPr>
                    <w:t>重点管控要求</w:t>
                  </w:r>
                </w:p>
              </w:tc>
              <w:tc>
                <w:tcPr>
                  <w:tcW w:w="1804" w:type="pct"/>
                  <w:tcBorders>
                    <w:tl2br w:val="nil"/>
                    <w:tr2bl w:val="nil"/>
                  </w:tcBorders>
                  <w:noWrap w:val="0"/>
                  <w:vAlign w:val="center"/>
                </w:tcPr>
                <w:p w14:paraId="3E6911E8">
                  <w:pPr>
                    <w:pStyle w:val="3"/>
                    <w:keepNext w:val="0"/>
                    <w:keepLines w:val="0"/>
                    <w:numPr>
                      <w:ilvl w:val="0"/>
                      <w:numId w:val="0"/>
                    </w:numPr>
                    <w:suppressLineNumbers w:val="0"/>
                    <w:tabs>
                      <w:tab w:val="left" w:pos="420"/>
                    </w:tabs>
                    <w:spacing w:before="0" w:beforeAutospacing="0" w:after="0" w:afterAutospacing="0"/>
                    <w:ind w:left="0" w:right="0"/>
                    <w:jc w:val="center"/>
                    <w:rPr>
                      <w:rFonts w:hint="default" w:ascii="Times New Roman" w:hAnsi="Times New Roman" w:cs="Times New Roman"/>
                      <w:b/>
                      <w:bCs/>
                      <w:color w:val="auto"/>
                      <w:szCs w:val="21"/>
                    </w:rPr>
                  </w:pPr>
                  <w:r>
                    <w:rPr>
                      <w:rFonts w:hint="eastAsia" w:ascii="Times New Roman" w:hAnsi="宋体" w:cs="Times New Roman"/>
                      <w:b/>
                      <w:bCs/>
                      <w:color w:val="auto"/>
                      <w:szCs w:val="21"/>
                    </w:rPr>
                    <w:t>本项目情况</w:t>
                  </w:r>
                </w:p>
              </w:tc>
              <w:tc>
                <w:tcPr>
                  <w:tcW w:w="254" w:type="pct"/>
                  <w:tcBorders>
                    <w:tl2br w:val="nil"/>
                    <w:tr2bl w:val="nil"/>
                  </w:tcBorders>
                  <w:noWrap w:val="0"/>
                  <w:vAlign w:val="center"/>
                </w:tcPr>
                <w:p w14:paraId="3A8A4E1B">
                  <w:pPr>
                    <w:pStyle w:val="3"/>
                    <w:keepNext w:val="0"/>
                    <w:keepLines w:val="0"/>
                    <w:numPr>
                      <w:ilvl w:val="0"/>
                      <w:numId w:val="0"/>
                    </w:numPr>
                    <w:suppressLineNumbers w:val="0"/>
                    <w:tabs>
                      <w:tab w:val="left" w:pos="420"/>
                    </w:tabs>
                    <w:spacing w:before="0" w:beforeAutospacing="0" w:after="0" w:afterAutospacing="0"/>
                    <w:ind w:left="0" w:right="0"/>
                    <w:jc w:val="center"/>
                    <w:rPr>
                      <w:rFonts w:hint="eastAsia" w:ascii="Times New Roman" w:hAnsi="宋体" w:cs="Times New Roman"/>
                      <w:b/>
                      <w:bCs/>
                      <w:color w:val="auto"/>
                      <w:szCs w:val="21"/>
                    </w:rPr>
                  </w:pPr>
                  <w:r>
                    <w:rPr>
                      <w:rFonts w:hint="eastAsia" w:ascii="Times New Roman" w:hAnsi="宋体" w:cs="Times New Roman"/>
                      <w:b/>
                      <w:bCs/>
                      <w:color w:val="auto"/>
                      <w:szCs w:val="21"/>
                    </w:rPr>
                    <w:t>是否符合</w:t>
                  </w:r>
                </w:p>
              </w:tc>
            </w:tr>
            <w:tr w14:paraId="249992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745" w:type="pct"/>
                  <w:gridSpan w:val="3"/>
                  <w:tcBorders>
                    <w:tl2br w:val="nil"/>
                    <w:tr2bl w:val="nil"/>
                  </w:tcBorders>
                  <w:noWrap w:val="0"/>
                  <w:vAlign w:val="center"/>
                </w:tcPr>
                <w:p w14:paraId="3968A2D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宋体" w:cs="Times New Roman"/>
                      <w:color w:val="auto"/>
                      <w:szCs w:val="21"/>
                    </w:rPr>
                    <w:t>太湖流域</w:t>
                  </w:r>
                </w:p>
              </w:tc>
              <w:tc>
                <w:tcPr>
                  <w:tcW w:w="254" w:type="pct"/>
                  <w:tcBorders>
                    <w:tl2br w:val="nil"/>
                    <w:tr2bl w:val="nil"/>
                  </w:tcBorders>
                  <w:noWrap w:val="0"/>
                  <w:vAlign w:val="center"/>
                </w:tcPr>
                <w:p w14:paraId="4AACFCB8">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Cs w:val="21"/>
                    </w:rPr>
                  </w:pPr>
                </w:p>
              </w:tc>
            </w:tr>
            <w:tr w14:paraId="4C063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l2br w:val="nil"/>
                    <w:tr2bl w:val="nil"/>
                  </w:tcBorders>
                  <w:noWrap w:val="0"/>
                  <w:vAlign w:val="center"/>
                </w:tcPr>
                <w:p w14:paraId="1E7008D7">
                  <w:pPr>
                    <w:pStyle w:val="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宋体" w:cs="Times New Roman"/>
                      <w:color w:val="auto"/>
                      <w:szCs w:val="21"/>
                    </w:rPr>
                    <w:t>空间布局约束</w:t>
                  </w:r>
                </w:p>
              </w:tc>
              <w:tc>
                <w:tcPr>
                  <w:tcW w:w="2515" w:type="pct"/>
                  <w:tcBorders>
                    <w:tl2br w:val="nil"/>
                    <w:tr2bl w:val="nil"/>
                  </w:tcBorders>
                  <w:noWrap w:val="0"/>
                  <w:vAlign w:val="center"/>
                </w:tcPr>
                <w:p w14:paraId="691A9CFC">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rPr>
                    <w:t>在太湖流域一、二、三级保护区，禁止新建、改建、扩建化学制浆、制革、酿造、染料、印染、电镀以及其他排放含磷、氮等污染物的企业和项目，城镇污水集中处理等环境基础设施项目和《江苏省太湖水污染防治条例》第四十六条规定的情形除外。</w:t>
                  </w:r>
                </w:p>
                <w:p w14:paraId="7FC069B0">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ascii="Times New Roman" w:hAnsi="Times New Roman" w:cs="Times New Roman"/>
                      <w:color w:val="auto"/>
                      <w:szCs w:val="21"/>
                    </w:rPr>
                    <w:t>在太湖流域一级保护区，禁止新建、扩建向水体排放污染物的建设项目，禁止新建、扩建畜禽养殖场，禁止新建、扩建高尔夫球场、水上游</w:t>
                  </w:r>
                  <w:r>
                    <w:rPr>
                      <w:rFonts w:hint="eastAsia" w:ascii="Times New Roman" w:hAnsi="Times New Roman" w:cs="Times New Roman"/>
                      <w:color w:val="auto"/>
                      <w:szCs w:val="21"/>
                      <w:lang w:eastAsia="zh-CN"/>
                    </w:rPr>
                    <w:t>乐园</w:t>
                  </w:r>
                  <w:r>
                    <w:rPr>
                      <w:rFonts w:hint="eastAsia" w:ascii="Times New Roman" w:hAnsi="Times New Roman" w:cs="Times New Roman"/>
                      <w:color w:val="auto"/>
                      <w:szCs w:val="21"/>
                    </w:rPr>
                    <w:t>等开发项目以及设置水上餐饮经营设施。</w:t>
                  </w:r>
                </w:p>
                <w:p w14:paraId="1693D504">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ascii="Times New Roman" w:hAnsi="Times New Roman" w:cs="Times New Roman"/>
                      <w:color w:val="auto"/>
                      <w:szCs w:val="21"/>
                    </w:rPr>
                    <w:t>在太湖流域二级保护区，禁止新建、扩建化工、医药生产项目，禁止新建、扩建污水集中处理设施排污口</w:t>
                  </w:r>
                  <w:r>
                    <w:rPr>
                      <w:rFonts w:hint="eastAsia" w:ascii="Times New Roman" w:hAnsi="Times New Roman" w:cs="Times New Roman"/>
                      <w:color w:val="auto"/>
                      <w:szCs w:val="21"/>
                      <w:lang w:eastAsia="zh-CN"/>
                    </w:rPr>
                    <w:t>以外</w:t>
                  </w:r>
                  <w:r>
                    <w:rPr>
                      <w:rFonts w:hint="eastAsia" w:ascii="Times New Roman" w:hAnsi="Times New Roman" w:cs="Times New Roman"/>
                      <w:color w:val="auto"/>
                      <w:szCs w:val="21"/>
                    </w:rPr>
                    <w:t>的排污口。</w:t>
                  </w:r>
                </w:p>
              </w:tc>
              <w:tc>
                <w:tcPr>
                  <w:tcW w:w="1804" w:type="pct"/>
                  <w:tcBorders>
                    <w:tl2br w:val="nil"/>
                    <w:tr2bl w:val="nil"/>
                  </w:tcBorders>
                  <w:noWrap w:val="0"/>
                  <w:vAlign w:val="center"/>
                </w:tcPr>
                <w:p w14:paraId="50E90D3E">
                  <w:pPr>
                    <w:pStyle w:val="3"/>
                    <w:keepNext w:val="0"/>
                    <w:keepLines w:val="0"/>
                    <w:numPr>
                      <w:ilvl w:val="0"/>
                      <w:numId w:val="0"/>
                    </w:numPr>
                    <w:suppressLineNumbers w:val="0"/>
                    <w:tabs>
                      <w:tab w:val="left" w:pos="420"/>
                    </w:tabs>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本项目位于太湖流域三级保护区，不属于上述禁止建设的项目。</w:t>
                  </w:r>
                </w:p>
              </w:tc>
              <w:tc>
                <w:tcPr>
                  <w:tcW w:w="254" w:type="pct"/>
                  <w:tcBorders>
                    <w:tl2br w:val="nil"/>
                    <w:tr2bl w:val="nil"/>
                  </w:tcBorders>
                  <w:noWrap w:val="0"/>
                  <w:vAlign w:val="center"/>
                </w:tcPr>
                <w:p w14:paraId="6379D083">
                  <w:pPr>
                    <w:pStyle w:val="3"/>
                    <w:keepNext w:val="0"/>
                    <w:keepLines w:val="0"/>
                    <w:numPr>
                      <w:ilvl w:val="0"/>
                      <w:numId w:val="0"/>
                    </w:numPr>
                    <w:suppressLineNumbers w:val="0"/>
                    <w:tabs>
                      <w:tab w:val="left" w:pos="420"/>
                    </w:tabs>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是</w:t>
                  </w:r>
                </w:p>
              </w:tc>
            </w:tr>
            <w:tr w14:paraId="78E3C0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l2br w:val="nil"/>
                    <w:tr2bl w:val="nil"/>
                  </w:tcBorders>
                  <w:noWrap w:val="0"/>
                  <w:vAlign w:val="center"/>
                </w:tcPr>
                <w:p w14:paraId="121552D1">
                  <w:pPr>
                    <w:pStyle w:val="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宋体" w:cs="Times New Roman"/>
                      <w:color w:val="auto"/>
                      <w:szCs w:val="21"/>
                    </w:rPr>
                    <w:t>污染物排放管控</w:t>
                  </w:r>
                </w:p>
              </w:tc>
              <w:tc>
                <w:tcPr>
                  <w:tcW w:w="2515" w:type="pct"/>
                  <w:tcBorders>
                    <w:tl2br w:val="nil"/>
                    <w:tr2bl w:val="nil"/>
                  </w:tcBorders>
                  <w:noWrap w:val="0"/>
                  <w:vAlign w:val="center"/>
                </w:tcPr>
                <w:p w14:paraId="00516E1D">
                  <w:pPr>
                    <w:pStyle w:val="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城镇污水处理厂、纺织工业、化学工业、造纸工业、钢铁工业、电镀工业和食品工业的污水处理设施执行《太湖地区城镇污水处理厂及重点工业行业主要水污染物排放限值》。</w:t>
                  </w:r>
                </w:p>
              </w:tc>
              <w:tc>
                <w:tcPr>
                  <w:tcW w:w="1804" w:type="pct"/>
                  <w:tcBorders>
                    <w:tl2br w:val="nil"/>
                    <w:tr2bl w:val="nil"/>
                  </w:tcBorders>
                  <w:noWrap w:val="0"/>
                  <w:vAlign w:val="center"/>
                </w:tcPr>
                <w:p w14:paraId="05861E1B">
                  <w:pPr>
                    <w:pStyle w:val="3"/>
                    <w:keepNext w:val="0"/>
                    <w:keepLines w:val="0"/>
                    <w:numPr>
                      <w:ilvl w:val="0"/>
                      <w:numId w:val="0"/>
                    </w:numPr>
                    <w:suppressLineNumbers w:val="0"/>
                    <w:tabs>
                      <w:tab w:val="left" w:pos="420"/>
                    </w:tabs>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本项目不新增废（污）水排放。原有生活污水近期由金坛区指前镇新河村委收集后集中处理，尾水自用于农田灌溉，不排到附近河流；远期待区域市政管网敷设到位后，接管至指前污水处理厂。指前污水处理厂</w:t>
                  </w:r>
                  <w:r>
                    <w:rPr>
                      <w:rFonts w:hint="eastAsia" w:ascii="Times New Roman" w:hAnsi="Times New Roman" w:cs="Times New Roman"/>
                      <w:color w:val="auto"/>
                      <w:szCs w:val="21"/>
                    </w:rPr>
                    <w:t>尾水排放执行《城镇污水处理厂污染物排放标准》（</w:t>
                  </w:r>
                  <w:r>
                    <w:rPr>
                      <w:rFonts w:hint="default" w:ascii="Times New Roman" w:hAnsi="Times New Roman" w:cs="Times New Roman"/>
                      <w:color w:val="auto"/>
                      <w:szCs w:val="21"/>
                    </w:rPr>
                    <w:t>GB18918</w:t>
                  </w:r>
                  <w:r>
                    <w:rPr>
                      <w:rFonts w:hint="eastAsia" w:ascii="Times New Roman" w:hAnsi="Times New Roman" w:cs="Times New Roman"/>
                      <w:color w:val="auto"/>
                      <w:szCs w:val="21"/>
                    </w:rPr>
                    <w:t>－</w:t>
                  </w:r>
                  <w:r>
                    <w:rPr>
                      <w:rFonts w:hint="default" w:ascii="Times New Roman" w:hAnsi="Times New Roman" w:cs="Times New Roman"/>
                      <w:color w:val="auto"/>
                      <w:szCs w:val="21"/>
                    </w:rPr>
                    <w:t>2002</w:t>
                  </w:r>
                  <w:r>
                    <w:rPr>
                      <w:rFonts w:hint="eastAsia" w:ascii="Times New Roman" w:hAnsi="Times New Roman" w:cs="Times New Roman"/>
                      <w:color w:val="auto"/>
                      <w:szCs w:val="21"/>
                    </w:rPr>
                    <w:t>）表</w:t>
                  </w:r>
                  <w:r>
                    <w:rPr>
                      <w:rFonts w:hint="default" w:ascii="Times New Roman" w:hAnsi="Times New Roman" w:cs="Times New Roman"/>
                      <w:color w:val="auto"/>
                      <w:szCs w:val="21"/>
                    </w:rPr>
                    <w:t>1</w:t>
                  </w:r>
                  <w:r>
                    <w:rPr>
                      <w:rFonts w:hint="eastAsia" w:ascii="Times New Roman" w:hAnsi="Times New Roman" w:cs="Times New Roman"/>
                      <w:color w:val="auto"/>
                      <w:szCs w:val="21"/>
                    </w:rPr>
                    <w:t>一级</w:t>
                  </w:r>
                  <w:r>
                    <w:rPr>
                      <w:rFonts w:hint="default" w:ascii="Times New Roman" w:hAnsi="Times New Roman" w:cs="Times New Roman"/>
                      <w:color w:val="auto"/>
                      <w:szCs w:val="21"/>
                    </w:rPr>
                    <w:t>A</w:t>
                  </w:r>
                  <w:r>
                    <w:rPr>
                      <w:rFonts w:hint="eastAsia" w:ascii="Times New Roman" w:hAnsi="Times New Roman" w:cs="Times New Roman"/>
                      <w:color w:val="auto"/>
                      <w:szCs w:val="21"/>
                    </w:rPr>
                    <w:t>标准及《太湖地区城镇污水处理厂及重点工业行业主要水污染物排放限值》</w:t>
                  </w:r>
                  <w:r>
                    <w:rPr>
                      <w:rFonts w:hint="eastAsia" w:cs="Times New Roman"/>
                      <w:color w:val="auto"/>
                      <w:szCs w:val="21"/>
                      <w:lang w:eastAsia="zh-CN"/>
                    </w:rPr>
                    <w:t>（</w:t>
                  </w:r>
                  <w:r>
                    <w:rPr>
                      <w:rFonts w:hint="default" w:ascii="Times New Roman" w:hAnsi="Times New Roman" w:cs="Times New Roman"/>
                      <w:color w:val="auto"/>
                      <w:szCs w:val="21"/>
                    </w:rPr>
                    <w:t>DB32/1072-2018</w:t>
                  </w:r>
                  <w:r>
                    <w:rPr>
                      <w:rFonts w:hint="eastAsia" w:cs="Times New Roman"/>
                      <w:color w:val="auto"/>
                      <w:szCs w:val="21"/>
                      <w:lang w:eastAsia="zh-CN"/>
                    </w:rPr>
                    <w:t>）</w:t>
                  </w:r>
                  <w:r>
                    <w:rPr>
                      <w:rFonts w:hint="eastAsia" w:ascii="Times New Roman" w:hAnsi="Times New Roman" w:cs="Times New Roman"/>
                      <w:color w:val="auto"/>
                      <w:szCs w:val="21"/>
                    </w:rPr>
                    <w:t>。</w:t>
                  </w:r>
                </w:p>
              </w:tc>
              <w:tc>
                <w:tcPr>
                  <w:tcW w:w="254" w:type="pct"/>
                  <w:tcBorders>
                    <w:tl2br w:val="nil"/>
                    <w:tr2bl w:val="nil"/>
                  </w:tcBorders>
                  <w:noWrap w:val="0"/>
                  <w:vAlign w:val="center"/>
                </w:tcPr>
                <w:p w14:paraId="2849F5EE">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是</w:t>
                  </w:r>
                </w:p>
              </w:tc>
            </w:tr>
            <w:tr w14:paraId="26CBA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26" w:type="pct"/>
                  <w:tcBorders>
                    <w:tl2br w:val="nil"/>
                    <w:tr2bl w:val="nil"/>
                  </w:tcBorders>
                  <w:noWrap w:val="0"/>
                  <w:vAlign w:val="center"/>
                </w:tcPr>
                <w:p w14:paraId="37E0DD6A">
                  <w:pPr>
                    <w:pStyle w:val="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宋体" w:cs="Times New Roman"/>
                      <w:color w:val="auto"/>
                      <w:szCs w:val="21"/>
                    </w:rPr>
                    <w:t>环境风险防控</w:t>
                  </w:r>
                </w:p>
              </w:tc>
              <w:tc>
                <w:tcPr>
                  <w:tcW w:w="2515" w:type="pct"/>
                  <w:tcBorders>
                    <w:tl2br w:val="nil"/>
                    <w:tr2bl w:val="nil"/>
                  </w:tcBorders>
                  <w:noWrap w:val="0"/>
                  <w:vAlign w:val="center"/>
                </w:tcPr>
                <w:p w14:paraId="36C50113">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rPr>
                    <w:t>运输剧毒物质、危险化学品的船舶不得进入太湖。</w:t>
                  </w:r>
                </w:p>
                <w:p w14:paraId="61671CB8">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2.</w:t>
                  </w:r>
                  <w:r>
                    <w:rPr>
                      <w:rFonts w:hint="eastAsia" w:ascii="Times New Roman" w:hAnsi="Times New Roman" w:cs="Times New Roman"/>
                      <w:color w:val="auto"/>
                      <w:szCs w:val="21"/>
                    </w:rPr>
                    <w:t>禁止向太湖流域水体排放或者倾倒油类、酸液、碱液、剧毒废渣废液、含放射性废渣废液、含病原体污水、工业废渣以及其他废弃物。</w:t>
                  </w:r>
                </w:p>
                <w:p w14:paraId="1B56F5B4">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3.</w:t>
                  </w:r>
                  <w:r>
                    <w:rPr>
                      <w:rFonts w:hint="eastAsia" w:ascii="Times New Roman" w:hAnsi="Times New Roman" w:cs="Times New Roman"/>
                      <w:color w:val="auto"/>
                      <w:szCs w:val="21"/>
                    </w:rPr>
                    <w:t>加强太湖流域生态环境风险应急管控，着力提高防控太湖蓝藻水华风险预警和应急处置能力。</w:t>
                  </w:r>
                </w:p>
              </w:tc>
              <w:tc>
                <w:tcPr>
                  <w:tcW w:w="1804" w:type="pct"/>
                  <w:tcBorders>
                    <w:tl2br w:val="nil"/>
                    <w:tr2bl w:val="nil"/>
                  </w:tcBorders>
                  <w:noWrap w:val="0"/>
                  <w:vAlign w:val="center"/>
                </w:tcPr>
                <w:p w14:paraId="7DF42C08">
                  <w:pPr>
                    <w:pStyle w:val="3"/>
                    <w:keepNext w:val="0"/>
                    <w:keepLines w:val="0"/>
                    <w:numPr>
                      <w:ilvl w:val="0"/>
                      <w:numId w:val="0"/>
                    </w:numPr>
                    <w:suppressLineNumbers w:val="0"/>
                    <w:tabs>
                      <w:tab w:val="left" w:pos="420"/>
                    </w:tabs>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本项目不新增废（污）水排放。原有生活污水近期由金坛区指前镇新河村委收集后集中处理，尾水自用于农田灌溉，不排到附近河流</w:t>
                  </w:r>
                  <w:r>
                    <w:rPr>
                      <w:rFonts w:hint="eastAsia" w:ascii="Times New Roman" w:hAnsi="宋体" w:cs="Times New Roman"/>
                      <w:color w:val="auto"/>
                      <w:kern w:val="0"/>
                      <w:szCs w:val="21"/>
                    </w:rPr>
                    <w:t>，不向太湖流域水体排放或者倾倒上述所列禁止类污水、废液或废渣。</w:t>
                  </w:r>
                </w:p>
              </w:tc>
              <w:tc>
                <w:tcPr>
                  <w:tcW w:w="254" w:type="pct"/>
                  <w:tcBorders>
                    <w:tl2br w:val="nil"/>
                    <w:tr2bl w:val="nil"/>
                  </w:tcBorders>
                  <w:noWrap w:val="0"/>
                  <w:vAlign w:val="center"/>
                </w:tcPr>
                <w:p w14:paraId="07665E2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是</w:t>
                  </w:r>
                </w:p>
              </w:tc>
            </w:tr>
            <w:tr w14:paraId="240D6D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l2br w:val="nil"/>
                    <w:tr2bl w:val="nil"/>
                  </w:tcBorders>
                  <w:noWrap w:val="0"/>
                  <w:vAlign w:val="center"/>
                </w:tcPr>
                <w:p w14:paraId="57E922E7">
                  <w:pPr>
                    <w:pStyle w:val="3"/>
                    <w:keepNext w:val="0"/>
                    <w:keepLines w:val="0"/>
                    <w:numPr>
                      <w:ilvl w:val="0"/>
                      <w:numId w:val="0"/>
                    </w:numPr>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宋体" w:cs="Times New Roman"/>
                      <w:color w:val="auto"/>
                      <w:szCs w:val="21"/>
                    </w:rPr>
                    <w:t>资源利用效率</w:t>
                  </w:r>
                </w:p>
              </w:tc>
              <w:tc>
                <w:tcPr>
                  <w:tcW w:w="2515" w:type="pct"/>
                  <w:tcBorders>
                    <w:tl2br w:val="nil"/>
                    <w:tr2bl w:val="nil"/>
                  </w:tcBorders>
                  <w:noWrap w:val="0"/>
                  <w:vAlign w:val="center"/>
                </w:tcPr>
                <w:p w14:paraId="6D2BA7A8">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r>
                    <w:rPr>
                      <w:rFonts w:hint="eastAsia" w:ascii="Times New Roman" w:hAnsi="Times New Roman" w:cs="Times New Roman"/>
                      <w:color w:val="auto"/>
                      <w:szCs w:val="21"/>
                    </w:rPr>
                    <w:t>太湖流域加强水资源配置与调度，优先满足居民生活用水，兼顾生产、生态用水以及航运等需要。</w:t>
                  </w:r>
                </w:p>
                <w:p w14:paraId="5EE17506">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2.2020</w:t>
                  </w:r>
                  <w:r>
                    <w:rPr>
                      <w:rFonts w:hint="eastAsia" w:ascii="Times New Roman" w:hAnsi="Times New Roman" w:cs="Times New Roman"/>
                      <w:color w:val="auto"/>
                      <w:szCs w:val="21"/>
                    </w:rPr>
                    <w:t>年底，太湖流域所有省级以上开发区开展园区循环化改造。</w:t>
                  </w:r>
                </w:p>
              </w:tc>
              <w:tc>
                <w:tcPr>
                  <w:tcW w:w="1804" w:type="pct"/>
                  <w:tcBorders>
                    <w:tl2br w:val="nil"/>
                    <w:tr2bl w:val="nil"/>
                  </w:tcBorders>
                  <w:noWrap w:val="0"/>
                  <w:vAlign w:val="center"/>
                </w:tcPr>
                <w:p w14:paraId="47CBF84A">
                  <w:pPr>
                    <w:pStyle w:val="3"/>
                    <w:keepNext w:val="0"/>
                    <w:keepLines w:val="0"/>
                    <w:numPr>
                      <w:ilvl w:val="0"/>
                      <w:numId w:val="0"/>
                    </w:numPr>
                    <w:suppressLineNumbers w:val="0"/>
                    <w:tabs>
                      <w:tab w:val="left" w:pos="420"/>
                    </w:tabs>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本项目主要用水为</w:t>
                  </w:r>
                  <w:r>
                    <w:rPr>
                      <w:rFonts w:hint="eastAsia" w:cs="Times New Roman"/>
                      <w:color w:val="auto"/>
                      <w:szCs w:val="21"/>
                      <w:lang w:val="en-US" w:eastAsia="zh-CN"/>
                    </w:rPr>
                    <w:t>循环冷却水补充用水</w:t>
                  </w:r>
                  <w:r>
                    <w:rPr>
                      <w:rFonts w:hint="eastAsia" w:ascii="Times New Roman" w:hAnsi="Times New Roman" w:cs="Times New Roman"/>
                      <w:color w:val="auto"/>
                      <w:szCs w:val="21"/>
                    </w:rPr>
                    <w:t>，来自区域自来水厂统一供应。</w:t>
                  </w:r>
                </w:p>
              </w:tc>
              <w:tc>
                <w:tcPr>
                  <w:tcW w:w="254" w:type="pct"/>
                  <w:tcBorders>
                    <w:tl2br w:val="nil"/>
                    <w:tr2bl w:val="nil"/>
                  </w:tcBorders>
                  <w:noWrap w:val="0"/>
                  <w:vAlign w:val="center"/>
                </w:tcPr>
                <w:p w14:paraId="63647763">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是</w:t>
                  </w:r>
                </w:p>
              </w:tc>
            </w:tr>
            <w:tr w14:paraId="0C920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745" w:type="pct"/>
                  <w:gridSpan w:val="3"/>
                  <w:tcBorders>
                    <w:tl2br w:val="nil"/>
                    <w:tr2bl w:val="nil"/>
                  </w:tcBorders>
                  <w:noWrap w:val="0"/>
                  <w:vAlign w:val="center"/>
                </w:tcPr>
                <w:p w14:paraId="1174D9D1">
                  <w:pPr>
                    <w:pStyle w:val="3"/>
                    <w:keepNext w:val="0"/>
                    <w:keepLines w:val="0"/>
                    <w:numPr>
                      <w:ilvl w:val="0"/>
                      <w:numId w:val="0"/>
                    </w:numPr>
                    <w:suppressLineNumbers w:val="0"/>
                    <w:tabs>
                      <w:tab w:val="left" w:pos="420"/>
                    </w:tabs>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长江流域</w:t>
                  </w:r>
                </w:p>
              </w:tc>
              <w:tc>
                <w:tcPr>
                  <w:tcW w:w="254" w:type="pct"/>
                  <w:tcBorders>
                    <w:tl2br w:val="nil"/>
                    <w:tr2bl w:val="nil"/>
                  </w:tcBorders>
                  <w:noWrap w:val="0"/>
                  <w:vAlign w:val="center"/>
                </w:tcPr>
                <w:p w14:paraId="02E7ADB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r>
            <w:tr w14:paraId="68DCA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tcBorders>
                    <w:tl2br w:val="nil"/>
                    <w:tr2bl w:val="nil"/>
                  </w:tcBorders>
                  <w:noWrap w:val="0"/>
                  <w:vAlign w:val="center"/>
                </w:tcPr>
                <w:p w14:paraId="2A4D57E7">
                  <w:pPr>
                    <w:pStyle w:val="3"/>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空间布局约束</w:t>
                  </w:r>
                </w:p>
              </w:tc>
              <w:tc>
                <w:tcPr>
                  <w:tcW w:w="2515" w:type="pct"/>
                  <w:tcBorders>
                    <w:tl2br w:val="nil"/>
                    <w:tr2bl w:val="nil"/>
                  </w:tcBorders>
                  <w:noWrap w:val="0"/>
                  <w:vAlign w:val="center"/>
                </w:tcPr>
                <w:p w14:paraId="68EF62CC">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1、始终把长江生态修复放在首位，坚持共抓大保护、不搞大开发，引导长江流域产业转型升级和布局优化调整，实现科学发展、有序发展、高质量发展。</w:t>
                  </w:r>
                </w:p>
                <w:p w14:paraId="1F050204">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4563E678">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4F30162F">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4．强化港口布局优化，禁止建设不符合国家港口布局规划和《江苏省沿江沿海港口布局规划（2015</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2030年）》《江苏省内河港口布局规划（2017</w:t>
                  </w:r>
                  <w:r>
                    <w:rPr>
                      <w:rFonts w:hint="eastAsia" w:ascii="Times New Roman" w:hAnsi="Times New Roman" w:cs="Times New Roman"/>
                      <w:color w:val="auto"/>
                      <w:kern w:val="0"/>
                      <w:szCs w:val="21"/>
                    </w:rPr>
                    <w:t>—</w:t>
                  </w:r>
                  <w:r>
                    <w:rPr>
                      <w:rFonts w:hint="default" w:ascii="Times New Roman" w:hAnsi="Times New Roman" w:cs="Times New Roman"/>
                      <w:color w:val="auto"/>
                      <w:kern w:val="0"/>
                      <w:szCs w:val="21"/>
                    </w:rPr>
                    <w:t>2035年）》的码头项目，禁止建设未纳入《长江干线过江通道布局规划》的过江干线通道项目。</w:t>
                  </w:r>
                </w:p>
                <w:p w14:paraId="683A4E93">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5．禁止新建独立焦化项目。</w:t>
                  </w:r>
                </w:p>
              </w:tc>
              <w:tc>
                <w:tcPr>
                  <w:tcW w:w="1804" w:type="pct"/>
                  <w:tcBorders>
                    <w:tl2br w:val="nil"/>
                    <w:tr2bl w:val="nil"/>
                  </w:tcBorders>
                  <w:noWrap w:val="0"/>
                  <w:vAlign w:val="center"/>
                </w:tcPr>
                <w:p w14:paraId="57E459CE">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本项目为</w:t>
                  </w:r>
                  <w:r>
                    <w:rPr>
                      <w:rFonts w:hint="eastAsia" w:cs="Times New Roman"/>
                      <w:color w:val="auto"/>
                      <w:szCs w:val="21"/>
                      <w:lang w:eastAsia="zh-CN"/>
                    </w:rPr>
                    <w:t>C3393锻件及粉末冶金制品制造</w:t>
                  </w:r>
                  <w:r>
                    <w:rPr>
                      <w:rFonts w:hint="default" w:ascii="Times New Roman" w:hAnsi="Times New Roman" w:cs="Times New Roman"/>
                      <w:color w:val="auto"/>
                      <w:szCs w:val="21"/>
                    </w:rPr>
                    <w:t>，不属于化工行业，不涉及危化品码头，不属于以上禁止建设项目类别。</w:t>
                  </w:r>
                </w:p>
              </w:tc>
              <w:tc>
                <w:tcPr>
                  <w:tcW w:w="254" w:type="pct"/>
                  <w:tcBorders>
                    <w:tl2br w:val="nil"/>
                    <w:tr2bl w:val="nil"/>
                  </w:tcBorders>
                  <w:noWrap w:val="0"/>
                  <w:vAlign w:val="center"/>
                </w:tcPr>
                <w:p w14:paraId="504F0995">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是</w:t>
                  </w:r>
                </w:p>
              </w:tc>
            </w:tr>
            <w:tr w14:paraId="5B1D26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noWrap w:val="0"/>
                  <w:vAlign w:val="center"/>
                </w:tcPr>
                <w:p w14:paraId="49537804">
                  <w:pPr>
                    <w:pStyle w:val="3"/>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污染物排放管控</w:t>
                  </w:r>
                </w:p>
              </w:tc>
              <w:tc>
                <w:tcPr>
                  <w:tcW w:w="2515" w:type="pct"/>
                  <w:noWrap w:val="0"/>
                  <w:vAlign w:val="center"/>
                </w:tcPr>
                <w:p w14:paraId="1310C498">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1．根据《江苏省长江水污染防治条例》实施污染物总量控制制度。</w:t>
                  </w:r>
                </w:p>
                <w:p w14:paraId="76A28B3D">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bidi="ar"/>
                    </w:rPr>
                    <w:t>2．全面加强和规范长江入河排污口管理，有效管控入河污染物排放，形成权责清晰、监控到位、管理规范的长江入河排污口监管体系，加快改善长江水环境质量。</w:t>
                  </w:r>
                </w:p>
              </w:tc>
              <w:tc>
                <w:tcPr>
                  <w:tcW w:w="1804" w:type="pct"/>
                  <w:noWrap w:val="0"/>
                  <w:vAlign w:val="center"/>
                </w:tcPr>
                <w:p w14:paraId="1D6862A9">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left"/>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val="en-US" w:eastAsia="zh-CN"/>
                    </w:rPr>
                    <w:t>不新增废（污）水排放，原有</w:t>
                  </w:r>
                  <w:r>
                    <w:rPr>
                      <w:rFonts w:hint="eastAsia" w:cs="Times New Roman"/>
                      <w:color w:val="auto"/>
                      <w:szCs w:val="21"/>
                      <w:lang w:val="en-US" w:eastAsia="zh-CN"/>
                    </w:rPr>
                    <w:t>生活污水近期由金坛区指前镇新河村委收集后集中处理，尾水自用于农田灌溉，不排到附近河流；远期待区域市政管网敷设到位后，接管至指前污水处理厂。</w:t>
                  </w:r>
                </w:p>
              </w:tc>
              <w:tc>
                <w:tcPr>
                  <w:tcW w:w="254" w:type="pct"/>
                  <w:noWrap w:val="0"/>
                  <w:vAlign w:val="center"/>
                </w:tcPr>
                <w:p w14:paraId="2267B8B8">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是</w:t>
                  </w:r>
                </w:p>
              </w:tc>
            </w:tr>
            <w:tr w14:paraId="78E4C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noWrap w:val="0"/>
                  <w:vAlign w:val="center"/>
                </w:tcPr>
                <w:p w14:paraId="4480F781">
                  <w:pPr>
                    <w:pStyle w:val="3"/>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环境风险防控</w:t>
                  </w:r>
                </w:p>
              </w:tc>
              <w:tc>
                <w:tcPr>
                  <w:tcW w:w="2515" w:type="pct"/>
                  <w:noWrap w:val="0"/>
                  <w:vAlign w:val="center"/>
                </w:tcPr>
                <w:p w14:paraId="5FDDC9D4">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1．防范沿江环境风险。深化沿江石化、化工、医药、纺织、印染、化纤、危化品和石油类仓储、涉重金属和危险废物处置等重点企业环境风险防控。</w:t>
                  </w:r>
                </w:p>
                <w:p w14:paraId="2C2391DC">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lang w:bidi="ar"/>
                    </w:rPr>
                    <w:t>2．加强饮用水水源保护。优化水源保护区划定，推动饮用水水源地规范化建设。</w:t>
                  </w:r>
                </w:p>
              </w:tc>
              <w:tc>
                <w:tcPr>
                  <w:tcW w:w="1804" w:type="pct"/>
                  <w:noWrap w:val="0"/>
                  <w:vAlign w:val="center"/>
                </w:tcPr>
                <w:p w14:paraId="4504DF37">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本项目属于</w:t>
                  </w:r>
                  <w:r>
                    <w:rPr>
                      <w:rFonts w:hint="eastAsia" w:cs="Times New Roman"/>
                      <w:color w:val="auto"/>
                      <w:sz w:val="21"/>
                      <w:szCs w:val="21"/>
                      <w:lang w:eastAsia="zh-CN"/>
                    </w:rPr>
                    <w:t>C3393锻件及粉末冶金制品制造</w:t>
                  </w:r>
                  <w:r>
                    <w:rPr>
                      <w:rFonts w:hint="default" w:ascii="Times New Roman" w:hAnsi="Times New Roman" w:cs="Times New Roman"/>
                      <w:color w:val="auto"/>
                      <w:szCs w:val="21"/>
                    </w:rPr>
                    <w:t>，不属于前述重点企业行业。</w:t>
                  </w:r>
                </w:p>
              </w:tc>
              <w:tc>
                <w:tcPr>
                  <w:tcW w:w="254" w:type="pct"/>
                  <w:noWrap w:val="0"/>
                  <w:vAlign w:val="center"/>
                </w:tcPr>
                <w:p w14:paraId="12FBABE3">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是</w:t>
                  </w:r>
                </w:p>
              </w:tc>
            </w:tr>
            <w:tr w14:paraId="4F809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26" w:type="pct"/>
                  <w:noWrap w:val="0"/>
                  <w:vAlign w:val="center"/>
                </w:tcPr>
                <w:p w14:paraId="783FA8E8">
                  <w:pPr>
                    <w:pStyle w:val="3"/>
                    <w:keepNext w:val="0"/>
                    <w:keepLines w:val="0"/>
                    <w:numPr>
                      <w:ilvl w:val="0"/>
                      <w:numId w:val="0"/>
                    </w:numPr>
                    <w:suppressLineNumbers w:val="0"/>
                    <w:spacing w:before="0" w:beforeAutospacing="0" w:after="0" w:afterAutospacing="0"/>
                    <w:ind w:left="0" w:leftChars="0" w:right="0" w:firstLine="0" w:firstLine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Cs w:val="21"/>
                    </w:rPr>
                    <w:t>资源利用效率要求</w:t>
                  </w:r>
                </w:p>
              </w:tc>
              <w:tc>
                <w:tcPr>
                  <w:tcW w:w="2515" w:type="pct"/>
                  <w:noWrap w:val="0"/>
                  <w:vAlign w:val="center"/>
                </w:tcPr>
                <w:p w14:paraId="06C9AB1C">
                  <w:pPr>
                    <w:keepNext w:val="0"/>
                    <w:keepLines w:val="0"/>
                    <w:widowControl/>
                    <w:suppressLineNumbers w:val="0"/>
                    <w:spacing w:before="0" w:beforeAutospacing="0" w:after="0" w:afterAutospacing="0"/>
                    <w:ind w:left="0" w:right="0"/>
                    <w:jc w:val="left"/>
                    <w:rPr>
                      <w:rFonts w:hint="eastAsia"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Cs w:val="21"/>
                      <w:lang w:bidi="ar"/>
                    </w:rPr>
                    <w:t>到2020年长江干支流自然岸线保有率达到国家要求。</w:t>
                  </w:r>
                </w:p>
              </w:tc>
              <w:tc>
                <w:tcPr>
                  <w:tcW w:w="1804" w:type="pct"/>
                  <w:noWrap w:val="0"/>
                  <w:vAlign w:val="center"/>
                </w:tcPr>
                <w:p w14:paraId="4DA01F04">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项目不涉及</w:t>
                  </w:r>
                </w:p>
              </w:tc>
              <w:tc>
                <w:tcPr>
                  <w:tcW w:w="254" w:type="pct"/>
                  <w:noWrap w:val="0"/>
                  <w:vAlign w:val="center"/>
                </w:tcPr>
                <w:p w14:paraId="698D6B8A">
                  <w:pPr>
                    <w:pStyle w:val="3"/>
                    <w:keepNext w:val="0"/>
                    <w:keepLines w:val="0"/>
                    <w:numPr>
                      <w:ilvl w:val="0"/>
                      <w:numId w:val="0"/>
                    </w:numPr>
                    <w:suppressLineNumbers w:val="0"/>
                    <w:tabs>
                      <w:tab w:val="left" w:pos="420"/>
                    </w:tabs>
                    <w:spacing w:before="0" w:beforeAutospacing="0" w:after="0" w:afterAutospacing="0"/>
                    <w:ind w:left="0" w:leftChars="0" w:right="0" w:firstLine="0" w:firstLineChars="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是</w:t>
                  </w:r>
                </w:p>
              </w:tc>
            </w:tr>
          </w:tbl>
          <w:p w14:paraId="2F8C7763">
            <w:pPr>
              <w:pStyle w:val="107"/>
              <w:keepNext w:val="0"/>
              <w:keepLines w:val="0"/>
              <w:suppressLineNumbers w:val="0"/>
              <w:spacing w:before="0" w:beforeLines="0" w:beforeAutospacing="0" w:after="0" w:afterAutospacing="0" w:line="460" w:lineRule="exact"/>
              <w:ind w:left="0" w:right="0" w:firstLine="480"/>
              <w:jc w:val="left"/>
              <w:rPr>
                <w:rFonts w:hint="default" w:ascii="Times New Roman" w:hAnsi="Times New Roman" w:cs="Times New Roman"/>
                <w:bCs/>
                <w:color w:val="auto"/>
              </w:rPr>
            </w:pPr>
            <w:r>
              <w:rPr>
                <w:rFonts w:hint="default" w:ascii="Times New Roman" w:hAnsi="Times New Roman" w:cs="Times New Roman"/>
                <w:bCs/>
                <w:color w:val="auto"/>
              </w:rPr>
              <w:t>本项目位于江苏省常州市金坛区</w:t>
            </w:r>
            <w:r>
              <w:rPr>
                <w:rFonts w:hint="eastAsia" w:cs="Times New Roman"/>
                <w:bCs/>
                <w:color w:val="auto"/>
                <w:lang w:eastAsia="zh-CN"/>
              </w:rPr>
              <w:t>洮西工业集中区中路1号</w:t>
            </w:r>
            <w:r>
              <w:rPr>
                <w:rFonts w:hint="default" w:ascii="Times New Roman" w:hAnsi="Times New Roman" w:cs="Times New Roman"/>
                <w:bCs/>
                <w:color w:val="auto"/>
              </w:rPr>
              <w:t>，对照常州市环境管控单元图</w:t>
            </w:r>
            <w:r>
              <w:rPr>
                <w:rFonts w:hint="eastAsia" w:cs="Times New Roman"/>
                <w:bCs/>
                <w:color w:val="auto"/>
                <w:lang w:eastAsia="zh-CN"/>
              </w:rPr>
              <w:t>、常州市生态环境分区管控动态更新成果（2023年版）</w:t>
            </w:r>
            <w:r>
              <w:rPr>
                <w:rFonts w:hint="default" w:ascii="Times New Roman" w:hAnsi="Times New Roman" w:cs="Times New Roman"/>
                <w:bCs/>
                <w:color w:val="auto"/>
              </w:rPr>
              <w:t>，本项目</w:t>
            </w:r>
            <w:r>
              <w:rPr>
                <w:rFonts w:hint="eastAsia" w:ascii="Times New Roman" w:hAnsi="Times New Roman" w:cs="Times New Roman"/>
                <w:bCs/>
                <w:color w:val="auto"/>
              </w:rPr>
              <w:t>位于指前现代产业园内，</w:t>
            </w:r>
            <w:r>
              <w:rPr>
                <w:rFonts w:hint="default" w:ascii="Times New Roman" w:hAnsi="Times New Roman" w:cs="Times New Roman"/>
                <w:bCs/>
                <w:color w:val="auto"/>
              </w:rPr>
              <w:t>属于</w:t>
            </w:r>
            <w:r>
              <w:rPr>
                <w:rFonts w:hint="eastAsia" w:ascii="Times New Roman" w:hAnsi="Times New Roman" w:cs="Times New Roman"/>
                <w:bCs/>
                <w:color w:val="auto"/>
              </w:rPr>
              <w:t>重点</w:t>
            </w:r>
            <w:r>
              <w:rPr>
                <w:rFonts w:hint="default" w:ascii="Times New Roman" w:hAnsi="Times New Roman" w:cs="Times New Roman"/>
                <w:bCs/>
                <w:color w:val="auto"/>
              </w:rPr>
              <w:t>管控单元，具体对照见下表。</w:t>
            </w:r>
          </w:p>
          <w:p w14:paraId="0E7AE2F9">
            <w:pPr>
              <w:keepNext w:val="0"/>
              <w:keepLines w:val="0"/>
              <w:suppressLineNumbers w:val="0"/>
              <w:spacing w:before="0" w:beforeAutospacing="0" w:after="0" w:afterAutospacing="0" w:line="480" w:lineRule="exact"/>
              <w:ind w:left="0" w:right="0" w:firstLine="482" w:firstLineChars="200"/>
              <w:jc w:val="center"/>
              <w:rPr>
                <w:rFonts w:hint="eastAsia" w:ascii="Times New Roman" w:hAnsi="Times New Roman" w:cs="Times New Roman"/>
                <w:b/>
                <w:color w:val="auto"/>
                <w:sz w:val="24"/>
              </w:rPr>
            </w:pPr>
            <w:r>
              <w:rPr>
                <w:rFonts w:hint="eastAsia" w:ascii="Times New Roman" w:hAnsi="Times New Roman" w:cs="Times New Roman"/>
                <w:b/>
                <w:color w:val="auto"/>
                <w:sz w:val="24"/>
              </w:rPr>
              <w:t>表</w:t>
            </w:r>
            <w:r>
              <w:rPr>
                <w:rFonts w:hint="default" w:ascii="Times New Roman" w:hAnsi="Times New Roman" w:cs="Times New Roman"/>
                <w:b/>
                <w:color w:val="auto"/>
                <w:sz w:val="24"/>
              </w:rPr>
              <w:t>1-</w:t>
            </w:r>
            <w:r>
              <w:rPr>
                <w:rFonts w:hint="eastAsia" w:ascii="Times New Roman" w:hAnsi="Times New Roman" w:cs="Times New Roman"/>
                <w:b/>
                <w:color w:val="auto"/>
                <w:sz w:val="24"/>
                <w:lang w:val="en-US" w:eastAsia="zh-CN"/>
              </w:rPr>
              <w:t>5</w:t>
            </w:r>
            <w:r>
              <w:rPr>
                <w:rFonts w:hint="default" w:ascii="Times New Roman" w:hAnsi="Times New Roman" w:cs="Times New Roman"/>
                <w:b/>
                <w:color w:val="auto"/>
                <w:sz w:val="24"/>
              </w:rPr>
              <w:t xml:space="preserve"> </w:t>
            </w:r>
            <w:r>
              <w:rPr>
                <w:rFonts w:hint="eastAsia" w:ascii="Times New Roman" w:hAnsi="Times New Roman" w:cs="Times New Roman"/>
                <w:b/>
                <w:color w:val="auto"/>
                <w:sz w:val="24"/>
              </w:rPr>
              <w:t>本项目与常州市“三线一单”相符性分析情况一览表</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4"/>
              <w:gridCol w:w="757"/>
              <w:gridCol w:w="5808"/>
              <w:gridCol w:w="5082"/>
              <w:gridCol w:w="532"/>
            </w:tblGrid>
            <w:tr w14:paraId="76A2F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9" w:type="pct"/>
                  <w:tcBorders>
                    <w:tl2br w:val="nil"/>
                    <w:tr2bl w:val="nil"/>
                  </w:tcBorders>
                  <w:noWrap w:val="0"/>
                  <w:vAlign w:val="center"/>
                </w:tcPr>
                <w:p w14:paraId="51AEB7CA">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eastAsia" w:ascii="Times New Roman" w:hAnsi="Times New Roman" w:cs="Times New Roman"/>
                      <w:b/>
                      <w:color w:val="auto"/>
                      <w:szCs w:val="21"/>
                    </w:rPr>
                    <w:t>红线区名称</w:t>
                  </w:r>
                </w:p>
              </w:tc>
              <w:tc>
                <w:tcPr>
                  <w:tcW w:w="289" w:type="pct"/>
                  <w:tcBorders>
                    <w:tl2br w:val="nil"/>
                    <w:tr2bl w:val="nil"/>
                  </w:tcBorders>
                  <w:noWrap w:val="0"/>
                  <w:vAlign w:val="center"/>
                </w:tcPr>
                <w:p w14:paraId="4A4728FF">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判断类型</w:t>
                  </w:r>
                </w:p>
              </w:tc>
              <w:tc>
                <w:tcPr>
                  <w:tcW w:w="2217" w:type="pct"/>
                  <w:tcBorders>
                    <w:tl2br w:val="nil"/>
                    <w:tr2bl w:val="nil"/>
                  </w:tcBorders>
                  <w:noWrap w:val="0"/>
                  <w:vAlign w:val="center"/>
                </w:tcPr>
                <w:p w14:paraId="26C22905">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eastAsia" w:ascii="Times New Roman" w:hAnsi="Times New Roman" w:cs="Times New Roman"/>
                      <w:b/>
                      <w:color w:val="auto"/>
                      <w:szCs w:val="21"/>
                    </w:rPr>
                    <w:t>生态环境准入清单</w:t>
                  </w:r>
                </w:p>
              </w:tc>
              <w:tc>
                <w:tcPr>
                  <w:tcW w:w="1940" w:type="pct"/>
                  <w:tcBorders>
                    <w:tl2br w:val="nil"/>
                    <w:tr2bl w:val="nil"/>
                  </w:tcBorders>
                  <w:noWrap w:val="0"/>
                  <w:vAlign w:val="center"/>
                </w:tcPr>
                <w:p w14:paraId="0D35828E">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宋体" w:cs="Times New Roman"/>
                      <w:b/>
                      <w:bCs/>
                      <w:color w:val="auto"/>
                      <w:szCs w:val="21"/>
                    </w:rPr>
                    <w:t>本项目情况</w:t>
                  </w:r>
                </w:p>
              </w:tc>
              <w:tc>
                <w:tcPr>
                  <w:tcW w:w="203" w:type="pct"/>
                  <w:tcBorders>
                    <w:tl2br w:val="nil"/>
                    <w:tr2bl w:val="nil"/>
                  </w:tcBorders>
                  <w:noWrap w:val="0"/>
                  <w:vAlign w:val="center"/>
                </w:tcPr>
                <w:p w14:paraId="07A0273D">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是否符合</w:t>
                  </w:r>
                </w:p>
              </w:tc>
            </w:tr>
            <w:tr w14:paraId="7095B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9" w:type="pct"/>
                  <w:vMerge w:val="restart"/>
                  <w:tcBorders>
                    <w:tl2br w:val="nil"/>
                    <w:tr2bl w:val="nil"/>
                  </w:tcBorders>
                  <w:noWrap w:val="0"/>
                  <w:vAlign w:val="center"/>
                </w:tcPr>
                <w:p w14:paraId="4BFF34A8">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Cs/>
                      <w:color w:val="auto"/>
                    </w:rPr>
                    <w:t>指前现代产业园</w:t>
                  </w:r>
                </w:p>
              </w:tc>
              <w:tc>
                <w:tcPr>
                  <w:tcW w:w="289" w:type="pct"/>
                  <w:tcBorders>
                    <w:tl2br w:val="nil"/>
                    <w:tr2bl w:val="nil"/>
                  </w:tcBorders>
                  <w:noWrap w:val="0"/>
                  <w:vAlign w:val="center"/>
                </w:tcPr>
                <w:p w14:paraId="61133BA9">
                  <w:pPr>
                    <w:keepNext w:val="0"/>
                    <w:keepLines w:val="0"/>
                    <w:suppressLineNumbers w:val="0"/>
                    <w:spacing w:before="0" w:beforeAutospacing="0" w:after="0" w:afterAutospacing="0"/>
                    <w:ind w:left="0" w:right="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rPr>
                    <w:t>空间布局约束</w:t>
                  </w:r>
                </w:p>
              </w:tc>
              <w:tc>
                <w:tcPr>
                  <w:tcW w:w="2217" w:type="pct"/>
                  <w:tcBorders>
                    <w:tl2br w:val="nil"/>
                    <w:tr2bl w:val="nil"/>
                  </w:tcBorders>
                  <w:noWrap w:val="0"/>
                  <w:vAlign w:val="center"/>
                </w:tcPr>
                <w:p w14:paraId="0DEF4507">
                  <w:pPr>
                    <w:keepNext w:val="0"/>
                    <w:keepLines w:val="0"/>
                    <w:numPr>
                      <w:ilvl w:val="0"/>
                      <w:numId w:val="3"/>
                    </w:numPr>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各类开发建设活动应符合常州市总体规划、控制性详细规划、土地利用规划等相关要求。</w:t>
                  </w:r>
                </w:p>
                <w:p w14:paraId="276EFBF7">
                  <w:pPr>
                    <w:keepNext w:val="0"/>
                    <w:keepLines w:val="0"/>
                    <w:numPr>
                      <w:ilvl w:val="0"/>
                      <w:numId w:val="3"/>
                    </w:numPr>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优化产业布局和结构，实施分区差别化的产业准入要求。</w:t>
                  </w:r>
                </w:p>
                <w:p w14:paraId="211D9413">
                  <w:pPr>
                    <w:keepNext w:val="0"/>
                    <w:keepLines w:val="0"/>
                    <w:numPr>
                      <w:ilvl w:val="0"/>
                      <w:numId w:val="3"/>
                    </w:numPr>
                    <w:suppressLineNumbers w:val="0"/>
                    <w:spacing w:before="0" w:beforeAutospacing="0" w:after="0" w:afterAutospacing="0"/>
                    <w:ind w:left="0" w:right="0"/>
                    <w:jc w:val="left"/>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rPr>
                    <w:t>合理规划居住区与园区，在居住区和园区、企业之间设置防护绿地、生态绿地等隔离带。</w:t>
                  </w:r>
                </w:p>
              </w:tc>
              <w:tc>
                <w:tcPr>
                  <w:tcW w:w="1940" w:type="pct"/>
                  <w:tcBorders>
                    <w:tl2br w:val="nil"/>
                    <w:tr2bl w:val="nil"/>
                  </w:tcBorders>
                  <w:noWrap w:val="0"/>
                  <w:vAlign w:val="center"/>
                </w:tcPr>
                <w:p w14:paraId="733AADBD">
                  <w:pPr>
                    <w:pStyle w:val="8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cs="Times New Roman"/>
                      <w:color w:val="auto"/>
                      <w:sz w:val="21"/>
                      <w:szCs w:val="21"/>
                      <w:lang w:val="en-US" w:eastAsia="zh-CN"/>
                    </w:rPr>
                    <w:t>本项目符合《江苏省金坛经济产业园指前现代产业园/常州市金坛区指前产业新镇总体规划</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2016-2030</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w:t>
                  </w:r>
                  <w:r>
                    <w:rPr>
                      <w:rFonts w:hint="eastAsia" w:cs="Times New Roman"/>
                      <w:color w:val="auto"/>
                      <w:szCs w:val="21"/>
                      <w:lang w:val="en-US" w:eastAsia="zh-CN"/>
                    </w:rPr>
                    <w:t>不</w:t>
                  </w:r>
                  <w:r>
                    <w:rPr>
                      <w:rFonts w:hint="default" w:ascii="Times New Roman" w:hAnsi="Times New Roman" w:cs="Times New Roman"/>
                      <w:color w:val="auto"/>
                      <w:szCs w:val="21"/>
                    </w:rPr>
                    <w:t>属于《产业结构调整指导目录（20</w:t>
                  </w:r>
                  <w:r>
                    <w:rPr>
                      <w:rFonts w:hint="eastAsia" w:ascii="Times New Roman" w:hAnsi="Times New Roman" w:cs="Times New Roman"/>
                      <w:color w:val="auto"/>
                      <w:szCs w:val="21"/>
                      <w:lang w:val="en-US" w:eastAsia="zh-CN"/>
                    </w:rPr>
                    <w:t>24</w:t>
                  </w:r>
                  <w:r>
                    <w:rPr>
                      <w:rFonts w:hint="default" w:ascii="Times New Roman" w:hAnsi="Times New Roman" w:cs="Times New Roman"/>
                      <w:color w:val="auto"/>
                      <w:szCs w:val="21"/>
                    </w:rPr>
                    <w:t>年本）》</w:t>
                  </w:r>
                  <w:r>
                    <w:rPr>
                      <w:rFonts w:hint="eastAsia" w:cs="Times New Roman"/>
                      <w:color w:val="auto"/>
                      <w:szCs w:val="21"/>
                      <w:lang w:val="en-US" w:eastAsia="zh-CN"/>
                    </w:rPr>
                    <w:t>中限制类和淘汰类</w:t>
                  </w:r>
                  <w:r>
                    <w:rPr>
                      <w:rFonts w:hint="eastAsia" w:ascii="Times New Roman" w:hAnsi="Times New Roman" w:cs="Times New Roman"/>
                      <w:color w:val="auto"/>
                      <w:sz w:val="21"/>
                      <w:szCs w:val="21"/>
                      <w:lang w:val="en-US" w:eastAsia="zh-CN"/>
                    </w:rPr>
                    <w:t>，不属于《</w:t>
                  </w:r>
                  <w:r>
                    <w:rPr>
                      <w:rFonts w:hint="default" w:ascii="Times New Roman" w:hAnsi="Times New Roman" w:cs="Times New Roman"/>
                      <w:color w:val="auto"/>
                      <w:sz w:val="21"/>
                      <w:szCs w:val="21"/>
                      <w:lang w:val="en-US" w:eastAsia="zh-CN"/>
                    </w:rPr>
                    <w:t>江苏省产业结构调整限制、淘汰和禁止目录</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淘汰类的产业，符合《江苏省太湖水污染防治条例》。</w:t>
                  </w:r>
                </w:p>
              </w:tc>
              <w:tc>
                <w:tcPr>
                  <w:tcW w:w="203" w:type="pct"/>
                  <w:tcBorders>
                    <w:tl2br w:val="nil"/>
                    <w:tr2bl w:val="nil"/>
                  </w:tcBorders>
                  <w:noWrap w:val="0"/>
                  <w:vAlign w:val="center"/>
                </w:tcPr>
                <w:p w14:paraId="414E1B8D">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Cs/>
                      <w:color w:val="auto"/>
                      <w:szCs w:val="21"/>
                    </w:rPr>
                    <w:t>是</w:t>
                  </w:r>
                </w:p>
              </w:tc>
            </w:tr>
            <w:tr w14:paraId="7E702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9" w:hRule="atLeast"/>
              </w:trPr>
              <w:tc>
                <w:tcPr>
                  <w:tcW w:w="349" w:type="pct"/>
                  <w:vMerge w:val="continue"/>
                  <w:tcBorders>
                    <w:tl2br w:val="nil"/>
                    <w:tr2bl w:val="nil"/>
                  </w:tcBorders>
                  <w:noWrap w:val="0"/>
                  <w:vAlign w:val="center"/>
                </w:tcPr>
                <w:p w14:paraId="267244D6">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p>
              </w:tc>
              <w:tc>
                <w:tcPr>
                  <w:tcW w:w="289" w:type="pct"/>
                  <w:tcBorders>
                    <w:tl2br w:val="nil"/>
                    <w:tr2bl w:val="nil"/>
                  </w:tcBorders>
                  <w:noWrap w:val="0"/>
                  <w:vAlign w:val="center"/>
                </w:tcPr>
                <w:p w14:paraId="04F2D48C">
                  <w:pPr>
                    <w:keepNext w:val="0"/>
                    <w:keepLines w:val="0"/>
                    <w:suppressLineNumbers w:val="0"/>
                    <w:spacing w:before="0" w:beforeAutospacing="0" w:after="0" w:afterAutospacing="0"/>
                    <w:ind w:left="0" w:right="0"/>
                    <w:jc w:val="center"/>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rPr>
                    <w:t>污染物排放管控</w:t>
                  </w:r>
                </w:p>
              </w:tc>
              <w:tc>
                <w:tcPr>
                  <w:tcW w:w="2217" w:type="pct"/>
                  <w:tcBorders>
                    <w:tl2br w:val="nil"/>
                    <w:tr2bl w:val="nil"/>
                  </w:tcBorders>
                  <w:noWrap w:val="0"/>
                  <w:vAlign w:val="center"/>
                </w:tcPr>
                <w:p w14:paraId="6DBB9984">
                  <w:pPr>
                    <w:keepNext w:val="0"/>
                    <w:keepLines w:val="0"/>
                    <w:suppressLineNumbers w:val="0"/>
                    <w:spacing w:before="0" w:beforeAutospacing="0" w:after="0" w:afterAutospacing="0"/>
                    <w:ind w:left="0" w:right="0"/>
                    <w:jc w:val="left"/>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rPr>
                    <w:t>严格实施污染物总量控制制度，根据区域环境质量改善目标，采取有效措施减少主要污染物排放总量，确保区域环境质量持续改善。</w:t>
                  </w:r>
                </w:p>
              </w:tc>
              <w:tc>
                <w:tcPr>
                  <w:tcW w:w="1940" w:type="pct"/>
                  <w:tcBorders>
                    <w:tl2br w:val="nil"/>
                    <w:tr2bl w:val="nil"/>
                  </w:tcBorders>
                  <w:noWrap w:val="0"/>
                  <w:vAlign w:val="center"/>
                </w:tcPr>
                <w:p w14:paraId="259BD7F3">
                  <w:pPr>
                    <w:pStyle w:val="8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cs="Times New Roman"/>
                      <w:color w:val="auto"/>
                      <w:sz w:val="21"/>
                      <w:szCs w:val="21"/>
                      <w:lang w:val="en-US" w:eastAsia="zh-CN"/>
                    </w:rPr>
                    <w:t>本项目处于环评编制阶段，在环评审批前将严格落实主要污染物排放总量指标控制制度，取得主要污染物排放总量的控制指标和平衡方案；项目建成后，园区污染物排放总量不突破环评报告及批复的总量，故符合文件要求。</w:t>
                  </w:r>
                </w:p>
              </w:tc>
              <w:tc>
                <w:tcPr>
                  <w:tcW w:w="203" w:type="pct"/>
                  <w:tcBorders>
                    <w:tl2br w:val="nil"/>
                    <w:tr2bl w:val="nil"/>
                  </w:tcBorders>
                  <w:noWrap w:val="0"/>
                  <w:vAlign w:val="center"/>
                </w:tcPr>
                <w:p w14:paraId="49C742E1">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r>
                    <w:rPr>
                      <w:rFonts w:hint="eastAsia" w:ascii="Times New Roman" w:hAnsi="Times New Roman" w:cs="Times New Roman"/>
                      <w:bCs/>
                      <w:color w:val="auto"/>
                      <w:szCs w:val="21"/>
                    </w:rPr>
                    <w:t>是</w:t>
                  </w:r>
                </w:p>
              </w:tc>
            </w:tr>
            <w:tr w14:paraId="74B3D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9" w:hRule="atLeast"/>
              </w:trPr>
              <w:tc>
                <w:tcPr>
                  <w:tcW w:w="349" w:type="pct"/>
                  <w:vMerge w:val="continue"/>
                  <w:tcBorders>
                    <w:tl2br w:val="nil"/>
                    <w:tr2bl w:val="nil"/>
                  </w:tcBorders>
                  <w:noWrap w:val="0"/>
                  <w:vAlign w:val="center"/>
                </w:tcPr>
                <w:p w14:paraId="48470907">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p>
              </w:tc>
              <w:tc>
                <w:tcPr>
                  <w:tcW w:w="289" w:type="pct"/>
                  <w:tcBorders>
                    <w:tl2br w:val="nil"/>
                    <w:tr2bl w:val="nil"/>
                  </w:tcBorders>
                  <w:noWrap w:val="0"/>
                  <w:vAlign w:val="center"/>
                </w:tcPr>
                <w:p w14:paraId="284EE7ED">
                  <w:pPr>
                    <w:keepNext w:val="0"/>
                    <w:keepLines w:val="0"/>
                    <w:suppressLineNumbers w:val="0"/>
                    <w:spacing w:before="0" w:beforeAutospacing="0" w:after="0" w:afterAutospacing="0"/>
                    <w:ind w:left="0" w:right="0"/>
                    <w:jc w:val="center"/>
                    <w:rPr>
                      <w:rFonts w:hint="eastAsia"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rPr>
                    <w:t>环境风险管控</w:t>
                  </w:r>
                </w:p>
              </w:tc>
              <w:tc>
                <w:tcPr>
                  <w:tcW w:w="2217" w:type="pct"/>
                  <w:tcBorders>
                    <w:tl2br w:val="nil"/>
                    <w:tr2bl w:val="nil"/>
                  </w:tcBorders>
                  <w:noWrap w:val="0"/>
                  <w:vAlign w:val="center"/>
                </w:tcPr>
                <w:p w14:paraId="55AAE3D9">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eastAsia" w:ascii="Times New Roman" w:hAnsi="Times New Roman" w:cs="Times New Roman"/>
                      <w:bCs/>
                      <w:color w:val="auto"/>
                      <w:szCs w:val="21"/>
                    </w:rPr>
                    <w:t>）园区建立环境应急体系，完善事故应急救援体系，加强应急物资装备储备，编制突发环境事件应急预案，定期开展演练。</w:t>
                  </w:r>
                </w:p>
                <w:p w14:paraId="6C65D4B5">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w:t>
                  </w:r>
                  <w:r>
                    <w:rPr>
                      <w:rFonts w:hint="default" w:ascii="Times New Roman" w:hAnsi="Times New Roman" w:cs="Times New Roman"/>
                      <w:bCs/>
                      <w:color w:val="auto"/>
                      <w:szCs w:val="21"/>
                    </w:rPr>
                    <w:t>2</w:t>
                  </w:r>
                  <w:r>
                    <w:rPr>
                      <w:rFonts w:hint="eastAsia" w:ascii="Times New Roman" w:hAnsi="Times New Roman" w:cs="Times New Roman"/>
                      <w:bCs/>
                      <w:color w:val="auto"/>
                      <w:szCs w:val="21"/>
                    </w:rPr>
                    <w:t>）生产、使用、储存危险化学品或其他存在环境风险的企事业单位，应当制定风险防范措施，编制完善突发环境事件应急预案，防止发生环境污染事故。</w:t>
                  </w:r>
                </w:p>
                <w:p w14:paraId="7E3C088B">
                  <w:pPr>
                    <w:keepNext w:val="0"/>
                    <w:keepLines w:val="0"/>
                    <w:suppressLineNumbers w:val="0"/>
                    <w:spacing w:before="0" w:beforeAutospacing="0" w:after="0" w:afterAutospacing="0"/>
                    <w:ind w:left="0" w:right="0"/>
                    <w:jc w:val="left"/>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szCs w:val="21"/>
                    </w:rPr>
                    <w:t>（</w:t>
                  </w:r>
                  <w:r>
                    <w:rPr>
                      <w:rFonts w:hint="default" w:ascii="Times New Roman" w:hAnsi="Times New Roman" w:cs="Times New Roman"/>
                      <w:bCs/>
                      <w:color w:val="auto"/>
                      <w:szCs w:val="21"/>
                    </w:rPr>
                    <w:t>3</w:t>
                  </w:r>
                  <w:r>
                    <w:rPr>
                      <w:rFonts w:hint="eastAsia" w:ascii="Times New Roman" w:hAnsi="Times New Roman" w:cs="Times New Roman"/>
                      <w:bCs/>
                      <w:color w:val="auto"/>
                      <w:szCs w:val="21"/>
                    </w:rPr>
                    <w:t>）加强环境影响跟踪监测，建立健全各环境要素监控体系，完善并落实园区日常环境监测与污染源监控计划。</w:t>
                  </w:r>
                </w:p>
              </w:tc>
              <w:tc>
                <w:tcPr>
                  <w:tcW w:w="1940" w:type="pct"/>
                  <w:tcBorders>
                    <w:tl2br w:val="nil"/>
                    <w:tr2bl w:val="nil"/>
                  </w:tcBorders>
                  <w:noWrap w:val="0"/>
                  <w:vAlign w:val="center"/>
                </w:tcPr>
                <w:p w14:paraId="094E4EA9">
                  <w:pPr>
                    <w:pStyle w:val="8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cs="Times New Roman"/>
                      <w:color w:val="auto"/>
                      <w:sz w:val="21"/>
                      <w:szCs w:val="21"/>
                      <w:lang w:val="en-US" w:eastAsia="zh-CN"/>
                    </w:rPr>
                    <w:t>本项目建成后编制完善全厂突发环境事件应急预案，生产过程中应急体系事故应急救援体系，加强应急物资装备储备，与区域环境应急体系衔接</w:t>
                  </w:r>
                  <w:r>
                    <w:rPr>
                      <w:rFonts w:hint="default" w:ascii="Times New Roman" w:hAnsi="Times New Roman" w:cs="Times New Roman"/>
                      <w:color w:val="auto"/>
                      <w:sz w:val="21"/>
                      <w:szCs w:val="21"/>
                      <w:lang w:val="en-US" w:eastAsia="zh-CN"/>
                    </w:rPr>
                    <w:t>。</w:t>
                  </w:r>
                </w:p>
              </w:tc>
              <w:tc>
                <w:tcPr>
                  <w:tcW w:w="203" w:type="pct"/>
                  <w:tcBorders>
                    <w:tl2br w:val="nil"/>
                    <w:tr2bl w:val="nil"/>
                  </w:tcBorders>
                  <w:noWrap w:val="0"/>
                  <w:vAlign w:val="center"/>
                </w:tcPr>
                <w:p w14:paraId="39507CBA">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r>
                    <w:rPr>
                      <w:rFonts w:hint="eastAsia" w:ascii="Times New Roman" w:hAnsi="Times New Roman" w:cs="Times New Roman"/>
                      <w:bCs/>
                      <w:color w:val="auto"/>
                      <w:szCs w:val="21"/>
                    </w:rPr>
                    <w:t>是</w:t>
                  </w:r>
                </w:p>
              </w:tc>
            </w:tr>
            <w:tr w14:paraId="4D285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9" w:type="pct"/>
                  <w:vMerge w:val="continue"/>
                  <w:tcBorders>
                    <w:tl2br w:val="nil"/>
                    <w:tr2bl w:val="nil"/>
                  </w:tcBorders>
                  <w:noWrap w:val="0"/>
                  <w:vAlign w:val="center"/>
                </w:tcPr>
                <w:p w14:paraId="4F2177E0">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p>
              </w:tc>
              <w:tc>
                <w:tcPr>
                  <w:tcW w:w="289" w:type="pct"/>
                  <w:tcBorders>
                    <w:tl2br w:val="nil"/>
                    <w:tr2bl w:val="nil"/>
                  </w:tcBorders>
                  <w:noWrap w:val="0"/>
                  <w:vAlign w:val="center"/>
                </w:tcPr>
                <w:p w14:paraId="0FF868C7">
                  <w:pPr>
                    <w:keepNext w:val="0"/>
                    <w:keepLines w:val="0"/>
                    <w:suppressLineNumbers w:val="0"/>
                    <w:spacing w:before="0" w:beforeAutospacing="0" w:after="0" w:afterAutospacing="0"/>
                    <w:ind w:left="0" w:right="0"/>
                    <w:jc w:val="center"/>
                    <w:rPr>
                      <w:rFonts w:hint="eastAsia" w:ascii="Times New Roman" w:hAnsi="Times New Roman" w:cs="Times New Roman"/>
                      <w:b/>
                      <w:color w:val="auto"/>
                      <w:kern w:val="2"/>
                      <w:sz w:val="21"/>
                      <w:szCs w:val="21"/>
                      <w:lang w:val="en-US" w:eastAsia="zh-CN" w:bidi="ar-SA"/>
                    </w:rPr>
                  </w:pPr>
                  <w:r>
                    <w:rPr>
                      <w:rFonts w:hint="eastAsia" w:ascii="Times New Roman" w:hAnsi="Times New Roman" w:cs="Times New Roman"/>
                      <w:bCs/>
                      <w:color w:val="auto"/>
                      <w:szCs w:val="21"/>
                    </w:rPr>
                    <w:t>资源开发效率要求</w:t>
                  </w:r>
                </w:p>
              </w:tc>
              <w:tc>
                <w:tcPr>
                  <w:tcW w:w="2217" w:type="pct"/>
                  <w:tcBorders>
                    <w:tl2br w:val="nil"/>
                    <w:tr2bl w:val="nil"/>
                  </w:tcBorders>
                  <w:noWrap w:val="0"/>
                  <w:vAlign w:val="center"/>
                </w:tcPr>
                <w:p w14:paraId="28FB9EF9">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default" w:ascii="Times New Roman" w:hAnsi="Times New Roman" w:cs="Times New Roman"/>
                      <w:bCs/>
                      <w:color w:val="auto"/>
                      <w:szCs w:val="21"/>
                    </w:rPr>
                    <w:t>（1</w:t>
                  </w:r>
                  <w:r>
                    <w:rPr>
                      <w:rFonts w:hint="eastAsia" w:ascii="Times New Roman" w:hAnsi="Times New Roman" w:cs="Times New Roman"/>
                      <w:bCs/>
                      <w:color w:val="auto"/>
                      <w:szCs w:val="21"/>
                    </w:rPr>
                    <w:t>）大力倡导使用清洁能源。</w:t>
                  </w:r>
                </w:p>
                <w:p w14:paraId="6CFA570B">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w:t>
                  </w:r>
                  <w:r>
                    <w:rPr>
                      <w:rFonts w:hint="default" w:ascii="Times New Roman" w:hAnsi="Times New Roman" w:cs="Times New Roman"/>
                      <w:bCs/>
                      <w:color w:val="auto"/>
                      <w:szCs w:val="21"/>
                    </w:rPr>
                    <w:t>2</w:t>
                  </w:r>
                  <w:r>
                    <w:rPr>
                      <w:rFonts w:hint="eastAsia" w:ascii="Times New Roman" w:hAnsi="Times New Roman" w:cs="Times New Roman"/>
                      <w:bCs/>
                      <w:color w:val="auto"/>
                      <w:szCs w:val="21"/>
                    </w:rPr>
                    <w:t>）提升废水资源化技术，提高水资源回用率。</w:t>
                  </w:r>
                </w:p>
                <w:p w14:paraId="030AFDBD">
                  <w:pPr>
                    <w:keepNext w:val="0"/>
                    <w:keepLines w:val="0"/>
                    <w:suppressLineNumbers w:val="0"/>
                    <w:spacing w:before="0" w:beforeAutospacing="0" w:after="0" w:afterAutospacing="0"/>
                    <w:ind w:left="0" w:right="0"/>
                    <w:jc w:val="left"/>
                    <w:rPr>
                      <w:rFonts w:hint="default" w:ascii="Times New Roman" w:hAnsi="Times New Roman" w:cs="Times New Roman"/>
                      <w:b/>
                      <w:color w:val="auto"/>
                      <w:kern w:val="2"/>
                      <w:sz w:val="21"/>
                      <w:szCs w:val="21"/>
                      <w:lang w:val="en-US" w:eastAsia="zh-CN" w:bidi="ar-SA"/>
                    </w:rPr>
                  </w:pPr>
                  <w:r>
                    <w:rPr>
                      <w:rFonts w:hint="eastAsia" w:ascii="Times New Roman" w:hAnsi="Times New Roman" w:cs="Times New Roman"/>
                      <w:bCs/>
                      <w:color w:val="auto"/>
                      <w:szCs w:val="21"/>
                    </w:rPr>
                    <w:t>（</w:t>
                  </w:r>
                  <w:r>
                    <w:rPr>
                      <w:rFonts w:hint="default" w:ascii="Times New Roman" w:hAnsi="Times New Roman" w:cs="Times New Roman"/>
                      <w:bCs/>
                      <w:color w:val="auto"/>
                      <w:szCs w:val="21"/>
                    </w:rPr>
                    <w:t>3</w:t>
                  </w:r>
                  <w:r>
                    <w:rPr>
                      <w:rFonts w:hint="eastAsia" w:ascii="Times New Roman" w:hAnsi="Times New Roman" w:cs="Times New Roman"/>
                      <w:bCs/>
                      <w:color w:val="auto"/>
                      <w:szCs w:val="21"/>
                    </w:rPr>
                    <w:t>）禁止销售使用燃料为</w:t>
                  </w:r>
                  <w:r>
                    <w:rPr>
                      <w:rFonts w:hint="default" w:ascii="Times New Roman" w:hAnsi="Times New Roman" w:cs="Times New Roman"/>
                      <w:bCs/>
                      <w:color w:val="auto"/>
                      <w:szCs w:val="21"/>
                    </w:rPr>
                    <w:t>“III</w:t>
                  </w:r>
                  <w:r>
                    <w:rPr>
                      <w:rFonts w:hint="eastAsia" w:ascii="Times New Roman" w:hAnsi="Times New Roman" w:cs="Times New Roman"/>
                      <w:bCs/>
                      <w:color w:val="auto"/>
                      <w:szCs w:val="21"/>
                    </w:rPr>
                    <w:t>类</w:t>
                  </w:r>
                  <w:r>
                    <w:rPr>
                      <w:rFonts w:hint="default" w:ascii="Times New Roman" w:hAnsi="Times New Roman" w:cs="Times New Roman"/>
                      <w:bCs/>
                      <w:color w:val="auto"/>
                      <w:szCs w:val="21"/>
                    </w:rPr>
                    <w:t>”</w:t>
                  </w:r>
                  <w:r>
                    <w:rPr>
                      <w:rFonts w:hint="eastAsia" w:ascii="Times New Roman" w:hAnsi="Times New Roman" w:cs="Times New Roman"/>
                      <w:bCs/>
                      <w:color w:val="auto"/>
                      <w:szCs w:val="21"/>
                    </w:rPr>
                    <w:t>（严格），具体包括：</w:t>
                  </w:r>
                  <w:r>
                    <w:rPr>
                      <w:rFonts w:hint="default" w:ascii="Times New Roman" w:hAnsi="Times New Roman" w:cs="Times New Roman"/>
                      <w:bCs/>
                      <w:color w:val="auto"/>
                      <w:szCs w:val="21"/>
                    </w:rPr>
                    <w:t>1</w:t>
                  </w:r>
                  <w:r>
                    <w:rPr>
                      <w:rFonts w:hint="eastAsia" w:ascii="Times New Roman" w:hAnsi="Times New Roman" w:cs="Times New Roman"/>
                      <w:bCs/>
                      <w:color w:val="auto"/>
                      <w:szCs w:val="21"/>
                    </w:rPr>
                    <w:t>、煤炭及其制品（包括原煤、散煤、煤矸石、煤泥、煤粉、水煤浆、型煤、焦炭、兰炭等）；</w:t>
                  </w:r>
                  <w:r>
                    <w:rPr>
                      <w:rFonts w:hint="default" w:ascii="Times New Roman" w:hAnsi="Times New Roman" w:cs="Times New Roman"/>
                      <w:bCs/>
                      <w:color w:val="auto"/>
                      <w:szCs w:val="21"/>
                    </w:rPr>
                    <w:t>2</w:t>
                  </w:r>
                  <w:r>
                    <w:rPr>
                      <w:rFonts w:hint="eastAsia" w:ascii="Times New Roman" w:hAnsi="Times New Roman" w:cs="Times New Roman"/>
                      <w:bCs/>
                      <w:color w:val="auto"/>
                      <w:szCs w:val="21"/>
                    </w:rPr>
                    <w:t>、石油焦、油页岩、原油、重油、渣油、煤焦油；</w:t>
                  </w:r>
                  <w:r>
                    <w:rPr>
                      <w:rFonts w:hint="default" w:ascii="Times New Roman" w:hAnsi="Times New Roman" w:cs="Times New Roman"/>
                      <w:bCs/>
                      <w:color w:val="auto"/>
                      <w:szCs w:val="21"/>
                    </w:rPr>
                    <w:t>3</w:t>
                  </w:r>
                  <w:r>
                    <w:rPr>
                      <w:rFonts w:hint="eastAsia" w:ascii="Times New Roman" w:hAnsi="Times New Roman" w:cs="Times New Roman"/>
                      <w:bCs/>
                      <w:color w:val="auto"/>
                      <w:szCs w:val="21"/>
                    </w:rPr>
                    <w:t>、非专用锅炉或未配置高效除尘设施的专用锅炉燃用的生物质成型燃料；</w:t>
                  </w:r>
                  <w:r>
                    <w:rPr>
                      <w:rFonts w:hint="default" w:ascii="Times New Roman" w:hAnsi="Times New Roman" w:cs="Times New Roman"/>
                      <w:bCs/>
                      <w:color w:val="auto"/>
                      <w:szCs w:val="21"/>
                    </w:rPr>
                    <w:t>4</w:t>
                  </w:r>
                  <w:r>
                    <w:rPr>
                      <w:rFonts w:hint="eastAsia" w:ascii="Times New Roman" w:hAnsi="Times New Roman" w:cs="Times New Roman"/>
                      <w:bCs/>
                      <w:color w:val="auto"/>
                      <w:szCs w:val="21"/>
                    </w:rPr>
                    <w:t>、国家规定的其它高污染燃料。</w:t>
                  </w:r>
                </w:p>
              </w:tc>
              <w:tc>
                <w:tcPr>
                  <w:tcW w:w="1940" w:type="pct"/>
                  <w:tcBorders>
                    <w:tl2br w:val="nil"/>
                    <w:tr2bl w:val="nil"/>
                  </w:tcBorders>
                  <w:noWrap w:val="0"/>
                  <w:vAlign w:val="center"/>
                </w:tcPr>
                <w:p w14:paraId="79206273">
                  <w:pPr>
                    <w:pStyle w:val="84"/>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cs="Times New Roman"/>
                      <w:color w:val="auto"/>
                      <w:sz w:val="21"/>
                      <w:szCs w:val="21"/>
                      <w:lang w:val="en-US" w:eastAsia="zh-CN"/>
                    </w:rPr>
                    <w:t>本项目采用水、电</w:t>
                  </w:r>
                  <w:r>
                    <w:rPr>
                      <w:rFonts w:hint="eastAsia" w:ascii="Times New Roman" w:hAnsi="Times New Roman" w:cs="Times New Roman"/>
                      <w:color w:val="auto"/>
                      <w:sz w:val="21"/>
                      <w:szCs w:val="21"/>
                      <w:lang w:val="en-US" w:eastAsia="zh-CN"/>
                    </w:rPr>
                    <w:t>、天然气</w:t>
                  </w:r>
                  <w:r>
                    <w:rPr>
                      <w:rFonts w:hint="default" w:ascii="Times New Roman" w:hAnsi="Times New Roman" w:cs="Times New Roman"/>
                      <w:color w:val="auto"/>
                      <w:sz w:val="21"/>
                      <w:szCs w:val="21"/>
                      <w:lang w:val="en-US" w:eastAsia="zh-CN"/>
                    </w:rPr>
                    <w:t>等清洁能源，各能耗指标可达到市定目标，不涉及高污染燃料，满足管控要求。</w:t>
                  </w:r>
                </w:p>
              </w:tc>
              <w:tc>
                <w:tcPr>
                  <w:tcW w:w="203" w:type="pct"/>
                  <w:tcBorders>
                    <w:tl2br w:val="nil"/>
                    <w:tr2bl w:val="nil"/>
                  </w:tcBorders>
                  <w:noWrap w:val="0"/>
                  <w:vAlign w:val="center"/>
                </w:tcPr>
                <w:p w14:paraId="3E199108">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r>
                    <w:rPr>
                      <w:rFonts w:hint="eastAsia" w:ascii="Times New Roman" w:hAnsi="Times New Roman" w:cs="Times New Roman"/>
                      <w:bCs/>
                      <w:color w:val="auto"/>
                      <w:szCs w:val="21"/>
                    </w:rPr>
                    <w:t>是</w:t>
                  </w:r>
                </w:p>
              </w:tc>
            </w:tr>
          </w:tbl>
          <w:p w14:paraId="3A299A98">
            <w:pPr>
              <w:pStyle w:val="3"/>
              <w:keepNext w:val="0"/>
              <w:keepLines w:val="0"/>
              <w:numPr>
                <w:ilvl w:val="0"/>
                <w:numId w:val="0"/>
              </w:numPr>
              <w:suppressLineNumbers w:val="0"/>
              <w:spacing w:before="0" w:beforeAutospacing="0" w:after="0" w:afterAutospacing="0"/>
              <w:ind w:left="0" w:right="0" w:firstLine="482" w:firstLineChars="200"/>
              <w:rPr>
                <w:rFonts w:hint="default" w:ascii="Times New Roman" w:hAnsi="Times New Roman" w:cs="Times New Roman"/>
                <w:color w:val="auto"/>
              </w:rPr>
            </w:pPr>
            <w:r>
              <w:rPr>
                <w:rFonts w:hint="eastAsia" w:ascii="Times New Roman" w:hAnsi="Times New Roman" w:cs="Times New Roman"/>
                <w:b/>
                <w:bCs/>
                <w:color w:val="auto"/>
                <w:sz w:val="24"/>
              </w:rPr>
              <w:t>3</w:t>
            </w:r>
            <w:r>
              <w:rPr>
                <w:rFonts w:hint="default" w:ascii="Times New Roman" w:hAnsi="Times New Roman" w:cs="Times New Roman"/>
                <w:b/>
                <w:bCs/>
                <w:color w:val="auto"/>
                <w:sz w:val="24"/>
              </w:rPr>
              <w:t>、</w:t>
            </w:r>
            <w:r>
              <w:rPr>
                <w:rFonts w:hint="eastAsia" w:ascii="Times New Roman" w:hAnsi="Times New Roman" w:cs="Times New Roman"/>
                <w:b/>
                <w:bCs/>
                <w:color w:val="auto"/>
                <w:sz w:val="24"/>
              </w:rPr>
              <w:t>与太湖流域环境政策相符性分析</w:t>
            </w:r>
          </w:p>
          <w:p w14:paraId="26602352">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bCs/>
                <w:color w:val="auto"/>
                <w:sz w:val="24"/>
              </w:rPr>
            </w:pPr>
            <w:r>
              <w:rPr>
                <w:rFonts w:hint="eastAsia" w:ascii="Times New Roman" w:hAnsi="Times New Roman" w:cs="Times New Roman"/>
                <w:bCs/>
                <w:color w:val="auto"/>
                <w:sz w:val="24"/>
              </w:rPr>
              <w:t>根据《省政府办公厅关于公布江苏省太湖流域三级保护区范围的通知》（苏政办发</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rPr>
              <w:t>2012</w:t>
            </w:r>
            <w:r>
              <w:rPr>
                <w:rFonts w:hint="eastAsia" w:ascii="宋体" w:hAnsi="宋体" w:eastAsia="宋体" w:cs="宋体"/>
                <w:bCs/>
                <w:color w:val="auto"/>
                <w:sz w:val="24"/>
              </w:rPr>
              <w:t>〕</w:t>
            </w:r>
            <w:r>
              <w:rPr>
                <w:rFonts w:hint="eastAsia" w:ascii="Times New Roman" w:hAnsi="Times New Roman" w:cs="Times New Roman"/>
                <w:bCs/>
                <w:color w:val="auto"/>
                <w:sz w:val="24"/>
              </w:rPr>
              <w:t>221号），本项目位于太湖三级保护区范围，与太湖流域环境政策相符性分析见下表：</w:t>
            </w:r>
          </w:p>
          <w:p w14:paraId="190F4E06">
            <w:pPr>
              <w:keepNext w:val="0"/>
              <w:keepLines w:val="0"/>
              <w:suppressLineNumbers w:val="0"/>
              <w:spacing w:before="0" w:beforeAutospacing="0" w:after="0" w:afterAutospacing="0" w:line="480" w:lineRule="exact"/>
              <w:ind w:left="0" w:right="0" w:firstLine="482" w:firstLineChars="200"/>
              <w:jc w:val="center"/>
              <w:rPr>
                <w:rFonts w:hint="default" w:ascii="Times New Roman" w:hAnsi="Times New Roman" w:cs="Times New Roman"/>
                <w:b/>
                <w:color w:val="auto"/>
                <w:sz w:val="24"/>
              </w:rPr>
            </w:pPr>
            <w:r>
              <w:rPr>
                <w:rFonts w:hint="eastAsia" w:ascii="Times New Roman" w:hAnsi="Times New Roman" w:cs="Times New Roman"/>
                <w:b/>
                <w:color w:val="auto"/>
                <w:sz w:val="24"/>
              </w:rPr>
              <w:t>表</w:t>
            </w:r>
            <w:r>
              <w:rPr>
                <w:rFonts w:hint="default" w:ascii="Times New Roman" w:hAnsi="Times New Roman" w:cs="Times New Roman"/>
                <w:b/>
                <w:color w:val="auto"/>
                <w:sz w:val="24"/>
              </w:rPr>
              <w:t>1-</w:t>
            </w:r>
            <w:r>
              <w:rPr>
                <w:rFonts w:hint="eastAsia" w:ascii="Times New Roman" w:hAnsi="Times New Roman" w:cs="Times New Roman"/>
                <w:b/>
                <w:color w:val="auto"/>
                <w:sz w:val="24"/>
                <w:lang w:val="en-US" w:eastAsia="zh-CN"/>
              </w:rPr>
              <w:t>6</w:t>
            </w:r>
            <w:r>
              <w:rPr>
                <w:rFonts w:hint="eastAsia" w:ascii="Times New Roman" w:hAnsi="Times New Roman" w:cs="Times New Roman"/>
                <w:b/>
                <w:color w:val="auto"/>
                <w:sz w:val="24"/>
              </w:rPr>
              <w:t xml:space="preserve"> 本项目与太湖流域环境政策相符性分析</w:t>
            </w:r>
          </w:p>
          <w:tbl>
            <w:tblPr>
              <w:tblStyle w:val="28"/>
              <w:tblW w:w="491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7713"/>
              <w:gridCol w:w="3425"/>
              <w:gridCol w:w="716"/>
            </w:tblGrid>
            <w:tr w14:paraId="08410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tl2br w:val="nil"/>
                    <w:tr2bl w:val="nil"/>
                  </w:tcBorders>
                  <w:noWrap w:val="0"/>
                  <w:vAlign w:val="center"/>
                </w:tcPr>
                <w:p w14:paraId="6F551BC0">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文件名称</w:t>
                  </w:r>
                </w:p>
              </w:tc>
              <w:tc>
                <w:tcPr>
                  <w:tcW w:w="2995" w:type="pct"/>
                  <w:tcBorders>
                    <w:tl2br w:val="nil"/>
                    <w:tr2bl w:val="nil"/>
                  </w:tcBorders>
                  <w:noWrap w:val="0"/>
                  <w:vAlign w:val="center"/>
                </w:tcPr>
                <w:p w14:paraId="60B89A9F">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要求</w:t>
                  </w:r>
                </w:p>
              </w:tc>
              <w:tc>
                <w:tcPr>
                  <w:tcW w:w="1330" w:type="pct"/>
                  <w:tcBorders>
                    <w:tl2br w:val="nil"/>
                    <w:tr2bl w:val="nil"/>
                  </w:tcBorders>
                  <w:noWrap w:val="0"/>
                  <w:vAlign w:val="center"/>
                </w:tcPr>
                <w:p w14:paraId="404F265A">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本项目情况</w:t>
                  </w:r>
                </w:p>
              </w:tc>
              <w:tc>
                <w:tcPr>
                  <w:tcW w:w="278" w:type="pct"/>
                  <w:tcBorders>
                    <w:tl2br w:val="nil"/>
                    <w:tr2bl w:val="nil"/>
                  </w:tcBorders>
                  <w:noWrap w:val="0"/>
                  <w:vAlign w:val="center"/>
                </w:tcPr>
                <w:p w14:paraId="4478E7C9">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
                      <w:color w:val="auto"/>
                      <w:szCs w:val="21"/>
                    </w:rPr>
                    <w:t>是否符合</w:t>
                  </w:r>
                </w:p>
              </w:tc>
            </w:tr>
            <w:tr w14:paraId="0A7DD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tl2br w:val="nil"/>
                    <w:tr2bl w:val="nil"/>
                  </w:tcBorders>
                  <w:noWrap w:val="0"/>
                  <w:vAlign w:val="center"/>
                </w:tcPr>
                <w:p w14:paraId="40B91874">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Cs/>
                      <w:color w:val="auto"/>
                      <w:szCs w:val="21"/>
                    </w:rPr>
                    <w:t>江苏省太湖水污染防治条</w:t>
                  </w:r>
                  <w:r>
                    <w:rPr>
                      <w:rStyle w:val="34"/>
                      <w:rFonts w:hint="eastAsia" w:ascii="Times New Roman" w:hAnsi="Times New Roman" w:cs="Times New Roman"/>
                      <w:color w:val="auto"/>
                      <w:kern w:val="0"/>
                      <w:szCs w:val="20"/>
                      <w:lang w:val="en-US" w:eastAsia="zh-CN"/>
                    </w:rPr>
                    <w:t>例（2021年修订）</w:t>
                  </w:r>
                </w:p>
              </w:tc>
              <w:tc>
                <w:tcPr>
                  <w:tcW w:w="2995" w:type="pct"/>
                  <w:tcBorders>
                    <w:tl2br w:val="nil"/>
                    <w:tr2bl w:val="nil"/>
                  </w:tcBorders>
                  <w:noWrap w:val="0"/>
                  <w:vAlign w:val="center"/>
                </w:tcPr>
                <w:p w14:paraId="04BC568D">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第四十三条  太湖流域一、二、三级保护区禁止下列行为：</w:t>
                  </w:r>
                </w:p>
                <w:p w14:paraId="58DC9012">
                  <w:pPr>
                    <w:keepNext w:val="0"/>
                    <w:keepLines w:val="0"/>
                    <w:suppressLineNumbers w:val="0"/>
                    <w:spacing w:before="0" w:beforeAutospacing="0" w:after="0" w:afterAutospacing="0"/>
                    <w:ind w:left="0" w:right="0" w:firstLine="420" w:firstLineChars="200"/>
                    <w:rPr>
                      <w:rFonts w:hint="default" w:ascii="Times New Roman" w:hAnsi="Times New Roman" w:cs="Times New Roman"/>
                      <w:bCs/>
                      <w:color w:val="auto"/>
                      <w:szCs w:val="21"/>
                    </w:rPr>
                  </w:pPr>
                  <w:r>
                    <w:rPr>
                      <w:rFonts w:hint="default" w:ascii="Times New Roman" w:hAnsi="Times New Roman" w:cs="Times New Roman"/>
                      <w:color w:val="auto"/>
                      <w:szCs w:val="21"/>
                    </w:rPr>
                    <w:t>（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1330" w:type="pct"/>
                  <w:vMerge w:val="restart"/>
                  <w:tcBorders>
                    <w:tl2br w:val="nil"/>
                    <w:tr2bl w:val="nil"/>
                  </w:tcBorders>
                  <w:noWrap w:val="0"/>
                  <w:vAlign w:val="center"/>
                </w:tcPr>
                <w:p w14:paraId="2BCD87F1">
                  <w:pPr>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eastAsia="zh-CN"/>
                    </w:rPr>
                  </w:pPr>
                  <w:r>
                    <w:rPr>
                      <w:rFonts w:hint="default" w:ascii="Times New Roman" w:hAnsi="Times New Roman" w:cs="Times New Roman"/>
                      <w:color w:val="auto"/>
                      <w:szCs w:val="21"/>
                    </w:rPr>
                    <w:t>本项目位于太湖流域三级保护区内，属于</w:t>
                  </w:r>
                  <w:r>
                    <w:rPr>
                      <w:rFonts w:hint="eastAsia" w:cs="Times New Roman"/>
                      <w:color w:val="auto"/>
                      <w:szCs w:val="21"/>
                      <w:lang w:val="en-US" w:eastAsia="zh-CN"/>
                    </w:rPr>
                    <w:t>锻件及粉末冶金制品制造</w:t>
                  </w:r>
                  <w:r>
                    <w:rPr>
                      <w:rFonts w:hint="eastAsia" w:ascii="Times New Roman" w:hAnsi="Times New Roman" w:cs="Times New Roman"/>
                      <w:color w:val="auto"/>
                      <w:szCs w:val="21"/>
                      <w:lang w:val="en-US" w:eastAsia="zh-CN"/>
                    </w:rPr>
                    <w:t>项目</w:t>
                  </w:r>
                  <w:r>
                    <w:rPr>
                      <w:rFonts w:hint="default" w:ascii="Times New Roman" w:hAnsi="Times New Roman" w:cs="Times New Roman"/>
                      <w:color w:val="auto"/>
                      <w:szCs w:val="21"/>
                    </w:rPr>
                    <w:t>，不在上述限制和禁止行业范围内；本项目不使用</w:t>
                  </w:r>
                  <w:r>
                    <w:rPr>
                      <w:rFonts w:hint="eastAsia" w:ascii="Times New Roman" w:hAnsi="Times New Roman" w:cs="Times New Roman"/>
                      <w:color w:val="auto"/>
                      <w:szCs w:val="21"/>
                      <w:lang w:val="en-US" w:eastAsia="zh-CN"/>
                    </w:rPr>
                    <w:t>含氮磷</w:t>
                  </w:r>
                  <w:r>
                    <w:rPr>
                      <w:rFonts w:hint="default" w:ascii="Times New Roman" w:hAnsi="Times New Roman" w:cs="Times New Roman"/>
                      <w:color w:val="auto"/>
                      <w:szCs w:val="21"/>
                    </w:rPr>
                    <w:t>洗涤用品</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不新增废（污）水排放</w:t>
                  </w:r>
                  <w:r>
                    <w:rPr>
                      <w:rFonts w:hint="default" w:ascii="Times New Roman" w:hAnsi="Times New Roman" w:cs="Times New Roman"/>
                      <w:color w:val="auto"/>
                      <w:szCs w:val="21"/>
                    </w:rPr>
                    <w:t>。各类固废合理处置，不外排。且本项目不涉及《太湖流域管理条例》第二十八条、《江苏省太湖水污染防治条例》（2018年修订）第四十三条</w:t>
                  </w:r>
                  <w:r>
                    <w:rPr>
                      <w:rFonts w:hint="eastAsia" w:cs="Times New Roman"/>
                      <w:color w:val="auto"/>
                      <w:szCs w:val="21"/>
                      <w:lang w:eastAsia="zh-CN"/>
                    </w:rPr>
                    <w:t>和第</w:t>
                  </w:r>
                  <w:r>
                    <w:rPr>
                      <w:rFonts w:hint="default" w:ascii="Times New Roman" w:hAnsi="Times New Roman" w:cs="Times New Roman"/>
                      <w:color w:val="auto"/>
                      <w:szCs w:val="21"/>
                    </w:rPr>
                    <w:t>三十条中禁止的行为，因此符合上述文件的要求</w:t>
                  </w:r>
                  <w:r>
                    <w:rPr>
                      <w:rFonts w:hint="eastAsia" w:ascii="Times New Roman" w:hAnsi="Times New Roman" w:cs="Times New Roman"/>
                      <w:color w:val="auto"/>
                      <w:szCs w:val="21"/>
                      <w:lang w:eastAsia="zh-CN"/>
                    </w:rPr>
                    <w:t>。</w:t>
                  </w:r>
                </w:p>
              </w:tc>
              <w:tc>
                <w:tcPr>
                  <w:tcW w:w="278" w:type="pct"/>
                  <w:tcBorders>
                    <w:tl2br w:val="nil"/>
                    <w:tr2bl w:val="nil"/>
                  </w:tcBorders>
                  <w:noWrap w:val="0"/>
                  <w:vAlign w:val="center"/>
                </w:tcPr>
                <w:p w14:paraId="3A4CA0F1">
                  <w:pPr>
                    <w:keepNext w:val="0"/>
                    <w:keepLines w:val="0"/>
                    <w:suppressLineNumbers w:val="0"/>
                    <w:spacing w:before="0" w:beforeAutospacing="0" w:after="0" w:afterAutospacing="0"/>
                    <w:ind w:left="0" w:right="0"/>
                    <w:jc w:val="center"/>
                    <w:rPr>
                      <w:rFonts w:hint="eastAsia" w:ascii="Times New Roman" w:hAnsi="Times New Roman" w:cs="Times New Roman"/>
                      <w:b/>
                      <w:color w:val="auto"/>
                      <w:szCs w:val="21"/>
                    </w:rPr>
                  </w:pPr>
                  <w:r>
                    <w:rPr>
                      <w:rFonts w:hint="eastAsia" w:ascii="Times New Roman" w:hAnsi="Times New Roman" w:cs="Times New Roman"/>
                      <w:bCs/>
                      <w:color w:val="auto"/>
                      <w:szCs w:val="21"/>
                    </w:rPr>
                    <w:t>是</w:t>
                  </w:r>
                </w:p>
              </w:tc>
            </w:tr>
            <w:tr w14:paraId="5F652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tl2br w:val="nil"/>
                    <w:tr2bl w:val="nil"/>
                  </w:tcBorders>
                  <w:noWrap w:val="0"/>
                  <w:vAlign w:val="center"/>
                </w:tcPr>
                <w:p w14:paraId="4218C186">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r>
                    <w:rPr>
                      <w:rFonts w:hint="eastAsia" w:ascii="Times New Roman" w:hAnsi="Times New Roman" w:cs="Times New Roman"/>
                      <w:bCs/>
                      <w:color w:val="auto"/>
                      <w:szCs w:val="21"/>
                    </w:rPr>
                    <w:t>《太湖流域管理条例》</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rPr>
                    <w:t>国务院令第604号</w:t>
                  </w:r>
                  <w:r>
                    <w:rPr>
                      <w:rFonts w:hint="eastAsia" w:ascii="Times New Roman" w:hAnsi="Times New Roman" w:cs="Times New Roman"/>
                      <w:bCs/>
                      <w:color w:val="auto"/>
                      <w:szCs w:val="21"/>
                      <w:lang w:eastAsia="zh-CN"/>
                    </w:rPr>
                    <w:t>）</w:t>
                  </w:r>
                </w:p>
              </w:tc>
              <w:tc>
                <w:tcPr>
                  <w:tcW w:w="2995" w:type="pct"/>
                  <w:tcBorders>
                    <w:tl2br w:val="nil"/>
                    <w:tr2bl w:val="nil"/>
                  </w:tcBorders>
                  <w:noWrap w:val="0"/>
                  <w:vAlign w:val="center"/>
                </w:tcPr>
                <w:p w14:paraId="684F28AB">
                  <w:pPr>
                    <w:keepNext w:val="0"/>
                    <w:keepLines w:val="0"/>
                    <w:suppressLineNumbers w:val="0"/>
                    <w:spacing w:before="0" w:beforeAutospacing="0" w:after="0" w:afterAutospacing="0"/>
                    <w:ind w:left="0" w:right="0"/>
                    <w:jc w:val="left"/>
                    <w:rPr>
                      <w:rFonts w:hint="eastAsia" w:ascii="Times New Roman" w:hAnsi="Times New Roman" w:eastAsia="宋体" w:cs="Times New Roman"/>
                      <w:bCs/>
                      <w:color w:val="auto"/>
                      <w:szCs w:val="21"/>
                      <w:lang w:eastAsia="zh-CN"/>
                    </w:rPr>
                  </w:pPr>
                  <w:r>
                    <w:rPr>
                      <w:rFonts w:hint="eastAsia" w:ascii="Times New Roman" w:hAnsi="Times New Roman" w:cs="Times New Roman"/>
                      <w:bCs/>
                      <w:color w:val="auto"/>
                      <w:szCs w:val="21"/>
                    </w:rPr>
                    <w:t>第二十八条 禁止在太湖流域设置不符合国家产业政策和水环境综合治理要求的造纸、制革、酒精、淀粉、冶金、酿造、印染、电镀等排放水污染物的生产项目</w:t>
                  </w:r>
                  <w:r>
                    <w:rPr>
                      <w:rFonts w:hint="eastAsia" w:ascii="Times New Roman" w:hAnsi="Times New Roman" w:cs="Times New Roman"/>
                      <w:bCs/>
                      <w:color w:val="auto"/>
                      <w:szCs w:val="21"/>
                      <w:lang w:eastAsia="zh-CN"/>
                    </w:rPr>
                    <w:t>。</w:t>
                  </w:r>
                </w:p>
                <w:p w14:paraId="59D5A42B">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第二十九条　新孟河、望虞河以外的其他主要入太湖河道，自河口1万米上溯至5万米河道岸线内及其岸线两侧各1000米范围内，禁止下列行为：</w:t>
                  </w:r>
                </w:p>
                <w:p w14:paraId="3BF7C772">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（一）新建、扩建化工、医药生产项目；（二）新建、扩建污水集中处理设施排污口以外的排污口；（三）扩大水产养殖规模。</w:t>
                  </w:r>
                </w:p>
                <w:p w14:paraId="53C8464A">
                  <w:pPr>
                    <w:keepNext w:val="0"/>
                    <w:keepLines w:val="0"/>
                    <w:suppressLineNumbers w:val="0"/>
                    <w:spacing w:before="0" w:beforeAutospacing="0" w:after="0" w:afterAutospacing="0"/>
                    <w:ind w:left="0" w:right="0"/>
                    <w:jc w:val="left"/>
                    <w:rPr>
                      <w:rFonts w:hint="eastAsia" w:ascii="Times New Roman" w:hAnsi="Times New Roman" w:cs="Times New Roman"/>
                      <w:bCs/>
                      <w:color w:val="auto"/>
                      <w:szCs w:val="21"/>
                    </w:rPr>
                  </w:pPr>
                  <w:r>
                    <w:rPr>
                      <w:rFonts w:hint="eastAsia" w:ascii="Times New Roman" w:hAnsi="Times New Roman" w:cs="Times New Roman"/>
                      <w:bCs/>
                      <w:color w:val="auto"/>
                      <w:szCs w:val="21"/>
                    </w:rPr>
                    <w:t>第三十条　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p>
                <w:p w14:paraId="4B5E4919">
                  <w:pPr>
                    <w:keepNext w:val="0"/>
                    <w:keepLines w:val="0"/>
                    <w:suppressLineNumbers w:val="0"/>
                    <w:spacing w:before="0" w:beforeAutospacing="0" w:after="0" w:afterAutospacing="0"/>
                    <w:ind w:left="0" w:right="0"/>
                    <w:jc w:val="left"/>
                    <w:rPr>
                      <w:rFonts w:hint="default" w:ascii="Times New Roman" w:hAnsi="Times New Roman" w:cs="Times New Roman"/>
                      <w:bCs/>
                      <w:color w:val="auto"/>
                      <w:szCs w:val="21"/>
                    </w:rPr>
                  </w:pPr>
                  <w:r>
                    <w:rPr>
                      <w:rFonts w:hint="eastAsia" w:ascii="Times New Roman" w:hAnsi="Times New Roman" w:cs="Times New Roman"/>
                      <w:bCs/>
                      <w:color w:val="auto"/>
                      <w:szCs w:val="21"/>
                    </w:rPr>
                    <w:t>（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330" w:type="pct"/>
                  <w:vMerge w:val="continue"/>
                  <w:tcBorders>
                    <w:tl2br w:val="nil"/>
                    <w:tr2bl w:val="nil"/>
                  </w:tcBorders>
                  <w:noWrap w:val="0"/>
                  <w:vAlign w:val="center"/>
                </w:tcPr>
                <w:p w14:paraId="716D721E">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Cs w:val="21"/>
                    </w:rPr>
                  </w:pPr>
                </w:p>
              </w:tc>
              <w:tc>
                <w:tcPr>
                  <w:tcW w:w="278" w:type="pct"/>
                  <w:tcBorders>
                    <w:tl2br w:val="nil"/>
                    <w:tr2bl w:val="nil"/>
                  </w:tcBorders>
                  <w:noWrap w:val="0"/>
                  <w:vAlign w:val="center"/>
                </w:tcPr>
                <w:p w14:paraId="67F2F9E3">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bCs/>
                      <w:color w:val="auto"/>
                      <w:szCs w:val="21"/>
                    </w:rPr>
                    <w:t>是</w:t>
                  </w:r>
                </w:p>
              </w:tc>
            </w:tr>
          </w:tbl>
          <w:p w14:paraId="1F6D2993">
            <w:pPr>
              <w:pStyle w:val="3"/>
              <w:keepNext w:val="0"/>
              <w:keepLines w:val="0"/>
              <w:numPr>
                <w:ilvl w:val="0"/>
                <w:numId w:val="0"/>
              </w:numPr>
              <w:suppressLineNumbers w:val="0"/>
              <w:spacing w:before="0" w:beforeAutospacing="0" w:after="0" w:afterAutospacing="0"/>
              <w:ind w:left="0" w:right="0" w:firstLine="482" w:firstLineChars="200"/>
              <w:rPr>
                <w:rFonts w:hint="default" w:ascii="Times New Roman" w:hAnsi="Times New Roman" w:cs="Times New Roman"/>
                <w:color w:val="auto"/>
              </w:rPr>
            </w:pPr>
            <w:r>
              <w:rPr>
                <w:rFonts w:hint="eastAsia" w:ascii="Times New Roman" w:hAnsi="Times New Roman" w:cs="Times New Roman"/>
                <w:b/>
                <w:bCs/>
                <w:color w:val="auto"/>
                <w:sz w:val="24"/>
                <w:lang w:val="en-US" w:eastAsia="zh-CN"/>
              </w:rPr>
              <w:t>4、</w:t>
            </w:r>
            <w:r>
              <w:rPr>
                <w:rFonts w:hint="eastAsia" w:ascii="Times New Roman" w:hAnsi="Times New Roman" w:cs="Times New Roman"/>
                <w:b/>
                <w:color w:val="auto"/>
                <w:sz w:val="24"/>
              </w:rPr>
              <w:t>其他相关生态环境保护法律法规政策、生态环境保护规划相符性分析</w:t>
            </w:r>
          </w:p>
          <w:p w14:paraId="1C1A1B02">
            <w:pPr>
              <w:pStyle w:val="3"/>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b/>
                <w:bCs/>
                <w:color w:val="auto"/>
                <w:sz w:val="24"/>
              </w:rPr>
            </w:pPr>
          </w:p>
          <w:p w14:paraId="38D0D939">
            <w:pPr>
              <w:pStyle w:val="3"/>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b/>
                <w:bCs/>
                <w:color w:val="auto"/>
                <w:sz w:val="24"/>
              </w:rPr>
            </w:pPr>
          </w:p>
          <w:p w14:paraId="6CC219A6">
            <w:pPr>
              <w:pStyle w:val="3"/>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b/>
                <w:bCs/>
                <w:color w:val="auto"/>
                <w:sz w:val="24"/>
              </w:rPr>
            </w:pPr>
            <w:r>
              <w:rPr>
                <w:rFonts w:hint="eastAsia" w:ascii="Times New Roman" w:hAnsi="Times New Roman" w:cs="Times New Roman"/>
                <w:b/>
                <w:bCs/>
                <w:color w:val="auto"/>
                <w:sz w:val="24"/>
              </w:rPr>
              <w:t>表1-</w:t>
            </w:r>
            <w:r>
              <w:rPr>
                <w:rFonts w:hint="eastAsia" w:ascii="Times New Roman" w:hAnsi="Times New Roman" w:cs="Times New Roman"/>
                <w:b/>
                <w:bCs/>
                <w:color w:val="auto"/>
                <w:sz w:val="24"/>
                <w:lang w:val="en-US" w:eastAsia="zh-CN"/>
              </w:rPr>
              <w:t>7</w:t>
            </w:r>
            <w:r>
              <w:rPr>
                <w:rFonts w:hint="eastAsia" w:ascii="Times New Roman" w:hAnsi="Times New Roman" w:cs="Times New Roman"/>
                <w:b/>
                <w:bCs/>
                <w:color w:val="auto"/>
                <w:sz w:val="24"/>
              </w:rPr>
              <w:t xml:space="preserve"> 与其他相关生态环境保护法律法规政策、生态环境保护规划相符性对照表</w:t>
            </w:r>
          </w:p>
          <w:tbl>
            <w:tblPr>
              <w:tblStyle w:val="27"/>
              <w:tblW w:w="4993"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3"/>
              <w:gridCol w:w="5720"/>
              <w:gridCol w:w="4303"/>
              <w:gridCol w:w="434"/>
            </w:tblGrid>
            <w:tr w14:paraId="02043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0E7DEB4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文件名称</w:t>
                  </w:r>
                </w:p>
              </w:tc>
              <w:tc>
                <w:tcPr>
                  <w:tcW w:w="2186" w:type="pct"/>
                  <w:noWrap w:val="0"/>
                  <w:vAlign w:val="center"/>
                </w:tcPr>
                <w:p w14:paraId="2AE6E03B">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要求</w:t>
                  </w:r>
                </w:p>
              </w:tc>
              <w:tc>
                <w:tcPr>
                  <w:tcW w:w="1644" w:type="pct"/>
                  <w:noWrap w:val="0"/>
                  <w:vAlign w:val="center"/>
                </w:tcPr>
                <w:p w14:paraId="2D1D79E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本项目情况</w:t>
                  </w:r>
                </w:p>
              </w:tc>
              <w:tc>
                <w:tcPr>
                  <w:tcW w:w="165" w:type="pct"/>
                  <w:noWrap w:val="0"/>
                  <w:vAlign w:val="center"/>
                </w:tcPr>
                <w:p w14:paraId="1E31D5DF">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相符性</w:t>
                  </w:r>
                </w:p>
              </w:tc>
            </w:tr>
            <w:tr w14:paraId="434090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5797DDC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《建设项目环境保护</w:t>
                  </w:r>
                  <w:r>
                    <w:rPr>
                      <w:rFonts w:hint="eastAsia" w:ascii="Times New Roman" w:hAnsi="Times New Roman" w:cs="Times New Roman"/>
                      <w:color w:val="auto"/>
                      <w:sz w:val="21"/>
                      <w:szCs w:val="21"/>
                    </w:rPr>
                    <w:t>管理</w:t>
                  </w:r>
                  <w:r>
                    <w:rPr>
                      <w:rFonts w:hint="default" w:ascii="Times New Roman" w:hAnsi="Times New Roman" w:cs="Times New Roman"/>
                      <w:color w:val="auto"/>
                      <w:sz w:val="21"/>
                      <w:szCs w:val="21"/>
                    </w:rPr>
                    <w:t>条例》</w:t>
                  </w:r>
                </w:p>
              </w:tc>
              <w:tc>
                <w:tcPr>
                  <w:tcW w:w="2186" w:type="pct"/>
                  <w:noWrap w:val="0"/>
                  <w:vAlign w:val="center"/>
                </w:tcPr>
                <w:p w14:paraId="193C248F">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第十一条  建设项目有下列情形之一的，环境保护行政主管部门应当对环境影响报告书、环境影响报告表作出不予批准的决定：（一）建设项目类型及其选址、布局、规模等不符合环境保护法律法规和相关法定规划；（二）所在区域环境质量未达到国家或者地方环境质量标准，且建设项目拟采取的措施不能满足区域环境质量改善目标管理要求；（三）建设项目采取的污染防治措施无法确保污染物排放达到国家和地方排放标准，或者未采取必要措施预防和控制生态破坏；（四）改建、扩建和技术改造项目，未针对项目原有环境污染和生态破坏提出有效防治措施；（五）建设项目的环境影响报告书、环境影响报告表的基础资料数据明显不实，内容存在重大缺陷、遗漏，或者环境影响评价结论不明确、不合理。</w:t>
                  </w:r>
                </w:p>
              </w:tc>
              <w:tc>
                <w:tcPr>
                  <w:tcW w:w="1644" w:type="pct"/>
                  <w:noWrap w:val="0"/>
                  <w:vAlign w:val="center"/>
                </w:tcPr>
                <w:p w14:paraId="4AD8F69E">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本项目不属于《建设项目环境保护</w:t>
                  </w:r>
                  <w:r>
                    <w:rPr>
                      <w:rFonts w:hint="eastAsia" w:ascii="Times New Roman" w:hAnsi="Times New Roman" w:cs="Times New Roman"/>
                      <w:color w:val="auto"/>
                      <w:sz w:val="21"/>
                      <w:szCs w:val="21"/>
                    </w:rPr>
                    <w:t>管理</w:t>
                  </w:r>
                  <w:r>
                    <w:rPr>
                      <w:rFonts w:hint="default" w:ascii="Times New Roman" w:hAnsi="Times New Roman" w:cs="Times New Roman"/>
                      <w:color w:val="auto"/>
                      <w:sz w:val="21"/>
                      <w:szCs w:val="21"/>
                    </w:rPr>
                    <w:t>条例》第十一条中规定的“不予批准”条款之列</w:t>
                  </w:r>
                </w:p>
              </w:tc>
              <w:tc>
                <w:tcPr>
                  <w:tcW w:w="165" w:type="pct"/>
                  <w:noWrap w:val="0"/>
                  <w:vAlign w:val="center"/>
                </w:tcPr>
                <w:p w14:paraId="61D6E5A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13B03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1C7CB24E">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《市生态环境局关于建设项目的审批指导意见</w:t>
                  </w:r>
                  <w:r>
                    <w:rPr>
                      <w:rFonts w:hint="eastAsia" w:ascii="Times New Roman" w:hAnsi="Times New Roman" w:cs="Times New Roman"/>
                      <w:color w:val="auto"/>
                      <w:kern w:val="0"/>
                      <w:sz w:val="21"/>
                      <w:szCs w:val="21"/>
                    </w:rPr>
                    <w:t>》《</w:t>
                  </w:r>
                  <w:r>
                    <w:rPr>
                      <w:rFonts w:hint="default" w:ascii="Times New Roman" w:hAnsi="Times New Roman" w:cs="Times New Roman"/>
                      <w:color w:val="auto"/>
                      <w:kern w:val="0"/>
                      <w:sz w:val="21"/>
                      <w:szCs w:val="21"/>
                    </w:rPr>
                    <w:t>省生态环境厅关于报送高耗能、高排放项目清单的通知》</w:t>
                  </w:r>
                </w:p>
              </w:tc>
              <w:tc>
                <w:tcPr>
                  <w:tcW w:w="2186" w:type="pct"/>
                  <w:noWrap w:val="0"/>
                  <w:vAlign w:val="center"/>
                </w:tcPr>
                <w:p w14:paraId="3DF8F6A0">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1.严格项目总量。实施建设项目大气污染物总量负增长原则，即重点区域内建设项目使用大气污染物总量，原则上在重点区域范围内实施总量平衡，且必须实行总量2倍减量替代。</w:t>
                  </w:r>
                </w:p>
                <w:p w14:paraId="7CF4F7E9">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2.强化环评审批。对重点区域内新上的大气污染物排放的建设项目及全市范围内新上高能耗项目，审批部门对其环评文本应实施质量评估。</w:t>
                  </w:r>
                </w:p>
              </w:tc>
              <w:tc>
                <w:tcPr>
                  <w:tcW w:w="1644" w:type="pct"/>
                  <w:noWrap w:val="0"/>
                  <w:vAlign w:val="center"/>
                </w:tcPr>
                <w:p w14:paraId="233E9830">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本项目距离最近的国控点（</w:t>
                  </w:r>
                  <w:r>
                    <w:rPr>
                      <w:rFonts w:hint="eastAsia" w:ascii="Times New Roman" w:hAnsi="Times New Roman" w:cs="Times New Roman"/>
                      <w:color w:val="auto"/>
                      <w:sz w:val="21"/>
                      <w:szCs w:val="21"/>
                    </w:rPr>
                    <w:t>常州市金坛区市民中心</w:t>
                  </w:r>
                  <w:r>
                    <w:rPr>
                      <w:rFonts w:hint="default" w:ascii="Times New Roman" w:hAnsi="Times New Roman" w:cs="Times New Roman"/>
                      <w:color w:val="auto"/>
                      <w:kern w:val="0"/>
                      <w:sz w:val="21"/>
                      <w:szCs w:val="21"/>
                    </w:rPr>
                    <w:t>）约</w:t>
                  </w:r>
                  <w:r>
                    <w:rPr>
                      <w:rFonts w:hint="eastAsia" w:cs="Times New Roman"/>
                      <w:color w:val="auto"/>
                      <w:kern w:val="0"/>
                      <w:sz w:val="21"/>
                      <w:szCs w:val="21"/>
                      <w:lang w:val="en-US" w:eastAsia="zh-CN"/>
                    </w:rPr>
                    <w:t>8.1</w:t>
                  </w:r>
                  <w:r>
                    <w:rPr>
                      <w:rFonts w:hint="default" w:ascii="Times New Roman" w:hAnsi="Times New Roman" w:cs="Times New Roman"/>
                      <w:color w:val="auto"/>
                      <w:kern w:val="0"/>
                      <w:sz w:val="21"/>
                      <w:szCs w:val="21"/>
                    </w:rPr>
                    <w:t>km，</w:t>
                  </w:r>
                  <w:r>
                    <w:rPr>
                      <w:rFonts w:hint="eastAsia" w:ascii="Times New Roman" w:hAnsi="Times New Roman" w:cs="Times New Roman"/>
                      <w:color w:val="auto"/>
                      <w:kern w:val="0"/>
                      <w:sz w:val="21"/>
                      <w:szCs w:val="21"/>
                    </w:rPr>
                    <w:t>不在重点区域内</w:t>
                  </w:r>
                  <w:r>
                    <w:rPr>
                      <w:rFonts w:hint="default" w:ascii="Times New Roman" w:hAnsi="Times New Roman" w:cs="Times New Roman"/>
                      <w:color w:val="auto"/>
                      <w:kern w:val="0"/>
                      <w:sz w:val="21"/>
                      <w:szCs w:val="21"/>
                    </w:rPr>
                    <w:t>。</w:t>
                  </w:r>
                </w:p>
                <w:p w14:paraId="2A834505">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w:t>
                  </w:r>
                  <w:r>
                    <w:rPr>
                      <w:rFonts w:hint="eastAsia" w:ascii="Times New Roman" w:hAnsi="Times New Roman" w:cs="Times New Roman"/>
                      <w:color w:val="auto"/>
                      <w:kern w:val="0"/>
                      <w:sz w:val="21"/>
                      <w:szCs w:val="21"/>
                      <w:lang w:eastAsia="zh-CN"/>
                    </w:rPr>
                    <w:t>行业类别为</w:t>
                  </w:r>
                  <w:r>
                    <w:rPr>
                      <w:rFonts w:hint="eastAsia" w:cs="Times New Roman"/>
                      <w:color w:val="auto"/>
                      <w:sz w:val="21"/>
                      <w:szCs w:val="21"/>
                      <w:lang w:eastAsia="zh-CN"/>
                    </w:rPr>
                    <w:t>C3393锻件及粉末冶金制品制造</w:t>
                  </w:r>
                  <w:r>
                    <w:rPr>
                      <w:rFonts w:hint="eastAsia" w:ascii="宋体" w:hAnsi="宋体" w:cs="宋体"/>
                      <w:color w:val="auto"/>
                      <w:sz w:val="21"/>
                      <w:szCs w:val="21"/>
                    </w:rPr>
                    <w:t>，</w:t>
                  </w:r>
                  <w:r>
                    <w:rPr>
                      <w:rFonts w:hint="default" w:ascii="Times New Roman" w:hAnsi="Times New Roman" w:cs="Times New Roman"/>
                      <w:color w:val="auto"/>
                      <w:kern w:val="0"/>
                      <w:sz w:val="21"/>
                      <w:szCs w:val="21"/>
                    </w:rPr>
                    <w:t>对照《省生态环境厅关于报送高耗能、高排放项目清单的通知》项目报送范围，本项目不属于两高项目。</w:t>
                  </w:r>
                </w:p>
              </w:tc>
              <w:tc>
                <w:tcPr>
                  <w:tcW w:w="165" w:type="pct"/>
                  <w:noWrap w:val="0"/>
                  <w:vAlign w:val="center"/>
                </w:tcPr>
                <w:p w14:paraId="433A5D2C">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相符</w:t>
                  </w:r>
                </w:p>
              </w:tc>
            </w:tr>
            <w:tr w14:paraId="0B18F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2BA38069">
                  <w:pPr>
                    <w:pStyle w:val="2"/>
                    <w:keepNext w:val="0"/>
                    <w:keepLines w:val="0"/>
                    <w:widowControl w:val="0"/>
                    <w:suppressLineNumbers w:val="0"/>
                    <w:snapToGrid/>
                    <w:spacing w:before="0" w:beforeAutospacing="0" w:after="0" w:afterAutospacing="0" w:line="240" w:lineRule="auto"/>
                    <w:ind w:left="0" w:right="0" w:right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《省生态环境厅关于进一步加强建设项目环评审批和服务工作的指导意见》（苏环办〔2020〕225号）</w:t>
                  </w:r>
                </w:p>
              </w:tc>
              <w:tc>
                <w:tcPr>
                  <w:tcW w:w="2186" w:type="pct"/>
                  <w:noWrap w:val="0"/>
                  <w:vAlign w:val="center"/>
                </w:tcPr>
                <w:p w14:paraId="797AF8DB">
                  <w:pPr>
                    <w:pStyle w:val="71"/>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Cs w:val="21"/>
                    </w:rPr>
                    <w:t>建设项目所在区域环境质量未达到国家或地方环境质量标准，且项目拟采取的污染防治措施不能满足区域环境质量改善目标管理要求的，一律不得审批。严格执行《江苏省长江经济带发展负面清单实施细则（试行）》，禁止在合规园区外新建、扩建钢铁、石化、化工、焦化、建材、有色等行业中的高污染项目。禁止新建燃煤自备电厂。</w:t>
                  </w:r>
                </w:p>
              </w:tc>
              <w:tc>
                <w:tcPr>
                  <w:tcW w:w="1644" w:type="pct"/>
                  <w:noWrap w:val="0"/>
                  <w:vAlign w:val="center"/>
                </w:tcPr>
                <w:p w14:paraId="43CE83CB">
                  <w:pPr>
                    <w:pStyle w:val="71"/>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Cs w:val="21"/>
                    </w:rPr>
                    <w:t>本项目位于</w:t>
                  </w:r>
                  <w:r>
                    <w:rPr>
                      <w:rFonts w:hint="default" w:ascii="Times New Roman" w:hAnsi="Times New Roman" w:cs="Times New Roman"/>
                      <w:color w:val="auto"/>
                      <w:szCs w:val="21"/>
                      <w:lang w:val="en-US"/>
                    </w:rPr>
                    <w:t>常州市金坛</w:t>
                  </w:r>
                  <w:r>
                    <w:rPr>
                      <w:rFonts w:hint="eastAsia" w:ascii="Times New Roman" w:hAnsi="Times New Roman" w:cs="Times New Roman"/>
                      <w:color w:val="auto"/>
                      <w:szCs w:val="21"/>
                      <w:lang w:val="en-US" w:eastAsia="zh-CN"/>
                    </w:rPr>
                    <w:t>区洮西工业集中区中路1号</w:t>
                  </w:r>
                  <w:r>
                    <w:rPr>
                      <w:rFonts w:hint="default" w:ascii="Times New Roman" w:hAnsi="Times New Roman" w:cs="Times New Roman"/>
                      <w:color w:val="auto"/>
                      <w:szCs w:val="21"/>
                    </w:rPr>
                    <w:t>，从事</w:t>
                  </w:r>
                  <w:r>
                    <w:rPr>
                      <w:rFonts w:hint="eastAsia" w:ascii="Times New Roman" w:hAnsi="Times New Roman" w:cs="Times New Roman"/>
                      <w:color w:val="auto"/>
                      <w:szCs w:val="21"/>
                      <w:lang w:val="en-US" w:eastAsia="zh-CN"/>
                    </w:rPr>
                    <w:t>工程机械配件、盾构机配件、航空发动机配件等生产</w:t>
                  </w:r>
                  <w:r>
                    <w:rPr>
                      <w:rFonts w:hint="default" w:ascii="Times New Roman" w:hAnsi="Times New Roman" w:cs="Times New Roman"/>
                      <w:color w:val="auto"/>
                      <w:szCs w:val="21"/>
                    </w:rPr>
                    <w:t>。根据现状监测数据，区域环境质量达到地方环境质量标准。</w:t>
                  </w:r>
                  <w:r>
                    <w:rPr>
                      <w:rFonts w:hint="eastAsia" w:ascii="Times New Roman" w:hAnsi="Times New Roman" w:cs="Times New Roman"/>
                      <w:color w:val="auto"/>
                      <w:szCs w:val="21"/>
                      <w:lang w:val="en-US" w:eastAsia="zh-CN"/>
                    </w:rPr>
                    <w:t>本项目不新增废（污）水排放</w:t>
                  </w:r>
                  <w:r>
                    <w:rPr>
                      <w:rFonts w:hint="default" w:ascii="Times New Roman" w:hAnsi="Times New Roman" w:cs="Times New Roman"/>
                      <w:color w:val="auto"/>
                      <w:szCs w:val="21"/>
                    </w:rPr>
                    <w:t>。生产过程中产生的废气均经处理后排放，各类固废均得到合理有效处置，不外排。</w:t>
                  </w:r>
                </w:p>
              </w:tc>
              <w:tc>
                <w:tcPr>
                  <w:tcW w:w="165" w:type="pct"/>
                  <w:noWrap w:val="0"/>
                  <w:vAlign w:val="center"/>
                </w:tcPr>
                <w:p w14:paraId="27F8FF09">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相符</w:t>
                  </w:r>
                </w:p>
              </w:tc>
            </w:tr>
            <w:tr w14:paraId="3F208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232B6692">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《省生态环境厅关于进一步做好建设项目环评审批工作的通知》</w:t>
                  </w:r>
                </w:p>
                <w:p w14:paraId="6FDDE40F">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（苏环办</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2019</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36号）</w:t>
                  </w:r>
                </w:p>
              </w:tc>
              <w:tc>
                <w:tcPr>
                  <w:tcW w:w="2186" w:type="pct"/>
                  <w:noWrap w:val="0"/>
                  <w:vAlign w:val="center"/>
                </w:tcPr>
                <w:p w14:paraId="6A2C8F9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一、</w:t>
                  </w:r>
                  <w:r>
                    <w:rPr>
                      <w:rFonts w:hint="eastAsia" w:ascii="Times New Roman" w:hAnsi="Times New Roman" w:eastAsia="宋体" w:cs="Times New Roman"/>
                      <w:color w:val="auto"/>
                      <w:kern w:val="0"/>
                      <w:sz w:val="21"/>
                      <w:szCs w:val="21"/>
                    </w:rPr>
                    <w:t>有下列情形之一的，不予批准：</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建设项目类型及其选址、布局、规模等不符合</w:t>
                  </w:r>
                  <w:r>
                    <w:rPr>
                      <w:rFonts w:hint="eastAsia" w:ascii="Times New Roman" w:hAnsi="Times New Roman" w:eastAsia="宋体" w:cs="Times New Roman"/>
                      <w:color w:val="auto"/>
                      <w:kern w:val="0"/>
                      <w:sz w:val="21"/>
                      <w:szCs w:val="21"/>
                    </w:rPr>
                    <w:fldChar w:fldCharType="begin"/>
                  </w:r>
                  <w:r>
                    <w:rPr>
                      <w:rFonts w:hint="eastAsia" w:ascii="Times New Roman" w:hAnsi="Times New Roman" w:eastAsia="宋体" w:cs="Times New Roman"/>
                      <w:color w:val="auto"/>
                      <w:kern w:val="0"/>
                      <w:sz w:val="21"/>
                      <w:szCs w:val="21"/>
                    </w:rPr>
                    <w:instrText xml:space="preserve"> HYPERLINK "https://www.eqxun.com/news/78.html" \t "https://www.eqxun.com/news/_blank" </w:instrText>
                  </w:r>
                  <w:r>
                    <w:rPr>
                      <w:rFonts w:hint="eastAsia" w:ascii="Times New Roman" w:hAnsi="Times New Roman" w:eastAsia="宋体" w:cs="Times New Roman"/>
                      <w:color w:val="auto"/>
                      <w:kern w:val="0"/>
                      <w:sz w:val="21"/>
                      <w:szCs w:val="21"/>
                    </w:rPr>
                    <w:fldChar w:fldCharType="separate"/>
                  </w:r>
                  <w:r>
                    <w:rPr>
                      <w:rFonts w:hint="eastAsia" w:ascii="Times New Roman" w:hAnsi="Times New Roman" w:eastAsia="宋体" w:cs="Times New Roman"/>
                      <w:color w:val="auto"/>
                      <w:kern w:val="0"/>
                      <w:sz w:val="21"/>
                      <w:szCs w:val="21"/>
                    </w:rPr>
                    <w:t>环境保护法</w:t>
                  </w:r>
                  <w:r>
                    <w:rPr>
                      <w:rFonts w:hint="eastAsia" w:ascii="Times New Roman" w:hAnsi="Times New Roman" w:eastAsia="宋体" w:cs="Times New Roman"/>
                      <w:color w:val="auto"/>
                      <w:kern w:val="0"/>
                      <w:sz w:val="21"/>
                      <w:szCs w:val="21"/>
                    </w:rPr>
                    <w:fldChar w:fldCharType="end"/>
                  </w:r>
                  <w:r>
                    <w:rPr>
                      <w:rFonts w:hint="eastAsia" w:ascii="Times New Roman" w:hAnsi="Times New Roman" w:eastAsia="宋体" w:cs="Times New Roman"/>
                      <w:color w:val="auto"/>
                      <w:kern w:val="0"/>
                      <w:sz w:val="21"/>
                      <w:szCs w:val="21"/>
                    </w:rPr>
                    <w:t>律法规和相关法定规划；</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2</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所在区域环境质量未达到国家或者地方环境质量标准，且建设项目拟采取的措施不能满足区域环境质量改善目标管理要求；</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3</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建设项目采取的污染防治措施无法确保污染物排放达到国家和地方排放标准，或者未采取必要措施预防和控制生态破坏；</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4</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改建、扩建和技术改造项目，未针对项目原有</w:t>
                  </w:r>
                  <w:r>
                    <w:rPr>
                      <w:rFonts w:hint="eastAsia" w:ascii="Times New Roman" w:hAnsi="Times New Roman" w:eastAsia="宋体" w:cs="Times New Roman"/>
                      <w:color w:val="auto"/>
                      <w:kern w:val="0"/>
                      <w:sz w:val="21"/>
                      <w:szCs w:val="21"/>
                    </w:rPr>
                    <w:fldChar w:fldCharType="begin"/>
                  </w:r>
                  <w:r>
                    <w:rPr>
                      <w:rFonts w:hint="eastAsia" w:ascii="Times New Roman" w:hAnsi="Times New Roman" w:eastAsia="宋体" w:cs="Times New Roman"/>
                      <w:color w:val="auto"/>
                      <w:kern w:val="0"/>
                      <w:sz w:val="21"/>
                      <w:szCs w:val="21"/>
                    </w:rPr>
                    <w:instrText xml:space="preserve"> HYPERLINK "https://www.eqxun.com/news/1819.html" \t "https://www.eqxun.com/news/_blank" </w:instrText>
                  </w:r>
                  <w:r>
                    <w:rPr>
                      <w:rFonts w:hint="eastAsia" w:ascii="Times New Roman" w:hAnsi="Times New Roman" w:eastAsia="宋体" w:cs="Times New Roman"/>
                      <w:color w:val="auto"/>
                      <w:kern w:val="0"/>
                      <w:sz w:val="21"/>
                      <w:szCs w:val="21"/>
                    </w:rPr>
                    <w:fldChar w:fldCharType="separate"/>
                  </w:r>
                  <w:r>
                    <w:rPr>
                      <w:rFonts w:hint="eastAsia" w:ascii="Times New Roman" w:hAnsi="Times New Roman" w:eastAsia="宋体" w:cs="Times New Roman"/>
                      <w:color w:val="auto"/>
                      <w:kern w:val="0"/>
                      <w:sz w:val="21"/>
                      <w:szCs w:val="21"/>
                    </w:rPr>
                    <w:t>环境污染</w:t>
                  </w:r>
                  <w:r>
                    <w:rPr>
                      <w:rFonts w:hint="eastAsia" w:ascii="Times New Roman" w:hAnsi="Times New Roman" w:eastAsia="宋体" w:cs="Times New Roman"/>
                      <w:color w:val="auto"/>
                      <w:kern w:val="0"/>
                      <w:sz w:val="21"/>
                      <w:szCs w:val="21"/>
                    </w:rPr>
                    <w:fldChar w:fldCharType="end"/>
                  </w:r>
                  <w:r>
                    <w:rPr>
                      <w:rFonts w:hint="eastAsia" w:ascii="Times New Roman" w:hAnsi="Times New Roman" w:eastAsia="宋体" w:cs="Times New Roman"/>
                      <w:color w:val="auto"/>
                      <w:kern w:val="0"/>
                      <w:sz w:val="21"/>
                      <w:szCs w:val="21"/>
                    </w:rPr>
                    <w:t>和生态破坏提出有效</w:t>
                  </w:r>
                  <w:r>
                    <w:rPr>
                      <w:rFonts w:hint="eastAsia" w:ascii="Times New Roman" w:hAnsi="Times New Roman" w:eastAsia="宋体" w:cs="Times New Roman"/>
                      <w:color w:val="auto"/>
                      <w:kern w:val="0"/>
                      <w:sz w:val="21"/>
                      <w:szCs w:val="21"/>
                      <w:lang w:eastAsia="zh-CN"/>
                    </w:rPr>
                    <w:t>防治措施</w:t>
                  </w:r>
                  <w:r>
                    <w:rPr>
                      <w:rFonts w:hint="eastAsia"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5</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建设项目的环境影响报告书、环境影响报告表的基础资料数据明显不实，内容存在重大缺陷、遗漏，或者环境影响评价结论不明确、不合理。</w:t>
                  </w:r>
                </w:p>
                <w:p w14:paraId="4221370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二、严格控制在优先保护类耕地集中区域新建有色金属冶炼、石油加工、化工、焦化、电镀、制革等行业企业，有关环境保护主管部门依法不予审批可能造成耕地土壤污染的建设项目环境影响报告书或者报告表。</w:t>
                  </w:r>
                </w:p>
                <w:p w14:paraId="52926AF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三、严格落实污染物排放总量控制制度，把主要污染物排放总量指标作为建设项目环境影响评价审批的前置条件。排放主要污染物的建设项目，在环境影响评价文件审批前，须取得主要污染物排放总量指标。</w:t>
                  </w:r>
                </w:p>
                <w:p w14:paraId="15B79EA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四、</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1</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2</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3</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对环境质量现状超标的地区，项目拟采取的措施不能满足区域环境质量改善目标管理要求的，依法不予审批其环评文件。对未达到环境质量目标考核要求的地区，除民生项目与</w:t>
                  </w:r>
                  <w:r>
                    <w:rPr>
                      <w:rFonts w:hint="eastAsia" w:ascii="Times New Roman" w:hAnsi="Times New Roman" w:eastAsia="宋体" w:cs="Times New Roman"/>
                      <w:color w:val="auto"/>
                      <w:kern w:val="0"/>
                      <w:sz w:val="21"/>
                      <w:szCs w:val="21"/>
                    </w:rPr>
                    <w:fldChar w:fldCharType="begin"/>
                  </w:r>
                  <w:r>
                    <w:rPr>
                      <w:rFonts w:hint="eastAsia" w:ascii="Times New Roman" w:hAnsi="Times New Roman" w:eastAsia="宋体" w:cs="Times New Roman"/>
                      <w:color w:val="auto"/>
                      <w:kern w:val="0"/>
                      <w:sz w:val="21"/>
                      <w:szCs w:val="21"/>
                    </w:rPr>
                    <w:instrText xml:space="preserve"> HYPERLINK "https://www.eqxun.com/news/1314.html" \t "https://www.eqxun.com/news/_blank" </w:instrText>
                  </w:r>
                  <w:r>
                    <w:rPr>
                      <w:rFonts w:hint="eastAsia" w:ascii="Times New Roman" w:hAnsi="Times New Roman" w:eastAsia="宋体" w:cs="Times New Roman"/>
                      <w:color w:val="auto"/>
                      <w:kern w:val="0"/>
                      <w:sz w:val="21"/>
                      <w:szCs w:val="21"/>
                    </w:rPr>
                    <w:fldChar w:fldCharType="separate"/>
                  </w:r>
                  <w:r>
                    <w:rPr>
                      <w:rFonts w:hint="eastAsia" w:ascii="Times New Roman" w:hAnsi="Times New Roman" w:eastAsia="宋体" w:cs="Times New Roman"/>
                      <w:color w:val="auto"/>
                      <w:kern w:val="0"/>
                      <w:sz w:val="21"/>
                      <w:szCs w:val="21"/>
                    </w:rPr>
                    <w:t>节能减排</w:t>
                  </w:r>
                  <w:r>
                    <w:rPr>
                      <w:rFonts w:hint="eastAsia" w:ascii="Times New Roman" w:hAnsi="Times New Roman" w:eastAsia="宋体" w:cs="Times New Roman"/>
                      <w:color w:val="auto"/>
                      <w:kern w:val="0"/>
                      <w:sz w:val="21"/>
                      <w:szCs w:val="21"/>
                    </w:rPr>
                    <w:fldChar w:fldCharType="end"/>
                  </w:r>
                  <w:r>
                    <w:rPr>
                      <w:rFonts w:hint="eastAsia" w:ascii="Times New Roman" w:hAnsi="Times New Roman" w:eastAsia="宋体" w:cs="Times New Roman"/>
                      <w:color w:val="auto"/>
                      <w:kern w:val="0"/>
                      <w:sz w:val="21"/>
                      <w:szCs w:val="21"/>
                    </w:rPr>
                    <w:t>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p w14:paraId="407C8E3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五、严禁在长江干流及主要支流岸线1公里范围内新建布局化工园区和化工企业。严格化工项目环评审批，提高准入门槛，新建化工项目原则上投资额不得低于10亿元，不得新建、改建、扩建三类中间体项目。</w:t>
                  </w:r>
                </w:p>
                <w:p w14:paraId="4155A4E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六、禁止新建</w:t>
                  </w:r>
                  <w:r>
                    <w:rPr>
                      <w:rFonts w:hint="eastAsia" w:ascii="Times New Roman" w:hAnsi="Times New Roman" w:eastAsia="宋体" w:cs="Times New Roman"/>
                      <w:color w:val="auto"/>
                      <w:kern w:val="0"/>
                      <w:sz w:val="21"/>
                      <w:szCs w:val="21"/>
                    </w:rPr>
                    <w:fldChar w:fldCharType="begin"/>
                  </w:r>
                  <w:r>
                    <w:rPr>
                      <w:rFonts w:hint="eastAsia" w:ascii="Times New Roman" w:hAnsi="Times New Roman" w:eastAsia="宋体" w:cs="Times New Roman"/>
                      <w:color w:val="auto"/>
                      <w:kern w:val="0"/>
                      <w:sz w:val="21"/>
                      <w:szCs w:val="21"/>
                    </w:rPr>
                    <w:instrText xml:space="preserve"> HYPERLINK "https://www.eqxun.com/news/1301.html" \t "https://www.eqxun.com/news/_blank" </w:instrText>
                  </w:r>
                  <w:r>
                    <w:rPr>
                      <w:rFonts w:hint="eastAsia" w:ascii="Times New Roman" w:hAnsi="Times New Roman" w:eastAsia="宋体" w:cs="Times New Roman"/>
                      <w:color w:val="auto"/>
                      <w:kern w:val="0"/>
                      <w:sz w:val="21"/>
                      <w:szCs w:val="21"/>
                    </w:rPr>
                    <w:fldChar w:fldCharType="separate"/>
                  </w:r>
                  <w:r>
                    <w:rPr>
                      <w:rFonts w:hint="eastAsia" w:ascii="Times New Roman" w:hAnsi="Times New Roman" w:eastAsia="宋体" w:cs="Times New Roman"/>
                      <w:color w:val="auto"/>
                      <w:kern w:val="0"/>
                      <w:sz w:val="21"/>
                      <w:szCs w:val="21"/>
                    </w:rPr>
                    <w:t>燃煤</w:t>
                  </w:r>
                  <w:r>
                    <w:rPr>
                      <w:rFonts w:hint="eastAsia" w:ascii="Times New Roman" w:hAnsi="Times New Roman" w:eastAsia="宋体" w:cs="Times New Roman"/>
                      <w:color w:val="auto"/>
                      <w:kern w:val="0"/>
                      <w:sz w:val="21"/>
                      <w:szCs w:val="21"/>
                    </w:rPr>
                    <w:fldChar w:fldCharType="end"/>
                  </w:r>
                  <w:r>
                    <w:rPr>
                      <w:rFonts w:hint="eastAsia" w:ascii="Times New Roman" w:hAnsi="Times New Roman" w:eastAsia="宋体" w:cs="Times New Roman"/>
                      <w:color w:val="auto"/>
                      <w:kern w:val="0"/>
                      <w:sz w:val="21"/>
                      <w:szCs w:val="21"/>
                    </w:rPr>
                    <w:t>自备电厂。在重点地区执行《江苏省化工钢铁煤电行业环境准入和排放标准》。燃煤电厂2019年底前全部实行超低排放。</w:t>
                  </w:r>
                </w:p>
                <w:p w14:paraId="1D2CFE7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七、禁止建设生产和使用高VOCs含量的溶剂型涂料、油墨、胶粘剂等项目。</w:t>
                  </w:r>
                </w:p>
                <w:p w14:paraId="34E00CC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八、一律不批新的化工园区，一律不批化工园区外化工企业</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除化工重点监测点和提升安全、环保、节能水平及油品质量升级、结构调整以外的改扩建项目</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，一律不批化工园区内环境基础设施不完善或长期不能稳定运行企业的新改扩建化工项目。新建</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含搬迁</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化工项目必须进入已经依法完成规划环评审查的化工园区。</w:t>
                  </w:r>
                </w:p>
                <w:p w14:paraId="0D64143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严禁在长江干流及主要支流岸线1公里范围内新建危化品码头。</w:t>
                  </w:r>
                </w:p>
                <w:p w14:paraId="1F6606D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九、生态保护红线原则上按禁止开发区域的要求进行管理，严禁不符合主体功能定位的各类开发活动，严禁任意改变用途。</w:t>
                  </w:r>
                </w:p>
                <w:p w14:paraId="249DF585">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 w:val="21"/>
                      <w:szCs w:val="21"/>
                    </w:rPr>
                    <w:t>十、禁止审批无法落实危险废物利用、处置途径的项目，从严审批危险废物产生量大、本地无配套利用处置能力、且需设区市统筹解决的项目。</w:t>
                  </w:r>
                </w:p>
              </w:tc>
              <w:tc>
                <w:tcPr>
                  <w:tcW w:w="1644" w:type="pct"/>
                  <w:noWrap w:val="0"/>
                  <w:vAlign w:val="center"/>
                </w:tcPr>
                <w:p w14:paraId="5DCAADD4">
                  <w:pPr>
                    <w:keepNext w:val="0"/>
                    <w:keepLines w:val="0"/>
                    <w:suppressLineNumbers w:val="0"/>
                    <w:snapToGrid w:val="0"/>
                    <w:spacing w:before="0" w:beforeAutospacing="0" w:after="0" w:afterAutospacing="0" w:line="240" w:lineRule="auto"/>
                    <w:ind w:left="0" w:right="0"/>
                    <w:rPr>
                      <w:rFonts w:hint="default" w:ascii="Times New Roman" w:hAnsi="Times New Roman" w:cs="Times New Roman"/>
                      <w:bCs/>
                      <w:color w:val="auto"/>
                      <w:sz w:val="21"/>
                      <w:szCs w:val="21"/>
                    </w:rPr>
                  </w:pPr>
                  <w:r>
                    <w:rPr>
                      <w:rFonts w:hint="eastAsia" w:ascii="Times New Roman" w:hAnsi="Times New Roman" w:cs="Times New Roman"/>
                      <w:bCs/>
                      <w:color w:val="auto"/>
                      <w:kern w:val="0"/>
                      <w:sz w:val="21"/>
                      <w:szCs w:val="21"/>
                    </w:rPr>
                    <w:t>本项目为</w:t>
                  </w:r>
                  <w:r>
                    <w:rPr>
                      <w:rFonts w:hint="eastAsia" w:ascii="Times New Roman" w:hAnsi="Times New Roman" w:cs="Times New Roman"/>
                      <w:bCs/>
                      <w:color w:val="auto"/>
                      <w:kern w:val="0"/>
                      <w:sz w:val="21"/>
                      <w:szCs w:val="21"/>
                      <w:lang w:val="en-US" w:eastAsia="zh-CN"/>
                    </w:rPr>
                    <w:t>技改项目</w:t>
                  </w:r>
                  <w:r>
                    <w:rPr>
                      <w:rFonts w:hint="eastAsia" w:ascii="Times New Roman" w:hAnsi="Times New Roman" w:cs="Times New Roman"/>
                      <w:bCs/>
                      <w:color w:val="auto"/>
                      <w:kern w:val="0"/>
                      <w:sz w:val="21"/>
                      <w:szCs w:val="21"/>
                    </w:rPr>
                    <w:t>，行业类别为</w:t>
                  </w:r>
                  <w:r>
                    <w:rPr>
                      <w:rFonts w:hint="eastAsia" w:cs="Times New Roman"/>
                      <w:color w:val="auto"/>
                      <w:sz w:val="21"/>
                      <w:szCs w:val="21"/>
                      <w:lang w:eastAsia="zh-CN"/>
                    </w:rPr>
                    <w:t>C3393锻件及粉末冶金制品制造</w:t>
                  </w:r>
                  <w:r>
                    <w:rPr>
                      <w:rFonts w:hint="eastAsia" w:ascii="Times New Roman" w:hAnsi="Times New Roman" w:cs="Times New Roman"/>
                      <w:bCs/>
                      <w:color w:val="auto"/>
                      <w:kern w:val="0"/>
                      <w:sz w:val="21"/>
                      <w:szCs w:val="21"/>
                    </w:rPr>
                    <w:t>，项目位于常州市金坛区</w:t>
                  </w:r>
                  <w:r>
                    <w:rPr>
                      <w:rFonts w:hint="eastAsia" w:cs="Times New Roman"/>
                      <w:bCs/>
                      <w:color w:val="auto"/>
                      <w:kern w:val="0"/>
                      <w:sz w:val="21"/>
                      <w:szCs w:val="21"/>
                      <w:lang w:val="en-US" w:eastAsia="zh-CN"/>
                    </w:rPr>
                    <w:t>洮西工业集中区中路1号</w:t>
                  </w:r>
                  <w:r>
                    <w:rPr>
                      <w:rFonts w:hint="eastAsia" w:ascii="Times New Roman" w:hAnsi="Times New Roman" w:cs="Times New Roman"/>
                      <w:bCs/>
                      <w:color w:val="auto"/>
                      <w:kern w:val="0"/>
                      <w:sz w:val="21"/>
                      <w:szCs w:val="21"/>
                    </w:rPr>
                    <w:t>，不在生态空间管控区域内，用地性质为工业用地；项目所在地为非达标区，但生产过程中产生的废气经相应的废气治理设施收集处理后，可满足大气污染物排放标准。项目主要工艺为</w:t>
                  </w:r>
                  <w:r>
                    <w:rPr>
                      <w:rFonts w:hint="eastAsia" w:cs="Times New Roman"/>
                      <w:bCs/>
                      <w:color w:val="auto"/>
                      <w:kern w:val="0"/>
                      <w:sz w:val="21"/>
                      <w:szCs w:val="21"/>
                      <w:lang w:val="en-US" w:eastAsia="zh-CN"/>
                    </w:rPr>
                    <w:t>电渣重熔</w:t>
                  </w:r>
                  <w:r>
                    <w:rPr>
                      <w:rFonts w:hint="eastAsia" w:ascii="Times New Roman" w:hAnsi="Times New Roman" w:cs="Times New Roman"/>
                      <w:bCs/>
                      <w:color w:val="auto"/>
                      <w:kern w:val="0"/>
                      <w:sz w:val="21"/>
                      <w:szCs w:val="21"/>
                    </w:rPr>
                    <w:t>等工序，不属于化工项目，不属于不予审批的建设项目。本项目生产过程中产生的大气污染物在区域内进行平衡，与文件内容相符。不在长江干流及主要支流岸线1公里范围内，同时不属于三类中间体项目。本项目采用电作为能源，由区域供电管网提供。生产过程中不使用涂料、油墨、胶粘剂等，与文件</w:t>
                  </w:r>
                  <w:r>
                    <w:rPr>
                      <w:rFonts w:hint="eastAsia" w:ascii="Times New Roman" w:hAnsi="Times New Roman" w:cs="Times New Roman"/>
                      <w:bCs/>
                      <w:color w:val="auto"/>
                      <w:kern w:val="0"/>
                      <w:sz w:val="21"/>
                      <w:szCs w:val="21"/>
                      <w:lang w:val="en-US" w:eastAsia="zh-CN"/>
                    </w:rPr>
                    <w:t>内容相符</w:t>
                  </w:r>
                  <w:r>
                    <w:rPr>
                      <w:rFonts w:hint="eastAsia" w:ascii="Times New Roman" w:hAnsi="Times New Roman" w:cs="Times New Roman"/>
                      <w:bCs/>
                      <w:color w:val="auto"/>
                      <w:kern w:val="0"/>
                      <w:sz w:val="21"/>
                      <w:szCs w:val="21"/>
                    </w:rPr>
                    <w:t>。项目生产过程中产生的危废委托有资质单位处置，不外排。</w:t>
                  </w:r>
                </w:p>
              </w:tc>
              <w:tc>
                <w:tcPr>
                  <w:tcW w:w="165" w:type="pct"/>
                  <w:noWrap w:val="0"/>
                  <w:vAlign w:val="center"/>
                </w:tcPr>
                <w:p w14:paraId="3B743348">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451D2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5D3F979D">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宋体" w:cs="Times New Roman"/>
                      <w:color w:val="auto"/>
                      <w:sz w:val="21"/>
                      <w:szCs w:val="21"/>
                    </w:rPr>
                    <w:t>《</w:t>
                  </w:r>
                  <w:r>
                    <w:rPr>
                      <w:rFonts w:hint="eastAsia" w:ascii="Times New Roman" w:hAnsi="宋体" w:cs="Times New Roman"/>
                      <w:color w:val="auto"/>
                      <w:sz w:val="21"/>
                      <w:szCs w:val="21"/>
                    </w:rPr>
                    <w:t>长江经济带发展负面清单指南（试行），2022版</w:t>
                  </w:r>
                  <w:r>
                    <w:rPr>
                      <w:rFonts w:hint="default" w:ascii="Times New Roman" w:hAnsi="宋体" w:cs="Times New Roman"/>
                      <w:color w:val="auto"/>
                      <w:sz w:val="21"/>
                      <w:szCs w:val="21"/>
                    </w:rPr>
                    <w:t>》</w:t>
                  </w:r>
                  <w:r>
                    <w:rPr>
                      <w:rFonts w:hint="eastAsia" w:ascii="Times New Roman" w:hAnsi="宋体" w:cs="Times New Roman"/>
                      <w:color w:val="auto"/>
                      <w:sz w:val="21"/>
                      <w:szCs w:val="21"/>
                      <w:lang w:eastAsia="zh-CN"/>
                    </w:rPr>
                    <w:t>江苏省实施细则条款</w:t>
                  </w:r>
                </w:p>
              </w:tc>
              <w:tc>
                <w:tcPr>
                  <w:tcW w:w="2186" w:type="pct"/>
                  <w:noWrap w:val="0"/>
                  <w:vAlign w:val="center"/>
                </w:tcPr>
                <w:p w14:paraId="34EE3E2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1.禁止建设不符合国家港口布局规划和《江苏省沿江沿海港口布局规划</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2015</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2030年</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》《江苏省内河港口布局规划</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2017</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2035年</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》以及我省有关港口总体规划的码头项目，禁止建设未纳入《长江干线过江通道布局规划》的过长江通道项目。</w:t>
                  </w:r>
                </w:p>
                <w:p w14:paraId="35F26A6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2.严格执行《中华人民共和国自然保护区条例》</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禁止在自然保护区核心区、缓冲区的岸线和河段范围内投资建设旅游和生产经营项目。严格执行《风景名胜区条例》《江苏省风景名胜区管理条例》</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禁止在国家级和省级风景名胜区核心景区的岸线和河段范围内投资建设与风景名胜资源保护无关的项目。自然保护区、风景名胜区由省林业局会同有关方面界定并落实管控责任。</w:t>
                  </w:r>
                </w:p>
                <w:p w14:paraId="47D8DFF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3.严格执行《中华人民共和国水污染防治法》《江苏省人民代表大会常务委员会关于加强饮用水源地保护的决定》《江苏省水污染防治条例》</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p w14:paraId="70879DF1">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4.严格执行《水产种质资源保护区管理暂行办法》</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禁止在国家级和省级水产种质资源保护区的岸线和河段范围内新建围湖造田、围海造地或围填海等投资建设项目。严格执行《中华人民共和国湿地保护法》《江苏省湿地保护条例》</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禁止在国家湿地公园的岸线和河段范围内挖沙、采矿，以及任何不符合主体功能定位的投资建设项目。水产种质资源保护区、国家湿地公园分别由省农业农村厅、省林业局会同有关方面界定并落实管控责任。</w:t>
                  </w:r>
                </w:p>
                <w:p w14:paraId="65779C9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w:t>
                  </w:r>
                </w:p>
                <w:p w14:paraId="7E16A22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保护的项目。</w:t>
                  </w:r>
                </w:p>
                <w:p w14:paraId="4CC31CF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w:t>
                  </w:r>
                  <w:r>
                    <w:rPr>
                      <w:rFonts w:hint="eastAsia" w:ascii="Times New Roman" w:hAnsi="Times New Roman" w:eastAsia="宋体" w:cs="Times New Roman"/>
                      <w:color w:val="auto"/>
                      <w:kern w:val="0"/>
                      <w:sz w:val="21"/>
                      <w:szCs w:val="21"/>
                    </w:rPr>
                    <w:t>禁止未经许可在长江干支流及湖泊新设、改设或扩大排污口。</w:t>
                  </w:r>
                </w:p>
                <w:p w14:paraId="7E5FED2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7.禁止长江干流、长江口、34个列入《率先全面禁捕的长江流域水生生物保护区名录》的水生生物保护区以及省规定的其它禁渔水域开展生产性捕捞。</w:t>
                  </w:r>
                </w:p>
                <w:p w14:paraId="14F212A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8.禁止在距离长江干支流岸线一公里范围内新建、扩建化工园区和化工项目。长江干支流一公里按照长江干支流岸线边界</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即水利部门河道管理范围边界</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向陆域纵深一公里执行。</w:t>
                  </w:r>
                </w:p>
                <w:p w14:paraId="0C14F14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9.禁止在长江干流岸线三公里范围内新建、改建、扩建尾矿库、冶炼渣库和磷石膏库，以提升安全、生态环境保护水平为目的的改建除外。</w:t>
                  </w:r>
                </w:p>
                <w:p w14:paraId="76BB9BB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10.禁止在太湖流域一、二、三级保护区内开展《江苏省太湖水污染防治条例》禁止的投资建设活动。</w:t>
                  </w:r>
                </w:p>
                <w:p w14:paraId="61527F1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11.禁止在沿江地区新建、扩建未纳入国家和省布局规划的燃煤发电项目。</w:t>
                  </w:r>
                </w:p>
                <w:p w14:paraId="1A4DFC0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12.禁止在合规园区外新建、扩建钢铁、石化、化工、焦化、建材、有色、制浆造纸等高污染项目。合规园区名录按照《〈长江经济带发展负面清单指南</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试行，2022年版</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江苏省实施细则合规园区名录》执行。</w:t>
                  </w:r>
                </w:p>
                <w:p w14:paraId="20AA9BB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13.禁止在取消化工定位的园区</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集中区</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内新建化工项目。</w:t>
                  </w:r>
                </w:p>
                <w:p w14:paraId="43FDACC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14.禁止在化工企业周边建设不符合安全距离规定的劳动密集型的非化工项目和其他人员密集的公共设施项目。</w:t>
                  </w:r>
                </w:p>
                <w:p w14:paraId="7C5E742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15.禁止新建、扩建不符合国家和省产业政策的尿素、磷铵</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电石、烧碱、聚氯乙烯、纯碱等行业新增产能项目。</w:t>
                  </w:r>
                </w:p>
                <w:p w14:paraId="626E1E48">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16.禁止新建、改建、扩建高毒、高残留以及对环境影响大的农药原药</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化学合成类</w:t>
                  </w:r>
                  <w:r>
                    <w:rPr>
                      <w:rFonts w:hint="eastAsia" w:ascii="Times New Roman" w:hAnsi="Times New Roman" w:eastAsia="宋体" w:cs="Times New Roman"/>
                      <w:color w:val="auto"/>
                      <w:kern w:val="0"/>
                      <w:sz w:val="21"/>
                      <w:szCs w:val="21"/>
                      <w:lang w:eastAsia="zh-CN"/>
                    </w:rPr>
                    <w:t>）</w:t>
                  </w:r>
                  <w:r>
                    <w:rPr>
                      <w:rFonts w:hint="eastAsia" w:ascii="Times New Roman" w:hAnsi="Times New Roman" w:eastAsia="宋体" w:cs="Times New Roman"/>
                      <w:color w:val="auto"/>
                      <w:kern w:val="0"/>
                      <w:sz w:val="21"/>
                      <w:szCs w:val="21"/>
                    </w:rPr>
                    <w:t>项目，禁止新建、扩建不符合国家和省产业政策的农药、医药和染料中间体化工项目。</w:t>
                  </w:r>
                </w:p>
                <w:p w14:paraId="61362E7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17.禁止新建、扩建不符合国家石化、现代煤化工等产业布局规划的项目，禁止新建独立焦化项目。</w:t>
                  </w:r>
                </w:p>
                <w:p w14:paraId="52FCB6D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18.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p w14:paraId="56884F0A">
                  <w:pPr>
                    <w:keepNext w:val="0"/>
                    <w:keepLines w:val="0"/>
                    <w:suppressLineNumbers w:val="0"/>
                    <w:snapToGrid w:val="0"/>
                    <w:spacing w:before="0" w:beforeAutospacing="0" w:after="0" w:afterAutospacing="0" w:line="240" w:lineRule="auto"/>
                    <w:ind w:left="0" w:right="0"/>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19.禁止新建、扩建不符合国家产能置换要求的严重过剩产能行业的项目。禁止新建、扩建不符合要求的高耗能高排放项目。</w:t>
                  </w:r>
                </w:p>
              </w:tc>
              <w:tc>
                <w:tcPr>
                  <w:tcW w:w="1644" w:type="pct"/>
                  <w:noWrap w:val="0"/>
                  <w:vAlign w:val="center"/>
                </w:tcPr>
                <w:p w14:paraId="384588CC">
                  <w:pPr>
                    <w:keepNext w:val="0"/>
                    <w:keepLines w:val="0"/>
                    <w:suppressLineNumbers w:val="0"/>
                    <w:snapToGrid w:val="0"/>
                    <w:spacing w:before="0" w:beforeAutospacing="0" w:after="0" w:afterAutospacing="0" w:line="240" w:lineRule="auto"/>
                    <w:ind w:left="0" w:right="0"/>
                    <w:rPr>
                      <w:rFonts w:hint="eastAsia" w:ascii="Times New Roman" w:hAnsi="Times New Roman" w:cs="Times New Roman"/>
                      <w:bCs/>
                      <w:color w:val="auto"/>
                      <w:kern w:val="0"/>
                      <w:sz w:val="21"/>
                      <w:szCs w:val="21"/>
                    </w:rPr>
                  </w:pPr>
                  <w:r>
                    <w:rPr>
                      <w:rFonts w:hint="eastAsia" w:ascii="Times New Roman" w:hAnsi="Times New Roman" w:cs="Times New Roman"/>
                      <w:bCs/>
                      <w:color w:val="auto"/>
                      <w:kern w:val="2"/>
                      <w:sz w:val="21"/>
                      <w:szCs w:val="21"/>
                      <w:lang w:eastAsia="zh-CN"/>
                    </w:rPr>
                    <w:t>本项目为</w:t>
                  </w:r>
                  <w:r>
                    <w:rPr>
                      <w:rFonts w:hint="eastAsia" w:cs="Times New Roman"/>
                      <w:color w:val="auto"/>
                      <w:sz w:val="21"/>
                      <w:szCs w:val="21"/>
                      <w:lang w:eastAsia="zh-CN"/>
                    </w:rPr>
                    <w:t>C3393锻件及粉末冶金制品制造</w:t>
                  </w:r>
                  <w:r>
                    <w:rPr>
                      <w:rFonts w:hint="eastAsia" w:ascii="Times New Roman" w:hAnsi="Times New Roman" w:eastAsia="宋体" w:cs="Times New Roman"/>
                      <w:color w:val="auto"/>
                      <w:kern w:val="2"/>
                      <w:sz w:val="21"/>
                      <w:szCs w:val="21"/>
                      <w:lang w:eastAsia="zh-CN"/>
                    </w:rPr>
                    <w:t>，不属于化工项目，</w:t>
                  </w:r>
                  <w:r>
                    <w:rPr>
                      <w:rFonts w:hint="eastAsia" w:ascii="Times New Roman" w:hAnsi="Times New Roman" w:eastAsia="宋体" w:cs="Times New Roman"/>
                      <w:color w:val="auto"/>
                      <w:kern w:val="0"/>
                      <w:sz w:val="21"/>
                      <w:szCs w:val="21"/>
                      <w:lang w:eastAsia="zh-CN"/>
                    </w:rPr>
                    <w:t>不属于相关产业政策中的限制类、淘汰类、禁止类或落后产能、安全生产落后工艺及装备项目，</w:t>
                  </w:r>
                  <w:r>
                    <w:rPr>
                      <w:rFonts w:hint="eastAsia" w:ascii="Times New Roman" w:hAnsi="Times New Roman" w:eastAsia="宋体" w:cs="Times New Roman"/>
                      <w:color w:val="auto"/>
                      <w:kern w:val="2"/>
                      <w:sz w:val="21"/>
                      <w:szCs w:val="21"/>
                      <w:lang w:eastAsia="zh-CN"/>
                    </w:rPr>
                    <w:t>不属于条例中禁止投资建设的活动，不属于燃煤发电项目，不属于码头或过长江通道项目，不属于化工项目。</w:t>
                  </w:r>
                  <w:r>
                    <w:rPr>
                      <w:rFonts w:hint="eastAsia" w:ascii="Times New Roman" w:hAnsi="Times New Roman" w:eastAsia="宋体" w:cs="Times New Roman"/>
                      <w:color w:val="auto"/>
                      <w:kern w:val="0"/>
                      <w:sz w:val="21"/>
                      <w:szCs w:val="21"/>
                      <w:lang w:eastAsia="zh-CN"/>
                    </w:rPr>
                    <w:t>项目位于</w:t>
                  </w:r>
                  <w:r>
                    <w:rPr>
                      <w:rFonts w:hint="eastAsia" w:ascii="Times New Roman" w:hAnsi="Times New Roman" w:eastAsia="宋体" w:cs="Times New Roman"/>
                      <w:color w:val="auto"/>
                      <w:kern w:val="0"/>
                      <w:sz w:val="21"/>
                      <w:szCs w:val="21"/>
                    </w:rPr>
                    <w:t>江苏省常州市金坛区</w:t>
                  </w:r>
                  <w:r>
                    <w:rPr>
                      <w:rFonts w:hint="eastAsia" w:cs="Times New Roman"/>
                      <w:color w:val="auto"/>
                      <w:kern w:val="0"/>
                      <w:sz w:val="21"/>
                      <w:szCs w:val="21"/>
                      <w:lang w:val="en-US" w:eastAsia="zh-CN"/>
                    </w:rPr>
                    <w:t>洮西工业集中区中路1号</w:t>
                  </w:r>
                  <w:r>
                    <w:rPr>
                      <w:rFonts w:hint="eastAsia"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2"/>
                      <w:sz w:val="21"/>
                      <w:szCs w:val="21"/>
                      <w:lang w:eastAsia="zh-CN"/>
                    </w:rPr>
                    <w:t>不在自然保护区核心区、缓冲区岸线和河段范围内，不在国家级和省级风景名胜区核心景区岸线和河段范围内，</w:t>
                  </w:r>
                  <w:r>
                    <w:rPr>
                      <w:rFonts w:hint="eastAsia" w:ascii="Times New Roman" w:hAnsi="Times New Roman" w:eastAsia="宋体" w:cs="Times New Roman"/>
                      <w:color w:val="auto"/>
                      <w:kern w:val="0"/>
                      <w:sz w:val="21"/>
                      <w:szCs w:val="21"/>
                      <w:lang w:eastAsia="zh-CN"/>
                    </w:rPr>
                    <w:t>不在饮用水水源一级保护区、二级保护区、准保护区的岸线和河段范围内，</w:t>
                  </w:r>
                  <w:r>
                    <w:rPr>
                      <w:rFonts w:hint="eastAsia" w:ascii="Times New Roman" w:hAnsi="Times New Roman" w:eastAsia="宋体" w:cs="Times New Roman"/>
                      <w:color w:val="auto"/>
                      <w:kern w:val="2"/>
                      <w:sz w:val="21"/>
                      <w:szCs w:val="21"/>
                      <w:lang w:eastAsia="zh-CN"/>
                    </w:rPr>
                    <w:t>不在国家级和省级水产种质资源保护区的岸线和河段范围内，不在国家湿地公园的岸线和河段范围内。</w:t>
                  </w:r>
                  <w:r>
                    <w:rPr>
                      <w:rFonts w:hint="eastAsia" w:ascii="Times New Roman" w:hAnsi="Times New Roman" w:eastAsia="宋体" w:cs="Times New Roman"/>
                      <w:color w:val="auto"/>
                      <w:kern w:val="0"/>
                      <w:sz w:val="21"/>
                      <w:szCs w:val="21"/>
                      <w:lang w:eastAsia="zh-CN"/>
                    </w:rPr>
                    <w:t>本项目不涉及新设、改设或扩大排污口，不涉及生产性捕捞，不涉及尾矿库、冶炼渣库和磷石膏库建设。本项目能源主要为电源，不属于高耗能、高排放项目。</w:t>
                  </w:r>
                </w:p>
              </w:tc>
              <w:tc>
                <w:tcPr>
                  <w:tcW w:w="165" w:type="pct"/>
                  <w:noWrap w:val="0"/>
                  <w:vAlign w:val="center"/>
                </w:tcPr>
                <w:p w14:paraId="04EC46B9">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74998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3CC94453">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《关于做好生态环境和应急管理部门联动工作的意见》（苏环办</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2020</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101号）</w:t>
                  </w:r>
                </w:p>
              </w:tc>
              <w:tc>
                <w:tcPr>
                  <w:tcW w:w="2186" w:type="pct"/>
                  <w:noWrap w:val="0"/>
                  <w:vAlign w:val="center"/>
                </w:tcPr>
                <w:p w14:paraId="3F692448">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2020年3月，江苏省生态环境厅、江苏省应急管理厅联合发布了《关于做好生态环境和 应急管理部门联动工作的意见》（苏环办</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2020</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101 号），主要内容如下：建立项目源头审批联动机制。各级生态环境、应急管理部门应当建立建设项目环保和安全审批联动机制。要各自根据企业建设项目申请、审批情况，相互通报建设项目环保和安全信息，特别是涉及危险化学品的建设项目，必要时可以会商或联合审批，形成监管合力。建立危险废物监管联动机制。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生态环境部门依法对危险废物的收集、贮存、处置等进行监督管理。收到企业</w:t>
                  </w:r>
                  <w:r>
                    <w:rPr>
                      <w:rFonts w:hint="eastAsia" w:cs="Times New Roman"/>
                      <w:color w:val="auto"/>
                      <w:sz w:val="21"/>
                      <w:szCs w:val="21"/>
                      <w:lang w:eastAsia="zh-CN"/>
                    </w:rPr>
                    <w:t>废弃</w:t>
                  </w:r>
                  <w:r>
                    <w:rPr>
                      <w:rFonts w:hint="default" w:ascii="Times New Roman" w:hAnsi="Times New Roman" w:eastAsia="宋体" w:cs="Times New Roman"/>
                      <w:color w:val="auto"/>
                      <w:sz w:val="21"/>
                      <w:szCs w:val="21"/>
                    </w:rPr>
                    <w:t>危险化学品等危险废物管理计划后，对符合备案要求的，纳入危险废物管理。生态环境部门要</w:t>
                  </w:r>
                  <w:r>
                    <w:rPr>
                      <w:rFonts w:hint="eastAsia" w:ascii="Times New Roman" w:hAnsi="Times New Roman" w:eastAsia="宋体" w:cs="Times New Roman"/>
                      <w:color w:val="auto"/>
                      <w:sz w:val="21"/>
                      <w:szCs w:val="21"/>
                    </w:rPr>
                    <w:t>将</w:t>
                  </w:r>
                  <w:r>
                    <w:rPr>
                      <w:rFonts w:hint="default" w:ascii="Times New Roman" w:hAnsi="Times New Roman" w:eastAsia="宋体" w:cs="Times New Roman"/>
                      <w:color w:val="auto"/>
                      <w:sz w:val="21"/>
                      <w:szCs w:val="21"/>
                    </w:rPr>
                    <w:t>危险废物管理计划备案情况及时通报应急管理部门。应急管理部门负责督促企业加强安全生产工作，加强危险化学品企业中间产品、最终产品 以及拟废弃危险化学品的安全管理。生态环境部门对日常环境监管过程中发现的安全隐患线索，及时移送同级应急管理部门；应急管理部门接到生态环境部门移</w:t>
                  </w:r>
                  <w:r>
                    <w:rPr>
                      <w:rFonts w:hint="eastAsia" w:ascii="Times New Roman" w:hAnsi="Times New Roman" w:eastAsia="宋体" w:cs="Times New Roman"/>
                      <w:color w:val="auto"/>
                      <w:sz w:val="21"/>
                      <w:szCs w:val="21"/>
                      <w:lang w:eastAsia="zh-CN"/>
                    </w:rPr>
                    <w:t>送</w:t>
                  </w:r>
                  <w:r>
                    <w:rPr>
                      <w:rFonts w:hint="default" w:ascii="Times New Roman" w:hAnsi="Times New Roman" w:eastAsia="宋体" w:cs="Times New Roman"/>
                      <w:color w:val="auto"/>
                      <w:sz w:val="21"/>
                      <w:szCs w:val="21"/>
                    </w:rPr>
                    <w:t>安全隐患线索的函后，应组织现场核查，依法依规查处，并督促企业将隐患整改到位。对于涉及安全和环保标准要求存在不一致的，要及时会商，帮助企业解决。建立环境治理设施监管联动机制。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生态环境部门在上述六类环境治理设施的环评审批过程中，要督促企业开展安全风险辨识，并将已审批的环境治理设施项目及时通报应急管理部门。生态环境部门在日常环境监管中，将发现的安全隐患线索及时移</w:t>
                  </w:r>
                  <w:r>
                    <w:rPr>
                      <w:rFonts w:hint="eastAsia" w:ascii="Times New Roman" w:hAnsi="Times New Roman" w:eastAsia="宋体" w:cs="Times New Roman"/>
                      <w:color w:val="auto"/>
                      <w:sz w:val="21"/>
                      <w:szCs w:val="21"/>
                      <w:lang w:eastAsia="zh-CN"/>
                    </w:rPr>
                    <w:t>送</w:t>
                  </w:r>
                  <w:r>
                    <w:rPr>
                      <w:rFonts w:hint="default" w:ascii="Times New Roman" w:hAnsi="Times New Roman" w:eastAsia="宋体" w:cs="Times New Roman"/>
                      <w:color w:val="auto"/>
                      <w:sz w:val="21"/>
                      <w:szCs w:val="21"/>
                    </w:rPr>
                    <w:t>应急管理部门。应急管理部门要将上述六类环境治理设施纳入安全监管范围，推进企业安全生产标准化体系建设。对生态环境部门发现移送的安全隐患线索进行核查，督促企业进行整改，消除安全隐患。</w:t>
                  </w:r>
                </w:p>
              </w:tc>
              <w:tc>
                <w:tcPr>
                  <w:tcW w:w="1644" w:type="pct"/>
                  <w:noWrap w:val="0"/>
                  <w:vAlign w:val="center"/>
                </w:tcPr>
                <w:p w14:paraId="471877B9">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本项目将按照《省生态环境厅关于印发江苏省危险废物贮存规范化管理专项整治行动方案的通知</w:t>
                  </w:r>
                  <w:r>
                    <w:rPr>
                      <w:rFonts w:hint="eastAsia"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t>省生态环境厅关于进一步加强危险废物污染防治工作的实施意见》等要求规范危险废物产生、收集、贮存、运输、利用、处置。涉及粉尘等废气治理措施，应开展安全风险辨识管控；按《关于做好生态环境和应急管理部门联动工作的意见》要求，健全内部污染防治设施稳定运行和管理责任制度，严格依据标准规范建设环境治理设施，确保环境治理设施安全、稳定、有效运行。</w:t>
                  </w:r>
                </w:p>
              </w:tc>
              <w:tc>
                <w:tcPr>
                  <w:tcW w:w="165" w:type="pct"/>
                  <w:noWrap w:val="0"/>
                  <w:vAlign w:val="center"/>
                </w:tcPr>
                <w:p w14:paraId="4FE42543">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相符</w:t>
                  </w:r>
                </w:p>
              </w:tc>
            </w:tr>
            <w:tr w14:paraId="01336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4B39A634">
                  <w:pPr>
                    <w:keepNext w:val="0"/>
                    <w:keepLines w:val="0"/>
                    <w:widowControl/>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关于印发</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深入打好重污染天气消除、臭氧污染防治和柴油货车污染治理攻坚战行动方案</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的通知</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环大气〔2022〕68号</w:t>
                  </w:r>
                  <w:r>
                    <w:rPr>
                      <w:rFonts w:hint="eastAsia" w:ascii="Times New Roman" w:hAnsi="Times New Roman" w:cs="Times New Roman"/>
                      <w:color w:val="auto"/>
                      <w:sz w:val="21"/>
                      <w:szCs w:val="21"/>
                      <w:lang w:eastAsia="zh-CN"/>
                    </w:rPr>
                    <w:t>）</w:t>
                  </w:r>
                </w:p>
              </w:tc>
              <w:tc>
                <w:tcPr>
                  <w:tcW w:w="2186" w:type="pct"/>
                  <w:noWrap w:val="0"/>
                  <w:vAlign w:val="center"/>
                </w:tcPr>
                <w:p w14:paraId="1DA967A2">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三、推进重点工程</w:t>
                  </w:r>
                </w:p>
                <w:p w14:paraId="38D8B14E">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统筹大气污染防治与“双碳”目标要求，开展大气减污降碳协同增效行动，将标志性战役任务措施与降碳措施一体谋划、一体推进，优化调整产业、能源、运输结构，从源头减少大气污染物和碳排放。促进产业绿色转型升级，坚决遏制高耗能、高排放、低水平项目盲目发展，开展传统产业集群升级改造。推动能源清洁低碳转型，开展分散、低效煤炭综合治理。构建绿色交通运输体系，加快推进“公转铁”“公转水”，提高机动车船和非道路移动机械绿色低碳水平。强化挥发性有机物（VOCs）、氮氧化物等多污染物协同减排，以石化、化工、涂装、制药、包装印刷和油品储运销等为重点，加强VOCs源头、过程、末端全流程治理；持续推进钢铁行业超低排放改造，出台焦化、水泥行业超低排放改造方案；开展低效治理设施全面提升改造工程。严把治理工程质量，多措并举治理低价中标乱象，对工程质量低劣、环保设施运营管理水平低甚至存在弄虚作假行为的企业、环保公司和运维机构加大联合惩戒力度。统筹做好大气污染防治过程中安全防范工作。</w:t>
                  </w:r>
                </w:p>
              </w:tc>
              <w:tc>
                <w:tcPr>
                  <w:tcW w:w="1644" w:type="pct"/>
                  <w:noWrap w:val="0"/>
                  <w:vAlign w:val="center"/>
                </w:tcPr>
                <w:p w14:paraId="680A5449">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本项目采用清洁能源，不属于高耗能、高排放、低水平项目。</w:t>
                  </w:r>
                </w:p>
                <w:p w14:paraId="410E498E">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建设单位</w:t>
                  </w:r>
                  <w:r>
                    <w:rPr>
                      <w:rFonts w:hint="eastAsia" w:ascii="Times New Roman" w:hAnsi="Times New Roman" w:eastAsia="宋体" w:cs="Times New Roman"/>
                      <w:color w:val="auto"/>
                      <w:sz w:val="21"/>
                      <w:szCs w:val="21"/>
                      <w:lang w:val="en-US" w:eastAsia="zh-CN"/>
                    </w:rPr>
                    <w:t>生产过程中加强运行管理；产生的废气经布袋除尘器</w:t>
                  </w:r>
                  <w:r>
                    <w:rPr>
                      <w:rFonts w:hint="eastAsia" w:cs="Times New Roman"/>
                      <w:color w:val="auto"/>
                      <w:kern w:val="0"/>
                      <w:szCs w:val="21"/>
                      <w:lang w:eastAsia="zh-CN" w:bidi="ar"/>
                    </w:rPr>
                    <w:t>（</w:t>
                  </w:r>
                  <w:r>
                    <w:rPr>
                      <w:rFonts w:hint="eastAsia" w:cs="Times New Roman"/>
                      <w:color w:val="auto"/>
                      <w:kern w:val="0"/>
                      <w:szCs w:val="21"/>
                      <w:lang w:val="en-US" w:eastAsia="zh-CN" w:bidi="ar"/>
                    </w:rPr>
                    <w:t>喷石灰粉</w:t>
                  </w:r>
                  <w:r>
                    <w:rPr>
                      <w:rFonts w:hint="eastAsia" w:cs="Times New Roman"/>
                      <w:color w:val="auto"/>
                      <w:kern w:val="0"/>
                      <w:szCs w:val="21"/>
                      <w:lang w:eastAsia="zh-CN" w:bidi="ar"/>
                    </w:rPr>
                    <w:t>）</w:t>
                  </w:r>
                  <w:r>
                    <w:rPr>
                      <w:rFonts w:hint="eastAsia" w:ascii="Times New Roman" w:hAnsi="Times New Roman" w:eastAsia="宋体" w:cs="Times New Roman"/>
                      <w:color w:val="auto"/>
                      <w:sz w:val="21"/>
                      <w:szCs w:val="21"/>
                      <w:lang w:val="en-US" w:eastAsia="zh-CN"/>
                    </w:rPr>
                    <w:t>处理后达标排放</w:t>
                  </w:r>
                  <w:r>
                    <w:rPr>
                      <w:rFonts w:hint="eastAsia" w:ascii="Times New Roman" w:hAnsi="Times New Roman" w:eastAsia="宋体" w:cs="Times New Roman"/>
                      <w:color w:val="auto"/>
                      <w:sz w:val="21"/>
                      <w:szCs w:val="21"/>
                    </w:rPr>
                    <w:t>。</w:t>
                  </w:r>
                </w:p>
              </w:tc>
              <w:tc>
                <w:tcPr>
                  <w:tcW w:w="165" w:type="pct"/>
                  <w:noWrap w:val="0"/>
                  <w:vAlign w:val="center"/>
                </w:tcPr>
                <w:p w14:paraId="014DA2F0">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0B092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1C68DEAA">
                  <w:pPr>
                    <w:pStyle w:val="2"/>
                    <w:keepNext w:val="0"/>
                    <w:keepLines w:val="0"/>
                    <w:widowControl w:val="0"/>
                    <w:suppressLineNumbers w:val="0"/>
                    <w:snapToGrid/>
                    <w:spacing w:before="0" w:beforeAutospacing="0" w:after="0" w:afterAutospacing="0" w:line="240" w:lineRule="auto"/>
                    <w:ind w:left="0" w:right="0" w:right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《关于深入打好污染防治攻坚战的实施意见》</w:t>
                  </w:r>
                </w:p>
              </w:tc>
              <w:tc>
                <w:tcPr>
                  <w:tcW w:w="2186" w:type="pct"/>
                  <w:noWrap w:val="0"/>
                  <w:vAlign w:val="center"/>
                </w:tcPr>
                <w:p w14:paraId="76BAE7F7">
                  <w:pPr>
                    <w:keepNext w:val="0"/>
                    <w:keepLines w:val="0"/>
                    <w:suppressLineNumbers w:val="0"/>
                    <w:adjustRightInd w:val="0"/>
                    <w:snapToGrid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《实施意见》明确江苏深入打好污染防治攻坚战的主要目标：到2025年，全省生态环境质量持续改善，主要污染物排放总量持续下降，实现生态环境质量创优目标。其中，全省PM</w:t>
                  </w:r>
                  <w:r>
                    <w:rPr>
                      <w:rFonts w:hint="default" w:ascii="Times New Roman" w:hAnsi="Times New Roman" w:cs="Times New Roman"/>
                      <w:color w:val="auto"/>
                      <w:szCs w:val="21"/>
                      <w:vertAlign w:val="subscript"/>
                    </w:rPr>
                    <w:t>2.5</w:t>
                  </w:r>
                  <w:r>
                    <w:rPr>
                      <w:rFonts w:hint="default" w:ascii="Times New Roman" w:hAnsi="Times New Roman" w:cs="Times New Roman"/>
                      <w:color w:val="auto"/>
                      <w:szCs w:val="21"/>
                    </w:rPr>
                    <w:t>浓度降至30微克/立方米左右，优良天数比率达到82%以上；地表水国考断面水质优Ⅲ比例达90%以上，近岸海域水质优良（Ⅰ、Ⅱ类）比例达65%以上；受污染耕地安全利用率达到93%以上，重点建设用地安全利用得到有效保障。到2035年，广泛形成绿色生产生活方式，碳排放达峰后稳中有降，生态环境根本好转，建成美丽中国示范省。</w:t>
                  </w:r>
                </w:p>
                <w:p w14:paraId="359D59DB">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实施意见》要求我省从加快推动绿色高质量发展，打好蓝天、碧水、净土保卫战，提升生态环境治理体系和治理能力现代化水平等方面持续发力，同时还细化具体要求。在强化减污降碳协同增效方面，我省将实施绿色发展领军企业计划，打造一批绿色工厂、绿色园区、绿色产品等。到2025年，全省培育绿色工厂1000家，绿色发展领军企业达500家左右，培育绿色园区15个。到2025年，煤炭消费总量下降5%左右，煤炭占能源消费总量的比重降至50%左右。在深入打好蓝天保卫战方面，到2025年，全省重度及以上污染天数比率控制在0.2%以内。实施“绿色车轮”计划，城市建成区新增或替换的公交车实现新能源和清洁能源车辆占比达90%以上。在深入打好碧水保卫战方面，到2025年，长江干流水质稳定达到Ⅱ类。全面完成骨干河道和重点湖泊排污口排查整治。</w:t>
                  </w:r>
                </w:p>
              </w:tc>
              <w:tc>
                <w:tcPr>
                  <w:tcW w:w="1644" w:type="pct"/>
                  <w:noWrap w:val="0"/>
                  <w:vAlign w:val="center"/>
                </w:tcPr>
                <w:p w14:paraId="7786FFED">
                  <w:pPr>
                    <w:pStyle w:val="2"/>
                    <w:keepNext w:val="0"/>
                    <w:keepLines w:val="0"/>
                    <w:widowControl w:val="0"/>
                    <w:suppressLineNumbers w:val="0"/>
                    <w:snapToGrid/>
                    <w:spacing w:before="0" w:beforeAutospacing="0" w:after="0" w:afterAutospacing="0" w:line="240" w:lineRule="auto"/>
                    <w:ind w:left="0" w:right="0" w:rightChars="0"/>
                    <w:jc w:val="center"/>
                    <w:rPr>
                      <w:rFonts w:hint="eastAsia" w:ascii="Times New Roman" w:hAnsi="Times New Roman" w:cs="Times New Roman"/>
                      <w:color w:val="auto"/>
                      <w:kern w:val="0"/>
                      <w:sz w:val="21"/>
                      <w:szCs w:val="21"/>
                      <w:lang w:val="en-US" w:eastAsia="zh-CN" w:bidi="ar-SA"/>
                    </w:rPr>
                  </w:pPr>
                  <w:r>
                    <w:rPr>
                      <w:rFonts w:hint="default" w:ascii="Times New Roman" w:hAnsi="Times New Roman" w:cs="Times New Roman"/>
                      <w:color w:val="auto"/>
                      <w:sz w:val="21"/>
                      <w:szCs w:val="21"/>
                    </w:rPr>
                    <w:t>本项目生产过程中不使用煤为能源，采用电能为能源。本项目生产过程中产生废气主要为颗粒物</w:t>
                  </w:r>
                  <w:r>
                    <w:rPr>
                      <w:rFonts w:hint="eastAsia" w:cs="Times New Roman"/>
                      <w:color w:val="auto"/>
                      <w:sz w:val="21"/>
                      <w:szCs w:val="21"/>
                      <w:lang w:eastAsia="zh-CN"/>
                    </w:rPr>
                    <w:t>（</w:t>
                  </w:r>
                  <w:r>
                    <w:rPr>
                      <w:rFonts w:hint="eastAsia" w:cs="Times New Roman"/>
                      <w:color w:val="auto"/>
                      <w:sz w:val="21"/>
                      <w:szCs w:val="21"/>
                      <w:lang w:val="en-US" w:eastAsia="zh-CN"/>
                    </w:rPr>
                    <w:t>含</w:t>
                  </w:r>
                  <w:r>
                    <w:rPr>
                      <w:rFonts w:hint="eastAsia" w:cs="Times New Roman"/>
                      <w:color w:val="auto"/>
                      <w:sz w:val="21"/>
                      <w:szCs w:val="21"/>
                      <w:lang w:eastAsia="zh-CN"/>
                    </w:rPr>
                    <w:t>镍及其化合物、铬及其化合物）</w:t>
                  </w:r>
                  <w:r>
                    <w:rPr>
                      <w:rFonts w:hint="default" w:ascii="Times New Roman" w:hAnsi="Times New Roman" w:cs="Times New Roman"/>
                      <w:color w:val="auto"/>
                      <w:sz w:val="21"/>
                      <w:szCs w:val="21"/>
                    </w:rPr>
                    <w:t>，经处理后达标排放。本项目</w:t>
                  </w:r>
                  <w:r>
                    <w:rPr>
                      <w:rFonts w:hint="eastAsia" w:ascii="Times New Roman" w:hAnsi="Times New Roman" w:cs="Times New Roman"/>
                      <w:color w:val="auto"/>
                      <w:sz w:val="21"/>
                      <w:szCs w:val="21"/>
                      <w:lang w:val="en-US" w:eastAsia="zh-CN"/>
                    </w:rPr>
                    <w:t>不新增废（污）水排放。</w:t>
                  </w:r>
                  <w:r>
                    <w:rPr>
                      <w:rFonts w:hint="default" w:ascii="Times New Roman" w:hAnsi="Times New Roman" w:cs="Times New Roman"/>
                      <w:color w:val="auto"/>
                      <w:sz w:val="21"/>
                      <w:szCs w:val="21"/>
                    </w:rPr>
                    <w:t>项目各类固废均妥善处置，固废控制率达到100%。本项目不新增用地，不占用耕地和永久基本农田，本项目远离生态管控区域；与实施意见相符。</w:t>
                  </w:r>
                </w:p>
              </w:tc>
              <w:tc>
                <w:tcPr>
                  <w:tcW w:w="165" w:type="pct"/>
                  <w:noWrap w:val="0"/>
                  <w:vAlign w:val="center"/>
                </w:tcPr>
                <w:p w14:paraId="51C5038F">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相符</w:t>
                  </w:r>
                </w:p>
              </w:tc>
            </w:tr>
            <w:tr w14:paraId="5CE2FF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5D9372B0">
                  <w:pPr>
                    <w:pStyle w:val="2"/>
                    <w:keepNext w:val="0"/>
                    <w:keepLines w:val="0"/>
                    <w:widowControl w:val="0"/>
                    <w:suppressLineNumbers w:val="0"/>
                    <w:snapToGrid/>
                    <w:spacing w:before="0" w:beforeAutospacing="0" w:after="0" w:afterAutospacing="0" w:line="240" w:lineRule="auto"/>
                    <w:ind w:left="0" w:right="0" w:rightChars="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关于印发</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金坛区2024年二季度环境质量攻坚行动方案</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的通知</w:t>
                  </w:r>
                  <w:r>
                    <w:rPr>
                      <w:rFonts w:hint="eastAsia" w:ascii="Times New Roman" w:hAnsi="Times New Roman" w:cs="Times New Roman"/>
                      <w:color w:val="auto"/>
                      <w:sz w:val="21"/>
                      <w:szCs w:val="21"/>
                      <w:lang w:eastAsia="zh-CN"/>
                    </w:rPr>
                    <w:t>》（坛污防攻坚指办〔2024〕31号）</w:t>
                  </w:r>
                </w:p>
              </w:tc>
              <w:tc>
                <w:tcPr>
                  <w:tcW w:w="2186" w:type="pct"/>
                  <w:noWrap w:val="0"/>
                  <w:vAlign w:val="center"/>
                </w:tcPr>
                <w:p w14:paraId="6A7E40E4">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一、攻坚目标</w:t>
                  </w:r>
                </w:p>
                <w:p w14:paraId="248E196C">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（一）大气环境攻坚目标</w:t>
                  </w:r>
                </w:p>
                <w:p w14:paraId="10AAA7D7">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2024年二季度，全区PM</w:t>
                  </w:r>
                  <w:r>
                    <w:rPr>
                      <w:rFonts w:hint="eastAsia" w:ascii="Times New Roman" w:hAnsi="Times New Roman" w:cs="Times New Roman"/>
                      <w:color w:val="auto"/>
                      <w:sz w:val="21"/>
                      <w:szCs w:val="21"/>
                      <w:vertAlign w:val="subscript"/>
                    </w:rPr>
                    <w:t>2.5</w:t>
                  </w:r>
                  <w:r>
                    <w:rPr>
                      <w:rFonts w:hint="eastAsia" w:ascii="Times New Roman" w:hAnsi="Times New Roman" w:cs="Times New Roman"/>
                      <w:color w:val="auto"/>
                      <w:sz w:val="21"/>
                      <w:szCs w:val="21"/>
                    </w:rPr>
                    <w:t>浓度不超过23.1微克/立方米，同比下降5%，优良天数同比增加2天。</w:t>
                  </w:r>
                </w:p>
                <w:p w14:paraId="7768AF30">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重点攻坚站点：春风路站点一季度空气质量不佳，颗粒物污染严重。</w:t>
                  </w:r>
                </w:p>
                <w:p w14:paraId="07EE12F3">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（二）水环境攻坚目标</w:t>
                  </w:r>
                </w:p>
                <w:p w14:paraId="457EFCB2">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2024年二季度和上半年，国考断面优Ⅲ比例达80%，省考断面优Ⅲ比例达90.9%，市控断面优Ⅲ比例达100%，市控及以上断面无单月劣Ⅴ类；别桥断面水质稳定达到Ⅲ类。</w:t>
                  </w:r>
                </w:p>
                <w:p w14:paraId="0771C74C">
                  <w:pPr>
                    <w:pStyle w:val="2"/>
                    <w:keepNext w:val="0"/>
                    <w:keepLines w:val="0"/>
                    <w:widowControl w:val="0"/>
                    <w:suppressLineNumbers w:val="0"/>
                    <w:snapToGrid/>
                    <w:spacing w:before="0" w:beforeAutospacing="0" w:after="0" w:afterAutospacing="0" w:line="240" w:lineRule="auto"/>
                    <w:ind w:left="0" w:right="0" w:rightChars="0"/>
                    <w:jc w:val="left"/>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rPr>
                    <w:t>重点攻坚断面：一季度出现水质波动的1个国省考断面</w:t>
                  </w:r>
                  <w:r>
                    <w:rPr>
                      <w:rFonts w:hint="eastAsia" w:ascii="Times New Roman" w:hAnsi="Times New Roman" w:cs="Times New Roman"/>
                      <w:color w:val="auto"/>
                      <w:sz w:val="21"/>
                      <w:szCs w:val="21"/>
                      <w:lang w:eastAsia="zh-CN"/>
                    </w:rPr>
                    <w:t>。</w:t>
                  </w:r>
                </w:p>
                <w:p w14:paraId="5B044BF7">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二、攻坚举措</w:t>
                  </w:r>
                </w:p>
                <w:p w14:paraId="6218E489">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（一）治气攻坚重点</w:t>
                  </w:r>
                </w:p>
                <w:p w14:paraId="6E294FD6">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一是推进重点企业友好减排。对全区6家重点排放大户继续严格落实友好减排方案（含排放负荷、排放浓度、氨逃逸控制水平、停检修计划、管理措施等）。针对反弹波动明显的企业，逐个上门对接，切实压降排放总量与浓度，有异常情况第一时间调查处置，确保各项减排措施落到实处、发挥实效。二季度开始，重点大户安排专人驻厂监督，力争二季度所有列入友好减排清单企业排放总量同比下降。</w:t>
                  </w:r>
                </w:p>
                <w:p w14:paraId="71F1DFCC">
                  <w:pPr>
                    <w:pStyle w:val="2"/>
                    <w:keepNext w:val="0"/>
                    <w:keepLines w:val="0"/>
                    <w:widowControl w:val="0"/>
                    <w:suppressLineNumbers w:val="0"/>
                    <w:snapToGrid/>
                    <w:spacing w:before="0" w:beforeAutospacing="0" w:after="0" w:afterAutospacing="0" w:line="240" w:lineRule="auto"/>
                    <w:ind w:left="0" w:right="0"/>
                    <w:jc w:val="left"/>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w:t>
                  </w:r>
                </w:p>
                <w:p w14:paraId="3E67B7C0">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（二）治水攻坚重点</w:t>
                  </w:r>
                </w:p>
                <w:p w14:paraId="7BCC4D66">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一是开展重点断面提升攻坚。聚焦别桥重点攻坚断面，开展加密监测、预警分析、溯源排查，4月底前完成“一断面一策”整治方案，落实本质治污，短期内无法整治到位的，5月15日前落实应急管控措施。金城镇、指前镇围绕别桥断面上游开展丹金溧漕河水环境综合整治，结合城镇管网溯源排查发现问题开展管网检修新建，提升城镇污水收集处理能力。</w:t>
                  </w:r>
                </w:p>
                <w:p w14:paraId="2DA28DE0">
                  <w:pPr>
                    <w:pStyle w:val="2"/>
                    <w:keepNext w:val="0"/>
                    <w:keepLines w:val="0"/>
                    <w:widowControl w:val="0"/>
                    <w:suppressLineNumbers w:val="0"/>
                    <w:snapToGrid/>
                    <w:spacing w:before="0" w:beforeAutospacing="0" w:after="0" w:afterAutospacing="0" w:line="240" w:lineRule="auto"/>
                    <w:ind w:left="0" w:right="0"/>
                    <w:jc w:val="left"/>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w:t>
                  </w:r>
                </w:p>
                <w:p w14:paraId="29C5D780">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九是强化排查问题应急处置。根据排查出的问题清单，4月底前完善各类突发水污染事件应急处置预案和应急物资配备。一旦发生断面水质波动或突发水污染事件，要迅速启动应急响应，涉及跨行政区域的，上、下游地区要第一时间互通信息，严格落实属地管理责任和联防联控要求，有效控制影响范围。</w:t>
                  </w:r>
                </w:p>
              </w:tc>
              <w:tc>
                <w:tcPr>
                  <w:tcW w:w="1644" w:type="pct"/>
                  <w:noWrap w:val="0"/>
                  <w:vAlign w:val="center"/>
                </w:tcPr>
                <w:p w14:paraId="69F079AE">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本项目在不改变原有铸造产能的前提下进行技改，新增</w:t>
                  </w:r>
                  <w:r>
                    <w:rPr>
                      <w:rFonts w:hint="eastAsia" w:cs="Times New Roman"/>
                      <w:color w:val="auto"/>
                      <w:kern w:val="2"/>
                      <w:sz w:val="21"/>
                      <w:szCs w:val="21"/>
                      <w:lang w:val="en-US" w:eastAsia="zh-CN"/>
                    </w:rPr>
                    <w:t>电渣重熔</w:t>
                  </w:r>
                  <w:r>
                    <w:rPr>
                      <w:rFonts w:hint="eastAsia" w:ascii="Times New Roman" w:hAnsi="Times New Roman" w:eastAsia="宋体" w:cs="Times New Roman"/>
                      <w:color w:val="auto"/>
                      <w:kern w:val="2"/>
                      <w:sz w:val="21"/>
                      <w:szCs w:val="21"/>
                      <w:lang w:val="en-US" w:eastAsia="zh-CN"/>
                    </w:rPr>
                    <w:t>提升产品质量，同时改善安全和环保措施，且技改后不新增废（污）水排放；项目不涉及挥发性原辅料使用。与环境质量攻坚行动方案相符。</w:t>
                  </w:r>
                </w:p>
                <w:p w14:paraId="38393832">
                  <w:pPr>
                    <w:pStyle w:val="2"/>
                    <w:keepNext w:val="0"/>
                    <w:keepLines w:val="0"/>
                    <w:widowControl w:val="0"/>
                    <w:suppressLineNumbers w:val="0"/>
                    <w:snapToGrid/>
                    <w:spacing w:before="0" w:beforeAutospacing="0" w:after="0" w:afterAutospacing="0" w:line="240" w:lineRule="auto"/>
                    <w:ind w:left="0" w:right="0" w:rightChars="0"/>
                    <w:jc w:val="center"/>
                    <w:rPr>
                      <w:rFonts w:hint="default" w:ascii="Times New Roman" w:hAnsi="Times New Roman" w:eastAsia="宋体" w:cs="Times New Roman"/>
                      <w:color w:val="auto"/>
                      <w:sz w:val="21"/>
                      <w:szCs w:val="21"/>
                      <w:lang w:val="en-US" w:eastAsia="zh-CN"/>
                    </w:rPr>
                  </w:pPr>
                </w:p>
              </w:tc>
              <w:tc>
                <w:tcPr>
                  <w:tcW w:w="165" w:type="pct"/>
                  <w:noWrap w:val="0"/>
                  <w:vAlign w:val="center"/>
                </w:tcPr>
                <w:p w14:paraId="4B70DEC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相符</w:t>
                  </w:r>
                </w:p>
              </w:tc>
            </w:tr>
            <w:tr w14:paraId="59E58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noWrap w:val="0"/>
                  <w:vAlign w:val="center"/>
                </w:tcPr>
                <w:p w14:paraId="0DEDBF83">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江苏省生态环境保护条例</w:t>
                  </w:r>
                  <w:r>
                    <w:rPr>
                      <w:rFonts w:hint="eastAsia" w:ascii="Times New Roman" w:hAnsi="Times New Roman" w:cs="Times New Roman"/>
                      <w:color w:val="auto"/>
                      <w:sz w:val="21"/>
                      <w:szCs w:val="21"/>
                      <w:lang w:eastAsia="zh-CN"/>
                    </w:rPr>
                    <w:t>》（2024年3月27日江苏省十四届人大常委会第八次会议</w:t>
                  </w:r>
                  <w:r>
                    <w:rPr>
                      <w:rFonts w:hint="eastAsia" w:ascii="Times New Roman" w:hAnsi="Times New Roman" w:cs="Times New Roman"/>
                      <w:color w:val="auto"/>
                      <w:sz w:val="21"/>
                      <w:szCs w:val="21"/>
                      <w:lang w:val="en-US" w:eastAsia="zh-CN"/>
                    </w:rPr>
                    <w:t>表决通过，自2024年6月5日起实施</w:t>
                  </w:r>
                  <w:r>
                    <w:rPr>
                      <w:rFonts w:hint="eastAsia" w:ascii="Times New Roman" w:hAnsi="Times New Roman" w:cs="Times New Roman"/>
                      <w:color w:val="auto"/>
                      <w:sz w:val="21"/>
                      <w:szCs w:val="21"/>
                      <w:lang w:eastAsia="zh-CN"/>
                    </w:rPr>
                    <w:t>）</w:t>
                  </w:r>
                </w:p>
              </w:tc>
              <w:tc>
                <w:tcPr>
                  <w:tcW w:w="2186" w:type="pct"/>
                  <w:noWrap w:val="0"/>
                  <w:vAlign w:val="center"/>
                </w:tcPr>
                <w:p w14:paraId="67430DD2">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第四十九条 排污单位应当采取有效措施防治环境污染，依法落实下列环境保护主体责任：</w:t>
                  </w:r>
                </w:p>
                <w:p w14:paraId="09E7D862">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（一）建立环境保护责任制度，明确责任机构或者人员、责任范围和考核要求等；</w:t>
                  </w:r>
                </w:p>
                <w:p w14:paraId="27705B58">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（二）组织制定环境保护制度和操作规程，开展环境保护教育培训；</w:t>
                  </w:r>
                </w:p>
                <w:p w14:paraId="5ACD2707">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（三）保障环境保护资金投入；</w:t>
                  </w:r>
                </w:p>
                <w:p w14:paraId="0A77C318">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（四）保证生产环节、环境管理、污染排放等符合环境保护法律、法规、规章以及标准的要求；</w:t>
                  </w:r>
                </w:p>
                <w:p w14:paraId="5559F459">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（五）披露环境信息；</w:t>
                  </w:r>
                </w:p>
                <w:p w14:paraId="5A57CFC6">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（六）法律、法规规定的其他环境保护责任。</w:t>
                  </w:r>
                </w:p>
                <w:p w14:paraId="18410373">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禁止通过暗管、渗井、渗坑、灌注、裂隙、溶洞、雨水排放口或者篡改、伪造监测数据，或者不正常运行防治污染设施等逃避监管的方式违法排放污染物。</w:t>
                  </w:r>
                </w:p>
                <w:p w14:paraId="44F15F95">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第五十条 本省依法实行排污许可管理制度。纳入排污许可管理的排污单位，应当依法申领排污许可证并按照排污许可证的要求排放污染物；未取得排污许可证的，不得排放污染物。</w:t>
                  </w:r>
                </w:p>
                <w:p w14:paraId="17E52691">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前款规定的排污单位因关闭、依法终止等原因终止排放污染物的，应当及时注销排污许可证。具体办法由省生态环境主管部门制定。</w:t>
                  </w:r>
                </w:p>
              </w:tc>
              <w:tc>
                <w:tcPr>
                  <w:tcW w:w="1644" w:type="pct"/>
                  <w:noWrap w:val="0"/>
                  <w:vAlign w:val="center"/>
                </w:tcPr>
                <w:p w14:paraId="33658328">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项目采取有效污染防治措施，生产过程中产生的</w:t>
                  </w:r>
                  <w:r>
                    <w:rPr>
                      <w:rFonts w:hint="eastAsia"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经布袋除尘器</w:t>
                  </w:r>
                  <w:r>
                    <w:rPr>
                      <w:rFonts w:hint="eastAsia" w:cs="Times New Roman"/>
                      <w:color w:val="auto"/>
                      <w:kern w:val="0"/>
                      <w:szCs w:val="21"/>
                      <w:lang w:eastAsia="zh-CN" w:bidi="ar"/>
                    </w:rPr>
                    <w:t>（</w:t>
                  </w:r>
                  <w:r>
                    <w:rPr>
                      <w:rFonts w:hint="eastAsia" w:cs="Times New Roman"/>
                      <w:color w:val="auto"/>
                      <w:kern w:val="0"/>
                      <w:szCs w:val="21"/>
                      <w:lang w:val="en-US" w:eastAsia="zh-CN" w:bidi="ar"/>
                    </w:rPr>
                    <w:t>喷石灰粉</w:t>
                  </w:r>
                  <w:r>
                    <w:rPr>
                      <w:rFonts w:hint="eastAsia" w:cs="Times New Roman"/>
                      <w:color w:val="auto"/>
                      <w:kern w:val="0"/>
                      <w:szCs w:val="21"/>
                      <w:lang w:eastAsia="zh-CN" w:bidi="ar"/>
                    </w:rPr>
                    <w:t>）</w:t>
                  </w:r>
                  <w:r>
                    <w:rPr>
                      <w:rFonts w:hint="eastAsia" w:ascii="Times New Roman" w:hAnsi="Times New Roman" w:eastAsia="宋体" w:cs="Times New Roman"/>
                      <w:color w:val="auto"/>
                      <w:sz w:val="21"/>
                      <w:szCs w:val="21"/>
                      <w:lang w:val="en-US" w:eastAsia="zh-CN"/>
                    </w:rPr>
                    <w:t>处理后达标排放；冷却水循环使用，不外排；不新增员工，不新增生活污水；</w:t>
                  </w:r>
                  <w:r>
                    <w:rPr>
                      <w:rFonts w:hint="default" w:ascii="Times New Roman" w:hAnsi="Times New Roman" w:cs="Times New Roman"/>
                      <w:color w:val="auto"/>
                      <w:sz w:val="21"/>
                      <w:szCs w:val="21"/>
                    </w:rPr>
                    <w:t>项目各类固废均妥善处置，固废控制率达到100%。</w:t>
                  </w:r>
                </w:p>
                <w:p w14:paraId="29715CA7">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设单位建立了环境保护责任制度，明确了责任人员、责任范围和考核要求等；应组织制定环境保护制度和操作规程，定期开展环境保护教育培训；定期对厂内环境保护措施等进行维护检查，确保污染物达标排放；按照排污许可证规定落实披露环境信息。</w:t>
                  </w:r>
                </w:p>
                <w:p w14:paraId="102DC040">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建设单位在运行过程中不得</w:t>
                  </w:r>
                  <w:r>
                    <w:rPr>
                      <w:rFonts w:hint="eastAsia" w:ascii="Times New Roman" w:hAnsi="Times New Roman" w:eastAsia="宋体" w:cs="Times New Roman"/>
                      <w:color w:val="auto"/>
                      <w:sz w:val="21"/>
                      <w:szCs w:val="21"/>
                    </w:rPr>
                    <w:t>通过暗管、渗井、渗坑、灌注、裂隙、溶洞、雨水排放口或者篡改、伪造监测数据，或者不正常运行防治污染设施等逃避监管的方式违法排放污染物</w:t>
                  </w:r>
                  <w:r>
                    <w:rPr>
                      <w:rFonts w:hint="eastAsia" w:ascii="Times New Roman" w:hAnsi="Times New Roman" w:eastAsia="宋体" w:cs="Times New Roman"/>
                      <w:color w:val="auto"/>
                      <w:sz w:val="21"/>
                      <w:szCs w:val="21"/>
                      <w:lang w:eastAsia="zh-CN"/>
                    </w:rPr>
                    <w:t>。</w:t>
                  </w:r>
                </w:p>
                <w:p w14:paraId="0477A2B9">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企业</w:t>
                  </w:r>
                  <w:r>
                    <w:rPr>
                      <w:rFonts w:hint="eastAsia" w:ascii="Times New Roman" w:hAnsi="Times New Roman" w:cs="Times New Roman"/>
                      <w:bCs/>
                      <w:color w:val="auto"/>
                      <w:kern w:val="2"/>
                      <w:sz w:val="21"/>
                      <w:szCs w:val="21"/>
                      <w:lang w:val="en-US" w:eastAsia="zh-CN"/>
                    </w:rPr>
                    <w:t>已取得</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排污许可证</w:t>
                  </w:r>
                  <w:r>
                    <w:rPr>
                      <w:rFonts w:hint="eastAsia" w:ascii="Times New Roman" w:hAnsi="Times New Roman" w:cs="Times New Roman"/>
                      <w:color w:val="auto"/>
                      <w:sz w:val="21"/>
                      <w:szCs w:val="21"/>
                    </w:rPr>
                    <w:t>》（登记编号</w:t>
                  </w:r>
                  <w:r>
                    <w:rPr>
                      <w:rFonts w:hint="eastAsia" w:ascii="Times New Roman" w:hAnsi="Times New Roman" w:cs="Times New Roman"/>
                      <w:color w:val="auto"/>
                      <w:sz w:val="21"/>
                      <w:szCs w:val="21"/>
                      <w:lang w:eastAsia="zh-CN"/>
                    </w:rPr>
                    <w:t>：</w:t>
                  </w:r>
                  <w:r>
                    <w:rPr>
                      <w:rFonts w:hint="eastAsia" w:cs="Times New Roman"/>
                      <w:color w:val="auto"/>
                      <w:sz w:val="21"/>
                      <w:szCs w:val="21"/>
                      <w:lang w:eastAsia="zh-CN"/>
                    </w:rPr>
                    <w:t>91320413MA1YNBQW2B001Q</w:t>
                  </w:r>
                  <w:r>
                    <w:rPr>
                      <w:rFonts w:hint="eastAsia" w:ascii="Times New Roman" w:hAnsi="Times New Roman" w:cs="Times New Roman"/>
                      <w:color w:val="auto"/>
                      <w:sz w:val="21"/>
                      <w:szCs w:val="21"/>
                    </w:rPr>
                    <w:t>）</w:t>
                  </w:r>
                  <w:r>
                    <w:rPr>
                      <w:rFonts w:hint="eastAsia" w:ascii="Times New Roman" w:hAnsi="Times New Roman" w:eastAsia="宋体" w:cs="Times New Roman"/>
                      <w:color w:val="auto"/>
                      <w:kern w:val="2"/>
                      <w:sz w:val="21"/>
                      <w:szCs w:val="21"/>
                      <w:lang w:val="en-US" w:eastAsia="zh-CN"/>
                    </w:rPr>
                    <w:t>，有效期限为2023年10月20日至2028年10月19日，待本项目建成后应及时进行排污许可证变更</w:t>
                  </w:r>
                  <w:r>
                    <w:rPr>
                      <w:rFonts w:hint="default" w:ascii="Times New Roman" w:hAnsi="Times New Roman" w:eastAsia="宋体" w:cs="Times New Roman"/>
                      <w:color w:val="auto"/>
                      <w:kern w:val="2"/>
                      <w:sz w:val="21"/>
                      <w:szCs w:val="21"/>
                      <w:lang w:val="zh-CN" w:eastAsia="zh-CN"/>
                    </w:rPr>
                    <w:t>，严格持证排污、按证排污并按排污许可证规定落实自行监测、记录报告、信息公开等要求。</w:t>
                  </w:r>
                </w:p>
              </w:tc>
              <w:tc>
                <w:tcPr>
                  <w:tcW w:w="165" w:type="pct"/>
                  <w:noWrap w:val="0"/>
                  <w:vAlign w:val="center"/>
                </w:tcPr>
                <w:p w14:paraId="4F145D63">
                  <w:pPr>
                    <w:keepNext w:val="0"/>
                    <w:keepLines w:val="0"/>
                    <w:suppressLineNumbers w:val="0"/>
                    <w:snapToGrid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2CF7E1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002" w:type="pct"/>
                  <w:vMerge w:val="restart"/>
                  <w:noWrap w:val="0"/>
                  <w:vAlign w:val="center"/>
                </w:tcPr>
                <w:p w14:paraId="455EA2BD">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《省生态环境厅关于印发〈江苏省固体废物全过程环境监管工作意见〉的通知》</w:t>
                  </w:r>
                  <w:r>
                    <w:rPr>
                      <w:rFonts w:hint="default" w:ascii="Times New Roman" w:hAnsi="Times New Roman" w:cs="Times New Roman"/>
                      <w:color w:val="auto"/>
                      <w:sz w:val="21"/>
                      <w:szCs w:val="21"/>
                    </w:rPr>
                    <w:t>苏环办</w:t>
                  </w:r>
                  <w:r>
                    <w:rPr>
                      <w:rFonts w:hint="eastAsia" w:ascii="Times New Roman" w:hAnsi="Times New Roman" w:cs="Times New Roman"/>
                      <w:color w:val="auto"/>
                      <w:sz w:val="21"/>
                      <w:szCs w:val="21"/>
                    </w:rPr>
                    <w:t>〔</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24</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号）</w:t>
                  </w:r>
                </w:p>
              </w:tc>
              <w:tc>
                <w:tcPr>
                  <w:tcW w:w="2186" w:type="pct"/>
                  <w:noWrap w:val="0"/>
                  <w:vAlign w:val="center"/>
                </w:tcPr>
                <w:p w14:paraId="0395F131">
                  <w:pPr>
                    <w:pStyle w:val="3"/>
                    <w:keepNext w:val="0"/>
                    <w:keepLines w:val="0"/>
                    <w:widowControl/>
                    <w:numPr>
                      <w:ilvl w:val="0"/>
                      <w:numId w:val="0"/>
                    </w:numPr>
                    <w:suppressLineNumbers w:val="0"/>
                    <w:spacing w:before="0" w:beforeAutospacing="0" w:after="0" w:afterAutospacing="0" w:line="240" w:lineRule="auto"/>
                    <w:ind w:left="0" w:right="0"/>
                    <w:rPr>
                      <w:rFonts w:hint="eastAsia" w:cs="Times New Roman"/>
                      <w:color w:val="auto"/>
                      <w:sz w:val="21"/>
                      <w:szCs w:val="21"/>
                      <w:lang w:val="en-US" w:eastAsia="zh-CN"/>
                    </w:rPr>
                  </w:pPr>
                  <w:r>
                    <w:rPr>
                      <w:rFonts w:hint="eastAsia" w:cs="Times New Roman"/>
                      <w:color w:val="auto"/>
                      <w:sz w:val="21"/>
                      <w:szCs w:val="21"/>
                      <w:lang w:val="en-US" w:eastAsia="zh-CN"/>
                    </w:rPr>
                    <w:t>与本项目相关的规定：</w:t>
                  </w:r>
                </w:p>
                <w:p w14:paraId="122671AC">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规范项目环评审批。建设项目环评要评价产生的固体废物种类、数量、来源和属性，论述贮存、转移和利用处置方式合规性、合理性，提出切实可行的污染防治对策措施。所有产物要按照以下五类属性给予明确并规范表述</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目标产物</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产品副产品</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鉴别属于产品</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符合国家、地方或行业标准</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、可定向用于特定用途按产品管理</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如符合团体标准</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、一般固体废物和危险废物。</w:t>
                  </w:r>
                </w:p>
                <w:p w14:paraId="509A0A2F">
                  <w:pPr>
                    <w:pStyle w:val="3"/>
                    <w:keepNext w:val="0"/>
                    <w:keepLines w:val="0"/>
                    <w:widowControl/>
                    <w:numPr>
                      <w:ilvl w:val="0"/>
                      <w:numId w:val="0"/>
                    </w:numPr>
                    <w:suppressLineNumbers w:val="0"/>
                    <w:spacing w:before="0" w:beforeAutospacing="0" w:after="0" w:afterAutospacing="0" w:line="240" w:lineRule="auto"/>
                    <w:ind w:left="0" w:right="0"/>
                    <w:rPr>
                      <w:rFonts w:hint="eastAsia" w:cs="Times New Roman"/>
                      <w:color w:val="auto"/>
                      <w:sz w:val="21"/>
                      <w:szCs w:val="21"/>
                      <w:lang w:eastAsia="zh-CN"/>
                    </w:rPr>
                  </w:pPr>
                  <w:r>
                    <w:rPr>
                      <w:rFonts w:hint="eastAsia" w:ascii="Times New Roman" w:hAnsi="Times New Roman" w:eastAsia="宋体" w:cs="Times New Roman"/>
                      <w:color w:val="auto"/>
                      <w:sz w:val="21"/>
                      <w:szCs w:val="21"/>
                    </w:rPr>
                    <w:t>不得将不符合GB34330、HJ1091等标准的产物认定为“再生产品”，不得出现“中间产物”“再生产物”等不规范表述，严禁以“副产品”名义逃避监管。不能排除危险特性的固体废物，须在环评文件中明确具体鉴别方案，鉴别前按危险废物管理，鉴别后根据结论按一般固废或危险废物管理。危险废物经营单位项目环评审批要点要与危险废物经营许可审查要求衔接一致。</w:t>
                  </w:r>
                </w:p>
              </w:tc>
              <w:tc>
                <w:tcPr>
                  <w:tcW w:w="1644" w:type="pct"/>
                  <w:noWrap w:val="0"/>
                  <w:vAlign w:val="center"/>
                </w:tcPr>
                <w:p w14:paraId="64EC03D5">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本次环评评价了产生的固体废物种类</w:t>
                  </w:r>
                  <w:r>
                    <w:rPr>
                      <w:rFonts w:hint="eastAsia" w:ascii="Times New Roman" w:hAnsi="Times New Roman" w:eastAsia="宋体" w:cs="Times New Roman"/>
                      <w:color w:val="auto"/>
                      <w:sz w:val="21"/>
                      <w:szCs w:val="21"/>
                    </w:rPr>
                    <w:t>、数量、来源和属性，论述</w:t>
                  </w:r>
                  <w:r>
                    <w:rPr>
                      <w:rFonts w:hint="eastAsia" w:cs="Times New Roman"/>
                      <w:color w:val="auto"/>
                      <w:sz w:val="21"/>
                      <w:szCs w:val="21"/>
                      <w:lang w:eastAsia="zh-CN"/>
                    </w:rPr>
                    <w:t>了</w:t>
                  </w:r>
                  <w:r>
                    <w:rPr>
                      <w:rFonts w:hint="eastAsia" w:ascii="Times New Roman" w:hAnsi="Times New Roman" w:eastAsia="宋体" w:cs="Times New Roman"/>
                      <w:color w:val="auto"/>
                      <w:sz w:val="21"/>
                      <w:szCs w:val="21"/>
                    </w:rPr>
                    <w:t>贮存、转移和利用处置方式</w:t>
                  </w:r>
                  <w:r>
                    <w:rPr>
                      <w:rFonts w:hint="eastAsia" w:cs="Times New Roman"/>
                      <w:color w:val="auto"/>
                      <w:sz w:val="21"/>
                      <w:szCs w:val="21"/>
                      <w:lang w:val="en-US" w:eastAsia="zh-CN"/>
                    </w:rPr>
                    <w:t>的</w:t>
                  </w:r>
                  <w:r>
                    <w:rPr>
                      <w:rFonts w:hint="eastAsia" w:ascii="Times New Roman" w:hAnsi="Times New Roman" w:eastAsia="宋体" w:cs="Times New Roman"/>
                      <w:color w:val="auto"/>
                      <w:sz w:val="21"/>
                      <w:szCs w:val="21"/>
                    </w:rPr>
                    <w:t>合规性、合理性，提出</w:t>
                  </w:r>
                  <w:r>
                    <w:rPr>
                      <w:rFonts w:hint="eastAsia" w:cs="Times New Roman"/>
                      <w:color w:val="auto"/>
                      <w:sz w:val="21"/>
                      <w:szCs w:val="21"/>
                      <w:lang w:eastAsia="zh-CN"/>
                    </w:rPr>
                    <w:t>了</w:t>
                  </w:r>
                  <w:r>
                    <w:rPr>
                      <w:rFonts w:hint="eastAsia" w:ascii="Times New Roman" w:hAnsi="Times New Roman" w:eastAsia="宋体" w:cs="Times New Roman"/>
                      <w:color w:val="auto"/>
                      <w:sz w:val="21"/>
                      <w:szCs w:val="21"/>
                    </w:rPr>
                    <w:t>切实可行的污染防治对策措施</w:t>
                  </w:r>
                  <w:r>
                    <w:rPr>
                      <w:rFonts w:hint="eastAsia" w:cs="Times New Roman"/>
                      <w:color w:val="auto"/>
                      <w:sz w:val="21"/>
                      <w:szCs w:val="21"/>
                      <w:lang w:eastAsia="zh-CN"/>
                    </w:rPr>
                    <w:t>。</w:t>
                  </w:r>
                  <w:r>
                    <w:rPr>
                      <w:rFonts w:hint="eastAsia" w:cs="Times New Roman"/>
                      <w:color w:val="auto"/>
                      <w:sz w:val="21"/>
                      <w:szCs w:val="21"/>
                      <w:lang w:val="en-US" w:eastAsia="zh-CN"/>
                    </w:rPr>
                    <w:t>明确并规范描述了项目生产过程中产生的一般固体废物和危险废物。项目不涉及中间产物、再生产物、副产品。</w:t>
                  </w:r>
                </w:p>
              </w:tc>
              <w:tc>
                <w:tcPr>
                  <w:tcW w:w="165" w:type="pct"/>
                  <w:vMerge w:val="restart"/>
                  <w:noWrap w:val="0"/>
                  <w:vAlign w:val="center"/>
                </w:tcPr>
                <w:p w14:paraId="5254D54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1FA88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002" w:type="pct"/>
                  <w:vMerge w:val="continue"/>
                  <w:noWrap w:val="0"/>
                  <w:vAlign w:val="center"/>
                </w:tcPr>
                <w:p w14:paraId="788C3D9B">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p>
              </w:tc>
              <w:tc>
                <w:tcPr>
                  <w:tcW w:w="2186" w:type="pct"/>
                  <w:noWrap w:val="0"/>
                  <w:vAlign w:val="center"/>
                </w:tcPr>
                <w:p w14:paraId="1E5545DC">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落实排污许可制度。企业要在排污许可管理系统中全面准确申报工业固体废物产生种类，以及贮存设施和利用处置等相关情况，并对其真实性负责。实际产生、转移、贮存和利用处置情况对照项目环评发生变动的</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要根据变动情况及时采取重新报批环评、纳入环境保护竣工验收等手续，并及时变更排污许可</w:t>
                  </w:r>
                  <w:r>
                    <w:rPr>
                      <w:rFonts w:hint="eastAsia" w:cs="Times New Roman"/>
                      <w:color w:val="auto"/>
                      <w:sz w:val="21"/>
                      <w:szCs w:val="21"/>
                      <w:lang w:eastAsia="zh-CN"/>
                    </w:rPr>
                    <w:t>。</w:t>
                  </w:r>
                </w:p>
              </w:tc>
              <w:tc>
                <w:tcPr>
                  <w:tcW w:w="1644" w:type="pct"/>
                  <w:noWrap w:val="0"/>
                  <w:vAlign w:val="center"/>
                </w:tcPr>
                <w:p w14:paraId="128925D0">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企业应落实排污许可制度，在</w:t>
                  </w:r>
                  <w:r>
                    <w:rPr>
                      <w:rFonts w:hint="eastAsia" w:ascii="Times New Roman" w:hAnsi="Times New Roman" w:eastAsia="宋体" w:cs="Times New Roman"/>
                      <w:color w:val="auto"/>
                      <w:sz w:val="21"/>
                      <w:szCs w:val="21"/>
                    </w:rPr>
                    <w:t>排污许可管理系统中全面准确申报工业固体废物产生种类，以及贮存设施和利用处置等相关情况，并对其真实性负责</w:t>
                  </w:r>
                  <w:r>
                    <w:rPr>
                      <w:rFonts w:hint="eastAsia" w:cs="Times New Roman"/>
                      <w:color w:val="auto"/>
                      <w:sz w:val="21"/>
                      <w:szCs w:val="21"/>
                      <w:lang w:eastAsia="zh-CN"/>
                    </w:rPr>
                    <w:t>。</w:t>
                  </w:r>
                  <w:r>
                    <w:rPr>
                      <w:rFonts w:hint="eastAsia" w:cs="Times New Roman"/>
                      <w:color w:val="auto"/>
                      <w:sz w:val="21"/>
                      <w:szCs w:val="21"/>
                      <w:lang w:val="en-US" w:eastAsia="zh-CN"/>
                    </w:rPr>
                    <w:t>本次属于技改项目，建设单位应对照本次环评中变动情况及环境保护竣工验收等手续，及时变更排污许可。</w:t>
                  </w:r>
                </w:p>
              </w:tc>
              <w:tc>
                <w:tcPr>
                  <w:tcW w:w="165" w:type="pct"/>
                  <w:vMerge w:val="continue"/>
                  <w:noWrap w:val="0"/>
                  <w:vAlign w:val="center"/>
                </w:tcPr>
                <w:p w14:paraId="525FD0C3">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6B0E6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002" w:type="pct"/>
                  <w:vMerge w:val="continue"/>
                  <w:noWrap w:val="0"/>
                  <w:vAlign w:val="center"/>
                </w:tcPr>
                <w:p w14:paraId="21AEC1C7">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p>
              </w:tc>
              <w:tc>
                <w:tcPr>
                  <w:tcW w:w="2186" w:type="pct"/>
                  <w:noWrap w:val="0"/>
                  <w:vAlign w:val="center"/>
                </w:tcPr>
                <w:p w14:paraId="2F486A2A">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cs="Times New Roman"/>
                      <w:color w:val="auto"/>
                      <w:sz w:val="21"/>
                      <w:szCs w:val="21"/>
                      <w:lang w:eastAsia="zh-CN"/>
                    </w:rPr>
                    <w:t>6、规范贮存管理要求。根据《危险废物贮存污染控制标准》（GB18597-2023），企业可根据实际情况选择采用危险废物贮存设施或贮存点两类方式进行贮存，符合相应的污染控制标准；不具备建设贮存设施条件、选用贮存点方式的，除符合国家关于贮存点控制要求外，还要执行《江苏省危险废物集中收集体系建设工作方案（试行）》（苏环办</w:t>
                  </w:r>
                  <w:r>
                    <w:rPr>
                      <w:rFonts w:hint="eastAsia" w:ascii="宋体" w:hAnsi="宋体" w:eastAsia="宋体" w:cs="宋体"/>
                      <w:color w:val="auto"/>
                      <w:sz w:val="21"/>
                      <w:szCs w:val="21"/>
                      <w:lang w:eastAsia="zh-CN"/>
                    </w:rPr>
                    <w:t>〔</w:t>
                  </w:r>
                  <w:r>
                    <w:rPr>
                      <w:rFonts w:hint="eastAsia" w:cs="Times New Roman"/>
                      <w:color w:val="auto"/>
                      <w:sz w:val="21"/>
                      <w:szCs w:val="21"/>
                      <w:lang w:eastAsia="zh-CN"/>
                    </w:rPr>
                    <w:t>2021</w:t>
                  </w:r>
                  <w:r>
                    <w:rPr>
                      <w:rFonts w:hint="eastAsia" w:ascii="宋体" w:hAnsi="宋体" w:eastAsia="宋体" w:cs="宋体"/>
                      <w:color w:val="auto"/>
                      <w:sz w:val="21"/>
                      <w:szCs w:val="21"/>
                      <w:lang w:eastAsia="zh-CN"/>
                    </w:rPr>
                    <w:t>〕</w:t>
                  </w:r>
                  <w:r>
                    <w:rPr>
                      <w:rFonts w:hint="eastAsia" w:cs="Times New Roman"/>
                      <w:color w:val="auto"/>
                      <w:sz w:val="21"/>
                      <w:szCs w:val="21"/>
                      <w:lang w:eastAsia="zh-CN"/>
                    </w:rPr>
                    <w:t>290号）中关于贮存周期和贮存量的要求，I级、Ⅱ级、III级危险废物贮存时间分别不得超过30天、60天、90天，最大贮存量不得超过1吨。</w:t>
                  </w:r>
                </w:p>
              </w:tc>
              <w:tc>
                <w:tcPr>
                  <w:tcW w:w="1644" w:type="pct"/>
                  <w:noWrap w:val="0"/>
                  <w:vAlign w:val="center"/>
                </w:tcPr>
                <w:p w14:paraId="713B3DC6">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企业按照</w:t>
                  </w:r>
                  <w:r>
                    <w:rPr>
                      <w:rFonts w:hint="eastAsia" w:cs="Times New Roman"/>
                      <w:color w:val="auto"/>
                      <w:sz w:val="21"/>
                      <w:szCs w:val="21"/>
                      <w:lang w:eastAsia="zh-CN"/>
                    </w:rPr>
                    <w:t>《危险废物贮存污染控制标准》（GB18597-2023）</w:t>
                  </w:r>
                  <w:r>
                    <w:rPr>
                      <w:rFonts w:hint="eastAsia" w:cs="Times New Roman"/>
                      <w:color w:val="auto"/>
                      <w:sz w:val="21"/>
                      <w:szCs w:val="21"/>
                      <w:lang w:val="en-US" w:eastAsia="zh-CN"/>
                    </w:rPr>
                    <w:t>建设</w:t>
                  </w:r>
                  <w:r>
                    <w:rPr>
                      <w:rFonts w:hint="eastAsia" w:ascii="Times New Roman" w:hAnsi="Times New Roman" w:cs="Times New Roman"/>
                      <w:color w:val="auto"/>
                      <w:sz w:val="21"/>
                      <w:szCs w:val="21"/>
                    </w:rPr>
                    <w:t>危废仓库</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面积20m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eastAsia="zh-CN"/>
                    </w:rPr>
                    <w:t>）</w:t>
                  </w:r>
                  <w:r>
                    <w:rPr>
                      <w:rFonts w:hint="eastAsia" w:cs="Times New Roman"/>
                      <w:color w:val="auto"/>
                      <w:sz w:val="21"/>
                      <w:szCs w:val="21"/>
                      <w:lang w:val="en-US" w:eastAsia="zh-CN"/>
                    </w:rPr>
                    <w:t>进行贮存，符合相应的污染控制标准。</w:t>
                  </w:r>
                </w:p>
              </w:tc>
              <w:tc>
                <w:tcPr>
                  <w:tcW w:w="165" w:type="pct"/>
                  <w:vMerge w:val="continue"/>
                  <w:noWrap w:val="0"/>
                  <w:vAlign w:val="center"/>
                </w:tcPr>
                <w:p w14:paraId="4E804BF4">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2139E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002" w:type="pct"/>
                  <w:vMerge w:val="continue"/>
                  <w:noWrap w:val="0"/>
                  <w:vAlign w:val="center"/>
                </w:tcPr>
                <w:p w14:paraId="5A52CC05">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p>
              </w:tc>
              <w:tc>
                <w:tcPr>
                  <w:tcW w:w="2186" w:type="pct"/>
                  <w:noWrap w:val="0"/>
                  <w:vAlign w:val="center"/>
                </w:tcPr>
                <w:p w14:paraId="5782F196">
                  <w:pPr>
                    <w:pStyle w:val="3"/>
                    <w:keepNext w:val="0"/>
                    <w:keepLines w:val="0"/>
                    <w:widowControl/>
                    <w:numPr>
                      <w:ilvl w:val="0"/>
                      <w:numId w:val="0"/>
                    </w:numPr>
                    <w:suppressLineNumbers w:val="0"/>
                    <w:spacing w:before="0" w:beforeAutospacing="0" w:after="0" w:afterAutospacing="0" w:line="240" w:lineRule="auto"/>
                    <w:ind w:left="0" w:right="0"/>
                    <w:rPr>
                      <w:rFonts w:hint="eastAsia" w:cs="Times New Roman"/>
                      <w:color w:val="auto"/>
                      <w:sz w:val="21"/>
                      <w:szCs w:val="21"/>
                      <w:lang w:eastAsia="zh-CN"/>
                    </w:rPr>
                  </w:pPr>
                  <w:r>
                    <w:rPr>
                      <w:rFonts w:hint="eastAsia" w:cs="Times New Roman"/>
                      <w:color w:val="auto"/>
                      <w:sz w:val="21"/>
                      <w:szCs w:val="21"/>
                      <w:lang w:eastAsia="zh-CN"/>
                    </w:rPr>
                    <w:t>8、强化转移过程管理。全面落实危险废物转移电子联单制</w:t>
                  </w:r>
                </w:p>
                <w:p w14:paraId="3A4A5B41">
                  <w:pPr>
                    <w:pStyle w:val="3"/>
                    <w:keepNext w:val="0"/>
                    <w:keepLines w:val="0"/>
                    <w:widowControl/>
                    <w:numPr>
                      <w:ilvl w:val="0"/>
                      <w:numId w:val="0"/>
                    </w:numPr>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rPr>
                  </w:pPr>
                  <w:r>
                    <w:rPr>
                      <w:rFonts w:hint="eastAsia" w:cs="Times New Roman"/>
                      <w:color w:val="auto"/>
                      <w:sz w:val="21"/>
                      <w:szCs w:val="21"/>
                      <w:lang w:eastAsia="zh-CN"/>
                    </w:rPr>
                    <w:t>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积极推行一般工业固体废物转移电子联单制度，优先选择环境风险较大的污泥、矿渣等固体废物试行。</w:t>
                  </w:r>
                </w:p>
              </w:tc>
              <w:tc>
                <w:tcPr>
                  <w:tcW w:w="1644" w:type="pct"/>
                  <w:noWrap w:val="0"/>
                  <w:vAlign w:val="center"/>
                </w:tcPr>
                <w:p w14:paraId="4042C0B0">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企业应强化转移过程管理，</w:t>
                  </w:r>
                  <w:r>
                    <w:rPr>
                      <w:rFonts w:hint="eastAsia" w:cs="Times New Roman"/>
                      <w:color w:val="auto"/>
                      <w:sz w:val="21"/>
                      <w:szCs w:val="21"/>
                      <w:lang w:eastAsia="zh-CN"/>
                    </w:rPr>
                    <w:t>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w:t>
                  </w:r>
                </w:p>
              </w:tc>
              <w:tc>
                <w:tcPr>
                  <w:tcW w:w="165" w:type="pct"/>
                  <w:vMerge w:val="continue"/>
                  <w:noWrap w:val="0"/>
                  <w:vAlign w:val="center"/>
                </w:tcPr>
                <w:p w14:paraId="7CF4AF5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8C5C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002" w:type="pct"/>
                  <w:vMerge w:val="continue"/>
                  <w:noWrap w:val="0"/>
                  <w:vAlign w:val="center"/>
                </w:tcPr>
                <w:p w14:paraId="6F701315">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p>
              </w:tc>
              <w:tc>
                <w:tcPr>
                  <w:tcW w:w="2186" w:type="pct"/>
                  <w:noWrap w:val="0"/>
                  <w:vAlign w:val="center"/>
                </w:tcPr>
                <w:p w14:paraId="7380C3D9">
                  <w:pPr>
                    <w:pStyle w:val="3"/>
                    <w:keepNext w:val="0"/>
                    <w:keepLines w:val="0"/>
                    <w:widowControl/>
                    <w:numPr>
                      <w:ilvl w:val="0"/>
                      <w:numId w:val="0"/>
                    </w:numPr>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eastAsia="zh-CN"/>
                    </w:rPr>
                    <w:t>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危废焚烧处置设施的单位要依法及时公开二燃室温度等工况运行指标以及污染物排放指标、浓度等有关信息，并联网至属地生态环境部门。危险废物经营单位应同步公开许可证、许可条件等全文信息。</w:t>
                  </w:r>
                </w:p>
              </w:tc>
              <w:tc>
                <w:tcPr>
                  <w:tcW w:w="1644" w:type="pct"/>
                  <w:noWrap w:val="0"/>
                  <w:vAlign w:val="center"/>
                </w:tcPr>
                <w:p w14:paraId="118BA19F">
                  <w:pPr>
                    <w:pStyle w:val="3"/>
                    <w:keepNext w:val="0"/>
                    <w:keepLines w:val="0"/>
                    <w:widowControl/>
                    <w:numPr>
                      <w:ilvl w:val="0"/>
                      <w:numId w:val="0"/>
                    </w:numPr>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企业应落实信息公开制度，在危废仓库</w:t>
                  </w:r>
                  <w:r>
                    <w:rPr>
                      <w:rFonts w:hint="eastAsia" w:cs="Times New Roman"/>
                      <w:color w:val="auto"/>
                      <w:sz w:val="21"/>
                      <w:szCs w:val="21"/>
                      <w:lang w:eastAsia="zh-CN"/>
                    </w:rPr>
                    <w:t>出入口、设施内部、危险废物运输车辆通道等关键位置设置视频监控并与中控室联网，通过设立公开栏、标志牌等方式，主动公开危险废物产生和利用处置等有关信息。</w:t>
                  </w:r>
                </w:p>
              </w:tc>
              <w:tc>
                <w:tcPr>
                  <w:tcW w:w="165" w:type="pct"/>
                  <w:vMerge w:val="continue"/>
                  <w:noWrap w:val="0"/>
                  <w:vAlign w:val="center"/>
                </w:tcPr>
                <w:p w14:paraId="0161C0E8">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25C7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002" w:type="pct"/>
                  <w:vMerge w:val="continue"/>
                  <w:noWrap w:val="0"/>
                  <w:vAlign w:val="center"/>
                </w:tcPr>
                <w:p w14:paraId="631531BE">
                  <w:pPr>
                    <w:keepNext w:val="0"/>
                    <w:keepLines w:val="0"/>
                    <w:widowControl/>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eastAsia="zh-CN"/>
                    </w:rPr>
                  </w:pPr>
                </w:p>
              </w:tc>
              <w:tc>
                <w:tcPr>
                  <w:tcW w:w="2186" w:type="pct"/>
                  <w:noWrap w:val="0"/>
                  <w:vAlign w:val="center"/>
                </w:tcPr>
                <w:p w14:paraId="14FF6113">
                  <w:pPr>
                    <w:pStyle w:val="3"/>
                    <w:keepNext w:val="0"/>
                    <w:keepLines w:val="0"/>
                    <w:widowControl/>
                    <w:numPr>
                      <w:ilvl w:val="0"/>
                      <w:numId w:val="0"/>
                    </w:numPr>
                    <w:suppressLineNumbers w:val="0"/>
                    <w:spacing w:before="0" w:beforeAutospacing="0" w:after="0" w:afterAutospacing="0" w:line="240" w:lineRule="auto"/>
                    <w:ind w:left="0" w:right="0"/>
                    <w:rPr>
                      <w:rFonts w:hint="eastAsia" w:cs="Times New Roman"/>
                      <w:color w:val="auto"/>
                      <w:sz w:val="21"/>
                      <w:szCs w:val="21"/>
                      <w:lang w:eastAsia="zh-CN"/>
                    </w:rPr>
                  </w:pPr>
                  <w:r>
                    <w:rPr>
                      <w:rFonts w:hint="eastAsia" w:cs="Times New Roman"/>
                      <w:color w:val="auto"/>
                      <w:sz w:val="21"/>
                      <w:szCs w:val="21"/>
                      <w:lang w:eastAsia="zh-CN"/>
                    </w:rPr>
                    <w:t>15、规范一般工业固废管理。企业需按照《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DB15/T 2763-2022）执行。</w:t>
                  </w:r>
                </w:p>
              </w:tc>
              <w:tc>
                <w:tcPr>
                  <w:tcW w:w="1644" w:type="pct"/>
                  <w:noWrap w:val="0"/>
                  <w:vAlign w:val="center"/>
                </w:tcPr>
                <w:p w14:paraId="4898FB6C">
                  <w:pPr>
                    <w:pStyle w:val="3"/>
                    <w:keepNext w:val="0"/>
                    <w:keepLines w:val="0"/>
                    <w:widowControl/>
                    <w:numPr>
                      <w:ilvl w:val="0"/>
                      <w:numId w:val="0"/>
                    </w:numPr>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企业应规范一般工业固废管理，按照</w:t>
                  </w:r>
                  <w:r>
                    <w:rPr>
                      <w:rFonts w:hint="eastAsia" w:cs="Times New Roman"/>
                      <w:color w:val="auto"/>
                      <w:sz w:val="21"/>
                      <w:szCs w:val="21"/>
                      <w:lang w:eastAsia="zh-CN"/>
                    </w:rPr>
                    <w:t>《一般工业固体废物管理台账制定指南（试行）》（生态环境部2021年第82号公告）要求，建立一般工业固废台账，污泥、矿渣等同时还需在固废管理信息系统申报，电子台账已有内容，不再另外制作纸质台账。</w:t>
                  </w:r>
                </w:p>
              </w:tc>
              <w:tc>
                <w:tcPr>
                  <w:tcW w:w="165" w:type="pct"/>
                  <w:vMerge w:val="continue"/>
                  <w:noWrap w:val="0"/>
                  <w:vAlign w:val="center"/>
                </w:tcPr>
                <w:p w14:paraId="754A09E3">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DC14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pct"/>
                  <w:vMerge w:val="restart"/>
                  <w:noWrap w:val="0"/>
                  <w:vAlign w:val="center"/>
                </w:tcPr>
                <w:p w14:paraId="0421031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1"/>
                      <w:szCs w:val="21"/>
                      <w:shd w:val="clear" w:color="auto" w:fill="FFFFFF"/>
                    </w:rPr>
                    <w:t>《铸造企业规范条件》</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T/CFA0310021</w:t>
                  </w:r>
                  <w:r>
                    <w:rPr>
                      <w:rFonts w:hint="eastAsia" w:ascii="Times New Roman" w:hAnsi="Times New Roman" w:eastAsia="宋体" w:cs="Times New Roman"/>
                      <w:i w:val="0"/>
                      <w:iCs w:val="0"/>
                      <w:caps w:val="0"/>
                      <w:color w:val="auto"/>
                      <w:spacing w:val="0"/>
                      <w:sz w:val="21"/>
                      <w:szCs w:val="21"/>
                      <w:shd w:val="clear" w:color="auto" w:fill="FFFFFF"/>
                      <w:lang w:val="en-US" w:eastAsia="zh-CN"/>
                    </w:rPr>
                    <w:t>-</w:t>
                  </w:r>
                  <w:r>
                    <w:rPr>
                      <w:rFonts w:hint="default" w:ascii="Times New Roman" w:hAnsi="Times New Roman" w:eastAsia="宋体" w:cs="Times New Roman"/>
                      <w:i w:val="0"/>
                      <w:iCs w:val="0"/>
                      <w:caps w:val="0"/>
                      <w:color w:val="auto"/>
                      <w:spacing w:val="0"/>
                      <w:sz w:val="21"/>
                      <w:szCs w:val="21"/>
                      <w:shd w:val="clear" w:color="auto" w:fill="FFFFFF"/>
                    </w:rPr>
                    <w:t>20</w:t>
                  </w:r>
                  <w:r>
                    <w:rPr>
                      <w:rFonts w:hint="eastAsia" w:ascii="Times New Roman" w:hAnsi="Times New Roman" w:eastAsia="宋体" w:cs="Times New Roman"/>
                      <w:i w:val="0"/>
                      <w:iCs w:val="0"/>
                      <w:caps w:val="0"/>
                      <w:color w:val="auto"/>
                      <w:spacing w:val="0"/>
                      <w:sz w:val="21"/>
                      <w:szCs w:val="21"/>
                      <w:shd w:val="clear" w:color="auto" w:fill="FFFFFF"/>
                      <w:lang w:val="en-US" w:eastAsia="zh-CN"/>
                    </w:rPr>
                    <w:t>23</w:t>
                  </w:r>
                  <w:r>
                    <w:rPr>
                      <w:rFonts w:hint="eastAsia" w:ascii="Times New Roman" w:hAnsi="Times New Roman" w:eastAsia="宋体" w:cs="Times New Roman"/>
                      <w:i w:val="0"/>
                      <w:iCs w:val="0"/>
                      <w:caps w:val="0"/>
                      <w:color w:val="auto"/>
                      <w:spacing w:val="0"/>
                      <w:sz w:val="21"/>
                      <w:szCs w:val="21"/>
                      <w:shd w:val="clear" w:color="auto" w:fill="FFFFFF"/>
                      <w:lang w:eastAsia="zh-CN"/>
                    </w:rPr>
                    <w:t>）</w:t>
                  </w:r>
                </w:p>
              </w:tc>
              <w:tc>
                <w:tcPr>
                  <w:tcW w:w="2186" w:type="pct"/>
                  <w:noWrap w:val="0"/>
                  <w:vAlign w:val="center"/>
                </w:tcPr>
                <w:p w14:paraId="5D61BA4C">
                  <w:pPr>
                    <w:pStyle w:val="2"/>
                    <w:keepNext w:val="0"/>
                    <w:keepLines w:val="0"/>
                    <w:suppressLineNumbers w:val="0"/>
                    <w:spacing w:before="0" w:beforeAutospacing="0" w:after="0" w:afterAutospacing="0" w:line="240" w:lineRule="auto"/>
                    <w:ind w:left="0" w:right="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4建设条件与布局：</w:t>
                  </w:r>
                </w:p>
                <w:p w14:paraId="005C782C">
                  <w:pPr>
                    <w:pStyle w:val="2"/>
                    <w:keepNext w:val="0"/>
                    <w:keepLines w:val="0"/>
                    <w:suppressLineNumbers w:val="0"/>
                    <w:spacing w:before="0" w:beforeAutospacing="0" w:after="0" w:afterAutospacing="0" w:line="240" w:lineRule="auto"/>
                    <w:ind w:left="0" w:right="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4.1企业的布局及厂址的确定应符合国家相关法律法规、产业政策以及各地方政府装备制造业和铸造行业的总体规划要求。</w:t>
                  </w:r>
                </w:p>
                <w:p w14:paraId="53474A17">
                  <w:pPr>
                    <w:pStyle w:val="2"/>
                    <w:keepNext w:val="0"/>
                    <w:keepLines w:val="0"/>
                    <w:suppressLineNumbers w:val="0"/>
                    <w:spacing w:before="0" w:beforeAutospacing="0" w:after="0" w:afterAutospacing="0" w:line="240" w:lineRule="auto"/>
                    <w:ind w:left="0" w:right="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4.2企业生产场所应依法取得土地使用权并符合土地使用性质。</w:t>
                  </w:r>
                </w:p>
                <w:p w14:paraId="5C1F2BE3">
                  <w:pPr>
                    <w:pStyle w:val="2"/>
                    <w:keepNext w:val="0"/>
                    <w:keepLines w:val="0"/>
                    <w:suppressLineNumbers w:val="0"/>
                    <w:spacing w:before="0" w:beforeAutospacing="0" w:after="0" w:afterAutospacing="0" w:line="240" w:lineRule="auto"/>
                    <w:ind w:left="0" w:right="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4.3环保重点区域新建或改造升级铸造项目建设应严格执行工业和信息化部办公厅、发展改革委办公厅和生态环境部办公厅联合发布的《关于重点区域严禁新增铸造产能的通知》。</w:t>
                  </w:r>
                </w:p>
              </w:tc>
              <w:tc>
                <w:tcPr>
                  <w:tcW w:w="1644" w:type="pct"/>
                  <w:noWrap w:val="0"/>
                  <w:vAlign w:val="center"/>
                </w:tcPr>
                <w:p w14:paraId="18CE7CB6">
                  <w:pPr>
                    <w:pStyle w:val="2"/>
                    <w:keepNext w:val="0"/>
                    <w:keepLines w:val="0"/>
                    <w:suppressLineNumbers w:val="0"/>
                    <w:snapToGrid/>
                    <w:spacing w:before="0" w:beforeAutospacing="0" w:after="0" w:afterAutospacing="0" w:line="240" w:lineRule="auto"/>
                    <w:ind w:left="0" w:right="0"/>
                    <w:jc w:val="left"/>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本项目位于常州市金坛区</w:t>
                  </w:r>
                  <w:r>
                    <w:rPr>
                      <w:rFonts w:hint="eastAsia" w:cs="Times New Roman"/>
                      <w:bCs/>
                      <w:color w:val="auto"/>
                      <w:kern w:val="2"/>
                      <w:sz w:val="21"/>
                      <w:szCs w:val="21"/>
                      <w:lang w:val="en-US" w:eastAsia="zh-CN"/>
                    </w:rPr>
                    <w:t>洮西工业集中区中路1号</w:t>
                  </w:r>
                  <w:r>
                    <w:rPr>
                      <w:rFonts w:hint="eastAsia" w:ascii="Times New Roman" w:hAnsi="Times New Roman" w:cs="Times New Roman"/>
                      <w:bCs/>
                      <w:color w:val="auto"/>
                      <w:kern w:val="2"/>
                      <w:sz w:val="21"/>
                      <w:szCs w:val="21"/>
                      <w:lang w:val="en-US" w:eastAsia="zh-CN"/>
                    </w:rPr>
                    <w:t>，属于指前现代产业园规划范围内，与园区规划相符；</w:t>
                  </w:r>
                </w:p>
                <w:p w14:paraId="21140A83">
                  <w:pPr>
                    <w:pStyle w:val="2"/>
                    <w:keepNext w:val="0"/>
                    <w:keepLines w:val="0"/>
                    <w:suppressLineNumbers w:val="0"/>
                    <w:snapToGrid/>
                    <w:spacing w:before="0" w:beforeAutospacing="0" w:after="0" w:afterAutospacing="0" w:line="240" w:lineRule="auto"/>
                    <w:ind w:left="0" w:right="0"/>
                    <w:jc w:val="left"/>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企业土地证用地性质为工业用地，且</w:t>
                  </w:r>
                  <w:r>
                    <w:rPr>
                      <w:rFonts w:hint="default" w:ascii="Times New Roman" w:hAnsi="Times New Roman" w:cs="Times New Roman"/>
                      <w:bCs/>
                      <w:color w:val="auto"/>
                      <w:kern w:val="2"/>
                      <w:sz w:val="21"/>
                      <w:szCs w:val="21"/>
                      <w:lang w:val="en-US" w:eastAsia="zh-CN"/>
                    </w:rPr>
                    <w:t>根据《江苏省金坛经济开发区指前现代产业园常州市金坛区指前产业新镇控制性详细规划（修编）》，本项目为规划</w:t>
                  </w:r>
                  <w:r>
                    <w:rPr>
                      <w:rFonts w:hint="eastAsia" w:cs="Times New Roman"/>
                      <w:bCs/>
                      <w:color w:val="auto"/>
                      <w:kern w:val="2"/>
                      <w:sz w:val="21"/>
                      <w:szCs w:val="21"/>
                      <w:lang w:val="en-US" w:eastAsia="zh-CN"/>
                    </w:rPr>
                    <w:t>一</w:t>
                  </w:r>
                  <w:r>
                    <w:rPr>
                      <w:rFonts w:hint="default" w:ascii="Times New Roman" w:hAnsi="Times New Roman" w:cs="Times New Roman"/>
                      <w:bCs/>
                      <w:color w:val="auto"/>
                      <w:kern w:val="2"/>
                      <w:sz w:val="21"/>
                      <w:szCs w:val="21"/>
                      <w:lang w:val="en-US" w:eastAsia="zh-CN"/>
                    </w:rPr>
                    <w:t>类工业用地</w:t>
                  </w:r>
                  <w:r>
                    <w:rPr>
                      <w:rFonts w:hint="eastAsia" w:ascii="Times New Roman" w:hAnsi="Times New Roman" w:cs="Times New Roman"/>
                      <w:bCs/>
                      <w:color w:val="auto"/>
                      <w:kern w:val="2"/>
                      <w:sz w:val="21"/>
                      <w:szCs w:val="21"/>
                      <w:lang w:val="en-US" w:eastAsia="zh-CN"/>
                    </w:rPr>
                    <w:t>。</w:t>
                  </w:r>
                </w:p>
                <w:p w14:paraId="1F5DE125">
                  <w:pPr>
                    <w:pStyle w:val="2"/>
                    <w:keepNext w:val="0"/>
                    <w:keepLines w:val="0"/>
                    <w:suppressLineNumbers w:val="0"/>
                    <w:snapToGrid/>
                    <w:spacing w:before="0" w:beforeAutospacing="0" w:after="0" w:afterAutospacing="0" w:line="240" w:lineRule="auto"/>
                    <w:ind w:left="0" w:right="0"/>
                    <w:jc w:val="left"/>
                    <w:rPr>
                      <w:rFonts w:hint="eastAsia" w:ascii="Times New Roman" w:hAnsi="Times New Roman" w:eastAsia="宋体"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本次技改项目于2025年5月27日取得江苏省金坛区工业和信息化局《江苏省投资项目备案证》（备案证号：坛工信备〔2025〕49号，项目代码：2505-320413-07-02-173474）</w:t>
                  </w:r>
                  <w:r>
                    <w:rPr>
                      <w:rFonts w:hint="eastAsia" w:ascii="Times New Roman" w:hAnsi="Times New Roman" w:cs="Times New Roman"/>
                      <w:color w:val="auto"/>
                      <w:sz w:val="21"/>
                      <w:szCs w:val="21"/>
                      <w:lang w:eastAsia="zh-CN"/>
                    </w:rPr>
                    <w:t>。</w:t>
                  </w:r>
                </w:p>
              </w:tc>
              <w:tc>
                <w:tcPr>
                  <w:tcW w:w="165" w:type="pct"/>
                  <w:noWrap w:val="0"/>
                  <w:vAlign w:val="center"/>
                </w:tcPr>
                <w:p w14:paraId="01E91FB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1FA68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4A87BB82">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2702D5F0">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5企业规模：</w:t>
                  </w:r>
                </w:p>
                <w:p w14:paraId="36E2513A">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5.1艺术铸造企业规模不设立指标要求。</w:t>
                  </w:r>
                </w:p>
                <w:p w14:paraId="6246C210">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5.2现有企业及新（改、扩）建企业上一年度（或近三年）其最高销售收入应不低于下表的规定要求。</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211"/>
                    <w:gridCol w:w="2365"/>
                  </w:tblGrid>
                  <w:tr w14:paraId="3A0D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835" w:type="pct"/>
                        <w:vMerge w:val="restart"/>
                        <w:noWrap w:val="0"/>
                        <w:vAlign w:val="center"/>
                      </w:tcPr>
                      <w:p w14:paraId="3A19C4CC">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铸件材质</w:t>
                        </w:r>
                      </w:p>
                    </w:tc>
                    <w:tc>
                      <w:tcPr>
                        <w:tcW w:w="4164" w:type="pct"/>
                        <w:gridSpan w:val="2"/>
                        <w:noWrap w:val="0"/>
                        <w:vAlign w:val="center"/>
                      </w:tcPr>
                      <w:p w14:paraId="4EA08D6A">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现有企业</w:t>
                        </w:r>
                      </w:p>
                    </w:tc>
                  </w:tr>
                  <w:tr w14:paraId="2216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35" w:type="pct"/>
                        <w:vMerge w:val="continue"/>
                        <w:noWrap w:val="0"/>
                        <w:vAlign w:val="center"/>
                      </w:tcPr>
                      <w:p w14:paraId="30EF61F0">
                        <w:pPr>
                          <w:pStyle w:val="2"/>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vertAlign w:val="baseline"/>
                            <w:lang w:val="en-US" w:eastAsia="zh-CN"/>
                          </w:rPr>
                        </w:pPr>
                      </w:p>
                    </w:tc>
                    <w:tc>
                      <w:tcPr>
                        <w:tcW w:w="2012" w:type="pct"/>
                        <w:noWrap w:val="0"/>
                        <w:vAlign w:val="center"/>
                      </w:tcPr>
                      <w:p w14:paraId="3596A080">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销售收入（万元）</w:t>
                        </w:r>
                      </w:p>
                    </w:tc>
                    <w:tc>
                      <w:tcPr>
                        <w:tcW w:w="2151" w:type="pct"/>
                        <w:noWrap w:val="0"/>
                        <w:vAlign w:val="center"/>
                      </w:tcPr>
                      <w:p w14:paraId="68C2257D">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参考产量（吨）</w:t>
                        </w:r>
                      </w:p>
                    </w:tc>
                  </w:tr>
                  <w:tr w14:paraId="4313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 w:type="pct"/>
                        <w:noWrap w:val="0"/>
                        <w:vAlign w:val="center"/>
                      </w:tcPr>
                      <w:p w14:paraId="600C1B0E">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铸钢</w:t>
                        </w:r>
                      </w:p>
                    </w:tc>
                    <w:tc>
                      <w:tcPr>
                        <w:tcW w:w="2012" w:type="pct"/>
                        <w:noWrap w:val="0"/>
                        <w:vAlign w:val="center"/>
                      </w:tcPr>
                      <w:p w14:paraId="4FA74493">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≥3000</w:t>
                        </w:r>
                      </w:p>
                    </w:tc>
                    <w:tc>
                      <w:tcPr>
                        <w:tcW w:w="2151" w:type="pct"/>
                        <w:noWrap w:val="0"/>
                        <w:vAlign w:val="center"/>
                      </w:tcPr>
                      <w:p w14:paraId="052D25E9">
                        <w:pPr>
                          <w:pStyle w:val="2"/>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rPr>
                          <w:t>4000</w:t>
                        </w:r>
                      </w:p>
                    </w:tc>
                  </w:tr>
                </w:tbl>
                <w:p w14:paraId="3AF9A0B8">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p>
              </w:tc>
              <w:tc>
                <w:tcPr>
                  <w:tcW w:w="1644" w:type="pct"/>
                  <w:noWrap w:val="0"/>
                  <w:vAlign w:val="center"/>
                </w:tcPr>
                <w:p w14:paraId="0465B9B7">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项目不涉及艺术铸造；本次技改项目不改变铸造产能，企业原有铸造产能为</w:t>
                  </w:r>
                  <w:r>
                    <w:rPr>
                      <w:rFonts w:hint="eastAsia" w:cs="Times New Roman"/>
                      <w:bCs/>
                      <w:color w:val="auto"/>
                      <w:kern w:val="2"/>
                      <w:sz w:val="21"/>
                      <w:szCs w:val="21"/>
                      <w:lang w:val="en-US" w:eastAsia="zh-CN"/>
                    </w:rPr>
                    <w:t>35</w:t>
                  </w:r>
                  <w:r>
                    <w:rPr>
                      <w:rFonts w:hint="eastAsia" w:ascii="Times New Roman" w:hAnsi="Times New Roman" w:cs="Times New Roman"/>
                      <w:bCs/>
                      <w:color w:val="auto"/>
                      <w:kern w:val="2"/>
                      <w:sz w:val="21"/>
                      <w:szCs w:val="21"/>
                      <w:lang w:val="en-US" w:eastAsia="zh-CN"/>
                    </w:rPr>
                    <w:t>000t/a</w:t>
                  </w:r>
                  <w:r>
                    <w:rPr>
                      <w:rFonts w:hint="eastAsia" w:cs="Times New Roman"/>
                      <w:bCs/>
                      <w:color w:val="auto"/>
                      <w:kern w:val="2"/>
                      <w:sz w:val="21"/>
                      <w:szCs w:val="21"/>
                      <w:lang w:val="en-US" w:eastAsia="zh-CN"/>
                    </w:rPr>
                    <w:t>（去年实际生产17000t/a）</w:t>
                  </w:r>
                  <w:r>
                    <w:rPr>
                      <w:rFonts w:hint="eastAsia" w:ascii="Times New Roman" w:hAnsi="Times New Roman" w:cs="Times New Roman"/>
                      <w:bCs/>
                      <w:color w:val="auto"/>
                      <w:kern w:val="2"/>
                      <w:sz w:val="21"/>
                      <w:szCs w:val="21"/>
                      <w:lang w:val="en-US" w:eastAsia="zh-CN"/>
                    </w:rPr>
                    <w:t>，上一年度销售收入约</w:t>
                  </w:r>
                  <w:r>
                    <w:rPr>
                      <w:rFonts w:hint="eastAsia" w:cs="Times New Roman"/>
                      <w:bCs/>
                      <w:color w:val="auto"/>
                      <w:kern w:val="2"/>
                      <w:sz w:val="21"/>
                      <w:szCs w:val="21"/>
                      <w:lang w:val="en-US" w:eastAsia="zh-CN"/>
                    </w:rPr>
                    <w:t>1290</w:t>
                  </w:r>
                  <w:r>
                    <w:rPr>
                      <w:rFonts w:hint="eastAsia" w:ascii="Times New Roman" w:hAnsi="Times New Roman" w:cs="Times New Roman"/>
                      <w:bCs/>
                      <w:color w:val="auto"/>
                      <w:kern w:val="2"/>
                      <w:sz w:val="21"/>
                      <w:szCs w:val="21"/>
                      <w:lang w:val="en-US" w:eastAsia="zh-CN"/>
                    </w:rPr>
                    <w:t>0万元，满足铸钢企业销售收入要求。</w:t>
                  </w:r>
                </w:p>
              </w:tc>
              <w:tc>
                <w:tcPr>
                  <w:tcW w:w="165" w:type="pct"/>
                  <w:vMerge w:val="restart"/>
                  <w:noWrap w:val="0"/>
                  <w:vAlign w:val="center"/>
                </w:tcPr>
                <w:p w14:paraId="5C19F97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14:paraId="5FFF6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23DF33D3">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7088DF62">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6生产工艺：</w:t>
                  </w:r>
                </w:p>
                <w:p w14:paraId="7394BD2C">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6.1</w:t>
                  </w:r>
                  <w:r>
                    <w:rPr>
                      <w:rFonts w:hint="default" w:ascii="Times New Roman" w:hAnsi="Times New Roman" w:eastAsia="宋体" w:cs="Times New Roman"/>
                      <w:color w:val="auto"/>
                      <w:kern w:val="2"/>
                      <w:sz w:val="21"/>
                      <w:szCs w:val="21"/>
                      <w:lang w:val="en-US" w:eastAsia="zh-CN"/>
                    </w:rPr>
                    <w:t>企业应根据生产铸件的材质、品种、批量，合理选择低污染、低排放、低能耗、经济高效的铸造工艺。</w:t>
                  </w:r>
                </w:p>
                <w:p w14:paraId="78A915AE">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6.2</w:t>
                  </w:r>
                  <w:r>
                    <w:rPr>
                      <w:rFonts w:hint="default" w:ascii="Times New Roman" w:hAnsi="Times New Roman" w:eastAsia="宋体" w:cs="Times New Roman"/>
                      <w:color w:val="auto"/>
                      <w:kern w:val="2"/>
                      <w:sz w:val="21"/>
                      <w:szCs w:val="21"/>
                      <w:lang w:val="en-US" w:eastAsia="zh-CN"/>
                    </w:rPr>
                    <w:t>企业不应使用国家明令淘汰的生产工艺。不应采用粘土砂干型/芯、油砂制芯、七〇砂制型/芯等落后铸造工艺；粘土砂批量铸件生产企业不应采用手工造型；水玻璃熔模精密铸造企业模壳硬化不应采用氯化铵硬化工艺；铝合金</w:t>
                  </w:r>
                  <w:r>
                    <w:rPr>
                      <w:rFonts w:hint="eastAsia" w:cs="Times New Roman"/>
                      <w:color w:val="auto"/>
                      <w:kern w:val="2"/>
                      <w:sz w:val="21"/>
                      <w:szCs w:val="21"/>
                      <w:lang w:val="en-US" w:eastAsia="zh-CN"/>
                    </w:rPr>
                    <w:t>精炼</w:t>
                  </w:r>
                  <w:r>
                    <w:rPr>
                      <w:rFonts w:hint="default" w:ascii="Times New Roman" w:hAnsi="Times New Roman" w:eastAsia="宋体" w:cs="Times New Roman"/>
                      <w:color w:val="auto"/>
                      <w:kern w:val="2"/>
                      <w:sz w:val="21"/>
                      <w:szCs w:val="21"/>
                      <w:lang w:val="en-US" w:eastAsia="zh-CN"/>
                    </w:rPr>
                    <w:t>不应采用六氯乙烷等有毒有害的精炼剂。</w:t>
                  </w:r>
                </w:p>
                <w:p w14:paraId="4322094B">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6.3</w:t>
                  </w:r>
                  <w:r>
                    <w:rPr>
                      <w:rFonts w:hint="default" w:ascii="Times New Roman" w:hAnsi="Times New Roman" w:eastAsia="宋体" w:cs="Times New Roman"/>
                      <w:color w:val="auto"/>
                      <w:kern w:val="2"/>
                      <w:sz w:val="21"/>
                      <w:szCs w:val="21"/>
                      <w:lang w:val="en-US" w:eastAsia="zh-CN"/>
                    </w:rPr>
                    <w:t>新</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改、扩</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建粘土砂型铸造项目应采用自动化造型</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新</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改、扩</w:t>
                  </w:r>
                  <w:r>
                    <w:rPr>
                      <w:rFonts w:hint="eastAsia"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建熔模精密铸造项目不应采用水玻璃熔模精密铸造工艺。</w:t>
                  </w:r>
                </w:p>
              </w:tc>
              <w:tc>
                <w:tcPr>
                  <w:tcW w:w="1644" w:type="pct"/>
                  <w:noWrap w:val="0"/>
                  <w:vAlign w:val="center"/>
                </w:tcPr>
                <w:p w14:paraId="2C4CA651">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企业已</w:t>
                  </w:r>
                  <w:r>
                    <w:rPr>
                      <w:rFonts w:hint="default" w:ascii="Times New Roman" w:hAnsi="Times New Roman" w:eastAsia="宋体" w:cs="Times New Roman"/>
                      <w:color w:val="auto"/>
                      <w:kern w:val="2"/>
                      <w:sz w:val="21"/>
                      <w:szCs w:val="21"/>
                      <w:lang w:val="en-US" w:eastAsia="zh-CN"/>
                    </w:rPr>
                    <w:t>根据生产铸件的材质、品种、批量，</w:t>
                  </w:r>
                  <w:r>
                    <w:rPr>
                      <w:rFonts w:hint="eastAsia" w:ascii="Times New Roman" w:hAnsi="Times New Roman" w:eastAsia="宋体" w:cs="Times New Roman"/>
                      <w:color w:val="auto"/>
                      <w:kern w:val="2"/>
                      <w:sz w:val="21"/>
                      <w:szCs w:val="21"/>
                      <w:lang w:val="en-US" w:eastAsia="zh-CN"/>
                    </w:rPr>
                    <w:t>选择重力铸造；企业采用</w:t>
                  </w:r>
                  <w:r>
                    <w:rPr>
                      <w:rFonts w:hint="eastAsia" w:cs="Times New Roman"/>
                      <w:color w:val="auto"/>
                      <w:kern w:val="2"/>
                      <w:sz w:val="21"/>
                      <w:szCs w:val="21"/>
                      <w:lang w:val="en-US" w:eastAsia="zh-CN"/>
                    </w:rPr>
                    <w:t>金属壳砂芯</w:t>
                  </w:r>
                  <w:r>
                    <w:rPr>
                      <w:rFonts w:hint="eastAsia" w:ascii="Times New Roman" w:hAnsi="Times New Roman" w:eastAsia="宋体" w:cs="Times New Roman"/>
                      <w:color w:val="auto"/>
                      <w:kern w:val="2"/>
                      <w:sz w:val="21"/>
                      <w:szCs w:val="21"/>
                      <w:lang w:val="en-US" w:eastAsia="zh-CN"/>
                    </w:rPr>
                    <w:t>；不属于国家明令淘汰的生产工艺。</w:t>
                  </w:r>
                </w:p>
              </w:tc>
              <w:tc>
                <w:tcPr>
                  <w:tcW w:w="165" w:type="pct"/>
                  <w:vMerge w:val="continue"/>
                  <w:noWrap w:val="0"/>
                  <w:vAlign w:val="center"/>
                </w:tcPr>
                <w:p w14:paraId="78746EA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549DB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4FC8498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596C3C7B">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sz w:val="21"/>
                      <w:szCs w:val="21"/>
                      <w:lang w:val="en-US" w:eastAsia="zh-CN"/>
                    </w:rPr>
                    <w:t>7</w:t>
                  </w:r>
                  <w:r>
                    <w:rPr>
                      <w:rFonts w:hint="eastAsia" w:ascii="Times New Roman" w:hAnsi="Times New Roman" w:eastAsia="宋体" w:cs="Times New Roman"/>
                      <w:color w:val="auto"/>
                      <w:kern w:val="2"/>
                      <w:sz w:val="21"/>
                      <w:szCs w:val="21"/>
                      <w:lang w:val="en-US" w:eastAsia="zh-CN"/>
                    </w:rPr>
                    <w:t>生产装备：</w:t>
                  </w:r>
                </w:p>
                <w:p w14:paraId="1938CE0D">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7.1总则</w:t>
                  </w:r>
                </w:p>
                <w:p w14:paraId="4110448F">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7.1.1企业不应使用国家明令淘汰的生产装备，如：无芯工频感应电炉、0.25吨及以上无磁轭的铝壳中频感应电炉等。</w:t>
                  </w:r>
                </w:p>
                <w:p w14:paraId="17F9431F">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7.1.2</w:t>
                  </w:r>
                  <w:r>
                    <w:rPr>
                      <w:rFonts w:hint="eastAsia" w:ascii="Times New Roman" w:hAnsi="Times New Roman" w:eastAsia="宋体" w:cs="Times New Roman"/>
                      <w:color w:val="auto"/>
                      <w:kern w:val="2"/>
                      <w:sz w:val="21"/>
                      <w:szCs w:val="21"/>
                      <w:lang w:val="en-US" w:eastAsia="zh-CN"/>
                    </w:rPr>
                    <w:t>铸件生产企业采用</w:t>
                  </w:r>
                  <w:r>
                    <w:rPr>
                      <w:rFonts w:hint="default" w:ascii="Times New Roman" w:hAnsi="Times New Roman" w:eastAsia="宋体" w:cs="Times New Roman"/>
                      <w:color w:val="auto"/>
                      <w:kern w:val="2"/>
                      <w:sz w:val="21"/>
                      <w:szCs w:val="21"/>
                      <w:lang w:val="en-US" w:eastAsia="zh-CN"/>
                    </w:rPr>
                    <w:t>冲天炉</w:t>
                  </w:r>
                  <w:r>
                    <w:rPr>
                      <w:rFonts w:hint="eastAsia" w:ascii="Times New Roman" w:hAnsi="Times New Roman" w:eastAsia="宋体" w:cs="Times New Roman"/>
                      <w:color w:val="auto"/>
                      <w:kern w:val="2"/>
                      <w:sz w:val="21"/>
                      <w:szCs w:val="21"/>
                      <w:lang w:val="en-US" w:eastAsia="zh-CN"/>
                    </w:rPr>
                    <w:t>熔炼，其设备</w:t>
                  </w:r>
                  <w:r>
                    <w:rPr>
                      <w:rFonts w:hint="default" w:ascii="Times New Roman" w:hAnsi="Times New Roman" w:eastAsia="宋体" w:cs="Times New Roman"/>
                      <w:color w:val="auto"/>
                      <w:kern w:val="2"/>
                      <w:sz w:val="21"/>
                      <w:szCs w:val="21"/>
                      <w:lang w:val="en-US" w:eastAsia="zh-CN"/>
                    </w:rPr>
                    <w:t>熔化率</w:t>
                  </w:r>
                  <w:r>
                    <w:rPr>
                      <w:rFonts w:hint="eastAsia" w:ascii="Times New Roman" w:hAnsi="Times New Roman" w:eastAsia="宋体" w:cs="Times New Roman"/>
                      <w:color w:val="auto"/>
                      <w:kern w:val="2"/>
                      <w:sz w:val="21"/>
                      <w:szCs w:val="21"/>
                      <w:lang w:val="en-US" w:eastAsia="zh-CN"/>
                    </w:rPr>
                    <w:t>宜大于10</w:t>
                  </w:r>
                  <w:r>
                    <w:rPr>
                      <w:rFonts w:hint="default" w:ascii="Times New Roman" w:hAnsi="Times New Roman" w:eastAsia="宋体" w:cs="Times New Roman"/>
                      <w:color w:val="auto"/>
                      <w:kern w:val="2"/>
                      <w:sz w:val="21"/>
                      <w:szCs w:val="21"/>
                      <w:lang w:val="en-US" w:eastAsia="zh-CN"/>
                    </w:rPr>
                    <w:t>吨/小时。</w:t>
                  </w:r>
                </w:p>
                <w:p w14:paraId="47B4143E">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7.2熔炼（化）及炉前检测设备</w:t>
                  </w:r>
                </w:p>
                <w:p w14:paraId="3F8997C8">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7.2.1企业应配备与生产能力相匹配的熔炼、保温和精炼设备，如冲天炉、中频感应电炉、电弧炉、精炼炉（AOD、VOD、LF炉等）、电阻炉、燃气炉、保温炉等。</w:t>
                  </w:r>
                </w:p>
                <w:p w14:paraId="76FA02DE">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7.2.2熔炼、保温和精炼设备炉前应配置必要的化学成分分析、金属液温度测量等检测仪器。</w:t>
                  </w:r>
                </w:p>
                <w:p w14:paraId="246BFAC6">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7.3成型设备</w:t>
                  </w:r>
                </w:p>
                <w:p w14:paraId="0C1BD469">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企业应配备与产品及生产能力相匹配的造型、制芯及成型设备（线），如粘土砂造型机（线）、树脂砂混砂机、壳型（芯）机、铁模覆砂生产线、水玻璃砂生产线、消失模/V法/实型铸造设备、离心铸造设备、</w:t>
                  </w:r>
                  <w:r>
                    <w:rPr>
                      <w:rFonts w:hint="eastAsia" w:ascii="Times New Roman" w:hAnsi="Times New Roman" w:eastAsia="宋体" w:cs="Times New Roman"/>
                      <w:color w:val="auto"/>
                      <w:kern w:val="2"/>
                      <w:sz w:val="21"/>
                      <w:szCs w:val="21"/>
                      <w:lang w:val="en-US" w:eastAsia="zh-CN"/>
                    </w:rPr>
                    <w:t>压铸设备</w:t>
                  </w:r>
                  <w:r>
                    <w:rPr>
                      <w:rFonts w:hint="default" w:ascii="Times New Roman" w:hAnsi="Times New Roman" w:eastAsia="宋体" w:cs="Times New Roman"/>
                      <w:color w:val="auto"/>
                      <w:kern w:val="2"/>
                      <w:sz w:val="21"/>
                      <w:szCs w:val="21"/>
                      <w:lang w:val="en-US" w:eastAsia="zh-CN"/>
                    </w:rPr>
                    <w:t>、低压铸造</w:t>
                  </w:r>
                  <w:r>
                    <w:rPr>
                      <w:rFonts w:hint="eastAsia" w:ascii="Times New Roman" w:hAnsi="Times New Roman" w:eastAsia="宋体" w:cs="Times New Roman"/>
                      <w:color w:val="auto"/>
                      <w:kern w:val="2"/>
                      <w:sz w:val="21"/>
                      <w:szCs w:val="21"/>
                      <w:lang w:val="en-US" w:eastAsia="zh-CN"/>
                    </w:rPr>
                    <w:t>设备</w:t>
                  </w:r>
                  <w:r>
                    <w:rPr>
                      <w:rFonts w:hint="default" w:ascii="Times New Roman" w:hAnsi="Times New Roman" w:eastAsia="宋体" w:cs="Times New Roman"/>
                      <w:color w:val="auto"/>
                      <w:kern w:val="2"/>
                      <w:sz w:val="21"/>
                      <w:szCs w:val="21"/>
                      <w:lang w:val="en-US" w:eastAsia="zh-CN"/>
                    </w:rPr>
                    <w:t>、重力铸造设备、挤压铸造设备、差压铸造设备、熔模铸造设备（线）、制芯</w:t>
                  </w:r>
                  <w:r>
                    <w:rPr>
                      <w:rFonts w:hint="eastAsia" w:ascii="Times New Roman" w:hAnsi="Times New Roman" w:eastAsia="宋体" w:cs="Times New Roman"/>
                      <w:color w:val="auto"/>
                      <w:kern w:val="2"/>
                      <w:sz w:val="21"/>
                      <w:szCs w:val="21"/>
                      <w:lang w:val="en-US" w:eastAsia="zh-CN"/>
                    </w:rPr>
                    <w:t>设备</w:t>
                  </w:r>
                  <w:r>
                    <w:rPr>
                      <w:rFonts w:hint="default" w:ascii="Times New Roman" w:hAnsi="Times New Roman" w:eastAsia="宋体" w:cs="Times New Roman"/>
                      <w:color w:val="auto"/>
                      <w:kern w:val="2"/>
                      <w:sz w:val="21"/>
                      <w:szCs w:val="21"/>
                      <w:lang w:val="en-US" w:eastAsia="zh-CN"/>
                    </w:rPr>
                    <w:t>、快速成型设备等。</w:t>
                  </w:r>
                </w:p>
                <w:p w14:paraId="75659D29">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7.4砂处理</w:t>
                  </w:r>
                  <w:r>
                    <w:rPr>
                      <w:rFonts w:hint="eastAsia" w:ascii="Times New Roman" w:hAnsi="Times New Roman" w:eastAsia="宋体" w:cs="Times New Roman"/>
                      <w:color w:val="auto"/>
                      <w:kern w:val="2"/>
                      <w:sz w:val="21"/>
                      <w:szCs w:val="21"/>
                      <w:lang w:val="en-US" w:eastAsia="zh-CN"/>
                    </w:rPr>
                    <w:t>及砂再生</w:t>
                  </w:r>
                  <w:r>
                    <w:rPr>
                      <w:rFonts w:hint="default" w:ascii="Times New Roman" w:hAnsi="Times New Roman" w:eastAsia="宋体" w:cs="Times New Roman"/>
                      <w:color w:val="auto"/>
                      <w:kern w:val="2"/>
                      <w:sz w:val="21"/>
                      <w:szCs w:val="21"/>
                      <w:lang w:val="en-US" w:eastAsia="zh-CN"/>
                    </w:rPr>
                    <w:t>设备</w:t>
                  </w:r>
                </w:p>
                <w:p w14:paraId="19C77C35">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7.4.1采用</w:t>
                  </w:r>
                  <w:r>
                    <w:rPr>
                      <w:rFonts w:hint="eastAsia" w:ascii="Times New Roman" w:hAnsi="Times New Roman" w:eastAsia="宋体" w:cs="Times New Roman"/>
                      <w:color w:val="auto"/>
                      <w:kern w:val="2"/>
                      <w:sz w:val="21"/>
                      <w:szCs w:val="21"/>
                      <w:lang w:val="en-US" w:eastAsia="zh-CN"/>
                    </w:rPr>
                    <w:t>粘土砂、树脂自硬砂、酯硬化水玻璃砂铸造工艺的企业应配备完善的砂处理及砂再生设备，各种旧砂</w:t>
                  </w:r>
                  <w:r>
                    <w:rPr>
                      <w:rFonts w:hint="default" w:ascii="Times New Roman" w:hAnsi="Times New Roman" w:eastAsia="宋体" w:cs="Times New Roman"/>
                      <w:color w:val="auto"/>
                      <w:kern w:val="2"/>
                      <w:sz w:val="21"/>
                      <w:szCs w:val="21"/>
                      <w:lang w:val="en-US" w:eastAsia="zh-CN"/>
                    </w:rPr>
                    <w:t>的回用率应达到</w:t>
                  </w:r>
                  <w:r>
                    <w:rPr>
                      <w:rFonts w:hint="eastAsia" w:ascii="Times New Roman" w:hAnsi="Times New Roman" w:eastAsia="宋体" w:cs="Times New Roman"/>
                      <w:color w:val="auto"/>
                      <w:kern w:val="2"/>
                      <w:sz w:val="21"/>
                      <w:szCs w:val="21"/>
                      <w:lang w:val="en-US" w:eastAsia="zh-CN"/>
                    </w:rPr>
                    <w:t>下表</w:t>
                  </w:r>
                  <w:r>
                    <w:rPr>
                      <w:rFonts w:hint="default" w:ascii="Times New Roman" w:hAnsi="Times New Roman" w:eastAsia="宋体" w:cs="Times New Roman"/>
                      <w:color w:val="auto"/>
                      <w:kern w:val="2"/>
                      <w:sz w:val="21"/>
                      <w:szCs w:val="21"/>
                      <w:lang w:val="en-US" w:eastAsia="zh-CN"/>
                    </w:rPr>
                    <w:t>的要求。</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6"/>
                    <w:gridCol w:w="2747"/>
                  </w:tblGrid>
                  <w:tr w14:paraId="5A62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499" w:type="pct"/>
                        <w:noWrap w:val="0"/>
                        <w:vAlign w:val="top"/>
                      </w:tcPr>
                      <w:p w14:paraId="55176D37">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lang w:val="en-US" w:eastAsia="zh-CN"/>
                          </w:rPr>
                          <w:t>旧砂类别</w:t>
                        </w:r>
                      </w:p>
                    </w:tc>
                    <w:tc>
                      <w:tcPr>
                        <w:tcW w:w="2500" w:type="pct"/>
                        <w:noWrap w:val="0"/>
                        <w:vAlign w:val="top"/>
                      </w:tcPr>
                      <w:p w14:paraId="07E61764">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lang w:val="en-US" w:eastAsia="zh-CN"/>
                          </w:rPr>
                          <w:t>旧砂回用率</w:t>
                        </w:r>
                      </w:p>
                    </w:tc>
                  </w:tr>
                  <w:tr w14:paraId="2BE2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1C5CEC47">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lang w:val="en-US" w:eastAsia="zh-CN"/>
                          </w:rPr>
                          <w:t>粘土砂</w:t>
                        </w:r>
                      </w:p>
                    </w:tc>
                    <w:tc>
                      <w:tcPr>
                        <w:tcW w:w="2500" w:type="pct"/>
                        <w:noWrap w:val="0"/>
                        <w:vAlign w:val="top"/>
                      </w:tcPr>
                      <w:p w14:paraId="0B938B9C">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vertAlign w:val="baseline"/>
                            <w:lang w:val="en-US" w:eastAsia="zh-CN"/>
                          </w:rPr>
                        </w:pPr>
                        <w:r>
                          <w:rPr>
                            <w:rFonts w:hint="default" w:ascii="Times New Roman" w:hAnsi="Times New Roman" w:eastAsia="宋体" w:cs="Times New Roman"/>
                            <w:color w:val="auto"/>
                            <w:kern w:val="2"/>
                            <w:sz w:val="21"/>
                            <w:szCs w:val="21"/>
                            <w:lang w:val="en-US" w:eastAsia="zh-CN"/>
                          </w:rPr>
                          <w:t>≥95%</w:t>
                        </w:r>
                      </w:p>
                    </w:tc>
                  </w:tr>
                  <w:tr w14:paraId="0048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451B6353">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呋喃树脂自硬砂（再生）</w:t>
                        </w:r>
                      </w:p>
                    </w:tc>
                    <w:tc>
                      <w:tcPr>
                        <w:tcW w:w="2500" w:type="pct"/>
                        <w:noWrap w:val="0"/>
                        <w:vAlign w:val="top"/>
                      </w:tcPr>
                      <w:p w14:paraId="5A4B6E92">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≥90%</w:t>
                        </w:r>
                      </w:p>
                    </w:tc>
                  </w:tr>
                  <w:tr w14:paraId="01AF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496135E4">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其他树</w:t>
                        </w:r>
                        <w:r>
                          <w:rPr>
                            <w:rFonts w:hint="default" w:ascii="Times New Roman" w:hAnsi="Times New Roman" w:eastAsia="宋体" w:cs="Times New Roman"/>
                            <w:color w:val="auto"/>
                            <w:kern w:val="2"/>
                            <w:sz w:val="21"/>
                            <w:szCs w:val="21"/>
                            <w:lang w:val="en-US" w:eastAsia="zh-CN"/>
                          </w:rPr>
                          <w:t>脂自硬砂（再生）</w:t>
                        </w:r>
                      </w:p>
                    </w:tc>
                    <w:tc>
                      <w:tcPr>
                        <w:tcW w:w="2500" w:type="pct"/>
                        <w:noWrap w:val="0"/>
                        <w:vAlign w:val="top"/>
                      </w:tcPr>
                      <w:p w14:paraId="1631F7B1">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≥80%</w:t>
                        </w:r>
                      </w:p>
                    </w:tc>
                  </w:tr>
                  <w:tr w14:paraId="576A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noWrap w:val="0"/>
                        <w:vAlign w:val="top"/>
                      </w:tcPr>
                      <w:p w14:paraId="4D94C7E6">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酯硬化水玻璃砂（再生）</w:t>
                        </w:r>
                      </w:p>
                    </w:tc>
                    <w:tc>
                      <w:tcPr>
                        <w:tcW w:w="2500" w:type="pct"/>
                        <w:noWrap w:val="0"/>
                        <w:vAlign w:val="top"/>
                      </w:tcPr>
                      <w:p w14:paraId="173C8BD5">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≥80%</w:t>
                        </w:r>
                      </w:p>
                    </w:tc>
                  </w:tr>
                </w:tbl>
                <w:p w14:paraId="27CB362E">
                  <w:pPr>
                    <w:pStyle w:val="2"/>
                    <w:keepNext w:val="0"/>
                    <w:keepLines w:val="0"/>
                    <w:suppressLineNumbers w:val="0"/>
                    <w:spacing w:before="0" w:beforeAutospacing="0" w:after="0" w:afterAutospacing="0" w:line="240" w:lineRule="auto"/>
                    <w:ind w:left="0" w:right="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lang w:val="en-US" w:eastAsia="zh-CN"/>
                    </w:rPr>
                    <w:t>7.4.2采用</w:t>
                  </w:r>
                  <w:r>
                    <w:rPr>
                      <w:rFonts w:hint="eastAsia" w:ascii="Times New Roman" w:hAnsi="Times New Roman" w:eastAsia="宋体" w:cs="Times New Roman"/>
                      <w:color w:val="auto"/>
                      <w:kern w:val="2"/>
                      <w:sz w:val="21"/>
                      <w:szCs w:val="21"/>
                      <w:lang w:val="en-US" w:eastAsia="zh-CN"/>
                    </w:rPr>
                    <w:t>普通</w:t>
                  </w:r>
                  <w:r>
                    <w:rPr>
                      <w:rFonts w:hint="default" w:ascii="Times New Roman" w:hAnsi="Times New Roman" w:eastAsia="宋体" w:cs="Times New Roman"/>
                      <w:color w:val="auto"/>
                      <w:kern w:val="2"/>
                      <w:sz w:val="21"/>
                      <w:szCs w:val="21"/>
                      <w:lang w:val="en-US" w:eastAsia="zh-CN"/>
                    </w:rPr>
                    <w:t>水玻璃砂型铸造工艺的企业宜合理配置再生设备。</w:t>
                  </w:r>
                </w:p>
              </w:tc>
              <w:tc>
                <w:tcPr>
                  <w:tcW w:w="1644" w:type="pct"/>
                  <w:noWrap w:val="0"/>
                  <w:vAlign w:val="center"/>
                </w:tcPr>
                <w:p w14:paraId="65A543A4">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bCs/>
                      <w:color w:val="auto"/>
                      <w:kern w:val="2"/>
                      <w:sz w:val="21"/>
                      <w:szCs w:val="21"/>
                      <w:lang w:val="en-US" w:eastAsia="zh-CN"/>
                    </w:rPr>
                    <w:t>项目不使用国家明令淘汰的生产设备，原有中频炉为</w:t>
                  </w:r>
                  <w:r>
                    <w:rPr>
                      <w:rFonts w:hint="eastAsia" w:ascii="Times New Roman" w:hAnsi="Times New Roman" w:eastAsia="宋体" w:cs="Times New Roman"/>
                      <w:color w:val="auto"/>
                      <w:kern w:val="2"/>
                      <w:sz w:val="21"/>
                      <w:szCs w:val="21"/>
                      <w:lang w:val="en-US" w:eastAsia="zh-CN"/>
                    </w:rPr>
                    <w:t>有</w:t>
                  </w:r>
                  <w:r>
                    <w:rPr>
                      <w:rFonts w:hint="default" w:ascii="Times New Roman" w:hAnsi="Times New Roman" w:eastAsia="宋体" w:cs="Times New Roman"/>
                      <w:color w:val="auto"/>
                      <w:kern w:val="2"/>
                      <w:sz w:val="21"/>
                      <w:szCs w:val="21"/>
                      <w:lang w:val="en-US" w:eastAsia="zh-CN"/>
                    </w:rPr>
                    <w:t>磁轭的中频感应电炉</w:t>
                  </w:r>
                  <w:r>
                    <w:rPr>
                      <w:rFonts w:hint="eastAsia" w:ascii="Times New Roman" w:hAnsi="Times New Roman" w:eastAsia="宋体" w:cs="Times New Roman"/>
                      <w:color w:val="auto"/>
                      <w:kern w:val="2"/>
                      <w:sz w:val="21"/>
                      <w:szCs w:val="21"/>
                      <w:lang w:val="en-US" w:eastAsia="zh-CN"/>
                    </w:rPr>
                    <w:t>；项目不涉及冲天炉、燃油加热熔化炉。</w:t>
                  </w:r>
                </w:p>
                <w:p w14:paraId="6CF94881">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企业配备的精炼炉、中频感应炉与生产能力相匹配；配备光谱仪等检验设备，用于炉前化学成分分析、金属液温度测量等。</w:t>
                  </w:r>
                </w:p>
                <w:p w14:paraId="06794E44">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企业配套与产品及生产能力相匹配的</w:t>
                  </w:r>
                  <w:r>
                    <w:rPr>
                      <w:rFonts w:hint="eastAsia" w:cs="Times New Roman"/>
                      <w:color w:val="auto"/>
                      <w:kern w:val="2"/>
                      <w:sz w:val="21"/>
                      <w:szCs w:val="21"/>
                      <w:lang w:val="en-US" w:eastAsia="zh-CN"/>
                    </w:rPr>
                    <w:t>成型设备，采用金属模具铸造</w:t>
                  </w:r>
                  <w:r>
                    <w:rPr>
                      <w:rFonts w:hint="eastAsia" w:ascii="Times New Roman" w:hAnsi="Times New Roman" w:eastAsia="宋体" w:cs="Times New Roman"/>
                      <w:color w:val="auto"/>
                      <w:kern w:val="2"/>
                      <w:sz w:val="21"/>
                      <w:szCs w:val="21"/>
                      <w:lang w:val="en-US" w:eastAsia="zh-CN"/>
                    </w:rPr>
                    <w:t>；</w:t>
                  </w:r>
                </w:p>
                <w:p w14:paraId="3ED1EA20">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企业不涉及</w:t>
                  </w:r>
                  <w:r>
                    <w:rPr>
                      <w:rFonts w:hint="eastAsia" w:ascii="Times New Roman" w:hAnsi="Times New Roman" w:eastAsia="宋体" w:cs="Times New Roman"/>
                      <w:color w:val="auto"/>
                      <w:kern w:val="2"/>
                      <w:sz w:val="21"/>
                      <w:szCs w:val="21"/>
                      <w:lang w:val="en-US" w:eastAsia="zh-CN"/>
                    </w:rPr>
                    <w:t>粘土砂、树脂自硬砂、酯硬化水玻璃砂铸造工艺；</w:t>
                  </w:r>
                </w:p>
                <w:p w14:paraId="17565F34">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企业</w:t>
                  </w:r>
                  <w:r>
                    <w:rPr>
                      <w:rFonts w:hint="eastAsia" w:cs="Times New Roman"/>
                      <w:color w:val="auto"/>
                      <w:kern w:val="2"/>
                      <w:sz w:val="21"/>
                      <w:szCs w:val="21"/>
                      <w:lang w:val="en-US" w:eastAsia="zh-CN"/>
                    </w:rPr>
                    <w:t>不涉及水玻璃砂型铸造。</w:t>
                  </w:r>
                </w:p>
              </w:tc>
              <w:tc>
                <w:tcPr>
                  <w:tcW w:w="165" w:type="pct"/>
                  <w:vMerge w:val="continue"/>
                  <w:noWrap w:val="0"/>
                  <w:vAlign w:val="center"/>
                </w:tcPr>
                <w:p w14:paraId="325AC7E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4C7CD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58ACF240">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617E5405">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8质量控制</w:t>
                  </w:r>
                </w:p>
                <w:p w14:paraId="5D5AB80D">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8.1企业应按照GB/T19001（或IATF16949、GJB 9001B）等标准要求建立质量管理体系、通过认证并持续有效运行。</w:t>
                  </w:r>
                </w:p>
                <w:p w14:paraId="07D8CD8C">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8.2企业应设有质量管理部门，配有专职质量监测人员</w:t>
                  </w:r>
                  <w:r>
                    <w:rPr>
                      <w:rFonts w:hint="eastAsia" w:ascii="Times New Roman" w:hAnsi="Times New Roman" w:eastAsia="宋体" w:cs="Times New Roman"/>
                      <w:color w:val="auto"/>
                      <w:kern w:val="2"/>
                      <w:sz w:val="21"/>
                      <w:szCs w:val="21"/>
                      <w:lang w:val="en-US" w:eastAsia="zh-CN"/>
                    </w:rPr>
                    <w:t>；应配置与原辅材料、生产过程及铸件质量相关的理化、计量、无损、型砂检测等检验检测设备。</w:t>
                  </w:r>
                </w:p>
                <w:p w14:paraId="248CFC1F">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8.3铸件的外观质量（尺寸精度、表面粗糙度等）、内在质量（化学成分、金相组织等）及力学性能等应符合规定的技术要求。</w:t>
                  </w:r>
                </w:p>
              </w:tc>
              <w:tc>
                <w:tcPr>
                  <w:tcW w:w="1644" w:type="pct"/>
                  <w:noWrap w:val="0"/>
                  <w:vAlign w:val="center"/>
                </w:tcPr>
                <w:p w14:paraId="50002ECF">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企业已按照要求</w:t>
                  </w:r>
                  <w:r>
                    <w:rPr>
                      <w:rFonts w:hint="default" w:ascii="Times New Roman" w:hAnsi="Times New Roman" w:eastAsia="宋体" w:cs="Times New Roman"/>
                      <w:color w:val="auto"/>
                      <w:kern w:val="2"/>
                      <w:sz w:val="21"/>
                      <w:szCs w:val="21"/>
                      <w:lang w:val="en-US" w:eastAsia="zh-CN"/>
                    </w:rPr>
                    <w:t>建立</w:t>
                  </w:r>
                  <w:r>
                    <w:rPr>
                      <w:rFonts w:hint="eastAsia" w:ascii="Times New Roman" w:hAnsi="Times New Roman" w:eastAsia="宋体" w:cs="Times New Roman"/>
                      <w:color w:val="auto"/>
                      <w:kern w:val="2"/>
                      <w:sz w:val="21"/>
                      <w:szCs w:val="21"/>
                      <w:lang w:val="en-US" w:eastAsia="zh-CN"/>
                    </w:rPr>
                    <w:t>了</w:t>
                  </w:r>
                  <w:r>
                    <w:rPr>
                      <w:rFonts w:hint="default" w:ascii="Times New Roman" w:hAnsi="Times New Roman" w:eastAsia="宋体" w:cs="Times New Roman"/>
                      <w:color w:val="auto"/>
                      <w:kern w:val="2"/>
                      <w:sz w:val="21"/>
                      <w:szCs w:val="21"/>
                      <w:lang w:val="en-US" w:eastAsia="zh-CN"/>
                    </w:rPr>
                    <w:t>质量管理体系</w:t>
                  </w:r>
                  <w:r>
                    <w:rPr>
                      <w:rFonts w:hint="eastAsia" w:ascii="Times New Roman" w:hAnsi="Times New Roman" w:eastAsia="宋体" w:cs="Times New Roman"/>
                      <w:color w:val="auto"/>
                      <w:kern w:val="2"/>
                      <w:sz w:val="21"/>
                      <w:szCs w:val="21"/>
                      <w:lang w:val="en-US" w:eastAsia="zh-CN"/>
                    </w:rPr>
                    <w:t>，</w:t>
                  </w:r>
                  <w:r>
                    <w:rPr>
                      <w:rFonts w:hint="eastAsia" w:cs="Times New Roman"/>
                      <w:color w:val="auto"/>
                      <w:kern w:val="2"/>
                      <w:sz w:val="21"/>
                      <w:szCs w:val="21"/>
                      <w:lang w:val="en-US" w:eastAsia="zh-CN"/>
                    </w:rPr>
                    <w:t>目前正在办理</w:t>
                  </w:r>
                  <w:r>
                    <w:rPr>
                      <w:rFonts w:hint="eastAsia" w:ascii="Times New Roman" w:hAnsi="Times New Roman" w:cs="Times New Roman"/>
                      <w:color w:val="auto"/>
                      <w:sz w:val="21"/>
                      <w:szCs w:val="21"/>
                    </w:rPr>
                    <w:t>质量管理体系</w:t>
                  </w:r>
                  <w:r>
                    <w:rPr>
                      <w:rFonts w:hint="eastAsia" w:cs="Times New Roman"/>
                      <w:color w:val="auto"/>
                      <w:sz w:val="21"/>
                      <w:szCs w:val="21"/>
                      <w:lang w:eastAsia="zh-CN"/>
                    </w:rPr>
                    <w:t>认证</w:t>
                  </w:r>
                  <w:r>
                    <w:rPr>
                      <w:rFonts w:hint="eastAsia" w:ascii="Times New Roman" w:hAnsi="Times New Roman" w:eastAsia="宋体" w:cs="Times New Roman"/>
                      <w:color w:val="auto"/>
                      <w:kern w:val="2"/>
                      <w:sz w:val="21"/>
                      <w:szCs w:val="21"/>
                      <w:lang w:val="en-US" w:eastAsia="zh-CN"/>
                    </w:rPr>
                    <w:t>；企业设置了质量管理部门，配备了专职质量监测人员，建立健全了质量管理制度；企业对铸件的外观质量、内在质量及力学性能进行把控，经检验合格后方流入市场。</w:t>
                  </w:r>
                </w:p>
              </w:tc>
              <w:tc>
                <w:tcPr>
                  <w:tcW w:w="165" w:type="pct"/>
                  <w:vMerge w:val="continue"/>
                  <w:noWrap w:val="0"/>
                  <w:vAlign w:val="center"/>
                </w:tcPr>
                <w:p w14:paraId="79C2765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681DE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002" w:type="pct"/>
                  <w:vMerge w:val="continue"/>
                  <w:noWrap w:val="0"/>
                  <w:vAlign w:val="center"/>
                </w:tcPr>
                <w:p w14:paraId="3C7BA2C8">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4420B5DE">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9能源消耗</w:t>
                  </w:r>
                </w:p>
                <w:p w14:paraId="29B8680A">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9.1企业应建立能源管理制度，可按照GB/T23331标准要求建立能源管理体系、通过认证并持续有效运行。</w:t>
                  </w:r>
                </w:p>
                <w:p w14:paraId="25A59B87">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9.2新（改、扩）建铸造项目应开展节能评估和审查。</w:t>
                  </w:r>
                </w:p>
                <w:p w14:paraId="44E0001A">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9.3企业主要熔炼（化）设备的能耗指标应满足下表的规定，能耗计算参照JB/T14696的规定执行。</w:t>
                  </w:r>
                </w:p>
                <w:p w14:paraId="6D712FA2">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lang w:val="en-US" w:eastAsia="zh-CN"/>
                    </w:rPr>
                  </w:pPr>
                  <w:r>
                    <w:rPr>
                      <w:rFonts w:hint="eastAsia"/>
                      <w:b/>
                      <w:bCs/>
                      <w:color w:val="auto"/>
                      <w:sz w:val="21"/>
                      <w:szCs w:val="21"/>
                      <w:lang w:val="en-US" w:eastAsia="zh-CN"/>
                    </w:rPr>
                    <w:t>中频无心感应电炉熔炼（普通碳钢）能耗指标（1600℃）</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777"/>
                    <w:gridCol w:w="563"/>
                    <w:gridCol w:w="563"/>
                    <w:gridCol w:w="563"/>
                    <w:gridCol w:w="563"/>
                  </w:tblGrid>
                  <w:tr w14:paraId="4C9A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9" w:type="dxa"/>
                        <w:noWrap w:val="0"/>
                        <w:vAlign w:val="center"/>
                      </w:tcPr>
                      <w:p w14:paraId="4160881B">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感应电炉的容量（t）</w:t>
                        </w:r>
                      </w:p>
                    </w:tc>
                    <w:tc>
                      <w:tcPr>
                        <w:tcW w:w="734" w:type="dxa"/>
                        <w:noWrap w:val="0"/>
                        <w:vAlign w:val="center"/>
                      </w:tcPr>
                      <w:p w14:paraId="4E508CA4">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≤0.5</w:t>
                        </w:r>
                      </w:p>
                    </w:tc>
                    <w:tc>
                      <w:tcPr>
                        <w:tcW w:w="531" w:type="dxa"/>
                        <w:noWrap w:val="0"/>
                        <w:vAlign w:val="center"/>
                      </w:tcPr>
                      <w:p w14:paraId="1ECE3C46">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531" w:type="dxa"/>
                        <w:noWrap w:val="0"/>
                        <w:vAlign w:val="center"/>
                      </w:tcPr>
                      <w:p w14:paraId="5FD60433">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531" w:type="dxa"/>
                        <w:noWrap w:val="0"/>
                        <w:vAlign w:val="center"/>
                      </w:tcPr>
                      <w:p w14:paraId="24EF19B7">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531" w:type="dxa"/>
                        <w:shd w:val="clear" w:color="auto" w:fill="D7D7D7" w:themeFill="background1" w:themeFillShade="D8"/>
                        <w:noWrap w:val="0"/>
                        <w:vAlign w:val="center"/>
                      </w:tcPr>
                      <w:p w14:paraId="49168A62">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≥5</w:t>
                        </w:r>
                      </w:p>
                    </w:tc>
                  </w:tr>
                  <w:tr w14:paraId="72153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9" w:type="dxa"/>
                        <w:noWrap w:val="0"/>
                        <w:vAlign w:val="center"/>
                      </w:tcPr>
                      <w:p w14:paraId="541CADDE">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最高能耗限值（kW·h/t）</w:t>
                        </w:r>
                      </w:p>
                    </w:tc>
                    <w:tc>
                      <w:tcPr>
                        <w:tcW w:w="734" w:type="dxa"/>
                        <w:noWrap w:val="0"/>
                        <w:vAlign w:val="center"/>
                      </w:tcPr>
                      <w:p w14:paraId="0096768D">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730</w:t>
                        </w:r>
                      </w:p>
                    </w:tc>
                    <w:tc>
                      <w:tcPr>
                        <w:tcW w:w="531" w:type="dxa"/>
                        <w:noWrap w:val="0"/>
                        <w:vAlign w:val="center"/>
                      </w:tcPr>
                      <w:p w14:paraId="608DDBB2">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720</w:t>
                        </w:r>
                      </w:p>
                    </w:tc>
                    <w:tc>
                      <w:tcPr>
                        <w:tcW w:w="531" w:type="dxa"/>
                        <w:noWrap w:val="0"/>
                        <w:vAlign w:val="center"/>
                      </w:tcPr>
                      <w:p w14:paraId="6343FC8B">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710</w:t>
                        </w:r>
                      </w:p>
                    </w:tc>
                    <w:tc>
                      <w:tcPr>
                        <w:tcW w:w="531" w:type="dxa"/>
                        <w:noWrap w:val="0"/>
                        <w:vAlign w:val="center"/>
                      </w:tcPr>
                      <w:p w14:paraId="4F24FD15">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700</w:t>
                        </w:r>
                      </w:p>
                    </w:tc>
                    <w:tc>
                      <w:tcPr>
                        <w:tcW w:w="531" w:type="dxa"/>
                        <w:shd w:val="clear" w:color="auto" w:fill="D7D7D7" w:themeFill="background1" w:themeFillShade="D8"/>
                        <w:noWrap w:val="0"/>
                        <w:vAlign w:val="center"/>
                      </w:tcPr>
                      <w:p w14:paraId="2F702D24">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690</w:t>
                        </w:r>
                      </w:p>
                    </w:tc>
                  </w:tr>
                </w:tbl>
                <w:p w14:paraId="4DE5D11C">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p>
              </w:tc>
              <w:tc>
                <w:tcPr>
                  <w:tcW w:w="1644" w:type="pct"/>
                  <w:noWrap w:val="0"/>
                  <w:vAlign w:val="center"/>
                </w:tcPr>
                <w:p w14:paraId="300ED94A">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bCs/>
                      <w:color w:val="auto"/>
                      <w:kern w:val="2"/>
                      <w:sz w:val="21"/>
                      <w:szCs w:val="21"/>
                      <w:lang w:val="en-US" w:eastAsia="zh-CN"/>
                    </w:rPr>
                    <w:t>企业</w:t>
                  </w:r>
                  <w:r>
                    <w:rPr>
                      <w:rFonts w:hint="default" w:ascii="Times New Roman" w:hAnsi="Times New Roman" w:eastAsia="宋体" w:cs="Times New Roman"/>
                      <w:color w:val="auto"/>
                      <w:kern w:val="2"/>
                      <w:sz w:val="21"/>
                      <w:szCs w:val="21"/>
                      <w:lang w:val="en-US" w:eastAsia="zh-CN"/>
                    </w:rPr>
                    <w:t>应建立能源管理制度，建立能源管理体系。</w:t>
                  </w:r>
                </w:p>
                <w:p w14:paraId="697BC5A2">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项目正在开展节能评估和审查。</w:t>
                  </w:r>
                </w:p>
                <w:p w14:paraId="1E779B0A">
                  <w:pPr>
                    <w:pStyle w:val="2"/>
                    <w:keepNext w:val="0"/>
                    <w:keepLines w:val="0"/>
                    <w:suppressLineNumbers w:val="0"/>
                    <w:spacing w:before="0" w:beforeAutospacing="0" w:after="0" w:afterAutospacing="0" w:line="240" w:lineRule="auto"/>
                    <w:ind w:left="0" w:right="0"/>
                    <w:rPr>
                      <w:rFonts w:hint="default" w:ascii="Times New Roman" w:hAnsi="Times New Roman" w:cs="Times New Roman"/>
                      <w:bCs/>
                      <w:color w:val="auto"/>
                      <w:kern w:val="2"/>
                      <w:sz w:val="21"/>
                      <w:szCs w:val="21"/>
                      <w:lang w:val="en-US" w:eastAsia="zh-CN"/>
                    </w:rPr>
                  </w:pPr>
                  <w:r>
                    <w:rPr>
                      <w:rFonts w:hint="eastAsia" w:ascii="Times New Roman" w:hAnsi="Times New Roman" w:eastAsia="宋体" w:cs="Times New Roman"/>
                      <w:bCs/>
                      <w:color w:val="auto"/>
                      <w:sz w:val="21"/>
                      <w:szCs w:val="21"/>
                      <w:lang w:val="en-US" w:eastAsia="zh-CN"/>
                    </w:rPr>
                    <w:t>根据“常州市昌帆金属科技有限公司高性能、高强度特种锻件技术改造项目可行性研究报告”</w:t>
                  </w:r>
                  <w:r>
                    <w:rPr>
                      <w:rFonts w:hint="eastAsia" w:ascii="Times New Roman" w:hAnsi="Times New Roman" w:eastAsia="宋体" w:cs="Times New Roman"/>
                      <w:bCs/>
                      <w:color w:val="auto"/>
                      <w:sz w:val="21"/>
                      <w:szCs w:val="21"/>
                      <w:lang w:val="zh-CN"/>
                    </w:rPr>
                    <w:t>，</w:t>
                  </w:r>
                  <w:r>
                    <w:rPr>
                      <w:rFonts w:hint="eastAsia" w:cs="Times New Roman"/>
                      <w:bCs/>
                      <w:color w:val="auto"/>
                      <w:sz w:val="21"/>
                      <w:szCs w:val="21"/>
                      <w:lang w:val="en-US" w:eastAsia="zh-CN"/>
                    </w:rPr>
                    <w:t>企业中频炉（10t）</w:t>
                  </w:r>
                  <w:r>
                    <w:rPr>
                      <w:rFonts w:hint="eastAsia" w:ascii="Times New Roman" w:hAnsi="Times New Roman" w:eastAsia="宋体" w:cs="Times New Roman"/>
                      <w:bCs/>
                      <w:color w:val="auto"/>
                      <w:sz w:val="21"/>
                      <w:szCs w:val="21"/>
                      <w:lang w:val="en-US" w:eastAsia="zh-CN"/>
                    </w:rPr>
                    <w:t>能耗</w:t>
                  </w:r>
                  <w:r>
                    <w:rPr>
                      <w:rFonts w:hint="default" w:ascii="Times New Roman" w:hAnsi="Times New Roman" w:eastAsia="宋体" w:cs="Times New Roman"/>
                      <w:bCs/>
                      <w:color w:val="auto"/>
                      <w:sz w:val="21"/>
                      <w:szCs w:val="21"/>
                      <w:lang w:val="zh-CN"/>
                    </w:rPr>
                    <w:t>为</w:t>
                  </w:r>
                  <w:r>
                    <w:rPr>
                      <w:rFonts w:hint="eastAsia" w:cs="Times New Roman"/>
                      <w:bCs/>
                      <w:color w:val="auto"/>
                      <w:sz w:val="21"/>
                      <w:szCs w:val="21"/>
                      <w:lang w:val="en-US" w:eastAsia="zh-CN"/>
                    </w:rPr>
                    <w:t>357.54</w:t>
                  </w:r>
                  <w:r>
                    <w:rPr>
                      <w:rFonts w:hint="eastAsia"/>
                      <w:color w:val="auto"/>
                      <w:sz w:val="21"/>
                      <w:szCs w:val="21"/>
                      <w:vertAlign w:val="baseline"/>
                      <w:lang w:val="en-US" w:eastAsia="zh-CN"/>
                    </w:rPr>
                    <w:t>kW·h/t</w:t>
                  </w:r>
                  <w:r>
                    <w:rPr>
                      <w:rFonts w:hint="eastAsia" w:ascii="Times New Roman" w:hAnsi="Times New Roman" w:eastAsia="宋体" w:cs="Times New Roman"/>
                      <w:color w:val="auto"/>
                      <w:kern w:val="2"/>
                      <w:sz w:val="21"/>
                      <w:szCs w:val="21"/>
                      <w:lang w:val="en-US" w:eastAsia="zh-CN"/>
                    </w:rPr>
                    <w:t>（小于</w:t>
                  </w:r>
                  <w:r>
                    <w:rPr>
                      <w:rFonts w:hint="eastAsia" w:cs="Times New Roman"/>
                      <w:color w:val="auto"/>
                      <w:kern w:val="2"/>
                      <w:sz w:val="21"/>
                      <w:szCs w:val="21"/>
                      <w:lang w:val="en-US" w:eastAsia="zh-CN"/>
                    </w:rPr>
                    <w:t>690</w:t>
                  </w:r>
                  <w:r>
                    <w:rPr>
                      <w:rFonts w:hint="eastAsia"/>
                      <w:color w:val="auto"/>
                      <w:sz w:val="21"/>
                      <w:szCs w:val="21"/>
                      <w:vertAlign w:val="baseline"/>
                      <w:lang w:val="en-US" w:eastAsia="zh-CN"/>
                    </w:rPr>
                    <w:t>kW·h/t</w:t>
                  </w:r>
                  <w:r>
                    <w:rPr>
                      <w:rFonts w:hint="eastAsia" w:ascii="Times New Roman" w:hAnsi="Times New Roman" w:eastAsia="宋体" w:cs="Times New Roman"/>
                      <w:color w:val="auto"/>
                      <w:kern w:val="2"/>
                      <w:sz w:val="21"/>
                      <w:szCs w:val="21"/>
                      <w:lang w:val="en-US" w:eastAsia="zh-CN"/>
                    </w:rPr>
                    <w:t>）。</w:t>
                  </w:r>
                </w:p>
              </w:tc>
              <w:tc>
                <w:tcPr>
                  <w:tcW w:w="165" w:type="pct"/>
                  <w:vMerge w:val="continue"/>
                  <w:noWrap w:val="0"/>
                  <w:vAlign w:val="center"/>
                </w:tcPr>
                <w:p w14:paraId="1967339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7F04B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277760D7">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2664D070">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10环境保护</w:t>
                  </w:r>
                </w:p>
                <w:p w14:paraId="1CC16ADA">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10.1企业应按HJ1115、HJ1200的要求</w:t>
                  </w:r>
                  <w:r>
                    <w:rPr>
                      <w:rFonts w:hint="eastAsia"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取得排污许可证</w:t>
                  </w:r>
                  <w:r>
                    <w:rPr>
                      <w:rFonts w:hint="eastAsia"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en-US" w:eastAsia="zh-CN"/>
                    </w:rPr>
                    <w:t>宜按照HJ1251的要求制定自行监测方案。</w:t>
                  </w:r>
                </w:p>
                <w:p w14:paraId="712E137D">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10.2企业大气污染物排放应符合GB39726的要求。应配置完善的环保处理装置，废气、废水、噪声、工业固体废物等排放与处置措施应符合国家及地方环保法规和标准的规定。</w:t>
                  </w:r>
                </w:p>
                <w:p w14:paraId="0B0F54C5">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10.3企业宜参照《重污染天气重点行业应急减排措施制定技术指南》的要求开展绩效分级管理，制定重污染天气应急减排措施。</w:t>
                  </w:r>
                </w:p>
                <w:p w14:paraId="27EEAA91">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10.4企业可按照GB/T24001要求建立环境</w:t>
                  </w:r>
                  <w:r>
                    <w:rPr>
                      <w:rFonts w:hint="eastAsia" w:ascii="Times New Roman" w:hAnsi="Times New Roman" w:eastAsia="宋体" w:cs="Times New Roman"/>
                      <w:color w:val="auto"/>
                      <w:kern w:val="2"/>
                      <w:sz w:val="21"/>
                      <w:szCs w:val="21"/>
                      <w:lang w:val="en-US" w:eastAsia="zh-CN"/>
                    </w:rPr>
                    <w:t>管理</w:t>
                  </w:r>
                  <w:r>
                    <w:rPr>
                      <w:rFonts w:hint="default" w:ascii="Times New Roman" w:hAnsi="Times New Roman" w:eastAsia="宋体" w:cs="Times New Roman"/>
                      <w:color w:val="auto"/>
                      <w:kern w:val="2"/>
                      <w:sz w:val="21"/>
                      <w:szCs w:val="21"/>
                      <w:lang w:val="en-US" w:eastAsia="zh-CN"/>
                    </w:rPr>
                    <w:t>通过认证并持续有效运行。</w:t>
                  </w:r>
                </w:p>
              </w:tc>
              <w:tc>
                <w:tcPr>
                  <w:tcW w:w="1644" w:type="pct"/>
                  <w:noWrap w:val="0"/>
                  <w:vAlign w:val="center"/>
                </w:tcPr>
                <w:p w14:paraId="4A8813B5">
                  <w:pPr>
                    <w:pStyle w:val="2"/>
                    <w:keepNext w:val="0"/>
                    <w:keepLines w:val="0"/>
                    <w:widowControl w:val="0"/>
                    <w:suppressLineNumbers w:val="0"/>
                    <w:snapToGrid/>
                    <w:spacing w:before="0" w:beforeAutospacing="0" w:after="0" w:afterAutospacing="0" w:line="240" w:lineRule="auto"/>
                    <w:ind w:left="0" w:right="0"/>
                    <w:jc w:val="left"/>
                    <w:rPr>
                      <w:rFonts w:hint="default" w:ascii="Times New Roman" w:hAnsi="Times New Roman" w:cs="Times New Roman"/>
                      <w:color w:val="auto"/>
                      <w:sz w:val="21"/>
                      <w:szCs w:val="21"/>
                      <w:lang w:val="en-US" w:eastAsia="zh-CN"/>
                    </w:rPr>
                  </w:pPr>
                  <w:r>
                    <w:rPr>
                      <w:rFonts w:hint="eastAsia" w:ascii="Times New Roman" w:hAnsi="Times New Roman" w:cs="Times New Roman"/>
                      <w:bCs/>
                      <w:color w:val="auto"/>
                      <w:kern w:val="2"/>
                      <w:sz w:val="21"/>
                      <w:szCs w:val="21"/>
                      <w:lang w:val="en-US" w:eastAsia="zh-CN"/>
                    </w:rPr>
                    <w:t>企业已取得</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排污许可证</w:t>
                  </w:r>
                  <w:r>
                    <w:rPr>
                      <w:rFonts w:hint="eastAsia" w:ascii="Times New Roman" w:hAnsi="Times New Roman" w:cs="Times New Roman"/>
                      <w:color w:val="auto"/>
                      <w:sz w:val="21"/>
                      <w:szCs w:val="21"/>
                    </w:rPr>
                    <w:t>》（登记编号</w:t>
                  </w:r>
                  <w:r>
                    <w:rPr>
                      <w:rFonts w:hint="eastAsia" w:ascii="Times New Roman" w:hAnsi="Times New Roman" w:cs="Times New Roman"/>
                      <w:color w:val="auto"/>
                      <w:sz w:val="21"/>
                      <w:szCs w:val="21"/>
                      <w:lang w:eastAsia="zh-CN"/>
                    </w:rPr>
                    <w:t>：</w:t>
                  </w:r>
                  <w:r>
                    <w:rPr>
                      <w:rFonts w:hint="eastAsia" w:cs="Times New Roman"/>
                      <w:color w:val="auto"/>
                      <w:sz w:val="21"/>
                      <w:szCs w:val="21"/>
                      <w:lang w:eastAsia="zh-CN"/>
                    </w:rPr>
                    <w:t>91320413MA1YNBQW2B001Q</w:t>
                  </w:r>
                  <w:r>
                    <w:rPr>
                      <w:rFonts w:hint="eastAsia" w:ascii="Times New Roman" w:hAnsi="Times New Roman" w:cs="Times New Roman"/>
                      <w:color w:val="auto"/>
                      <w:sz w:val="21"/>
                      <w:szCs w:val="21"/>
                    </w:rPr>
                    <w:t>）</w:t>
                  </w:r>
                  <w:r>
                    <w:rPr>
                      <w:rFonts w:hint="eastAsia" w:ascii="Times New Roman" w:hAnsi="Times New Roman" w:cs="Times New Roman"/>
                      <w:color w:val="auto"/>
                      <w:spacing w:val="10"/>
                      <w:sz w:val="21"/>
                      <w:szCs w:val="21"/>
                      <w:lang w:eastAsia="zh-CN" w:bidi="ar"/>
                    </w:rPr>
                    <w:t>；</w:t>
                  </w:r>
                  <w:r>
                    <w:rPr>
                      <w:rFonts w:hint="eastAsia" w:ascii="Times New Roman" w:hAnsi="Times New Roman" w:cs="Times New Roman"/>
                      <w:color w:val="auto"/>
                      <w:spacing w:val="10"/>
                      <w:sz w:val="21"/>
                      <w:szCs w:val="21"/>
                      <w:lang w:val="en-US" w:eastAsia="zh-CN" w:bidi="ar"/>
                    </w:rPr>
                    <w:t>企业不产生生产废水，生活污水近期由金坛区指前镇新河村委收集后集中处理，尾水自用于农田灌溉，不排到附近河流；远期待区域市政管网敷设到位后，接管至指前污水处理</w:t>
                  </w:r>
                  <w:r>
                    <w:rPr>
                      <w:rFonts w:hint="eastAsia" w:cs="Times New Roman"/>
                      <w:color w:val="auto"/>
                      <w:spacing w:val="10"/>
                      <w:sz w:val="21"/>
                      <w:szCs w:val="21"/>
                      <w:lang w:val="en-US" w:eastAsia="zh-CN" w:bidi="ar"/>
                    </w:rPr>
                    <w:t>厂</w:t>
                  </w:r>
                  <w:r>
                    <w:rPr>
                      <w:rFonts w:hint="eastAsia" w:ascii="Times New Roman" w:hAnsi="Times New Roman" w:cs="Times New Roman"/>
                      <w:color w:val="auto"/>
                      <w:spacing w:val="10"/>
                      <w:sz w:val="21"/>
                      <w:szCs w:val="21"/>
                      <w:lang w:val="en-US" w:eastAsia="zh-CN" w:bidi="ar"/>
                    </w:rPr>
                    <w:t>；熔化烟尘、精炼烟尘经布袋除尘器处理后通过15m高排气筒排放；采用隔声、减振等降噪措施；</w:t>
                  </w:r>
                  <w:r>
                    <w:rPr>
                      <w:rFonts w:hint="default" w:ascii="Times New Roman" w:hAnsi="Times New Roman" w:cs="Times New Roman"/>
                      <w:color w:val="auto"/>
                      <w:sz w:val="21"/>
                      <w:szCs w:val="21"/>
                      <w:lang w:val="en-US" w:eastAsia="zh-CN"/>
                    </w:rPr>
                    <w:t>固废全部合规处置，不排放</w:t>
                  </w:r>
                  <w:r>
                    <w:rPr>
                      <w:rFonts w:hint="eastAsia" w:cs="Times New Roman"/>
                      <w:color w:val="auto"/>
                      <w:sz w:val="21"/>
                      <w:szCs w:val="21"/>
                      <w:lang w:val="en-US" w:eastAsia="zh-CN"/>
                    </w:rPr>
                    <w:t>；</w:t>
                  </w:r>
                  <w:r>
                    <w:rPr>
                      <w:rFonts w:hint="default" w:ascii="Times New Roman" w:hAnsi="Times New Roman" w:eastAsia="宋体" w:cs="Times New Roman"/>
                      <w:color w:val="auto"/>
                      <w:kern w:val="2"/>
                      <w:sz w:val="21"/>
                      <w:szCs w:val="21"/>
                      <w:lang w:val="en-US" w:eastAsia="zh-CN"/>
                    </w:rPr>
                    <w:t>企业</w:t>
                  </w:r>
                  <w:r>
                    <w:rPr>
                      <w:rFonts w:hint="eastAsia" w:ascii="Times New Roman" w:hAnsi="Times New Roman" w:eastAsia="宋体" w:cs="Times New Roman"/>
                      <w:color w:val="auto"/>
                      <w:kern w:val="2"/>
                      <w:sz w:val="21"/>
                      <w:szCs w:val="21"/>
                      <w:lang w:val="en-US" w:eastAsia="zh-CN"/>
                    </w:rPr>
                    <w:t>应</w:t>
                  </w:r>
                  <w:r>
                    <w:rPr>
                      <w:rFonts w:hint="default" w:ascii="Times New Roman" w:hAnsi="Times New Roman" w:eastAsia="宋体" w:cs="Times New Roman"/>
                      <w:color w:val="auto"/>
                      <w:kern w:val="2"/>
                      <w:sz w:val="21"/>
                      <w:szCs w:val="21"/>
                      <w:lang w:val="en-US" w:eastAsia="zh-CN"/>
                    </w:rPr>
                    <w:t>参照《重污染天气重点行业应急减排措施制定技术指南》的要求开展绩效分级管理，制定重污染天气应急减排措施</w:t>
                  </w:r>
                  <w:r>
                    <w:rPr>
                      <w:rFonts w:hint="eastAsia" w:ascii="Times New Roman" w:hAnsi="Times New Roman" w:eastAsia="宋体" w:cs="Times New Roman"/>
                      <w:color w:val="auto"/>
                      <w:kern w:val="2"/>
                      <w:sz w:val="21"/>
                      <w:szCs w:val="21"/>
                      <w:lang w:val="en-US" w:eastAsia="zh-CN"/>
                    </w:rPr>
                    <w:t>；</w:t>
                  </w:r>
                  <w:r>
                    <w:rPr>
                      <w:rFonts w:hint="eastAsia" w:cs="Times New Roman"/>
                      <w:color w:val="auto"/>
                      <w:kern w:val="2"/>
                      <w:sz w:val="21"/>
                      <w:szCs w:val="21"/>
                      <w:lang w:val="en-US" w:eastAsia="zh-CN"/>
                    </w:rPr>
                    <w:t>建议</w:t>
                  </w:r>
                  <w:r>
                    <w:rPr>
                      <w:rFonts w:hint="default" w:ascii="Times New Roman" w:hAnsi="Times New Roman" w:eastAsia="宋体" w:cs="Times New Roman"/>
                      <w:color w:val="auto"/>
                      <w:kern w:val="2"/>
                      <w:sz w:val="21"/>
                      <w:szCs w:val="21"/>
                      <w:lang w:val="en-US" w:eastAsia="zh-CN"/>
                    </w:rPr>
                    <w:t>企业建立环境管理体系</w:t>
                  </w:r>
                  <w:r>
                    <w:rPr>
                      <w:rFonts w:hint="eastAsia" w:ascii="Times New Roman" w:hAnsi="Times New Roman" w:eastAsia="宋体" w:cs="Times New Roman"/>
                      <w:color w:val="auto"/>
                      <w:kern w:val="2"/>
                      <w:sz w:val="21"/>
                      <w:szCs w:val="21"/>
                      <w:lang w:val="en-US" w:eastAsia="zh-CN"/>
                    </w:rPr>
                    <w:t>，并</w:t>
                  </w:r>
                  <w:r>
                    <w:rPr>
                      <w:rFonts w:hint="eastAsia" w:cs="Times New Roman"/>
                      <w:color w:val="auto"/>
                      <w:kern w:val="2"/>
                      <w:sz w:val="21"/>
                      <w:szCs w:val="21"/>
                      <w:lang w:val="en-US" w:eastAsia="zh-CN"/>
                    </w:rPr>
                    <w:t>进行</w:t>
                  </w:r>
                  <w:r>
                    <w:rPr>
                      <w:rFonts w:hint="eastAsia" w:ascii="Times New Roman" w:hAnsi="Times New Roman" w:cs="Times New Roman"/>
                      <w:color w:val="auto"/>
                      <w:sz w:val="21"/>
                      <w:szCs w:val="21"/>
                      <w:lang w:val="en-US" w:eastAsia="zh-CN"/>
                    </w:rPr>
                    <w:t>环境管理体系认证</w:t>
                  </w:r>
                  <w:r>
                    <w:rPr>
                      <w:rFonts w:hint="default" w:ascii="Times New Roman" w:hAnsi="Times New Roman" w:eastAsia="宋体" w:cs="Times New Roman"/>
                      <w:color w:val="auto"/>
                      <w:kern w:val="2"/>
                      <w:sz w:val="21"/>
                      <w:szCs w:val="21"/>
                      <w:lang w:val="en-US" w:eastAsia="zh-CN"/>
                    </w:rPr>
                    <w:t>。</w:t>
                  </w:r>
                </w:p>
              </w:tc>
              <w:tc>
                <w:tcPr>
                  <w:tcW w:w="165" w:type="pct"/>
                  <w:vMerge w:val="continue"/>
                  <w:noWrap w:val="0"/>
                  <w:vAlign w:val="center"/>
                </w:tcPr>
                <w:p w14:paraId="7BB975A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11082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2" w:type="pct"/>
                  <w:vMerge w:val="continue"/>
                  <w:noWrap w:val="0"/>
                  <w:vAlign w:val="center"/>
                </w:tcPr>
                <w:p w14:paraId="1B4BA516">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rPr>
                  </w:pPr>
                </w:p>
              </w:tc>
              <w:tc>
                <w:tcPr>
                  <w:tcW w:w="2186" w:type="pct"/>
                  <w:noWrap w:val="0"/>
                  <w:vAlign w:val="center"/>
                </w:tcPr>
                <w:p w14:paraId="18E46F90">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11安全生产及职业健康</w:t>
                  </w:r>
                </w:p>
                <w:p w14:paraId="2DDCD8BE">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11.1企业应遵守国家安全生产相关法律法规和标准要求，建立健全安全设施并有效运行。</w:t>
                  </w:r>
                </w:p>
                <w:p w14:paraId="03267E4E">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11.2企业应遵守国家职业健康相关法律法规和标准要求，建立健全职业危害防治设施和职业卫生管理制度并有效运行。</w:t>
                  </w:r>
                </w:p>
                <w:p w14:paraId="336F4D50">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11.3</w:t>
                  </w:r>
                  <w:r>
                    <w:rPr>
                      <w:rFonts w:hint="eastAsia" w:ascii="Times New Roman" w:hAnsi="Times New Roman" w:eastAsia="宋体" w:cs="Times New Roman"/>
                      <w:color w:val="auto"/>
                      <w:kern w:val="2"/>
                      <w:sz w:val="21"/>
                      <w:szCs w:val="21"/>
                      <w:lang w:val="en-US" w:eastAsia="zh-CN"/>
                    </w:rPr>
                    <w:t>企业宜参照铸造领域相关安全标准开展安全生产管理。</w:t>
                  </w:r>
                </w:p>
                <w:p w14:paraId="7A006DEB">
                  <w:pPr>
                    <w:pStyle w:val="2"/>
                    <w:keepNext w:val="0"/>
                    <w:keepLines w:val="0"/>
                    <w:pageBreakBefore w:val="0"/>
                    <w:suppressLineNumbers w:val="0"/>
                    <w:kinsoku/>
                    <w:wordWrap/>
                    <w:topLinePunct w:val="0"/>
                    <w:bidi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11.4</w:t>
                  </w:r>
                  <w:r>
                    <w:rPr>
                      <w:rFonts w:hint="default" w:ascii="Times New Roman" w:hAnsi="Times New Roman" w:eastAsia="宋体" w:cs="Times New Roman"/>
                      <w:color w:val="auto"/>
                      <w:kern w:val="2"/>
                      <w:sz w:val="21"/>
                      <w:szCs w:val="21"/>
                      <w:lang w:val="en-US" w:eastAsia="zh-CN"/>
                    </w:rPr>
                    <w:t>企业可按照GB/T 28001标准要求建立职业健康安全管理体系、通过认证并持续有效运行。</w:t>
                  </w:r>
                </w:p>
                <w:p w14:paraId="6E15ACA0">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w:t>
                  </w:r>
                  <w:r>
                    <w:rPr>
                      <w:rFonts w:hint="eastAsia" w:ascii="Times New Roman" w:hAnsi="Times New Roman" w:eastAsia="宋体" w:cs="Times New Roman"/>
                      <w:color w:val="auto"/>
                      <w:kern w:val="2"/>
                      <w:sz w:val="21"/>
                      <w:szCs w:val="21"/>
                      <w:lang w:val="en-US" w:eastAsia="zh-CN"/>
                    </w:rPr>
                    <w:t>5</w:t>
                  </w:r>
                  <w:r>
                    <w:rPr>
                      <w:rFonts w:hint="default" w:ascii="Times New Roman" w:hAnsi="Times New Roman" w:eastAsia="宋体" w:cs="Times New Roman"/>
                      <w:color w:val="auto"/>
                      <w:kern w:val="2"/>
                      <w:sz w:val="21"/>
                      <w:szCs w:val="21"/>
                      <w:lang w:val="en-US" w:eastAsia="zh-CN"/>
                    </w:rPr>
                    <w:t>特种作业人员、特种设备操作人员、计量人员、理化检验人员及无损探伤等特殊岗位的人员应具有经相应的资质部门颁发的资格证书，持证上岗率应达100%。</w:t>
                  </w:r>
                </w:p>
              </w:tc>
              <w:tc>
                <w:tcPr>
                  <w:tcW w:w="1644" w:type="pct"/>
                  <w:noWrap w:val="0"/>
                  <w:vAlign w:val="center"/>
                </w:tcPr>
                <w:p w14:paraId="07E2BCA1">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企业已建立安全设施管理，并有效运行；企业于2023年委托专业单位编制职业病危害现状评价报告书（</w:t>
                  </w:r>
                  <w:r>
                    <w:rPr>
                      <w:rFonts w:hint="eastAsia" w:cs="Times New Roman"/>
                      <w:bCs/>
                      <w:color w:val="auto"/>
                      <w:kern w:val="2"/>
                      <w:sz w:val="21"/>
                      <w:szCs w:val="21"/>
                      <w:lang w:val="en-US" w:eastAsia="zh-CN"/>
                    </w:rPr>
                    <w:t>职评</w:t>
                  </w:r>
                  <w:r>
                    <w:rPr>
                      <w:rFonts w:hint="eastAsia" w:ascii="Times New Roman" w:hAnsi="Times New Roman" w:cs="Times New Roman"/>
                      <w:bCs/>
                      <w:color w:val="auto"/>
                      <w:kern w:val="2"/>
                      <w:sz w:val="21"/>
                      <w:szCs w:val="21"/>
                      <w:lang w:val="en-US" w:eastAsia="zh-CN"/>
                    </w:rPr>
                    <w:t>2023J0</w:t>
                  </w:r>
                  <w:r>
                    <w:rPr>
                      <w:rFonts w:hint="eastAsia" w:cs="Times New Roman"/>
                      <w:bCs/>
                      <w:color w:val="auto"/>
                      <w:kern w:val="2"/>
                      <w:sz w:val="21"/>
                      <w:szCs w:val="21"/>
                      <w:lang w:val="en-US" w:eastAsia="zh-CN"/>
                    </w:rPr>
                    <w:t>20</w:t>
                  </w:r>
                  <w:r>
                    <w:rPr>
                      <w:rFonts w:hint="eastAsia" w:ascii="Times New Roman" w:hAnsi="Times New Roman" w:cs="Times New Roman"/>
                      <w:bCs/>
                      <w:color w:val="auto"/>
                      <w:kern w:val="2"/>
                      <w:sz w:val="21"/>
                      <w:szCs w:val="21"/>
                      <w:lang w:val="en-US" w:eastAsia="zh-CN"/>
                    </w:rPr>
                    <w:t>），并按照职业健康管理要求落实；企业已建立安全生产管理体系，并有效运行；</w:t>
                  </w:r>
                  <w:r>
                    <w:rPr>
                      <w:rFonts w:hint="eastAsia" w:cs="Times New Roman"/>
                      <w:bCs/>
                      <w:color w:val="auto"/>
                      <w:kern w:val="2"/>
                      <w:sz w:val="21"/>
                      <w:szCs w:val="21"/>
                      <w:lang w:val="en-US" w:eastAsia="zh-CN"/>
                    </w:rPr>
                    <w:t>建议</w:t>
                  </w:r>
                  <w:r>
                    <w:rPr>
                      <w:rFonts w:hint="eastAsia" w:ascii="Times New Roman" w:hAnsi="Times New Roman" w:cs="Times New Roman"/>
                      <w:bCs/>
                      <w:color w:val="auto"/>
                      <w:kern w:val="2"/>
                      <w:sz w:val="21"/>
                      <w:szCs w:val="21"/>
                      <w:lang w:val="en-US" w:eastAsia="zh-CN"/>
                    </w:rPr>
                    <w:t>企业建立职业健康安全管理体系，并</w:t>
                  </w:r>
                  <w:r>
                    <w:rPr>
                      <w:rFonts w:hint="eastAsia" w:cs="Times New Roman"/>
                      <w:bCs/>
                      <w:color w:val="auto"/>
                      <w:kern w:val="2"/>
                      <w:sz w:val="21"/>
                      <w:szCs w:val="21"/>
                      <w:lang w:val="en-US" w:eastAsia="zh-CN"/>
                    </w:rPr>
                    <w:t>进行</w:t>
                  </w:r>
                  <w:r>
                    <w:rPr>
                      <w:rFonts w:hint="eastAsia" w:ascii="Times New Roman" w:hAnsi="Times New Roman" w:cs="Times New Roman"/>
                      <w:bCs/>
                      <w:color w:val="auto"/>
                      <w:kern w:val="2"/>
                      <w:sz w:val="21"/>
                      <w:szCs w:val="21"/>
                      <w:lang w:val="en-US" w:eastAsia="zh-CN"/>
                    </w:rPr>
                    <w:t>职业健康安全管理体系认证。</w:t>
                  </w:r>
                </w:p>
              </w:tc>
              <w:tc>
                <w:tcPr>
                  <w:tcW w:w="165" w:type="pct"/>
                  <w:vMerge w:val="continue"/>
                  <w:noWrap w:val="0"/>
                  <w:vAlign w:val="center"/>
                </w:tcPr>
                <w:p w14:paraId="5930AFD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14:paraId="7434D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pct"/>
                  <w:vMerge w:val="restart"/>
                  <w:noWrap w:val="0"/>
                  <w:vAlign w:val="center"/>
                </w:tcPr>
                <w:p w14:paraId="303DE580">
                  <w:pPr>
                    <w:keepNext w:val="0"/>
                    <w:keepLines w:val="0"/>
                    <w:suppressLineNumbers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《省生态环境厅关于印发〈</w:t>
                  </w:r>
                  <w:r>
                    <w:rPr>
                      <w:rFonts w:hint="eastAsia" w:ascii="Times New Roman" w:hAnsi="Times New Roman" w:cs="Times New Roman"/>
                      <w:color w:val="auto"/>
                      <w:sz w:val="21"/>
                      <w:szCs w:val="21"/>
                    </w:rPr>
                    <w:t>江苏省铸造行业大气污染综合治理方案</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的通知》</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苏环办</w:t>
                  </w:r>
                  <w:r>
                    <w:rPr>
                      <w:rFonts w:hint="eastAsia"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242</w:t>
                  </w:r>
                  <w:r>
                    <w:rPr>
                      <w:rFonts w:hint="eastAsia" w:ascii="Times New Roman" w:hAnsi="Times New Roman" w:cs="Times New Roman"/>
                      <w:color w:val="auto"/>
                      <w:sz w:val="21"/>
                      <w:szCs w:val="21"/>
                    </w:rPr>
                    <w:t>号</w:t>
                  </w:r>
                  <w:r>
                    <w:rPr>
                      <w:rFonts w:hint="eastAsia" w:ascii="Times New Roman" w:hAnsi="Times New Roman" w:cs="Times New Roman"/>
                      <w:color w:val="auto"/>
                      <w:sz w:val="21"/>
                      <w:szCs w:val="21"/>
                      <w:lang w:eastAsia="zh-CN"/>
                    </w:rPr>
                    <w:t>）</w:t>
                  </w:r>
                </w:p>
              </w:tc>
              <w:tc>
                <w:tcPr>
                  <w:tcW w:w="2186" w:type="pct"/>
                  <w:noWrap w:val="0"/>
                  <w:vAlign w:val="center"/>
                </w:tcPr>
                <w:p w14:paraId="34D0ADAB">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（一）有组织排放控制要求</w:t>
                  </w:r>
                </w:p>
                <w:p w14:paraId="6F9FA43F">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冲天炉烟气颗粒物、二氧化硫、氮氧化物浓度小时均值分别不高于40、200、300毫克/立方米；燃气炉烟气颗粒物、二氧化硫、氮氧化物浓度小时均值分别不高于30、100、400毫克/立方米；电弧炉、感应电炉、精炼炉等其他熔炼（化）炉、保温炉烟气颗粒物浓度小时均值不高于30毫克/立方米。自硬砂及干砂等造型设备、落砂机和抛（喷）丸机等清理设备、加砂和制芯设备、浇注区的颗粒物浓度小时均值不高于30毫克/立方米。砂处理及废砂再生设备烟气颗粒物、二氧化硫、氮氧化物浓度小时均值分别不高于30、150、300毫克/立方米；铸件热处理设备烟气颗粒物、二氧化硫、氮氧化物浓度小时均值分别不高于30、100、300毫克/立方米。表面涂装设备（线）烟气的颗粒物、苯、苯系物、NMHC（非甲烷总烃）、TVOC（总挥发性有机物）浓度小时均值分别不高于30、1、60、100、120毫克/立方米。其他生产工序或设备、设施烟气颗粒物浓度不高于30毫克/立方米。车间或生产设施排气中NMHC初始排放速率≥2kg/h的，VOCs（挥发性有机物）处理设施的处理效率不低于80%。</w:t>
                  </w:r>
                </w:p>
              </w:tc>
              <w:tc>
                <w:tcPr>
                  <w:tcW w:w="1644" w:type="pct"/>
                  <w:noWrap w:val="0"/>
                  <w:vAlign w:val="center"/>
                </w:tcPr>
                <w:p w14:paraId="61302F0C">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项目精炼炉、中频炉</w:t>
                  </w:r>
                  <w:r>
                    <w:rPr>
                      <w:rFonts w:hint="default" w:ascii="Times New Roman" w:hAnsi="Times New Roman" w:eastAsia="宋体" w:cs="Times New Roman"/>
                      <w:color w:val="auto"/>
                      <w:kern w:val="2"/>
                      <w:sz w:val="21"/>
                      <w:szCs w:val="21"/>
                      <w:lang w:val="en-US" w:eastAsia="zh-CN"/>
                    </w:rPr>
                    <w:t>颗粒物浓度小时均值不高于30毫克/立方米</w:t>
                  </w:r>
                  <w:r>
                    <w:rPr>
                      <w:rFonts w:hint="eastAsia" w:ascii="Times New Roman" w:hAnsi="Times New Roman" w:eastAsia="宋体" w:cs="Times New Roman"/>
                      <w:color w:val="auto"/>
                      <w:kern w:val="2"/>
                      <w:sz w:val="21"/>
                      <w:szCs w:val="21"/>
                      <w:lang w:val="en-US" w:eastAsia="zh-CN"/>
                    </w:rPr>
                    <w:t>；</w:t>
                  </w:r>
                  <w:r>
                    <w:rPr>
                      <w:rFonts w:hint="eastAsia" w:cs="Times New Roman"/>
                      <w:color w:val="auto"/>
                      <w:kern w:val="2"/>
                      <w:sz w:val="21"/>
                      <w:szCs w:val="21"/>
                      <w:lang w:val="en-US" w:eastAsia="zh-CN"/>
                    </w:rPr>
                    <w:t>不涉及</w:t>
                  </w:r>
                  <w:r>
                    <w:rPr>
                      <w:rFonts w:hint="default" w:ascii="Times New Roman" w:hAnsi="Times New Roman" w:eastAsia="宋体" w:cs="Times New Roman"/>
                      <w:color w:val="auto"/>
                      <w:kern w:val="2"/>
                      <w:sz w:val="21"/>
                      <w:szCs w:val="21"/>
                      <w:lang w:val="en-US" w:eastAsia="zh-CN"/>
                    </w:rPr>
                    <w:t>砂处理及废砂再生设备</w:t>
                  </w:r>
                  <w:r>
                    <w:rPr>
                      <w:rFonts w:hint="eastAsia"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不涉及冲天炉、表面涂装设备等。</w:t>
                  </w:r>
                </w:p>
              </w:tc>
              <w:tc>
                <w:tcPr>
                  <w:tcW w:w="165" w:type="pct"/>
                  <w:noWrap w:val="0"/>
                  <w:vAlign w:val="center"/>
                </w:tcPr>
                <w:p w14:paraId="32C78DF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68747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244E31D0">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142CCA3D">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（二）无组织排放控制要求</w:t>
                  </w:r>
                </w:p>
                <w:p w14:paraId="7834AC31">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颗粒物无组织排放控制要求。企业厂区内颗粒物无组织排放1小时平均浓度值不高于5毫克/立方米。物料储存：煤粉、膨润土等粉状物料和硅砂应袋装或罐装，并储存于封闭储库或半封闭料场（堆棚）中。生铁、废钢、焦炭和铁合金等粒状、块状散装物料应储存于封闭储库、料仓中，或储存于半封闭料场（堆棚）中。物料转移和输送：粉状、粒状等易散发粉尘的物料厂内转移、输送过程，应封闭；转移、输送、装卸过程中产尘点应采取集气除尘措施，或喷淋（雾）等抑尘措施；除尘器卸灰口应采取遮挡等抑尘措施，除尘灰不得直接卸落到地面；除尘灰采取袋装、罐装等密闭措施收集、存放和运输；厂区道路应硬化，并采取定期清扫、洒水等措施，保持清洁。铸造：冲天炉加料口应为负压状态，防止粉尘外泄。废钢、回炉料等原料加工工序和孕育、变质、炉外精炼等金属液处理工序产尘点应安装集气罩，并配备除尘设施。造型、制芯、浇注工序产尘点应安装集气罩并配备除尘设施，或采取喷淋（雾）等抑尘措施。落砂、抛丸清理、砂处理工序应在封闭空间内操作，废气收集至除尘设施；未在封闭空间内操作的，应采用固定式、移动式集气设备，并配备除尘设施。清理（去除浇冒口、铲飞边毛刺等）和浇包、渣包的维修工序应在封闭空间内操作，废气收集至除尘设施；未在封闭空间内操作的，应采用固定式、移动式集气设备并配备除尘设施。车间外不得有可见烟粉尘外逸。</w:t>
                  </w:r>
                </w:p>
              </w:tc>
              <w:tc>
                <w:tcPr>
                  <w:tcW w:w="1644" w:type="pct"/>
                  <w:noWrap w:val="0"/>
                  <w:vAlign w:val="center"/>
                </w:tcPr>
                <w:p w14:paraId="4081E70E">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企业厂区内颗粒物无组织排放1小时平均浓度值不高于5毫克/立方米</w:t>
                  </w:r>
                  <w:r>
                    <w:rPr>
                      <w:rFonts w:hint="eastAsia" w:ascii="Times New Roman" w:hAnsi="Times New Roman" w:eastAsia="宋体" w:cs="Times New Roman"/>
                      <w:color w:val="auto"/>
                      <w:kern w:val="2"/>
                      <w:sz w:val="21"/>
                      <w:szCs w:val="21"/>
                      <w:lang w:val="en-US" w:eastAsia="zh-CN"/>
                    </w:rPr>
                    <w:t>。废钢均储存在半封闭的原料仓库内。原料在厂内转移、输送过程中均不拆包运输至使用地点；项目原料主要为粒状、块状、转运过程中粉尘产生量较少；</w:t>
                  </w:r>
                  <w:r>
                    <w:rPr>
                      <w:rFonts w:hint="default" w:ascii="Times New Roman" w:hAnsi="Times New Roman" w:eastAsia="宋体" w:cs="Times New Roman"/>
                      <w:color w:val="auto"/>
                      <w:kern w:val="2"/>
                      <w:sz w:val="21"/>
                      <w:szCs w:val="21"/>
                      <w:lang w:val="en-US" w:eastAsia="zh-CN"/>
                    </w:rPr>
                    <w:t>除尘器卸灰口应采取遮挡等抑尘措施，除尘灰不得直接卸落到地面；除尘灰采取袋装、罐装等密闭措施收集、存放和运输；厂区道路</w:t>
                  </w:r>
                  <w:r>
                    <w:rPr>
                      <w:rFonts w:hint="eastAsia" w:ascii="Times New Roman" w:hAnsi="Times New Roman" w:eastAsia="宋体" w:cs="Times New Roman"/>
                      <w:color w:val="auto"/>
                      <w:kern w:val="2"/>
                      <w:sz w:val="21"/>
                      <w:szCs w:val="21"/>
                      <w:lang w:val="en-US" w:eastAsia="zh-CN"/>
                    </w:rPr>
                    <w:t>已</w:t>
                  </w:r>
                  <w:r>
                    <w:rPr>
                      <w:rFonts w:hint="default" w:ascii="Times New Roman" w:hAnsi="Times New Roman" w:eastAsia="宋体" w:cs="Times New Roman"/>
                      <w:color w:val="auto"/>
                      <w:kern w:val="2"/>
                      <w:sz w:val="21"/>
                      <w:szCs w:val="21"/>
                      <w:lang w:val="en-US" w:eastAsia="zh-CN"/>
                    </w:rPr>
                    <w:t>硬化，并定期清扫，保持清洁。</w:t>
                  </w:r>
                </w:p>
                <w:p w14:paraId="0A1E72A9">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项目原料熔化、精炼</w:t>
                  </w:r>
                  <w:r>
                    <w:rPr>
                      <w:rFonts w:hint="eastAsia" w:cs="Times New Roman"/>
                      <w:color w:val="auto"/>
                      <w:kern w:val="2"/>
                      <w:sz w:val="21"/>
                      <w:szCs w:val="21"/>
                      <w:lang w:val="en-US" w:eastAsia="zh-CN"/>
                    </w:rPr>
                    <w:t>、电渣重熔</w:t>
                  </w:r>
                  <w:r>
                    <w:rPr>
                      <w:rFonts w:hint="eastAsia" w:ascii="Times New Roman" w:hAnsi="Times New Roman" w:eastAsia="宋体" w:cs="Times New Roman"/>
                      <w:color w:val="auto"/>
                      <w:kern w:val="2"/>
                      <w:sz w:val="21"/>
                      <w:szCs w:val="21"/>
                      <w:lang w:val="en-US" w:eastAsia="zh-CN"/>
                    </w:rPr>
                    <w:t>等金属液处理工序产尘点均安装集气罩并配备除尘设施；去除浇冒口区上方设置集气罩并配套</w:t>
                  </w:r>
                  <w:r>
                    <w:rPr>
                      <w:rFonts w:hint="eastAsia" w:cs="Times New Roman"/>
                      <w:color w:val="auto"/>
                      <w:kern w:val="2"/>
                      <w:sz w:val="21"/>
                      <w:szCs w:val="21"/>
                      <w:lang w:val="en-US" w:eastAsia="zh-CN"/>
                    </w:rPr>
                    <w:t>滤筒除尘器</w:t>
                  </w:r>
                  <w:r>
                    <w:rPr>
                      <w:rFonts w:hint="eastAsia" w:ascii="Times New Roman" w:hAnsi="Times New Roman" w:eastAsia="宋体" w:cs="Times New Roman"/>
                      <w:color w:val="auto"/>
                      <w:kern w:val="2"/>
                      <w:sz w:val="21"/>
                      <w:szCs w:val="21"/>
                      <w:lang w:val="en-US" w:eastAsia="zh-CN"/>
                    </w:rPr>
                    <w:t>。车间外没有可见烟尘外逸。</w:t>
                  </w:r>
                </w:p>
              </w:tc>
              <w:tc>
                <w:tcPr>
                  <w:tcW w:w="165" w:type="pct"/>
                  <w:noWrap w:val="0"/>
                  <w:vAlign w:val="center"/>
                </w:tcPr>
                <w:p w14:paraId="734B21B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36182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pct"/>
                  <w:noWrap w:val="0"/>
                  <w:vAlign w:val="center"/>
                </w:tcPr>
                <w:p w14:paraId="4601ED96">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b w:val="0"/>
                      <w:bCs w:val="0"/>
                      <w:color w:val="auto"/>
                      <w:sz w:val="21"/>
                      <w:szCs w:val="21"/>
                      <w:highlight w:val="none"/>
                      <w:lang w:val="en-US" w:eastAsia="zh-CN"/>
                    </w:rPr>
                    <w:t>《关于推动铸造和锻压行业高质量发展的指导意见》（工信部联通装</w:t>
                  </w:r>
                  <w:r>
                    <w:rPr>
                      <w:rFonts w:hint="eastAsia"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rPr>
                    <w:t>〕</w:t>
                  </w:r>
                  <w:r>
                    <w:rPr>
                      <w:rFonts w:hint="eastAsia"/>
                      <w:b w:val="0"/>
                      <w:bCs w:val="0"/>
                      <w:color w:val="auto"/>
                      <w:sz w:val="21"/>
                      <w:szCs w:val="21"/>
                      <w:highlight w:val="none"/>
                      <w:lang w:val="en-US" w:eastAsia="zh-CN"/>
                    </w:rPr>
                    <w:t>40号）</w:t>
                  </w:r>
                </w:p>
              </w:tc>
              <w:tc>
                <w:tcPr>
                  <w:tcW w:w="2186" w:type="pct"/>
                  <w:noWrap w:val="0"/>
                  <w:vAlign w:val="center"/>
                </w:tcPr>
                <w:p w14:paraId="2450399F">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cs="Times New Roman"/>
                      <w:b/>
                      <w:bCs/>
                      <w:color w:val="auto"/>
                      <w:kern w:val="2"/>
                      <w:sz w:val="21"/>
                      <w:szCs w:val="21"/>
                      <w:lang w:val="en-US" w:eastAsia="zh-CN"/>
                    </w:rPr>
                    <w:t>发展目标：</w:t>
                  </w:r>
                  <w:r>
                    <w:rPr>
                      <w:rFonts w:hint="eastAsia" w:ascii="Times New Roman" w:hAnsi="Times New Roman" w:eastAsia="宋体" w:cs="Times New Roman"/>
                      <w:color w:val="auto"/>
                      <w:kern w:val="2"/>
                      <w:sz w:val="21"/>
                      <w:szCs w:val="21"/>
                      <w:lang w:val="en-US" w:eastAsia="zh-CN"/>
                    </w:rPr>
                    <w:t>到2025年，铸造和锻压行业总体水平进一步提高，保障装备制造业产业链供应链安全稳定的能力明显增强。产业结构更趋合理，产业布局与生产要素更加协同。重点领域高端铸件、锻件产品取得突破，掌握一批具有自主知识产权的核心技术，一体化压铸成形、无模铸造、砂型3D打印、超高强钢热成形、精密冷温热锻、轻质高强合金轻量化等先进工艺技术实现产业化应用。建成10个以上具有示范效应的产业集群，初步形成大中小企业、产业链上中下游协同发展的良好生态。智能化改造效应凸显，打造30家以上智能制造示范工厂。培育100家以上绿色工厂，铸造行业颗粒物污染排放量较2020年减少30%以上，年铸造废砂再生循环利用达到800万吨以上，吨锻件能源消耗较2020年减少5％。</w:t>
                  </w:r>
                </w:p>
                <w:p w14:paraId="02CEF74E">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到2035年，行业总体水平进入国际先进行列，形成完备的产业技术体系和持续创新能力，产业链供应链韧性显著增强，绿色发展水平大幅提高，培育发展一批世界级优质企业集团，培育形成有国际竞争力的先进制造业集群。</w:t>
                  </w:r>
                </w:p>
                <w:p w14:paraId="6DC462CA">
                  <w:pPr>
                    <w:pStyle w:val="2"/>
                    <w:keepNext w:val="0"/>
                    <w:keepLines w:val="0"/>
                    <w:suppressLineNumbers w:val="0"/>
                    <w:spacing w:before="0" w:beforeAutospacing="0" w:after="0" w:afterAutospacing="0" w:line="240" w:lineRule="auto"/>
                    <w:ind w:left="0" w:right="0"/>
                    <w:rPr>
                      <w:rFonts w:hint="eastAsia"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重点任务</w:t>
                  </w:r>
                  <w:r>
                    <w:rPr>
                      <w:rFonts w:hint="eastAsia" w:cs="Times New Roman"/>
                      <w:b/>
                      <w:bCs/>
                      <w:color w:val="auto"/>
                      <w:kern w:val="2"/>
                      <w:sz w:val="21"/>
                      <w:szCs w:val="21"/>
                      <w:lang w:val="en-US" w:eastAsia="zh-CN"/>
                    </w:rPr>
                    <w:t>：</w:t>
                  </w:r>
                </w:p>
                <w:p w14:paraId="68B007D5">
                  <w:pPr>
                    <w:pStyle w:val="3"/>
                    <w:keepNext w:val="0"/>
                    <w:keepLines w:val="0"/>
                    <w:numPr>
                      <w:ilvl w:val="0"/>
                      <w:numId w:val="0"/>
                    </w:numPr>
                    <w:suppressLineNumbers w:val="0"/>
                    <w:spacing w:before="0" w:beforeAutospacing="0" w:after="0" w:afterAutospacing="0"/>
                    <w:ind w:left="0" w:right="0"/>
                    <w:rPr>
                      <w:rFonts w:hint="default"/>
                      <w:color w:val="auto"/>
                      <w:lang w:val="en-US" w:eastAsia="zh-CN"/>
                    </w:rPr>
                  </w:pPr>
                  <w:r>
                    <w:rPr>
                      <w:rFonts w:hint="default"/>
                      <w:color w:val="auto"/>
                      <w:lang w:val="en-US" w:eastAsia="zh-CN"/>
                    </w:rPr>
                    <w:t>（一）提高行业创新能力</w:t>
                  </w:r>
                </w:p>
                <w:p w14:paraId="56C084FF">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2.发展先进铸造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w:t>
                  </w:r>
                </w:p>
                <w:p w14:paraId="60BD6831">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3.发展先进锻压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w:t>
                  </w:r>
                </w:p>
                <w:p w14:paraId="3D702758">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（二）推进行业规范发展</w:t>
                  </w:r>
                </w:p>
                <w:p w14:paraId="690E3152">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1.推进产业结构优化。严格执行节能、环保、质量、安全技术等相关法律法规标准和《产业结构调整指导目录》等政策，依法依规淘汰工艺装备落后、污染物排放不达标、生产安全无保障的落后产能。鼓励大气污染防治重点区域加大淘汰落后力度。铸造企业不得采用无芯工频感应电炉、无磁轭（≥0.25吨）铝壳中频感应电炉、水玻璃熔模精密铸造氯化铵硬化模壳、铝合金六氯乙烷精炼等淘汰类工艺和装备。加快存量项目升级改造，推进企业合理选择低污染、低能耗、经济高效的先进工艺技术，提升行业竞争能力。强化铸造和锻压与装备制造业协同布局，引导具备条件的企业入园集聚发展，提升产业链供应链协同配套能力，构建布局合理、错位互补、供需联动、协同发展的产业格局。</w:t>
                  </w:r>
                </w:p>
                <w:p w14:paraId="0B4B0AF7">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2.支持高端项目建设。推动落实全国统一大市场建设，打通制约行业发展的关键堵点。引导各地结合实际谋划新建或改造升级的高端建设项目落地实施，支持企业围绕主机厂或重大项目配套生产，保障装备制造业产业链供应链安全稳定。严格审批新建、改扩建项目，确保项目备案、环评、排污许可、安评、节能审查等手续清晰、完备，项目建设符合国家相关法律法规标准要求。严格落实主要污染物排放总量控制、能源消耗总量和强度调控制度，坚决遏制不符合要求的项目盲目发展和低水平重复建设，防止产能盲目扩张，切实推进产业结构优化升级。</w:t>
                  </w:r>
                </w:p>
                <w:p w14:paraId="673F9246">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（三）加快行业绿色发展</w:t>
                  </w:r>
                </w:p>
                <w:p w14:paraId="7A79133D">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ind w:left="0" w:leftChars="0" w:right="0"/>
                    <w:textAlignment w:val="auto"/>
                    <w:rPr>
                      <w:rFonts w:hint="eastAsia"/>
                      <w:color w:val="auto"/>
                      <w:lang w:val="en-US" w:eastAsia="zh-CN"/>
                    </w:rPr>
                  </w:pPr>
                  <w:r>
                    <w:rPr>
                      <w:rFonts w:hint="eastAsia"/>
                      <w:color w:val="auto"/>
                      <w:lang w:val="en-US" w:eastAsia="zh-CN"/>
                    </w:rPr>
                    <w:t>2.提升环保治理水平。依法申领排污许可证，严格持证排污、按证排污并按排污许可证规定落实自行监测、台账记录、执行报告、信息公开等要求。综合考虑生产工艺、原辅材料使用、无组织排放控制、污染治理设施运行效果等，建设一批达到重污染天气应对绩效分级A级水平的环保标杆企业，带动行业环保水平提升。铸造企业严格执行《铸造工业大气污染物排放标准》（GB 39726）及地方排放标准，加强无组织排放控制，不能稳定达标排放的，限期完成设施升级改造，不具备改造条件及改造后仍不能达标的，依法依规进行淘汰。鼓励铸造用生铁企业参照钢铁行业超低排放改造要求开展有组织、无组织和清洁运输超低排放改造，支持行业协会公示进展情况。</w:t>
                  </w:r>
                </w:p>
              </w:tc>
              <w:tc>
                <w:tcPr>
                  <w:tcW w:w="1644" w:type="pct"/>
                  <w:vMerge w:val="restart"/>
                  <w:noWrap w:val="0"/>
                  <w:vAlign w:val="center"/>
                </w:tcPr>
                <w:p w14:paraId="40A65CDA">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本项目在不改变原有铸造产能的前提下进行技改，新增</w:t>
                  </w:r>
                  <w:r>
                    <w:rPr>
                      <w:rFonts w:hint="eastAsia" w:cs="Times New Roman"/>
                      <w:color w:val="auto"/>
                      <w:kern w:val="2"/>
                      <w:sz w:val="21"/>
                      <w:szCs w:val="21"/>
                      <w:lang w:val="en-US" w:eastAsia="zh-CN"/>
                    </w:rPr>
                    <w:t>电渣重熔工段</w:t>
                  </w:r>
                  <w:r>
                    <w:rPr>
                      <w:rFonts w:hint="eastAsia" w:ascii="Times New Roman" w:hAnsi="Times New Roman" w:eastAsia="宋体" w:cs="Times New Roman"/>
                      <w:color w:val="auto"/>
                      <w:kern w:val="2"/>
                      <w:sz w:val="21"/>
                      <w:szCs w:val="21"/>
                      <w:lang w:val="en-US" w:eastAsia="zh-CN"/>
                    </w:rPr>
                    <w:t>提升产品质量，同时改善安全和环保措施</w:t>
                  </w:r>
                  <w:r>
                    <w:rPr>
                      <w:rFonts w:hint="eastAsia" w:cs="Times New Roman"/>
                      <w:color w:val="auto"/>
                      <w:kern w:val="2"/>
                      <w:sz w:val="21"/>
                      <w:szCs w:val="21"/>
                      <w:lang w:val="en-US" w:eastAsia="zh-CN"/>
                    </w:rPr>
                    <w:t>，</w:t>
                  </w:r>
                  <w:r>
                    <w:rPr>
                      <w:rFonts w:hint="eastAsia" w:ascii="Times New Roman" w:hAnsi="Times New Roman" w:eastAsia="宋体" w:cs="Times New Roman"/>
                      <w:color w:val="auto"/>
                      <w:kern w:val="2"/>
                      <w:sz w:val="21"/>
                      <w:szCs w:val="21"/>
                      <w:lang w:val="en-US" w:eastAsia="zh-CN"/>
                    </w:rPr>
                    <w:t>与发展目标相协调。</w:t>
                  </w:r>
                </w:p>
                <w:p w14:paraId="1433A159">
                  <w:pPr>
                    <w:pStyle w:val="2"/>
                    <w:keepNext w:val="0"/>
                    <w:keepLines w:val="0"/>
                    <w:widowControl w:val="0"/>
                    <w:suppressLineNumbers w:val="0"/>
                    <w:snapToGrid/>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本次技改项目建成后生产工艺主要为熔化、精炼、</w:t>
                  </w:r>
                  <w:r>
                    <w:rPr>
                      <w:rFonts w:hint="eastAsia" w:cs="Times New Roman"/>
                      <w:color w:val="auto"/>
                      <w:kern w:val="2"/>
                      <w:sz w:val="21"/>
                      <w:szCs w:val="21"/>
                      <w:lang w:val="en-US" w:eastAsia="zh-CN"/>
                    </w:rPr>
                    <w:t>精铸</w:t>
                  </w:r>
                  <w:r>
                    <w:rPr>
                      <w:rFonts w:hint="eastAsia" w:ascii="Times New Roman" w:hAnsi="Times New Roman" w:eastAsia="宋体" w:cs="Times New Roman"/>
                      <w:color w:val="auto"/>
                      <w:kern w:val="2"/>
                      <w:sz w:val="21"/>
                      <w:szCs w:val="21"/>
                      <w:lang w:val="en-US" w:eastAsia="zh-CN"/>
                    </w:rPr>
                    <w:t>、热处理、</w:t>
                  </w:r>
                  <w:r>
                    <w:rPr>
                      <w:rFonts w:hint="eastAsia" w:cs="Times New Roman"/>
                      <w:color w:val="auto"/>
                      <w:kern w:val="2"/>
                      <w:sz w:val="21"/>
                      <w:szCs w:val="21"/>
                      <w:lang w:val="en-US" w:eastAsia="zh-CN"/>
                    </w:rPr>
                    <w:t>电渣重熔</w:t>
                  </w:r>
                  <w:r>
                    <w:rPr>
                      <w:rFonts w:hint="eastAsia" w:ascii="Times New Roman" w:hAnsi="Times New Roman" w:eastAsia="宋体" w:cs="Times New Roman"/>
                      <w:color w:val="auto"/>
                      <w:kern w:val="2"/>
                      <w:sz w:val="21"/>
                      <w:szCs w:val="21"/>
                      <w:lang w:val="en-US" w:eastAsia="zh-CN"/>
                    </w:rPr>
                    <w:t>、</w:t>
                  </w:r>
                  <w:r>
                    <w:rPr>
                      <w:rFonts w:hint="eastAsia" w:cs="Times New Roman"/>
                      <w:color w:val="auto"/>
                      <w:kern w:val="2"/>
                      <w:sz w:val="21"/>
                      <w:szCs w:val="21"/>
                      <w:lang w:val="en-US" w:eastAsia="zh-CN"/>
                    </w:rPr>
                    <w:t>热处理、锻压成型、</w:t>
                  </w:r>
                  <w:r>
                    <w:rPr>
                      <w:rFonts w:hint="eastAsia" w:ascii="Times New Roman" w:hAnsi="Times New Roman" w:eastAsia="宋体" w:cs="Times New Roman"/>
                      <w:color w:val="auto"/>
                      <w:kern w:val="2"/>
                      <w:sz w:val="21"/>
                      <w:szCs w:val="21"/>
                      <w:lang w:val="en-US" w:eastAsia="zh-CN"/>
                    </w:rPr>
                    <w:t>机加工等，不涉及上述禁止建设的淘汰设备及工艺。技改项目已于2025年5月27日取得江苏省金坛区工业和信息化局《江苏省投资项目备案证》（备案证号：坛工信备〔2025〕49号，项目代码：2505-320413-07-02-173474）。</w:t>
                  </w:r>
                </w:p>
                <w:p w14:paraId="3414057D">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本项目开工前严格按要求进行备案、环评、排污许可、安评、节能审查等手续办理。本项目废气均采取可靠、有效的污染防治措施治理后达标排放，本项目不新增废（污）水排放，固废均妥善处理处置。</w:t>
                  </w:r>
                </w:p>
                <w:p w14:paraId="49825A16">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val="en-US" w:eastAsia="zh-CN"/>
                    </w:rPr>
                  </w:pPr>
                  <w:r>
                    <w:rPr>
                      <w:rFonts w:hint="eastAsia" w:ascii="Times New Roman" w:hAnsi="Times New Roman" w:eastAsia="宋体" w:cs="Times New Roman"/>
                      <w:color w:val="auto"/>
                      <w:kern w:val="2"/>
                      <w:sz w:val="21"/>
                      <w:szCs w:val="21"/>
                      <w:lang w:val="en-US" w:eastAsia="zh-CN"/>
                    </w:rPr>
                    <w:t>公司已取得《排污许可证》（登记编号</w:t>
                  </w:r>
                  <w:r>
                    <w:rPr>
                      <w:rFonts w:hint="eastAsia" w:cs="Times New Roman"/>
                      <w:color w:val="auto"/>
                      <w:kern w:val="2"/>
                      <w:sz w:val="21"/>
                      <w:szCs w:val="21"/>
                      <w:lang w:val="en-US" w:eastAsia="zh-CN"/>
                    </w:rPr>
                    <w:t>91320413MA1YNBQW2B001Q</w:t>
                  </w:r>
                  <w:r>
                    <w:rPr>
                      <w:rFonts w:hint="eastAsia" w:ascii="Times New Roman" w:hAnsi="Times New Roman" w:eastAsia="宋体" w:cs="Times New Roman"/>
                      <w:color w:val="auto"/>
                      <w:kern w:val="2"/>
                      <w:sz w:val="21"/>
                      <w:szCs w:val="21"/>
                      <w:lang w:val="en-US" w:eastAsia="zh-CN"/>
                    </w:rPr>
                    <w:t>），有效期限为2023年10月20日至2028年10月19日，待本项目建成后应及时进行排污许可证变更</w:t>
                  </w:r>
                  <w:r>
                    <w:rPr>
                      <w:rFonts w:hint="default" w:ascii="Times New Roman" w:hAnsi="Times New Roman" w:eastAsia="宋体" w:cs="Times New Roman"/>
                      <w:color w:val="auto"/>
                      <w:kern w:val="2"/>
                      <w:sz w:val="21"/>
                      <w:szCs w:val="21"/>
                      <w:lang w:val="zh-CN" w:eastAsia="zh-CN"/>
                    </w:rPr>
                    <w:t>，严格持证排污、按证排污并按排污许可证规定落实自行监测、记录报告、信息公开等要求。企业</w:t>
                  </w:r>
                  <w:r>
                    <w:rPr>
                      <w:rFonts w:hint="eastAsia" w:ascii="Times New Roman" w:hAnsi="Times New Roman" w:eastAsia="宋体" w:cs="Times New Roman"/>
                      <w:color w:val="auto"/>
                      <w:kern w:val="2"/>
                      <w:sz w:val="21"/>
                      <w:szCs w:val="21"/>
                      <w:lang w:val="en-US" w:eastAsia="zh-CN"/>
                    </w:rPr>
                    <w:t>大气污染物</w:t>
                  </w:r>
                  <w:r>
                    <w:rPr>
                      <w:rFonts w:hint="default" w:ascii="Times New Roman" w:hAnsi="Times New Roman" w:eastAsia="宋体" w:cs="Times New Roman"/>
                      <w:color w:val="auto"/>
                      <w:kern w:val="2"/>
                      <w:sz w:val="21"/>
                      <w:szCs w:val="21"/>
                      <w:lang w:val="zh-CN" w:eastAsia="zh-CN"/>
                    </w:rPr>
                    <w:t>执行《铸造工业大气污染物排放标准》（GB 39726-2020），加强无组织排放控制</w:t>
                  </w:r>
                  <w:r>
                    <w:rPr>
                      <w:rFonts w:hint="eastAsia" w:ascii="Times New Roman" w:hAnsi="Times New Roman" w:eastAsia="宋体" w:cs="Times New Roman"/>
                      <w:color w:val="auto"/>
                      <w:kern w:val="2"/>
                      <w:sz w:val="21"/>
                      <w:szCs w:val="21"/>
                      <w:lang w:val="zh-CN" w:eastAsia="zh-CN"/>
                    </w:rPr>
                    <w:t>。</w:t>
                  </w:r>
                </w:p>
              </w:tc>
              <w:tc>
                <w:tcPr>
                  <w:tcW w:w="165" w:type="pct"/>
                  <w:noWrap w:val="0"/>
                  <w:vAlign w:val="center"/>
                </w:tcPr>
                <w:p w14:paraId="516F276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3BFD8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pct"/>
                  <w:noWrap w:val="0"/>
                  <w:vAlign w:val="center"/>
                </w:tcPr>
                <w:p w14:paraId="3E8B56E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《关于推动全省铸造和锻压行业高质量发展的实施意见》的通知（苏工信装备〔2023〕403号）</w:t>
                  </w:r>
                </w:p>
              </w:tc>
              <w:tc>
                <w:tcPr>
                  <w:tcW w:w="2186" w:type="pct"/>
                  <w:noWrap w:val="0"/>
                  <w:vAlign w:val="center"/>
                </w:tcPr>
                <w:p w14:paraId="472B6C96">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发展目标：</w:t>
                  </w:r>
                  <w:r>
                    <w:rPr>
                      <w:rFonts w:hint="default" w:ascii="Times New Roman" w:hAnsi="Times New Roman" w:eastAsia="宋体" w:cs="Times New Roman"/>
                      <w:color w:val="auto"/>
                      <w:kern w:val="2"/>
                      <w:sz w:val="21"/>
                      <w:szCs w:val="21"/>
                      <w:lang w:val="en-US" w:eastAsia="zh-CN"/>
                    </w:rPr>
                    <w:t>到2025年，我省铸造和锻压行业总体水平进一步提高，保障装备制造业产业链供应链安全稳定的能力明显增强。产业布局与生产要素更加协同，建成一批具有示范效应的中小企业特色产业集群；智能化绿色化发展水平显著提升，打造100个左右智能制造示范工厂（车间）、绿色工厂，铸造行业颗粒物污染排放量较2020年减少30%以上，年铸造废砂再生循环利用达到300万吨以上，吨锻件能源消耗较2020年减少5%。</w:t>
                  </w:r>
                </w:p>
                <w:p w14:paraId="4903F370">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到2035年，行业总体水平进入国内领先行列，形成完备的产业技术体系和持续创新能力，产业链供应链韧性显著增强，产业布局更加合理，智能制造、绿色发展水平大幅提高，涌现一批具有国际竞争力的优质企业，将我省打造成为具有全球影响力的铸造和锻压行业发展高地。</w:t>
                  </w:r>
                </w:p>
                <w:p w14:paraId="3F9EB498">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auto"/>
                      <w:kern w:val="2"/>
                      <w:sz w:val="21"/>
                      <w:szCs w:val="21"/>
                      <w:lang w:val="en-US" w:eastAsia="zh-CN"/>
                    </w:rPr>
                  </w:pPr>
                  <w:r>
                    <w:rPr>
                      <w:rFonts w:hint="eastAsia" w:ascii="Times New Roman" w:hAnsi="Times New Roman" w:eastAsia="宋体" w:cs="Times New Roman"/>
                      <w:b/>
                      <w:bCs/>
                      <w:color w:val="auto"/>
                      <w:kern w:val="2"/>
                      <w:sz w:val="21"/>
                      <w:szCs w:val="21"/>
                      <w:lang w:val="en-US" w:eastAsia="zh-CN"/>
                    </w:rPr>
                    <w:t>重点任务</w:t>
                  </w:r>
                  <w:r>
                    <w:rPr>
                      <w:rFonts w:hint="eastAsia" w:cs="Times New Roman"/>
                      <w:b/>
                      <w:bCs/>
                      <w:color w:val="auto"/>
                      <w:kern w:val="2"/>
                      <w:sz w:val="21"/>
                      <w:szCs w:val="21"/>
                      <w:lang w:val="en-US" w:eastAsia="zh-CN"/>
                    </w:rPr>
                    <w:t>：</w:t>
                  </w:r>
                </w:p>
                <w:p w14:paraId="40F39751">
                  <w:pPr>
                    <w:pStyle w:val="2"/>
                    <w:keepNext w:val="0"/>
                    <w:keepLines w:val="0"/>
                    <w:numPr>
                      <w:ilvl w:val="0"/>
                      <w:numId w:val="4"/>
                    </w:numPr>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坚持创新驱动，提升自主可控能力</w:t>
                  </w:r>
                  <w:r>
                    <w:rPr>
                      <w:rFonts w:hint="eastAsia" w:ascii="Times New Roman" w:hAnsi="Times New Roman" w:eastAsia="宋体" w:cs="Times New Roman"/>
                      <w:color w:val="auto"/>
                      <w:kern w:val="2"/>
                      <w:sz w:val="21"/>
                      <w:szCs w:val="21"/>
                      <w:lang w:val="en-US" w:eastAsia="zh-CN"/>
                    </w:rPr>
                    <w:t>。</w:t>
                  </w:r>
                </w:p>
                <w:p w14:paraId="3DBF34DC">
                  <w:pPr>
                    <w:pStyle w:val="2"/>
                    <w:keepNext w:val="0"/>
                    <w:keepLines w:val="0"/>
                    <w:numPr>
                      <w:ilvl w:val="0"/>
                      <w:numId w:val="0"/>
                    </w:numPr>
                    <w:suppressLineNumbers w:val="0"/>
                    <w:spacing w:before="0" w:beforeAutospacing="0" w:after="0" w:afterAutospacing="0" w:line="240" w:lineRule="auto"/>
                    <w:ind w:left="0" w:right="0" w:right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发展先进工艺与装备。重点发展高紧实度粘土砂自动化造型、高效自硬砂铸造、精密组芯造型、壳型铸造、离心铸造、金属型铸造、铁模覆砂、消失模/V法/实型铸造，轻合金高压/挤压/差压/低压/半固态/调压铸造、硅溶胶熔模铸造、短流程铸造、砂型3D打印等先进铸造工艺与装备；重点发展精密结构件高速冲压、超高强板材深拉深、高强轻质合金板材冲击液压成形、复杂异型结构旋压、高速精密多工位锻造、冷热径向锻造、冲锻复合近净成形、短流程模锻及自由锻、精密锻造、粉末精密锻造、数字化钣金制作成形中心、数字化高效通用零件加工中心等先进锻压工艺与装备。</w:t>
                  </w:r>
                </w:p>
                <w:p w14:paraId="409B2BFB">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（二）坚持规范发展，推进产业结构优化。</w:t>
                  </w:r>
                </w:p>
                <w:p w14:paraId="139CBFC1">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lang w:val="en-US" w:eastAsia="zh-CN"/>
                    </w:rPr>
                    <w:t>1.</w:t>
                  </w:r>
                  <w:r>
                    <w:rPr>
                      <w:rFonts w:hint="default" w:ascii="Times New Roman" w:hAnsi="Times New Roman" w:eastAsia="宋体" w:cs="Times New Roman"/>
                      <w:color w:val="auto"/>
                      <w:kern w:val="2"/>
                      <w:sz w:val="21"/>
                      <w:szCs w:val="21"/>
                      <w:lang w:val="zh-CN" w:eastAsia="zh-CN"/>
                    </w:rPr>
                    <w:t>引导行业规范发展。各级发展改革、工业和信息化、生态环境、应急管理、市场监管部门要严格执行节能、环保、质量、安全技术等相关法律法规标准和《产业结构调整指导目录》中限制类、淘汰类目录，依法依规淘汰工艺装备落后、污染物排放不达标、生产安全无保障的落后产能。各级生态环境部门要严格落实主要污染物排放总量控制，依法依规制定污染防治方案，推动源头减排、过程控制和末端治理全过程深度治理。各级发展改革、工业和信息化部门要有效落实能源消耗总量和强度调控制度，以降碳为方向，加强能力建设，健全配套制度，推动能耗双控逐步转向碳排放总量和强度双控制度。各级工业和信息化部门要严格按照国家和省有关产业政策，依法依规淘汰无芯工频感应电炉、无磁轭（≥0.25吨）铝壳中频感应电炉等落后工艺装备。新建、改扩建项目单位产品的能耗、物耗、水耗、资源综合利用和污染物排放量等指标应符合相关法律法规标准要求。</w:t>
                  </w:r>
                </w:p>
                <w:p w14:paraId="4CF659BE">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zh-CN" w:eastAsia="zh-CN"/>
                    </w:rPr>
                  </w:pPr>
                  <w:r>
                    <w:rPr>
                      <w:rFonts w:hint="default" w:ascii="Times New Roman" w:hAnsi="Times New Roman" w:eastAsia="宋体" w:cs="Times New Roman"/>
                      <w:color w:val="auto"/>
                      <w:kern w:val="2"/>
                      <w:sz w:val="21"/>
                      <w:szCs w:val="21"/>
                      <w:lang w:val="zh-CN" w:eastAsia="zh-CN"/>
                    </w:rPr>
                    <w:t>2.加强项目建设服务。各级发展改革、工业和信息化、生态环境、应急管理、行政审批部门要依照《江苏省企业投资项目核准和备案管理办法》《江苏省建设项目环境影响评价文件分级审批管理办法》《江苏省固定资产投资项目节能审查实施办法》《排污许可管理条例》《建设项目安全设施</w:t>
                  </w:r>
                  <w:bookmarkStart w:id="1" w:name="Bookmark142"/>
                  <w:r>
                    <w:rPr>
                      <w:rFonts w:hint="default" w:ascii="Times New Roman" w:hAnsi="Times New Roman" w:eastAsia="宋体" w:cs="Times New Roman"/>
                      <w:color w:val="auto"/>
                      <w:kern w:val="2"/>
                      <w:sz w:val="21"/>
                      <w:szCs w:val="21"/>
                      <w:lang w:val="zh-CN" w:eastAsia="zh-CN"/>
                    </w:rPr>
                    <w:t>“</w:t>
                  </w:r>
                  <w:bookmarkEnd w:id="1"/>
                  <w:r>
                    <w:rPr>
                      <w:rFonts w:hint="default" w:ascii="Times New Roman" w:hAnsi="Times New Roman" w:eastAsia="宋体" w:cs="Times New Roman"/>
                      <w:color w:val="auto"/>
                      <w:kern w:val="2"/>
                      <w:sz w:val="21"/>
                      <w:szCs w:val="21"/>
                      <w:lang w:val="zh-CN" w:eastAsia="zh-CN"/>
                    </w:rPr>
                    <w:t>三同时</w:t>
                  </w:r>
                  <w:bookmarkStart w:id="2" w:name="Bookmark143"/>
                  <w:r>
                    <w:rPr>
                      <w:rFonts w:hint="default" w:ascii="Times New Roman" w:hAnsi="Times New Roman" w:eastAsia="宋体" w:cs="Times New Roman"/>
                      <w:color w:val="auto"/>
                      <w:kern w:val="2"/>
                      <w:sz w:val="21"/>
                      <w:szCs w:val="21"/>
                      <w:lang w:val="zh-CN" w:eastAsia="zh-CN"/>
                    </w:rPr>
                    <w:t>”</w:t>
                  </w:r>
                  <w:bookmarkEnd w:id="2"/>
                  <w:r>
                    <w:rPr>
                      <w:rFonts w:hint="default" w:ascii="Times New Roman" w:hAnsi="Times New Roman" w:eastAsia="宋体" w:cs="Times New Roman"/>
                      <w:color w:val="auto"/>
                      <w:kern w:val="2"/>
                      <w:sz w:val="21"/>
                      <w:szCs w:val="21"/>
                      <w:lang w:val="zh-CN" w:eastAsia="zh-CN"/>
                    </w:rPr>
                    <w:t>监督管理办法》等文件要求开展项目服务，确保新建、改扩建项目备案、环评、排污许可、安评、节能审查等手续合规、完备，项目建设符合相关法律法规标准要求。加快存量项目升级改造，推进企业选择低污染、低能耗、经济高效的先进工艺技术，提升行业竞争能力。</w:t>
                  </w:r>
                </w:p>
                <w:p w14:paraId="757DF802">
                  <w:pPr>
                    <w:pStyle w:val="2"/>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lang w:val="en-US" w:eastAsia="zh-CN"/>
                    </w:rPr>
                    <w:t>.</w:t>
                  </w:r>
                  <w:r>
                    <w:rPr>
                      <w:rFonts w:hint="default" w:ascii="Times New Roman" w:hAnsi="Times New Roman" w:eastAsia="宋体" w:cs="Times New Roman"/>
                      <w:color w:val="auto"/>
                      <w:kern w:val="2"/>
                      <w:sz w:val="21"/>
                      <w:szCs w:val="21"/>
                      <w:lang w:val="zh-CN" w:eastAsia="zh-CN"/>
                    </w:rPr>
                    <w:t>加大环保治理力度。铸造和锻压企业应当依法申领排污许可证，严格持证排污、按证排污并按排污许可证规定落实自行监测、记录报告、信息公开等要求。铸造企业应当严格执行《铸造工业大气污染物排放标准》（GB 39726-2020）及地方标准，加强无组织排放控制。不能稳定达标排放的，限期完成设施升级改造；不具备改造条件及改造后仍不能达标的，依法依规关停退出。</w:t>
                  </w:r>
                </w:p>
              </w:tc>
              <w:tc>
                <w:tcPr>
                  <w:tcW w:w="1644" w:type="pct"/>
                  <w:vMerge w:val="continue"/>
                  <w:noWrap w:val="0"/>
                  <w:vAlign w:val="center"/>
                </w:tcPr>
                <w:p w14:paraId="0D946508">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val="en-US" w:eastAsia="zh-CN"/>
                    </w:rPr>
                  </w:pPr>
                </w:p>
              </w:tc>
              <w:tc>
                <w:tcPr>
                  <w:tcW w:w="165" w:type="pct"/>
                  <w:noWrap w:val="0"/>
                  <w:vAlign w:val="center"/>
                </w:tcPr>
                <w:p w14:paraId="34350B15">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103DD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restart"/>
                  <w:noWrap w:val="0"/>
                  <w:vAlign w:val="center"/>
                </w:tcPr>
                <w:p w14:paraId="5EF0A42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常州市“危污乱散低”专项治理领导小组办公室铸造行业“危污乱散低”综合治理联席会议纪要（2023年第2号）</w:t>
                  </w:r>
                </w:p>
              </w:tc>
              <w:tc>
                <w:tcPr>
                  <w:tcW w:w="2186" w:type="pct"/>
                  <w:noWrap w:val="0"/>
                  <w:vAlign w:val="center"/>
                </w:tcPr>
                <w:p w14:paraId="66249FA8">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一、确立我市开展新建、技术改造铸造项目的评审原则，明确我市铸造行业发展目标</w:t>
                  </w:r>
                </w:p>
                <w:p w14:paraId="5572CD57">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优化产业布局。强化铸造与装备制造业协同布局，支持企业围绕主机厂或重大项目配套生产，鼓励布局新能源、高端装备制造等行业铸件制造，提升产业链供应链协同配套能力，构建布局合理、供需联动、协同发展的产业格局。</w:t>
                  </w:r>
                </w:p>
              </w:tc>
              <w:tc>
                <w:tcPr>
                  <w:tcW w:w="1644" w:type="pct"/>
                  <w:noWrap w:val="0"/>
                  <w:vAlign w:val="center"/>
                </w:tcPr>
                <w:p w14:paraId="37E96588">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本项目为技改项目，技改后将现有大众化中小型铸钢件产品，</w:t>
                  </w:r>
                  <w:r>
                    <w:rPr>
                      <w:rFonts w:hint="eastAsia" w:cs="Times New Roman"/>
                      <w:color w:val="auto"/>
                      <w:kern w:val="2"/>
                      <w:sz w:val="21"/>
                      <w:szCs w:val="21"/>
                      <w:lang w:val="en-US" w:eastAsia="zh-CN"/>
                    </w:rPr>
                    <w:t>部分</w:t>
                  </w:r>
                  <w:r>
                    <w:rPr>
                      <w:rFonts w:hint="eastAsia" w:ascii="Times New Roman" w:hAnsi="Times New Roman" w:eastAsia="宋体" w:cs="Times New Roman"/>
                      <w:color w:val="auto"/>
                      <w:kern w:val="2"/>
                      <w:sz w:val="21"/>
                      <w:szCs w:val="21"/>
                      <w:lang w:val="en-US" w:eastAsia="zh-CN"/>
                    </w:rPr>
                    <w:t>提升为高性能耐磨、高性能耐腐蚀、高强度高韧性的铸钢件，产品可应用于石油、船舶、核电、航空、高铁等工程领域，可与重大项目配套生产，项目建成后有利于提升产业链供应链协同配套能力，符合产业布局规划。</w:t>
                  </w:r>
                </w:p>
              </w:tc>
              <w:tc>
                <w:tcPr>
                  <w:tcW w:w="165" w:type="pct"/>
                  <w:noWrap w:val="0"/>
                  <w:vAlign w:val="center"/>
                </w:tcPr>
                <w:p w14:paraId="1DDB10E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4BD5E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02" w:type="pct"/>
                  <w:vMerge w:val="continue"/>
                  <w:noWrap w:val="0"/>
                  <w:vAlign w:val="center"/>
                </w:tcPr>
                <w:p w14:paraId="27B8E8D7">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5FF91ACE">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严格项目审批。支持高端项目建设，鼓励企业在重点领域高端铸件产品取得突破，掌握一批具有自主知识产权的核心技术。严格落实主要污染物排放总量控制、能源消耗总量和强度调控制度，鼓励企业参照《铸造企业规范条件》（T/CFA 0310021）发展，坚决遏制不符合要求的项目盲目发展和低水平重复建设，防止产能盲目扩张。严格审批新建、改扩建项目，确保项目备案、环评、排污许可、安评、节能审查等手续清晰、完备，项目建设符合国家相关法律法规标准要求。</w:t>
                  </w:r>
                </w:p>
              </w:tc>
              <w:tc>
                <w:tcPr>
                  <w:tcW w:w="1644" w:type="pct"/>
                  <w:noWrap w:val="0"/>
                  <w:vAlign w:val="center"/>
                </w:tcPr>
                <w:p w14:paraId="2B632F25">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本次技改项目新增污染物排放量</w:t>
                  </w:r>
                  <w:r>
                    <w:rPr>
                      <w:rFonts w:hint="eastAsia" w:cs="Times New Roman"/>
                      <w:color w:val="auto"/>
                      <w:kern w:val="2"/>
                      <w:sz w:val="21"/>
                      <w:szCs w:val="21"/>
                      <w:lang w:val="en-US" w:eastAsia="zh-CN"/>
                    </w:rPr>
                    <w:t>在金坛区内平衡</w:t>
                  </w:r>
                  <w:r>
                    <w:rPr>
                      <w:rFonts w:hint="eastAsia" w:ascii="Times New Roman" w:hAnsi="Times New Roman" w:eastAsia="宋体" w:cs="Times New Roman"/>
                      <w:color w:val="auto"/>
                      <w:kern w:val="2"/>
                      <w:sz w:val="21"/>
                      <w:szCs w:val="21"/>
                      <w:lang w:val="en-US" w:eastAsia="zh-CN"/>
                    </w:rPr>
                    <w:t>。本次技改项目不改变铸造产能，</w:t>
                  </w:r>
                  <w:r>
                    <w:rPr>
                      <w:rFonts w:hint="eastAsia" w:ascii="Times New Roman" w:hAnsi="Times New Roman" w:cs="Times New Roman"/>
                      <w:bCs/>
                      <w:color w:val="auto"/>
                      <w:kern w:val="2"/>
                      <w:sz w:val="21"/>
                      <w:szCs w:val="21"/>
                      <w:lang w:val="en-US" w:eastAsia="zh-CN"/>
                    </w:rPr>
                    <w:t>企业原有铸造产能为</w:t>
                  </w:r>
                  <w:r>
                    <w:rPr>
                      <w:rFonts w:hint="eastAsia" w:cs="Times New Roman"/>
                      <w:bCs/>
                      <w:color w:val="auto"/>
                      <w:kern w:val="2"/>
                      <w:sz w:val="21"/>
                      <w:szCs w:val="21"/>
                      <w:lang w:val="en-US" w:eastAsia="zh-CN"/>
                    </w:rPr>
                    <w:t>35</w:t>
                  </w:r>
                  <w:r>
                    <w:rPr>
                      <w:rFonts w:hint="eastAsia" w:ascii="Times New Roman" w:hAnsi="Times New Roman" w:cs="Times New Roman"/>
                      <w:bCs/>
                      <w:color w:val="auto"/>
                      <w:kern w:val="2"/>
                      <w:sz w:val="21"/>
                      <w:szCs w:val="21"/>
                      <w:lang w:val="en-US" w:eastAsia="zh-CN"/>
                    </w:rPr>
                    <w:t>000t/a</w:t>
                  </w:r>
                  <w:r>
                    <w:rPr>
                      <w:rFonts w:hint="eastAsia" w:cs="Times New Roman"/>
                      <w:bCs/>
                      <w:color w:val="auto"/>
                      <w:kern w:val="2"/>
                      <w:sz w:val="21"/>
                      <w:szCs w:val="21"/>
                      <w:lang w:val="en-US" w:eastAsia="zh-CN"/>
                    </w:rPr>
                    <w:t>（去年实际生产17000t/a）</w:t>
                  </w:r>
                  <w:r>
                    <w:rPr>
                      <w:rFonts w:hint="eastAsia" w:ascii="Times New Roman" w:hAnsi="Times New Roman" w:cs="Times New Roman"/>
                      <w:bCs/>
                      <w:color w:val="auto"/>
                      <w:kern w:val="2"/>
                      <w:sz w:val="21"/>
                      <w:szCs w:val="21"/>
                      <w:lang w:val="en-US" w:eastAsia="zh-CN"/>
                    </w:rPr>
                    <w:t>，上一年度销售收入约</w:t>
                  </w:r>
                  <w:r>
                    <w:rPr>
                      <w:rFonts w:hint="eastAsia" w:cs="Times New Roman"/>
                      <w:bCs/>
                      <w:color w:val="auto"/>
                      <w:kern w:val="2"/>
                      <w:sz w:val="21"/>
                      <w:szCs w:val="21"/>
                      <w:lang w:val="en-US" w:eastAsia="zh-CN"/>
                    </w:rPr>
                    <w:t>1290</w:t>
                  </w:r>
                  <w:r>
                    <w:rPr>
                      <w:rFonts w:hint="eastAsia" w:ascii="Times New Roman" w:hAnsi="Times New Roman" w:cs="Times New Roman"/>
                      <w:bCs/>
                      <w:color w:val="auto"/>
                      <w:kern w:val="2"/>
                      <w:sz w:val="21"/>
                      <w:szCs w:val="21"/>
                      <w:lang w:val="en-US" w:eastAsia="zh-CN"/>
                    </w:rPr>
                    <w:t>0万元</w:t>
                  </w:r>
                  <w:r>
                    <w:rPr>
                      <w:rFonts w:hint="eastAsia" w:ascii="Times New Roman" w:hAnsi="Times New Roman" w:eastAsia="宋体" w:cs="Times New Roman"/>
                      <w:color w:val="auto"/>
                      <w:kern w:val="2"/>
                      <w:sz w:val="21"/>
                      <w:szCs w:val="21"/>
                      <w:lang w:val="en-US" w:eastAsia="zh-CN"/>
                    </w:rPr>
                    <w:t>，满足</w:t>
                  </w:r>
                  <w:r>
                    <w:rPr>
                      <w:rFonts w:hint="default" w:ascii="Times New Roman" w:hAnsi="Times New Roman" w:eastAsia="宋体" w:cs="Times New Roman"/>
                      <w:i w:val="0"/>
                      <w:iCs w:val="0"/>
                      <w:caps w:val="0"/>
                      <w:color w:val="auto"/>
                      <w:spacing w:val="0"/>
                      <w:sz w:val="21"/>
                      <w:szCs w:val="21"/>
                      <w:shd w:val="clear" w:color="auto" w:fill="FFFFFF"/>
                    </w:rPr>
                    <w:t>《铸造企业规范条件》</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default" w:ascii="Times New Roman" w:hAnsi="Times New Roman" w:eastAsia="宋体" w:cs="Times New Roman"/>
                      <w:i w:val="0"/>
                      <w:iCs w:val="0"/>
                      <w:caps w:val="0"/>
                      <w:color w:val="auto"/>
                      <w:spacing w:val="0"/>
                      <w:sz w:val="21"/>
                      <w:szCs w:val="21"/>
                      <w:shd w:val="clear" w:color="auto" w:fill="FFFFFF"/>
                    </w:rPr>
                    <w:t>T/CFA0310021</w:t>
                  </w:r>
                  <w:r>
                    <w:rPr>
                      <w:rFonts w:hint="eastAsia" w:ascii="Times New Roman" w:hAnsi="Times New Roman" w:eastAsia="宋体" w:cs="Times New Roman"/>
                      <w:i w:val="0"/>
                      <w:iCs w:val="0"/>
                      <w:caps w:val="0"/>
                      <w:color w:val="auto"/>
                      <w:spacing w:val="0"/>
                      <w:sz w:val="21"/>
                      <w:szCs w:val="21"/>
                      <w:shd w:val="clear" w:color="auto" w:fill="FFFFFF"/>
                      <w:lang w:eastAsia="zh-CN"/>
                    </w:rPr>
                    <w:t>）</w:t>
                  </w:r>
                  <w:r>
                    <w:rPr>
                      <w:rFonts w:hint="eastAsia" w:ascii="Times New Roman" w:hAnsi="Times New Roman" w:eastAsia="宋体" w:cs="Times New Roman"/>
                      <w:i w:val="0"/>
                      <w:iCs w:val="0"/>
                      <w:caps w:val="0"/>
                      <w:color w:val="auto"/>
                      <w:spacing w:val="0"/>
                      <w:sz w:val="21"/>
                      <w:szCs w:val="21"/>
                      <w:shd w:val="clear" w:color="auto" w:fill="FFFFFF"/>
                      <w:lang w:val="en-US" w:eastAsia="zh-CN"/>
                    </w:rPr>
                    <w:t>中</w:t>
                  </w:r>
                  <w:r>
                    <w:rPr>
                      <w:rFonts w:hint="eastAsia" w:ascii="Times New Roman" w:hAnsi="Times New Roman" w:eastAsia="宋体" w:cs="Times New Roman"/>
                      <w:color w:val="auto"/>
                      <w:kern w:val="2"/>
                      <w:sz w:val="21"/>
                      <w:szCs w:val="21"/>
                      <w:lang w:val="en-US" w:eastAsia="zh-CN"/>
                    </w:rPr>
                    <w:t>铸钢企业销售收入要求（≥</w:t>
                  </w:r>
                  <w:r>
                    <w:rPr>
                      <w:rFonts w:hint="eastAsia" w:cs="Times New Roman"/>
                      <w:color w:val="auto"/>
                      <w:kern w:val="2"/>
                      <w:sz w:val="21"/>
                      <w:szCs w:val="21"/>
                      <w:lang w:val="en-US" w:eastAsia="zh-CN"/>
                    </w:rPr>
                    <w:t>12750</w:t>
                  </w:r>
                  <w:r>
                    <w:rPr>
                      <w:rFonts w:hint="eastAsia" w:ascii="Times New Roman" w:hAnsi="Times New Roman" w:eastAsia="宋体" w:cs="Times New Roman"/>
                      <w:color w:val="auto"/>
                      <w:kern w:val="2"/>
                      <w:sz w:val="21"/>
                      <w:szCs w:val="21"/>
                      <w:lang w:val="en-US" w:eastAsia="zh-CN"/>
                    </w:rPr>
                    <w:t>）；本项目不使用淘汰落后的设备及工艺；本项目废气均采取可靠、有效的污染防治措施治理后达标排放，不新增废（污）水排放，固废均妥善处理处置。项目应严格按要求进行备案、环评、排污许可、安评、节能审查等手续办理。</w:t>
                  </w:r>
                </w:p>
              </w:tc>
              <w:tc>
                <w:tcPr>
                  <w:tcW w:w="165" w:type="pct"/>
                  <w:noWrap w:val="0"/>
                  <w:vAlign w:val="center"/>
                </w:tcPr>
                <w:p w14:paraId="2487B2FB">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0CC98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5B5A63C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74FAA3FA">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推进存量升级。提高行业创新能力，鼓励企业开展关键核心技术攻关，聚焦国家战略和产业发展需求，实施产业基础再造工程；引导企业发展先进铸造工艺与装备，推进企业合理选择低污染、低能耗、经济高效的先进工艺技术，提升行业竞争能力；鼓励行业绿色发展加快绿色低碳转型，推进绿色方式贯穿铸造生产全流程；推进行业智能化改造，加快新一代信息技术与铸造生产全过程、全要素深度融合。</w:t>
                  </w:r>
                </w:p>
              </w:tc>
              <w:tc>
                <w:tcPr>
                  <w:tcW w:w="1644" w:type="pct"/>
                  <w:noWrap w:val="0"/>
                  <w:vAlign w:val="center"/>
                </w:tcPr>
                <w:p w14:paraId="6EB89760">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本次技改项目在不新增铸造产能的前提下，</w:t>
                  </w:r>
                  <w:r>
                    <w:rPr>
                      <w:rFonts w:hint="eastAsia" w:cs="Times New Roman"/>
                      <w:color w:val="auto"/>
                      <w:kern w:val="2"/>
                      <w:sz w:val="21"/>
                      <w:szCs w:val="21"/>
                      <w:lang w:val="en-US" w:eastAsia="zh-CN"/>
                    </w:rPr>
                    <w:t>对铸造产品进行技改</w:t>
                  </w:r>
                  <w:r>
                    <w:rPr>
                      <w:rFonts w:hint="eastAsia" w:ascii="Times New Roman" w:hAnsi="Times New Roman" w:eastAsia="宋体" w:cs="Times New Roman"/>
                      <w:color w:val="auto"/>
                      <w:kern w:val="2"/>
                      <w:sz w:val="21"/>
                      <w:szCs w:val="21"/>
                      <w:lang w:val="en-US" w:eastAsia="zh-CN"/>
                    </w:rPr>
                    <w:t>，选用低污染、低能耗、经济高效的</w:t>
                  </w:r>
                  <w:r>
                    <w:rPr>
                      <w:rFonts w:hint="eastAsia" w:cs="Times New Roman"/>
                      <w:color w:val="auto"/>
                      <w:kern w:val="2"/>
                      <w:sz w:val="21"/>
                      <w:szCs w:val="21"/>
                      <w:lang w:val="en-US" w:eastAsia="zh-CN"/>
                    </w:rPr>
                    <w:t>电渣重熔炉</w:t>
                  </w:r>
                  <w:r>
                    <w:rPr>
                      <w:rFonts w:hint="eastAsia" w:ascii="Times New Roman" w:hAnsi="Times New Roman" w:eastAsia="宋体" w:cs="Times New Roman"/>
                      <w:color w:val="auto"/>
                      <w:kern w:val="2"/>
                      <w:sz w:val="21"/>
                      <w:szCs w:val="21"/>
                      <w:lang w:val="en-US" w:eastAsia="zh-CN"/>
                    </w:rPr>
                    <w:t>，提高产品质量，提升行业竞争能力。企业应积极推进智能化改造，加快新一代信息技术与铸造生产全过程、全要素深度融合。</w:t>
                  </w:r>
                </w:p>
              </w:tc>
              <w:tc>
                <w:tcPr>
                  <w:tcW w:w="165" w:type="pct"/>
                  <w:noWrap w:val="0"/>
                  <w:vAlign w:val="center"/>
                </w:tcPr>
                <w:p w14:paraId="489EDB02">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172DF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002" w:type="pct"/>
                  <w:vMerge w:val="continue"/>
                  <w:noWrap w:val="0"/>
                  <w:vAlign w:val="center"/>
                </w:tcPr>
                <w:p w14:paraId="528B2CB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01695746">
                  <w:pPr>
                    <w:pStyle w:val="2"/>
                    <w:keepNext w:val="0"/>
                    <w:keepLines w:val="0"/>
                    <w:suppressLineNumbers w:val="0"/>
                    <w:spacing w:before="0" w:beforeAutospacing="0" w:after="0" w:afterAutospacing="0" w:line="240" w:lineRule="auto"/>
                    <w:ind w:left="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4、加快项目淘汰。严格执行节能、环保、质量、安全技术等相关法律法规标准和《产业结构调整指导目录》等政策，依法依规淘汰工艺装备落后、污染物排放不达标、生产安全无保障的落后产能；严格执行《铸造工业大气污染物排放标准》（GB39726）及地方排放标准，加强无组织排放控制，不能稳定达标排放的，限期完成设施升级改造，不具备改造条件及改造后仍不能达标的，依法依规进行淘汰。</w:t>
                  </w:r>
                </w:p>
              </w:tc>
              <w:tc>
                <w:tcPr>
                  <w:tcW w:w="1644" w:type="pct"/>
                  <w:noWrap w:val="0"/>
                  <w:vAlign w:val="center"/>
                </w:tcPr>
                <w:p w14:paraId="59CCC306">
                  <w:pPr>
                    <w:pStyle w:val="2"/>
                    <w:keepNext w:val="0"/>
                    <w:keepLines w:val="0"/>
                    <w:widowControl w:val="0"/>
                    <w:suppressLineNumbers w:val="0"/>
                    <w:snapToGrid/>
                    <w:spacing w:before="0" w:beforeAutospacing="0" w:after="0" w:afterAutospacing="0" w:line="240" w:lineRule="auto"/>
                    <w:ind w:left="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本项目</w:t>
                  </w:r>
                  <w:r>
                    <w:rPr>
                      <w:rFonts w:hint="eastAsia" w:cs="Times New Roman"/>
                      <w:color w:val="auto"/>
                      <w:kern w:val="2"/>
                      <w:sz w:val="21"/>
                      <w:szCs w:val="21"/>
                      <w:lang w:val="en-US" w:eastAsia="zh-CN"/>
                    </w:rPr>
                    <w:t>不</w:t>
                  </w:r>
                  <w:r>
                    <w:rPr>
                      <w:rFonts w:hint="eastAsia" w:ascii="Times New Roman" w:hAnsi="Times New Roman" w:eastAsia="宋体" w:cs="Times New Roman"/>
                      <w:color w:val="auto"/>
                      <w:kern w:val="2"/>
                      <w:sz w:val="21"/>
                      <w:szCs w:val="21"/>
                      <w:lang w:val="en-US" w:eastAsia="zh-CN"/>
                    </w:rPr>
                    <w:t>属于《产业结构调整指导目录（2024年本）》</w:t>
                  </w:r>
                  <w:r>
                    <w:rPr>
                      <w:rFonts w:hint="eastAsia" w:cs="Times New Roman"/>
                      <w:color w:val="auto"/>
                      <w:kern w:val="2"/>
                      <w:sz w:val="21"/>
                      <w:szCs w:val="21"/>
                      <w:lang w:val="en-US" w:eastAsia="zh-CN"/>
                    </w:rPr>
                    <w:t>中限制类和淘汰类</w:t>
                  </w:r>
                  <w:r>
                    <w:rPr>
                      <w:rFonts w:hint="eastAsia" w:ascii="Times New Roman" w:hAnsi="Times New Roman" w:eastAsia="宋体" w:cs="Times New Roman"/>
                      <w:color w:val="auto"/>
                      <w:kern w:val="2"/>
                      <w:sz w:val="21"/>
                      <w:szCs w:val="21"/>
                      <w:lang w:val="en-US" w:eastAsia="zh-CN"/>
                    </w:rPr>
                    <w:t>，不涉及淘汰的工艺及装备，污染物均通过有效、可靠的污染防治措施治理后达标排放，废气执行《铸造工业大气污染物排放标准》（GB 39726-2020）中相关标准限值。</w:t>
                  </w:r>
                </w:p>
              </w:tc>
              <w:tc>
                <w:tcPr>
                  <w:tcW w:w="165" w:type="pct"/>
                  <w:noWrap w:val="0"/>
                  <w:vAlign w:val="center"/>
                </w:tcPr>
                <w:p w14:paraId="3DF02D3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2A328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6" w:hRule="atLeast"/>
              </w:trPr>
              <w:tc>
                <w:tcPr>
                  <w:tcW w:w="1002" w:type="pct"/>
                  <w:vMerge w:val="continue"/>
                  <w:noWrap w:val="0"/>
                  <w:vAlign w:val="center"/>
                </w:tcPr>
                <w:p w14:paraId="6990F4E6">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3FDA6924">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二、新建、技术改造铸造项目在装备技术水平、污染物排放、能源消费、安全生产等方面的详细要求</w:t>
                  </w:r>
                </w:p>
                <w:p w14:paraId="11CE4FB6">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会议商定，我市实施的新建、技术改造铸造项目应当满足以下要求：</w:t>
                  </w:r>
                </w:p>
                <w:p w14:paraId="38E0954A">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装备技术水平方面。符合国家有关产业政策，具备先进的生产工艺、装备技术水平，原则上应当列入国家发改委《产业结构调整指导目录（2019年本）鼓励类》或《指导意见》中“发展先进铸造工艺与装备重点发展种类”（附件1）。</w:t>
                  </w:r>
                </w:p>
              </w:tc>
              <w:tc>
                <w:tcPr>
                  <w:tcW w:w="1644" w:type="pct"/>
                  <w:noWrap w:val="0"/>
                  <w:vAlign w:val="center"/>
                </w:tcPr>
                <w:p w14:paraId="64DBB074">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本次技改项目建成后不改变原有铸造产能，生产工艺主要为熔化、精炼、</w:t>
                  </w:r>
                  <w:r>
                    <w:rPr>
                      <w:rFonts w:hint="eastAsia" w:cs="Times New Roman"/>
                      <w:color w:val="auto"/>
                      <w:kern w:val="2"/>
                      <w:sz w:val="21"/>
                      <w:szCs w:val="21"/>
                      <w:lang w:val="en-US" w:eastAsia="zh-CN"/>
                    </w:rPr>
                    <w:t>精铸</w:t>
                  </w:r>
                  <w:r>
                    <w:rPr>
                      <w:rFonts w:hint="eastAsia" w:ascii="Times New Roman" w:hAnsi="Times New Roman" w:eastAsia="宋体" w:cs="Times New Roman"/>
                      <w:color w:val="auto"/>
                      <w:kern w:val="2"/>
                      <w:sz w:val="21"/>
                      <w:szCs w:val="21"/>
                      <w:lang w:val="en-US" w:eastAsia="zh-CN"/>
                    </w:rPr>
                    <w:t>、热处理、</w:t>
                  </w:r>
                  <w:r>
                    <w:rPr>
                      <w:rFonts w:hint="eastAsia" w:cs="Times New Roman"/>
                      <w:color w:val="auto"/>
                      <w:kern w:val="2"/>
                      <w:sz w:val="21"/>
                      <w:szCs w:val="21"/>
                      <w:lang w:val="en-US" w:eastAsia="zh-CN"/>
                    </w:rPr>
                    <w:t>电渣重熔</w:t>
                  </w:r>
                  <w:r>
                    <w:rPr>
                      <w:rFonts w:hint="eastAsia" w:ascii="Times New Roman" w:hAnsi="Times New Roman" w:eastAsia="宋体" w:cs="Times New Roman"/>
                      <w:color w:val="auto"/>
                      <w:kern w:val="2"/>
                      <w:sz w:val="21"/>
                      <w:szCs w:val="21"/>
                      <w:lang w:val="en-US" w:eastAsia="zh-CN"/>
                    </w:rPr>
                    <w:t>、</w:t>
                  </w:r>
                  <w:r>
                    <w:rPr>
                      <w:rFonts w:hint="eastAsia" w:cs="Times New Roman"/>
                      <w:color w:val="auto"/>
                      <w:kern w:val="2"/>
                      <w:sz w:val="21"/>
                      <w:szCs w:val="21"/>
                      <w:lang w:val="en-US" w:eastAsia="zh-CN"/>
                    </w:rPr>
                    <w:t>热处理、锻压成型、</w:t>
                  </w:r>
                  <w:r>
                    <w:rPr>
                      <w:rFonts w:hint="eastAsia" w:ascii="Times New Roman" w:hAnsi="Times New Roman" w:eastAsia="宋体" w:cs="Times New Roman"/>
                      <w:color w:val="auto"/>
                      <w:kern w:val="2"/>
                      <w:sz w:val="21"/>
                      <w:szCs w:val="21"/>
                      <w:lang w:val="en-US" w:eastAsia="zh-CN"/>
                    </w:rPr>
                    <w:t>机加工等。技改项目建成后产品质量得到提升，且安全和环保措施均有提升。因此，本项目建设与装备技术方面要求不相违背。</w:t>
                  </w:r>
                </w:p>
              </w:tc>
              <w:tc>
                <w:tcPr>
                  <w:tcW w:w="165" w:type="pct"/>
                  <w:noWrap w:val="0"/>
                  <w:vAlign w:val="center"/>
                </w:tcPr>
                <w:p w14:paraId="26A019D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05147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3" w:hRule="atLeast"/>
              </w:trPr>
              <w:tc>
                <w:tcPr>
                  <w:tcW w:w="1002" w:type="pct"/>
                  <w:vMerge w:val="continue"/>
                  <w:noWrap w:val="0"/>
                  <w:vAlign w:val="center"/>
                </w:tcPr>
                <w:p w14:paraId="73EF9C02">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0C323C2B">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污染物排放方面。铸造项目应当符合国家安全生产相关法律法规和标准要求，并满足《铸造工业大气污染物排放标准》（GB39726）。鼓励企业采取低（无）挥发性有机物（VOCs）含量原辅材料的源头替代，确有需要的应当确保所有产生VOCs和颗粒物的工序应配备高效收集和处理装置，企业在物料储存、输送等环节，在保障安全生产的前提下，应采取密闭、封闭等有效措施控制无组织排放，全面实现铸造废砂再生循环利用。</w:t>
                  </w:r>
                </w:p>
              </w:tc>
              <w:tc>
                <w:tcPr>
                  <w:tcW w:w="1644" w:type="pct"/>
                  <w:noWrap w:val="0"/>
                  <w:vAlign w:val="center"/>
                </w:tcPr>
                <w:p w14:paraId="4EAC9DB0">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本项目废气均采取有效、可靠的治理措施治理后达标排放，铸造工序产生的废气执行《铸造工业大气污染物排放标准》（GB39726—2020）中的相关排放限值；本项目不涉及挥发性有机物（VOCs）使用和排放。</w:t>
                  </w:r>
                </w:p>
              </w:tc>
              <w:tc>
                <w:tcPr>
                  <w:tcW w:w="165" w:type="pct"/>
                  <w:noWrap w:val="0"/>
                  <w:vAlign w:val="center"/>
                </w:tcPr>
                <w:p w14:paraId="536D0BF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4D8DE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5CDC927C">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11282D09">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能源消费方面。新建、技术改造铸造项目需符合绿色发展、低碳节能的生产理念，使用天然气或电力等清洁能源，严格控制能耗强度，用能设备达到一级能效水平标准，能耗强度不得高于《单位能耗限额江苏省地方标准》（附件2）铸造行业的准入标准。技术改造铸造项目实施后，能耗强度应当有所下降。</w:t>
                  </w:r>
                </w:p>
                <w:p w14:paraId="5A7EA723">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p>
              </w:tc>
              <w:tc>
                <w:tcPr>
                  <w:tcW w:w="1644" w:type="pct"/>
                  <w:noWrap w:val="0"/>
                  <w:vAlign w:val="center"/>
                </w:tcPr>
                <w:p w14:paraId="1E25370D">
                  <w:pPr>
                    <w:pStyle w:val="2"/>
                    <w:keepNext w:val="0"/>
                    <w:keepLines w:val="0"/>
                    <w:widowControl w:val="0"/>
                    <w:suppressLineNumbers w:val="0"/>
                    <w:snapToGrid/>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本项目产品为</w:t>
                  </w:r>
                  <w:r>
                    <w:rPr>
                      <w:rFonts w:hint="eastAsia" w:cs="Times New Roman"/>
                      <w:color w:val="auto"/>
                      <w:kern w:val="2"/>
                      <w:sz w:val="21"/>
                      <w:szCs w:val="21"/>
                      <w:lang w:val="en-US" w:eastAsia="zh-CN"/>
                    </w:rPr>
                    <w:t>工程机械配件、盾构机配件、航空发动机配件等</w:t>
                  </w:r>
                  <w:r>
                    <w:rPr>
                      <w:rFonts w:hint="eastAsia" w:ascii="Times New Roman" w:hAnsi="Times New Roman" w:eastAsia="宋体" w:cs="Times New Roman"/>
                      <w:color w:val="auto"/>
                      <w:kern w:val="2"/>
                      <w:sz w:val="21"/>
                      <w:szCs w:val="21"/>
                      <w:lang w:val="en-US" w:eastAsia="zh-CN"/>
                    </w:rPr>
                    <w:t>，主要能耗种类有电力、新鲜水</w:t>
                  </w:r>
                  <w:r>
                    <w:rPr>
                      <w:rFonts w:hint="eastAsia" w:cs="Times New Roman"/>
                      <w:color w:val="auto"/>
                      <w:kern w:val="2"/>
                      <w:sz w:val="21"/>
                      <w:szCs w:val="21"/>
                      <w:lang w:val="en-US" w:eastAsia="zh-CN"/>
                    </w:rPr>
                    <w:t>、天然气</w:t>
                  </w:r>
                  <w:r>
                    <w:rPr>
                      <w:rFonts w:hint="eastAsia" w:ascii="Times New Roman" w:hAnsi="Times New Roman" w:eastAsia="宋体" w:cs="Times New Roman"/>
                      <w:color w:val="auto"/>
                      <w:kern w:val="2"/>
                      <w:sz w:val="21"/>
                      <w:szCs w:val="21"/>
                      <w:lang w:val="en-US" w:eastAsia="zh-CN"/>
                    </w:rPr>
                    <w:t>。预计正常生产年耗电</w:t>
                  </w:r>
                  <w:r>
                    <w:rPr>
                      <w:rFonts w:hint="eastAsia" w:cs="Times New Roman"/>
                      <w:color w:val="auto"/>
                      <w:kern w:val="2"/>
                      <w:sz w:val="21"/>
                      <w:szCs w:val="21"/>
                      <w:lang w:val="en-US" w:eastAsia="zh-CN"/>
                    </w:rPr>
                    <w:t>2400</w:t>
                  </w:r>
                  <w:r>
                    <w:rPr>
                      <w:rFonts w:hint="eastAsia" w:ascii="Times New Roman" w:hAnsi="Times New Roman" w:eastAsia="宋体" w:cs="Times New Roman"/>
                      <w:color w:val="auto"/>
                      <w:kern w:val="2"/>
                      <w:sz w:val="21"/>
                      <w:szCs w:val="21"/>
                      <w:lang w:val="en-US" w:eastAsia="zh-CN"/>
                    </w:rPr>
                    <w:t>万kWh，新鲜水</w:t>
                  </w:r>
                  <w:r>
                    <w:rPr>
                      <w:rFonts w:hint="eastAsia" w:cs="Times New Roman"/>
                      <w:color w:val="auto"/>
                      <w:kern w:val="2"/>
                      <w:sz w:val="21"/>
                      <w:szCs w:val="21"/>
                      <w:lang w:val="en-US" w:eastAsia="zh-CN"/>
                    </w:rPr>
                    <w:t>22115</w:t>
                  </w:r>
                  <w:r>
                    <w:rPr>
                      <w:rFonts w:hint="eastAsia" w:ascii="Times New Roman" w:hAnsi="Times New Roman" w:eastAsia="宋体" w:cs="Times New Roman"/>
                      <w:color w:val="auto"/>
                      <w:kern w:val="2"/>
                      <w:sz w:val="21"/>
                      <w:szCs w:val="21"/>
                      <w:lang w:val="en-US" w:eastAsia="zh-CN"/>
                    </w:rPr>
                    <w:t>吨</w:t>
                  </w:r>
                  <w:r>
                    <w:rPr>
                      <w:rFonts w:hint="eastAsia" w:cs="Times New Roman"/>
                      <w:color w:val="auto"/>
                      <w:kern w:val="2"/>
                      <w:sz w:val="21"/>
                      <w:szCs w:val="21"/>
                      <w:lang w:val="en-US" w:eastAsia="zh-CN"/>
                    </w:rPr>
                    <w:t>，天然气120万</w:t>
                  </w:r>
                  <w:r>
                    <w:rPr>
                      <w:rFonts w:hint="eastAsia" w:ascii="Times New Roman" w:hAnsi="Times New Roman" w:eastAsia="宋体" w:cs="Times New Roman"/>
                      <w:i w:val="0"/>
                      <w:iCs w:val="0"/>
                      <w:color w:val="auto"/>
                      <w:kern w:val="2"/>
                      <w:sz w:val="21"/>
                      <w:szCs w:val="21"/>
                      <w:u w:val="none"/>
                      <w:lang w:val="en-US" w:eastAsia="zh-CN" w:bidi="ar-SA"/>
                    </w:rPr>
                    <w:t>m</w:t>
                  </w:r>
                  <w:r>
                    <w:rPr>
                      <w:rFonts w:hint="eastAsia" w:ascii="Times New Roman" w:hAnsi="Times New Roman" w:eastAsia="宋体" w:cs="Times New Roman"/>
                      <w:i w:val="0"/>
                      <w:iCs w:val="0"/>
                      <w:color w:val="auto"/>
                      <w:kern w:val="2"/>
                      <w:sz w:val="21"/>
                      <w:szCs w:val="21"/>
                      <w:u w:val="none"/>
                      <w:vertAlign w:val="superscript"/>
                      <w:lang w:val="en-US" w:eastAsia="zh-CN" w:bidi="ar-SA"/>
                    </w:rPr>
                    <w:t>3</w:t>
                  </w:r>
                  <w:r>
                    <w:rPr>
                      <w:rFonts w:hint="eastAsia" w:ascii="Times New Roman" w:hAnsi="Times New Roman" w:eastAsia="宋体" w:cs="Times New Roman"/>
                      <w:color w:val="auto"/>
                      <w:kern w:val="2"/>
                      <w:sz w:val="21"/>
                      <w:szCs w:val="21"/>
                      <w:lang w:val="en-US" w:eastAsia="zh-CN"/>
                    </w:rPr>
                    <w:t>。根据《固定资产投资项目节能评估和审查暂行办法》（国家发改委2016年第44号令），计算综合能耗时，电力折标系数按当量值计算。根据《综合能耗计算通则》（GB/T2589-2020）等相关标准规范，对本项目实际消耗的各种能源及耗能工质均按相应的能源等价值折算为一次能源（标准煤），具体的折标系数见下表。</w:t>
                  </w:r>
                </w:p>
                <w:p w14:paraId="2FEA343A">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color w:val="auto"/>
                      <w:spacing w:val="-2"/>
                      <w:kern w:val="0"/>
                      <w:sz w:val="21"/>
                      <w:szCs w:val="21"/>
                      <w:lang w:val="zh-CN"/>
                    </w:rPr>
                  </w:pPr>
                  <w:r>
                    <w:rPr>
                      <w:rFonts w:hint="default" w:ascii="Times New Roman" w:hAnsi="Times New Roman" w:eastAsia="宋体" w:cs="Times New Roman"/>
                      <w:b/>
                      <w:color w:val="auto"/>
                      <w:spacing w:val="-2"/>
                      <w:kern w:val="0"/>
                      <w:sz w:val="21"/>
                      <w:szCs w:val="21"/>
                      <w:lang w:val="zh-CN"/>
                    </w:rPr>
                    <w:t>本项目各种能源实物消耗及综合能耗情况</w:t>
                  </w:r>
                </w:p>
                <w:tbl>
                  <w:tblPr>
                    <w:tblStyle w:val="27"/>
                    <w:tblW w:w="4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6"/>
                    <w:gridCol w:w="739"/>
                    <w:gridCol w:w="904"/>
                    <w:gridCol w:w="1319"/>
                    <w:gridCol w:w="1094"/>
                  </w:tblGrid>
                  <w:tr w14:paraId="02F4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74" w:type="pct"/>
                        <w:vMerge w:val="restart"/>
                        <w:noWrap w:val="0"/>
                        <w:vAlign w:val="center"/>
                      </w:tcPr>
                      <w:p w14:paraId="62EF3482">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860" w:type="pct"/>
                        <w:vMerge w:val="restart"/>
                        <w:noWrap w:val="0"/>
                        <w:vAlign w:val="center"/>
                      </w:tcPr>
                      <w:p w14:paraId="7B46084F">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能源品种</w:t>
                        </w:r>
                      </w:p>
                    </w:tc>
                    <w:tc>
                      <w:tcPr>
                        <w:tcW w:w="1053" w:type="pct"/>
                        <w:noWrap w:val="0"/>
                        <w:vAlign w:val="center"/>
                      </w:tcPr>
                      <w:p w14:paraId="546C12BA">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实物量</w:t>
                        </w:r>
                      </w:p>
                    </w:tc>
                    <w:tc>
                      <w:tcPr>
                        <w:tcW w:w="1536" w:type="pct"/>
                        <w:vMerge w:val="restart"/>
                        <w:noWrap w:val="0"/>
                        <w:vAlign w:val="center"/>
                      </w:tcPr>
                      <w:p w14:paraId="634551CD">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bookmarkStart w:id="3" w:name="Bookmark167"/>
                        <w:r>
                          <w:rPr>
                            <w:rFonts w:hint="default" w:ascii="Times New Roman" w:hAnsi="Times New Roman" w:eastAsia="宋体" w:cs="Times New Roman"/>
                            <w:color w:val="auto"/>
                            <w:sz w:val="21"/>
                            <w:szCs w:val="21"/>
                          </w:rPr>
                          <w:t>折标准煤系数</w:t>
                        </w:r>
                      </w:p>
                    </w:tc>
                    <w:tc>
                      <w:tcPr>
                        <w:tcW w:w="1274" w:type="pct"/>
                        <w:vMerge w:val="restart"/>
                        <w:noWrap w:val="0"/>
                        <w:vAlign w:val="center"/>
                      </w:tcPr>
                      <w:p w14:paraId="03B18109">
                        <w:pPr>
                          <w:pStyle w:val="120"/>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折</w:t>
                        </w:r>
                        <w:bookmarkEnd w:id="3"/>
                        <w:r>
                          <w:rPr>
                            <w:rFonts w:hint="default" w:ascii="Times New Roman" w:hAnsi="Times New Roman" w:eastAsia="宋体" w:cs="Times New Roman"/>
                            <w:color w:val="auto"/>
                            <w:sz w:val="21"/>
                            <w:szCs w:val="21"/>
                          </w:rPr>
                          <w:t>标准煤</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kgce</w:t>
                        </w:r>
                        <w:r>
                          <w:rPr>
                            <w:rFonts w:hint="eastAsia" w:ascii="Times New Roman" w:hAnsi="Times New Roman" w:cs="Times New Roman"/>
                            <w:color w:val="auto"/>
                            <w:sz w:val="21"/>
                            <w:szCs w:val="21"/>
                            <w:lang w:eastAsia="zh-CN"/>
                          </w:rPr>
                          <w:t>）</w:t>
                        </w:r>
                      </w:p>
                    </w:tc>
                  </w:tr>
                  <w:tr w14:paraId="1032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74" w:type="pct"/>
                        <w:vMerge w:val="continue"/>
                        <w:noWrap w:val="0"/>
                        <w:vAlign w:val="center"/>
                      </w:tcPr>
                      <w:p w14:paraId="440D88A1">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860" w:type="pct"/>
                        <w:vMerge w:val="continue"/>
                        <w:noWrap w:val="0"/>
                        <w:vAlign w:val="center"/>
                      </w:tcPr>
                      <w:p w14:paraId="5A7369C6">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1053" w:type="pct"/>
                        <w:noWrap w:val="0"/>
                        <w:vAlign w:val="center"/>
                      </w:tcPr>
                      <w:p w14:paraId="12F0D805">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1536" w:type="pct"/>
                        <w:vMerge w:val="continue"/>
                        <w:noWrap w:val="0"/>
                        <w:vAlign w:val="center"/>
                      </w:tcPr>
                      <w:p w14:paraId="7E7EAB27">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c>
                      <w:tcPr>
                        <w:tcW w:w="1274" w:type="pct"/>
                        <w:vMerge w:val="continue"/>
                        <w:noWrap w:val="0"/>
                        <w:vAlign w:val="center"/>
                      </w:tcPr>
                      <w:p w14:paraId="4558B079">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p>
                    </w:tc>
                  </w:tr>
                  <w:tr w14:paraId="69F0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74" w:type="pct"/>
                        <w:noWrap w:val="0"/>
                        <w:vAlign w:val="center"/>
                      </w:tcPr>
                      <w:p w14:paraId="03B90059">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60" w:type="pct"/>
                        <w:noWrap w:val="0"/>
                        <w:vAlign w:val="center"/>
                      </w:tcPr>
                      <w:p w14:paraId="6C782D29">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电力</w:t>
                        </w:r>
                      </w:p>
                    </w:tc>
                    <w:tc>
                      <w:tcPr>
                        <w:tcW w:w="1053" w:type="pct"/>
                        <w:noWrap/>
                        <w:vAlign w:val="center"/>
                      </w:tcPr>
                      <w:p w14:paraId="10B4A38A">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2400</w:t>
                        </w:r>
                        <w:r>
                          <w:rPr>
                            <w:rFonts w:hint="default" w:ascii="Times New Roman" w:hAnsi="Times New Roman" w:eastAsia="宋体" w:cs="Times New Roman"/>
                            <w:color w:val="auto"/>
                            <w:kern w:val="0"/>
                            <w:sz w:val="21"/>
                            <w:szCs w:val="21"/>
                            <w:lang w:bidi="ar"/>
                          </w:rPr>
                          <w:t>万kWh</w:t>
                        </w:r>
                      </w:p>
                    </w:tc>
                    <w:tc>
                      <w:tcPr>
                        <w:tcW w:w="1536" w:type="pct"/>
                        <w:noWrap w:val="0"/>
                        <w:vAlign w:val="center"/>
                      </w:tcPr>
                      <w:p w14:paraId="426439A0">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0.1229kgce/kW·h</w:t>
                        </w:r>
                      </w:p>
                    </w:tc>
                    <w:tc>
                      <w:tcPr>
                        <w:tcW w:w="1274" w:type="pct"/>
                        <w:shd w:val="clear" w:color="auto" w:fill="auto"/>
                        <w:noWrap w:val="0"/>
                        <w:vAlign w:val="center"/>
                      </w:tcPr>
                      <w:p w14:paraId="60E6F2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2949600</w:t>
                        </w:r>
                      </w:p>
                    </w:tc>
                  </w:tr>
                  <w:tr w14:paraId="6233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74" w:type="pct"/>
                        <w:noWrap w:val="0"/>
                        <w:vAlign w:val="center"/>
                      </w:tcPr>
                      <w:p w14:paraId="38686179">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60" w:type="pct"/>
                        <w:noWrap w:val="0"/>
                        <w:vAlign w:val="center"/>
                      </w:tcPr>
                      <w:p w14:paraId="64680F5E">
                        <w:pPr>
                          <w:pStyle w:val="120"/>
                          <w:keepNext w:val="0"/>
                          <w:keepLines w:val="0"/>
                          <w:widowControl/>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新鲜水</w:t>
                        </w:r>
                      </w:p>
                    </w:tc>
                    <w:tc>
                      <w:tcPr>
                        <w:tcW w:w="1053" w:type="pct"/>
                        <w:noWrap w:val="0"/>
                        <w:vAlign w:val="center"/>
                      </w:tcPr>
                      <w:p w14:paraId="1CC2C3C7">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22115</w:t>
                        </w:r>
                        <w:r>
                          <w:rPr>
                            <w:rFonts w:hint="default" w:ascii="Times New Roman" w:hAnsi="Times New Roman" w:eastAsia="宋体" w:cs="Times New Roman"/>
                            <w:i w:val="0"/>
                            <w:iCs w:val="0"/>
                            <w:color w:val="auto"/>
                            <w:kern w:val="0"/>
                            <w:sz w:val="21"/>
                            <w:szCs w:val="21"/>
                            <w:u w:val="none"/>
                            <w:lang w:val="en-US" w:eastAsia="zh-CN" w:bidi="ar"/>
                          </w:rPr>
                          <w:t>t</w:t>
                        </w:r>
                      </w:p>
                    </w:tc>
                    <w:tc>
                      <w:tcPr>
                        <w:tcW w:w="1536" w:type="pct"/>
                        <w:noWrap w:val="0"/>
                        <w:vAlign w:val="center"/>
                      </w:tcPr>
                      <w:p w14:paraId="1EF6F1E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rPr>
                          <w:t>0.2571kgce/t</w:t>
                        </w:r>
                      </w:p>
                    </w:tc>
                    <w:tc>
                      <w:tcPr>
                        <w:tcW w:w="1274" w:type="pct"/>
                        <w:shd w:val="clear" w:color="auto" w:fill="auto"/>
                        <w:noWrap w:val="0"/>
                        <w:vAlign w:val="center"/>
                      </w:tcPr>
                      <w:p w14:paraId="4B0D0E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w:t>
                        </w:r>
                        <w:r>
                          <w:rPr>
                            <w:rFonts w:hint="eastAsia" w:cs="Times New Roman"/>
                            <w:i w:val="0"/>
                            <w:iCs w:val="0"/>
                            <w:color w:val="auto"/>
                            <w:kern w:val="0"/>
                            <w:sz w:val="21"/>
                            <w:szCs w:val="21"/>
                            <w:u w:val="none"/>
                            <w:lang w:val="en-US" w:eastAsia="zh-CN" w:bidi="ar"/>
                          </w:rPr>
                          <w:t>85.767</w:t>
                        </w:r>
                      </w:p>
                    </w:tc>
                  </w:tr>
                  <w:tr w14:paraId="38CC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74" w:type="pct"/>
                        <w:noWrap w:val="0"/>
                        <w:vAlign w:val="center"/>
                      </w:tcPr>
                      <w:p w14:paraId="6B20EA4D">
                        <w:pPr>
                          <w:pStyle w:val="120"/>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860" w:type="pct"/>
                        <w:noWrap w:val="0"/>
                        <w:vAlign w:val="center"/>
                      </w:tcPr>
                      <w:p w14:paraId="1A36BF0C">
                        <w:pPr>
                          <w:pStyle w:val="120"/>
                          <w:keepNext w:val="0"/>
                          <w:keepLines w:val="0"/>
                          <w:widowControl/>
                          <w:suppressLineNumbers w:val="0"/>
                          <w:spacing w:before="0" w:beforeAutospacing="0" w:after="0" w:afterAutospacing="0" w:line="240" w:lineRule="auto"/>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天然气</w:t>
                        </w:r>
                      </w:p>
                    </w:tc>
                    <w:tc>
                      <w:tcPr>
                        <w:tcW w:w="1053" w:type="pct"/>
                        <w:noWrap w:val="0"/>
                        <w:vAlign w:val="center"/>
                      </w:tcPr>
                      <w:p w14:paraId="6CDE9A19">
                        <w:pPr>
                          <w:keepNext w:val="0"/>
                          <w:keepLines w:val="0"/>
                          <w:widowControl/>
                          <w:suppressLineNumbers w:val="0"/>
                          <w:spacing w:before="0" w:beforeAutospacing="0" w:after="0" w:afterAutospacing="0" w:line="240" w:lineRule="auto"/>
                          <w:ind w:left="0" w:right="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120万</w:t>
                        </w:r>
                        <w:r>
                          <w:rPr>
                            <w:rFonts w:hint="eastAsia" w:ascii="Times New Roman" w:hAnsi="Times New Roman" w:eastAsia="宋体" w:cs="Times New Roman"/>
                            <w:i w:val="0"/>
                            <w:iCs w:val="0"/>
                            <w:color w:val="auto"/>
                            <w:kern w:val="2"/>
                            <w:sz w:val="21"/>
                            <w:szCs w:val="21"/>
                            <w:u w:val="none"/>
                            <w:lang w:val="en-US" w:eastAsia="zh-CN" w:bidi="ar-SA"/>
                          </w:rPr>
                          <w:t>m</w:t>
                        </w:r>
                        <w:r>
                          <w:rPr>
                            <w:rFonts w:hint="eastAsia" w:ascii="Times New Roman" w:hAnsi="Times New Roman" w:eastAsia="宋体" w:cs="Times New Roman"/>
                            <w:i w:val="0"/>
                            <w:iCs w:val="0"/>
                            <w:color w:val="auto"/>
                            <w:kern w:val="2"/>
                            <w:sz w:val="21"/>
                            <w:szCs w:val="21"/>
                            <w:u w:val="none"/>
                            <w:vertAlign w:val="superscript"/>
                            <w:lang w:val="en-US" w:eastAsia="zh-CN" w:bidi="ar-SA"/>
                          </w:rPr>
                          <w:t>3</w:t>
                        </w:r>
                      </w:p>
                    </w:tc>
                    <w:tc>
                      <w:tcPr>
                        <w:tcW w:w="1536" w:type="pct"/>
                        <w:noWrap w:val="0"/>
                        <w:vAlign w:val="center"/>
                      </w:tcPr>
                      <w:p w14:paraId="62D3A954">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1.2143</w:t>
                        </w:r>
                        <w:r>
                          <w:rPr>
                            <w:rFonts w:hint="default" w:ascii="Times New Roman" w:hAnsi="Times New Roman" w:eastAsia="宋体" w:cs="Times New Roman"/>
                            <w:color w:val="auto"/>
                            <w:sz w:val="21"/>
                            <w:szCs w:val="21"/>
                          </w:rPr>
                          <w:t>kgce/</w:t>
                        </w:r>
                        <w:r>
                          <w:rPr>
                            <w:rFonts w:hint="eastAsia" w:ascii="Times New Roman" w:hAnsi="Times New Roman" w:eastAsia="宋体" w:cs="Times New Roman"/>
                            <w:i w:val="0"/>
                            <w:iCs w:val="0"/>
                            <w:color w:val="auto"/>
                            <w:kern w:val="2"/>
                            <w:sz w:val="21"/>
                            <w:szCs w:val="21"/>
                            <w:u w:val="none"/>
                            <w:lang w:val="en-US" w:eastAsia="zh-CN" w:bidi="ar-SA"/>
                          </w:rPr>
                          <w:t>m</w:t>
                        </w:r>
                        <w:r>
                          <w:rPr>
                            <w:rFonts w:hint="eastAsia" w:ascii="Times New Roman" w:hAnsi="Times New Roman" w:eastAsia="宋体" w:cs="Times New Roman"/>
                            <w:i w:val="0"/>
                            <w:iCs w:val="0"/>
                            <w:color w:val="auto"/>
                            <w:kern w:val="2"/>
                            <w:sz w:val="21"/>
                            <w:szCs w:val="21"/>
                            <w:u w:val="none"/>
                            <w:vertAlign w:val="superscript"/>
                            <w:lang w:val="en-US" w:eastAsia="zh-CN" w:bidi="ar-SA"/>
                          </w:rPr>
                          <w:t>3</w:t>
                        </w:r>
                      </w:p>
                    </w:tc>
                    <w:tc>
                      <w:tcPr>
                        <w:tcW w:w="1274" w:type="pct"/>
                        <w:shd w:val="clear" w:color="auto" w:fill="auto"/>
                        <w:noWrap w:val="0"/>
                        <w:vAlign w:val="center"/>
                      </w:tcPr>
                      <w:p w14:paraId="395A3E6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1457160</w:t>
                        </w:r>
                      </w:p>
                    </w:tc>
                  </w:tr>
                  <w:tr w14:paraId="7398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188" w:type="pct"/>
                        <w:gridSpan w:val="3"/>
                        <w:noWrap w:val="0"/>
                        <w:vAlign w:val="center"/>
                      </w:tcPr>
                      <w:p w14:paraId="7EB4C65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536" w:type="pct"/>
                        <w:noWrap w:val="0"/>
                        <w:vAlign w:val="center"/>
                      </w:tcPr>
                      <w:p w14:paraId="40963A26">
                        <w:pPr>
                          <w:keepNext w:val="0"/>
                          <w:keepLines w:val="0"/>
                          <w:widowControl/>
                          <w:suppressLineNumbers w:val="0"/>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274" w:type="pct"/>
                        <w:shd w:val="clear" w:color="auto" w:fill="auto"/>
                        <w:noWrap w:val="0"/>
                        <w:vAlign w:val="center"/>
                      </w:tcPr>
                      <w:p w14:paraId="47071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44124</w:t>
                        </w:r>
                        <w:r>
                          <w:rPr>
                            <w:rFonts w:hint="eastAsia" w:cs="Times New Roman"/>
                            <w:i w:val="0"/>
                            <w:iCs w:val="0"/>
                            <w:color w:val="auto"/>
                            <w:kern w:val="0"/>
                            <w:sz w:val="21"/>
                            <w:szCs w:val="21"/>
                            <w:u w:val="none"/>
                            <w:lang w:val="en-US" w:eastAsia="zh-CN" w:bidi="ar"/>
                          </w:rPr>
                          <w:t>45</w:t>
                        </w:r>
                        <w:r>
                          <w:rPr>
                            <w:rFonts w:hint="default" w:ascii="Times New Roman" w:hAnsi="Times New Roman" w:eastAsia="宋体" w:cs="Times New Roman"/>
                            <w:i w:val="0"/>
                            <w:iCs w:val="0"/>
                            <w:color w:val="auto"/>
                            <w:kern w:val="0"/>
                            <w:sz w:val="21"/>
                            <w:szCs w:val="21"/>
                            <w:u w:val="none"/>
                            <w:lang w:val="en-US" w:eastAsia="zh-CN" w:bidi="ar"/>
                          </w:rPr>
                          <w:t>.76</w:t>
                        </w:r>
                        <w:r>
                          <w:rPr>
                            <w:rFonts w:hint="eastAsia" w:cs="Times New Roman"/>
                            <w:i w:val="0"/>
                            <w:iCs w:val="0"/>
                            <w:color w:val="auto"/>
                            <w:kern w:val="0"/>
                            <w:sz w:val="21"/>
                            <w:szCs w:val="21"/>
                            <w:u w:val="none"/>
                            <w:lang w:val="en-US" w:eastAsia="zh-CN" w:bidi="ar"/>
                          </w:rPr>
                          <w:t>7</w:t>
                        </w:r>
                      </w:p>
                    </w:tc>
                  </w:tr>
                </w:tbl>
                <w:p w14:paraId="7DC97DCD">
                  <w:pPr>
                    <w:pStyle w:val="3"/>
                    <w:keepNext w:val="0"/>
                    <w:keepLines w:val="0"/>
                    <w:numPr>
                      <w:ilvl w:val="0"/>
                      <w:numId w:val="0"/>
                    </w:numPr>
                    <w:suppressLineNumbers w:val="0"/>
                    <w:spacing w:before="0" w:beforeAutospacing="0" w:after="0" w:afterAutospacing="0" w:line="240" w:lineRule="auto"/>
                    <w:ind w:left="0" w:right="0"/>
                    <w:rPr>
                      <w:rFonts w:hint="eastAsia" w:ascii="Times New Roman" w:hAnsi="Times New Roman" w:cs="Times New Roman"/>
                      <w:color w:val="auto"/>
                      <w:lang w:val="en-US" w:eastAsia="zh-CN"/>
                    </w:rPr>
                  </w:pPr>
                  <w:r>
                    <w:rPr>
                      <w:rFonts w:hint="eastAsia" w:cs="Times New Roman"/>
                      <w:bCs/>
                      <w:color w:val="auto"/>
                      <w:sz w:val="21"/>
                      <w:szCs w:val="21"/>
                      <w:lang w:val="en-US" w:eastAsia="zh-CN"/>
                    </w:rPr>
                    <w:t>原有</w:t>
                  </w:r>
                  <w:r>
                    <w:rPr>
                      <w:rFonts w:hint="default" w:ascii="Times New Roman" w:hAnsi="Times New Roman" w:eastAsia="宋体" w:cs="Times New Roman"/>
                      <w:bCs/>
                      <w:color w:val="auto"/>
                      <w:sz w:val="21"/>
                      <w:szCs w:val="21"/>
                      <w:lang w:val="zh-CN"/>
                    </w:rPr>
                    <w:t>铸造产能为</w:t>
                  </w:r>
                  <w:r>
                    <w:rPr>
                      <w:rFonts w:hint="eastAsia"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50</w:t>
                  </w:r>
                  <w:r>
                    <w:rPr>
                      <w:rFonts w:hint="default" w:ascii="Times New Roman" w:hAnsi="Times New Roman" w:eastAsia="宋体" w:cs="Times New Roman"/>
                      <w:bCs/>
                      <w:color w:val="auto"/>
                      <w:sz w:val="21"/>
                      <w:szCs w:val="21"/>
                      <w:lang w:val="en-US" w:eastAsia="zh-CN"/>
                    </w:rPr>
                    <w:t>00</w:t>
                  </w:r>
                  <w:r>
                    <w:rPr>
                      <w:rFonts w:hint="default" w:ascii="Times New Roman" w:hAnsi="Times New Roman" w:eastAsia="宋体" w:cs="Times New Roman"/>
                      <w:bCs/>
                      <w:color w:val="auto"/>
                      <w:sz w:val="21"/>
                      <w:szCs w:val="21"/>
                      <w:lang w:val="zh-CN"/>
                    </w:rPr>
                    <w:t>t/a，单位产量可比综合能耗准入值为</w:t>
                  </w:r>
                  <w:r>
                    <w:rPr>
                      <w:rFonts w:hint="eastAsia" w:cs="Times New Roman"/>
                      <w:bCs/>
                      <w:color w:val="auto"/>
                      <w:sz w:val="21"/>
                      <w:szCs w:val="21"/>
                      <w:lang w:val="en-US" w:eastAsia="zh-CN"/>
                    </w:rPr>
                    <w:t>126.07</w:t>
                  </w:r>
                  <w:r>
                    <w:rPr>
                      <w:rFonts w:hint="default" w:ascii="Times New Roman" w:hAnsi="Times New Roman" w:eastAsia="宋体" w:cs="Times New Roman"/>
                      <w:bCs/>
                      <w:color w:val="auto"/>
                      <w:sz w:val="21"/>
                      <w:szCs w:val="21"/>
                      <w:lang w:val="zh-CN"/>
                    </w:rPr>
                    <w:t>kgce/t，满足《单位能耗限额江苏省地方标准》（附件2）铸造行业的准入标准中</w:t>
                  </w:r>
                  <w:r>
                    <w:rPr>
                      <w:rFonts w:hint="eastAsia" w:ascii="Times New Roman" w:hAnsi="Times New Roman" w:eastAsia="宋体" w:cs="Times New Roman"/>
                      <w:bCs/>
                      <w:color w:val="auto"/>
                      <w:sz w:val="21"/>
                      <w:szCs w:val="21"/>
                      <w:lang w:val="en-US" w:eastAsia="zh-CN"/>
                    </w:rPr>
                    <w:t>铸钢件</w:t>
                  </w:r>
                  <w:r>
                    <w:rPr>
                      <w:rFonts w:hint="default" w:ascii="Times New Roman" w:hAnsi="Times New Roman" w:eastAsia="宋体" w:cs="Times New Roman"/>
                      <w:bCs/>
                      <w:color w:val="auto"/>
                      <w:sz w:val="21"/>
                      <w:szCs w:val="21"/>
                      <w:lang w:val="zh-CN"/>
                    </w:rPr>
                    <w:t>≤</w:t>
                  </w:r>
                  <w:r>
                    <w:rPr>
                      <w:rFonts w:hint="eastAsia" w:ascii="Times New Roman" w:hAnsi="Times New Roman" w:eastAsia="宋体" w:cs="Times New Roman"/>
                      <w:bCs/>
                      <w:color w:val="auto"/>
                      <w:sz w:val="21"/>
                      <w:szCs w:val="21"/>
                      <w:lang w:val="en-US" w:eastAsia="zh-CN"/>
                    </w:rPr>
                    <w:t>295</w:t>
                  </w:r>
                  <w:r>
                    <w:rPr>
                      <w:rFonts w:hint="default" w:ascii="Times New Roman" w:hAnsi="Times New Roman" w:eastAsia="宋体" w:cs="Times New Roman"/>
                      <w:bCs/>
                      <w:color w:val="auto"/>
                      <w:sz w:val="21"/>
                      <w:szCs w:val="21"/>
                      <w:lang w:val="zh-CN"/>
                    </w:rPr>
                    <w:t>kgce/t的要求；本项目</w:t>
                  </w:r>
                  <w:r>
                    <w:rPr>
                      <w:rFonts w:hint="eastAsia" w:ascii="Times New Roman" w:hAnsi="Times New Roman" w:eastAsia="宋体" w:cs="Times New Roman"/>
                      <w:bCs/>
                      <w:color w:val="auto"/>
                      <w:sz w:val="21"/>
                      <w:szCs w:val="21"/>
                      <w:lang w:val="en-US" w:eastAsia="zh-CN"/>
                    </w:rPr>
                    <w:t>感应电</w:t>
                  </w:r>
                  <w:r>
                    <w:rPr>
                      <w:rFonts w:hint="default" w:ascii="Times New Roman" w:hAnsi="Times New Roman" w:eastAsia="宋体" w:cs="Times New Roman"/>
                      <w:bCs/>
                      <w:color w:val="auto"/>
                      <w:sz w:val="21"/>
                      <w:szCs w:val="21"/>
                    </w:rPr>
                    <w:t>炉</w:t>
                  </w:r>
                  <w:r>
                    <w:rPr>
                      <w:rFonts w:hint="default" w:ascii="Times New Roman" w:hAnsi="Times New Roman" w:eastAsia="宋体" w:cs="Times New Roman"/>
                      <w:bCs/>
                      <w:color w:val="auto"/>
                      <w:sz w:val="21"/>
                      <w:szCs w:val="21"/>
                      <w:lang w:val="zh-CN"/>
                    </w:rPr>
                    <w:t>使用</w:t>
                  </w:r>
                  <w:r>
                    <w:rPr>
                      <w:rFonts w:hint="eastAsia" w:ascii="Times New Roman" w:hAnsi="Times New Roman" w:eastAsia="宋体" w:cs="Times New Roman"/>
                      <w:bCs/>
                      <w:color w:val="auto"/>
                      <w:sz w:val="21"/>
                      <w:szCs w:val="21"/>
                      <w:lang w:val="en-US" w:eastAsia="zh-CN"/>
                    </w:rPr>
                    <w:t>电</w:t>
                  </w:r>
                  <w:r>
                    <w:rPr>
                      <w:rFonts w:hint="default" w:ascii="Times New Roman" w:hAnsi="Times New Roman" w:eastAsia="宋体" w:cs="Times New Roman"/>
                      <w:bCs/>
                      <w:color w:val="auto"/>
                      <w:sz w:val="21"/>
                      <w:szCs w:val="21"/>
                      <w:lang w:val="zh-CN"/>
                    </w:rPr>
                    <w:t>，其中</w:t>
                  </w:r>
                  <w:r>
                    <w:rPr>
                      <w:rFonts w:hint="eastAsia" w:cs="Times New Roman"/>
                      <w:bCs/>
                      <w:color w:val="auto"/>
                      <w:sz w:val="21"/>
                      <w:szCs w:val="21"/>
                      <w:lang w:val="en-US" w:eastAsia="zh-CN"/>
                    </w:rPr>
                    <w:t>10</w:t>
                  </w:r>
                  <w:r>
                    <w:rPr>
                      <w:rFonts w:hint="default" w:ascii="Times New Roman" w:hAnsi="Times New Roman" w:eastAsia="宋体" w:cs="Times New Roman"/>
                      <w:bCs/>
                      <w:color w:val="auto"/>
                      <w:sz w:val="21"/>
                      <w:szCs w:val="21"/>
                      <w:lang w:val="zh-CN"/>
                    </w:rPr>
                    <w:t>t</w:t>
                  </w:r>
                  <w:r>
                    <w:rPr>
                      <w:rFonts w:hint="eastAsia" w:cs="Times New Roman"/>
                      <w:bCs/>
                      <w:color w:val="auto"/>
                      <w:sz w:val="21"/>
                      <w:szCs w:val="21"/>
                      <w:lang w:val="en-US" w:eastAsia="zh-CN"/>
                    </w:rPr>
                    <w:t>中频</w:t>
                  </w:r>
                  <w:r>
                    <w:rPr>
                      <w:rFonts w:hint="default" w:ascii="Times New Roman" w:hAnsi="Times New Roman" w:eastAsia="宋体" w:cs="Times New Roman"/>
                      <w:bCs/>
                      <w:color w:val="auto"/>
                      <w:sz w:val="21"/>
                      <w:szCs w:val="21"/>
                      <w:lang w:val="zh-CN"/>
                    </w:rPr>
                    <w:t>炉用电量</w:t>
                  </w:r>
                  <w:r>
                    <w:rPr>
                      <w:rFonts w:hint="eastAsia" w:cs="Times New Roman"/>
                      <w:bCs/>
                      <w:color w:val="auto"/>
                      <w:sz w:val="21"/>
                      <w:szCs w:val="21"/>
                      <w:lang w:val="en-US" w:eastAsia="zh-CN"/>
                    </w:rPr>
                    <w:t>1300</w:t>
                  </w:r>
                  <w:r>
                    <w:rPr>
                      <w:rFonts w:hint="default" w:ascii="Times New Roman" w:hAnsi="Times New Roman" w:eastAsia="宋体" w:cs="Times New Roman"/>
                      <w:bCs/>
                      <w:color w:val="auto"/>
                      <w:sz w:val="21"/>
                      <w:szCs w:val="21"/>
                      <w:lang w:val="zh-CN"/>
                    </w:rPr>
                    <w:t>万kWh/a，熔炼钢水</w:t>
                  </w:r>
                  <w:r>
                    <w:rPr>
                      <w:rFonts w:hint="eastAsia" w:cs="Times New Roman"/>
                      <w:bCs/>
                      <w:color w:val="auto"/>
                      <w:sz w:val="21"/>
                      <w:szCs w:val="21"/>
                      <w:lang w:val="en-US" w:eastAsia="zh-CN"/>
                    </w:rPr>
                    <w:t>36360</w:t>
                  </w:r>
                  <w:r>
                    <w:rPr>
                      <w:rFonts w:hint="default" w:ascii="Times New Roman" w:hAnsi="Times New Roman" w:eastAsia="宋体" w:cs="Times New Roman"/>
                      <w:bCs/>
                      <w:color w:val="auto"/>
                      <w:sz w:val="21"/>
                      <w:szCs w:val="21"/>
                      <w:lang w:val="zh-CN"/>
                    </w:rPr>
                    <w:t>t。感应电炉吨钢水综合电耗准入值为</w:t>
                  </w:r>
                  <w:r>
                    <w:rPr>
                      <w:rFonts w:hint="eastAsia" w:cs="Times New Roman"/>
                      <w:bCs/>
                      <w:color w:val="auto"/>
                      <w:sz w:val="21"/>
                      <w:szCs w:val="21"/>
                      <w:lang w:val="en-US" w:eastAsia="zh-CN"/>
                    </w:rPr>
                    <w:t>357.54</w:t>
                  </w:r>
                  <w:r>
                    <w:rPr>
                      <w:rFonts w:hint="default" w:ascii="Times New Roman" w:hAnsi="Times New Roman" w:eastAsia="宋体" w:cs="Times New Roman"/>
                      <w:color w:val="auto"/>
                      <w:kern w:val="0"/>
                      <w:sz w:val="21"/>
                      <w:szCs w:val="21"/>
                      <w:lang w:bidi="ar"/>
                    </w:rPr>
                    <w:t>kWh</w:t>
                  </w:r>
                  <w:r>
                    <w:rPr>
                      <w:rFonts w:hint="default" w:ascii="Times New Roman" w:hAnsi="Times New Roman" w:eastAsia="宋体" w:cs="Times New Roman"/>
                      <w:bCs/>
                      <w:color w:val="auto"/>
                      <w:sz w:val="21"/>
                      <w:szCs w:val="21"/>
                      <w:lang w:val="zh-CN"/>
                    </w:rPr>
                    <w:t>/t，符合《单位能耗限额江苏省地方标准》（附件2）铸造行业的准入标准中感应电炉吨钢水综合电耗准入值为</w:t>
                  </w:r>
                  <w:r>
                    <w:rPr>
                      <w:rFonts w:hint="eastAsia" w:ascii="Times New Roman" w:hAnsi="Times New Roman" w:eastAsia="宋体" w:cs="Times New Roman"/>
                      <w:bCs/>
                      <w:color w:val="auto"/>
                      <w:sz w:val="21"/>
                      <w:szCs w:val="21"/>
                      <w:lang w:val="en-US" w:eastAsia="zh-CN"/>
                    </w:rPr>
                    <w:t>660</w:t>
                  </w:r>
                  <w:r>
                    <w:rPr>
                      <w:rFonts w:hint="default" w:ascii="Times New Roman" w:hAnsi="Times New Roman" w:eastAsia="宋体" w:cs="Times New Roman"/>
                      <w:color w:val="auto"/>
                      <w:kern w:val="0"/>
                      <w:sz w:val="21"/>
                      <w:szCs w:val="21"/>
                      <w:lang w:bidi="ar"/>
                    </w:rPr>
                    <w:t>kWh</w:t>
                  </w:r>
                  <w:r>
                    <w:rPr>
                      <w:rFonts w:hint="default" w:ascii="Times New Roman" w:hAnsi="Times New Roman" w:eastAsia="宋体" w:cs="Times New Roman"/>
                      <w:bCs/>
                      <w:color w:val="auto"/>
                      <w:sz w:val="21"/>
                      <w:szCs w:val="21"/>
                      <w:lang w:val="zh-CN"/>
                    </w:rPr>
                    <w:t>/t</w:t>
                  </w:r>
                  <w:r>
                    <w:rPr>
                      <w:rFonts w:hint="eastAsia" w:ascii="Times New Roman" w:hAnsi="Times New Roman" w:eastAsia="宋体" w:cs="Times New Roman"/>
                      <w:bCs/>
                      <w:color w:val="auto"/>
                      <w:sz w:val="21"/>
                      <w:szCs w:val="21"/>
                      <w:lang w:val="zh-CN"/>
                    </w:rPr>
                    <w:t>（</w:t>
                  </w:r>
                  <w:r>
                    <w:rPr>
                      <w:rFonts w:hint="eastAsia" w:ascii="Times New Roman" w:hAnsi="Times New Roman" w:eastAsia="宋体" w:cs="Times New Roman"/>
                      <w:bCs/>
                      <w:color w:val="auto"/>
                      <w:sz w:val="21"/>
                      <w:szCs w:val="21"/>
                      <w:lang w:val="en-US" w:eastAsia="zh-CN"/>
                    </w:rPr>
                    <w:t>≥5t</w:t>
                  </w:r>
                  <w:r>
                    <w:rPr>
                      <w:rFonts w:hint="eastAsia" w:ascii="Times New Roman" w:hAnsi="Times New Roman" w:eastAsia="宋体" w:cs="Times New Roman"/>
                      <w:bCs/>
                      <w:color w:val="auto"/>
                      <w:sz w:val="21"/>
                      <w:szCs w:val="21"/>
                      <w:lang w:val="zh-CN"/>
                    </w:rPr>
                    <w:t>）</w:t>
                  </w:r>
                  <w:r>
                    <w:rPr>
                      <w:rFonts w:hint="eastAsia" w:ascii="Times New Roman" w:hAnsi="Times New Roman" w:eastAsia="宋体" w:cs="Times New Roman"/>
                      <w:bCs/>
                      <w:color w:val="auto"/>
                      <w:sz w:val="21"/>
                      <w:szCs w:val="21"/>
                      <w:lang w:val="en-US" w:eastAsia="zh-CN"/>
                    </w:rPr>
                    <w:t>的</w:t>
                  </w:r>
                  <w:r>
                    <w:rPr>
                      <w:rFonts w:hint="default" w:ascii="Times New Roman" w:hAnsi="Times New Roman" w:eastAsia="宋体" w:cs="Times New Roman"/>
                      <w:bCs/>
                      <w:color w:val="auto"/>
                      <w:sz w:val="21"/>
                      <w:szCs w:val="21"/>
                      <w:lang w:val="zh-CN"/>
                    </w:rPr>
                    <w:t>要求</w:t>
                  </w:r>
                  <w:r>
                    <w:rPr>
                      <w:rFonts w:hint="eastAsia" w:ascii="Times New Roman" w:hAnsi="Times New Roman" w:eastAsia="宋体" w:cs="Times New Roman"/>
                      <w:bCs/>
                      <w:color w:val="auto"/>
                      <w:sz w:val="21"/>
                      <w:szCs w:val="21"/>
                      <w:lang w:val="zh-CN"/>
                    </w:rPr>
                    <w:t>。</w:t>
                  </w:r>
                </w:p>
              </w:tc>
              <w:tc>
                <w:tcPr>
                  <w:tcW w:w="165" w:type="pct"/>
                  <w:noWrap w:val="0"/>
                  <w:vAlign w:val="center"/>
                </w:tcPr>
                <w:p w14:paraId="1FBDA78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6207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002" w:type="pct"/>
                  <w:vMerge w:val="continue"/>
                  <w:noWrap w:val="0"/>
                  <w:vAlign w:val="center"/>
                </w:tcPr>
                <w:p w14:paraId="726FBE67">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7B9B05F0">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安全生产方面。申报项目不得使用应当淘汰的危及生产安全的工艺、设备，符合《国家安全监管总局关于发布金属冶炼企业禁止使用的设备及工艺目录（第一批）的通知》（安监总管四﹝2017﹞142号）文件要求，涉及危险化学品使用量较多的铸造项目应配有危险化学品专用仓库。</w:t>
                  </w:r>
                </w:p>
              </w:tc>
              <w:tc>
                <w:tcPr>
                  <w:tcW w:w="1644" w:type="pct"/>
                  <w:noWrap w:val="0"/>
                  <w:vAlign w:val="center"/>
                </w:tcPr>
                <w:p w14:paraId="768A3ADA">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本项目不涉及淘汰的工艺、设备，不涉及（安监总管四﹝2017﹞142号）文件附件中金属冶炼企业禁止使用的设备及工艺，符合要求。</w:t>
                  </w:r>
                </w:p>
              </w:tc>
              <w:tc>
                <w:tcPr>
                  <w:tcW w:w="165" w:type="pct"/>
                  <w:noWrap w:val="0"/>
                  <w:vAlign w:val="center"/>
                </w:tcPr>
                <w:p w14:paraId="225325A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72DB0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noWrap w:val="0"/>
                  <w:vAlign w:val="center"/>
                </w:tcPr>
                <w:p w14:paraId="5CBC48C1">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noWrap w:val="0"/>
                  <w:vAlign w:val="center"/>
                </w:tcPr>
                <w:p w14:paraId="49D927A1">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二、各板块要建立铸造行业颗粒物排放指标“资源池”，统筹做好新建、技术改造铸造项目实施</w:t>
                  </w:r>
                </w:p>
                <w:p w14:paraId="3B80D56E">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会议商定：</w:t>
                  </w:r>
                </w:p>
                <w:p w14:paraId="55E02856">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 各辖市、区，常州经开区应当科学合理规划区域污染物排放总量平衡，有序做好落后淘汰、低质低效铸造企业关停退出，建立铸造行业颗粒物排放指标“资源池”，组织有关部门填写《××区（市）新建、技术改造铸造项目“资源池”汇总表》（附件3），统筹区域铸造项目实施。指标“资源池”应当来自于2022年之后关停退出的铸造企业或铸造工段（包括部分退出），鼓励各地区出台政策支持企业主动关停退出。</w:t>
                  </w:r>
                </w:p>
                <w:p w14:paraId="0E698EC8">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 新建、技术改造铸造项目的颗粒物排放量指标在符合《建设项目主要污染物排放总量指标审核及管理暂行办法》（环发〔2014〕197号）的情况下，原则上按1:1.4的比例从“资源池”中平衡，其他大气污染物排放符合相应环保要求；颗粒物排放指标平衡确有特殊情况，按照“一事一议”的原则，报请市“危污乱散低”专项治理领导小组协调解决。</w:t>
                  </w:r>
                </w:p>
                <w:p w14:paraId="3AA07625">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 计划关停退出但尚未关停退出的铸造企业或铸造工段可以计入“资源池”，但应当在相应使用指标的新建、技术改造铸造项目建成前完成关停退出验收；若系企业自身置换，可以最晚在相应的新建、技术改造铸造项目投产前完成关停退出验收。</w:t>
                  </w:r>
                </w:p>
              </w:tc>
              <w:tc>
                <w:tcPr>
                  <w:tcW w:w="1644" w:type="pct"/>
                  <w:noWrap w:val="0"/>
                  <w:vAlign w:val="center"/>
                </w:tcPr>
                <w:p w14:paraId="6C1C3E8A">
                  <w:pPr>
                    <w:pStyle w:val="2"/>
                    <w:keepNext w:val="0"/>
                    <w:keepLines w:val="0"/>
                    <w:suppressLineNumbers w:val="0"/>
                    <w:spacing w:before="0" w:beforeAutospacing="0" w:after="0" w:afterAutospacing="0" w:line="240" w:lineRule="auto"/>
                    <w:ind w:left="0" w:right="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本项目为技改项目，</w:t>
                  </w:r>
                  <w:r>
                    <w:rPr>
                      <w:rFonts w:hint="eastAsia" w:cs="Times New Roman"/>
                      <w:color w:val="auto"/>
                      <w:kern w:val="2"/>
                      <w:sz w:val="21"/>
                      <w:szCs w:val="21"/>
                      <w:lang w:val="en-US" w:eastAsia="zh-CN"/>
                    </w:rPr>
                    <w:t>新增大气污染物在金坛区内</w:t>
                  </w:r>
                  <w:r>
                    <w:rPr>
                      <w:rFonts w:hint="eastAsia" w:ascii="Times New Roman" w:hAnsi="Times New Roman" w:eastAsia="宋体" w:cs="Times New Roman"/>
                      <w:color w:val="auto"/>
                      <w:kern w:val="2"/>
                      <w:sz w:val="21"/>
                      <w:szCs w:val="21"/>
                      <w:lang w:val="en-US" w:eastAsia="zh-CN"/>
                    </w:rPr>
                    <w:t>进行平衡。</w:t>
                  </w:r>
                </w:p>
              </w:tc>
              <w:tc>
                <w:tcPr>
                  <w:tcW w:w="165" w:type="pct"/>
                  <w:noWrap w:val="0"/>
                  <w:vAlign w:val="center"/>
                </w:tcPr>
                <w:p w14:paraId="1545801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r w14:paraId="0E477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restart"/>
                  <w:shd w:val="clear" w:color="auto" w:fill="auto"/>
                  <w:noWrap w:val="0"/>
                  <w:vAlign w:val="center"/>
                </w:tcPr>
                <w:p w14:paraId="5F545ED4">
                  <w:pPr>
                    <w:keepNext w:val="0"/>
                    <w:keepLines w:val="0"/>
                    <w:pageBreakBefore w:val="0"/>
                    <w:widowControl/>
                    <w:suppressLineNumbers w:val="0"/>
                    <w:kinsoku/>
                    <w:wordWrap/>
                    <w:topLinePunct w:val="0"/>
                    <w:bidi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《铸造工业大气污染防治可行技术指南》（HJ1292-2023）</w:t>
                  </w:r>
                </w:p>
              </w:tc>
              <w:tc>
                <w:tcPr>
                  <w:tcW w:w="2186" w:type="pct"/>
                  <w:shd w:val="clear" w:color="auto" w:fill="auto"/>
                  <w:noWrap w:val="0"/>
                  <w:vAlign w:val="center"/>
                </w:tcPr>
                <w:p w14:paraId="548020AC">
                  <w:pPr>
                    <w:pStyle w:val="125"/>
                    <w:keepNext w:val="0"/>
                    <w:keepLines w:val="0"/>
                    <w:pageBreakBefore w:val="0"/>
                    <w:suppressLineNumbers w:val="0"/>
                    <w:kinsoku/>
                    <w:wordWrap/>
                    <w:topLinePunct w:val="0"/>
                    <w:bidi w:val="0"/>
                    <w:spacing w:before="0" w:beforeAutospacing="0" w:after="0" w:afterAutospacing="0" w:line="240" w:lineRule="auto"/>
                    <w:ind w:left="0" w:right="0"/>
                    <w:jc w:val="left"/>
                    <w:rPr>
                      <w:rFonts w:hint="default"/>
                      <w:color w:val="auto"/>
                      <w:sz w:val="21"/>
                      <w:szCs w:val="21"/>
                    </w:rPr>
                  </w:pPr>
                  <w:r>
                    <w:rPr>
                      <w:rFonts w:hint="eastAsia"/>
                      <w:color w:val="auto"/>
                      <w:sz w:val="21"/>
                      <w:szCs w:val="21"/>
                    </w:rPr>
                    <w:t>物料储存过程控制措施</w:t>
                  </w:r>
                  <w:r>
                    <w:rPr>
                      <w:rFonts w:hint="eastAsia"/>
                      <w:color w:val="auto"/>
                      <w:sz w:val="21"/>
                      <w:szCs w:val="21"/>
                      <w:lang w:eastAsia="zh-CN"/>
                    </w:rPr>
                    <w:t>：</w:t>
                  </w:r>
                  <w:r>
                    <w:rPr>
                      <w:rFonts w:hint="eastAsia"/>
                      <w:color w:val="auto"/>
                      <w:sz w:val="21"/>
                      <w:szCs w:val="21"/>
                    </w:rPr>
                    <w:t>煤粉、膨润土等粉状物料和硅砂应袋装或罐装，并储存于封闭储库或半封闭料场（堆棚）中，半封闭料场（堆棚）应至少两面有围墙（围挡）及屋顶。</w:t>
                  </w:r>
                </w:p>
                <w:p w14:paraId="59BDA7A6">
                  <w:pPr>
                    <w:pStyle w:val="125"/>
                    <w:keepNext w:val="0"/>
                    <w:keepLines w:val="0"/>
                    <w:pageBreakBefore w:val="0"/>
                    <w:suppressLineNumbers w:val="0"/>
                    <w:kinsoku/>
                    <w:wordWrap/>
                    <w:topLinePunct w:val="0"/>
                    <w:bidi w:val="0"/>
                    <w:spacing w:before="0" w:beforeAutospacing="0" w:after="0" w:afterAutospacing="0" w:line="240" w:lineRule="auto"/>
                    <w:ind w:left="0" w:right="0"/>
                    <w:jc w:val="left"/>
                    <w:rPr>
                      <w:rFonts w:hint="eastAsia"/>
                      <w:color w:val="auto"/>
                      <w:sz w:val="21"/>
                      <w:szCs w:val="21"/>
                    </w:rPr>
                  </w:pPr>
                  <w:r>
                    <w:rPr>
                      <w:rFonts w:hint="eastAsia"/>
                      <w:color w:val="auto"/>
                      <w:sz w:val="21"/>
                      <w:szCs w:val="21"/>
                    </w:rPr>
                    <w:t>生铁、废钢、铝合金锭、镁合金锭、铜合金锭、焦炭和铁合金等粒状、块状散装物料应储存于封闭储库、料仓中，或储存于半封闭料场（堆棚）中，或四周设置防风抑尘网、挡风墙，或采取覆盖措施。半封闭料场（堆棚）应至少两面有围墙（围挡）及屋顶；防风抑尘网、挡风墙高度应不低于堆存物料高度的1.1倍。</w:t>
                  </w:r>
                </w:p>
                <w:p w14:paraId="35CD8EB3">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left"/>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醇基涂料、树脂、固化剂、稀释剂、清洗剂等VOCs物料应储存于密闭的容器、包装袋、储库中；盛装VOCs物料的容器或包装袋应存放于室内，或存放于设置有雨棚、遮阳和防渗设施的专用场地。盛装VOCs物料的容器或包装袋在非取用状态时应加盖、封口，保持密闭。敞开液面VOCs无组织排放控制要求，应符合GB37822的规定。</w:t>
                  </w:r>
                </w:p>
              </w:tc>
              <w:tc>
                <w:tcPr>
                  <w:tcW w:w="1644" w:type="pct"/>
                  <w:shd w:val="clear" w:color="auto" w:fill="auto"/>
                  <w:noWrap w:val="0"/>
                  <w:vAlign w:val="center"/>
                </w:tcPr>
                <w:p w14:paraId="4CC6DB85">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项目建成后废钢、铁合金</w:t>
                  </w:r>
                  <w:r>
                    <w:rPr>
                      <w:rFonts w:hint="eastAsia"/>
                      <w:color w:val="auto"/>
                      <w:sz w:val="21"/>
                      <w:szCs w:val="21"/>
                    </w:rPr>
                    <w:t>等储存于</w:t>
                  </w:r>
                  <w:r>
                    <w:rPr>
                      <w:rFonts w:hint="eastAsia"/>
                      <w:color w:val="auto"/>
                      <w:sz w:val="21"/>
                      <w:szCs w:val="21"/>
                      <w:lang w:val="en-US" w:eastAsia="zh-CN"/>
                    </w:rPr>
                    <w:t>料场（封闭储库）中</w:t>
                  </w:r>
                  <w:r>
                    <w:rPr>
                      <w:rFonts w:hint="eastAsia"/>
                      <w:color w:val="auto"/>
                      <w:sz w:val="21"/>
                      <w:szCs w:val="21"/>
                    </w:rPr>
                    <w:t>；</w:t>
                  </w:r>
                  <w:r>
                    <w:rPr>
                      <w:rFonts w:hint="eastAsia"/>
                      <w:color w:val="auto"/>
                      <w:sz w:val="21"/>
                      <w:szCs w:val="21"/>
                      <w:lang w:val="en-US" w:eastAsia="zh-CN"/>
                    </w:rPr>
                    <w:t>石英砂、稻壳灰等储存于原料仓库（封闭储库）中；切削液、乳化油</w:t>
                  </w:r>
                  <w:r>
                    <w:rPr>
                      <w:rFonts w:hint="eastAsia"/>
                      <w:color w:val="auto"/>
                      <w:sz w:val="21"/>
                      <w:szCs w:val="21"/>
                    </w:rPr>
                    <w:t>等液体原辅料采用密闭桶装，储存于</w:t>
                  </w:r>
                  <w:r>
                    <w:rPr>
                      <w:rFonts w:hint="eastAsia"/>
                      <w:color w:val="auto"/>
                      <w:sz w:val="21"/>
                      <w:szCs w:val="21"/>
                      <w:lang w:val="en-US" w:eastAsia="zh-CN"/>
                    </w:rPr>
                    <w:t>液态原料</w:t>
                  </w:r>
                  <w:r>
                    <w:rPr>
                      <w:rFonts w:hint="eastAsia"/>
                      <w:color w:val="auto"/>
                      <w:sz w:val="21"/>
                      <w:szCs w:val="21"/>
                    </w:rPr>
                    <w:t>库内，在非取用状态时应加盖、封口，保持密闭，减少无组织排放。</w:t>
                  </w:r>
                </w:p>
              </w:tc>
              <w:tc>
                <w:tcPr>
                  <w:tcW w:w="165" w:type="pct"/>
                  <w:shd w:val="clear" w:color="auto" w:fill="auto"/>
                  <w:noWrap w:val="0"/>
                  <w:vAlign w:val="center"/>
                </w:tcPr>
                <w:p w14:paraId="12377AD8">
                  <w:pPr>
                    <w:keepNext w:val="0"/>
                    <w:keepLines w:val="0"/>
                    <w:pageBreakBefore w:val="0"/>
                    <w:suppressLineNumbers w:val="0"/>
                    <w:kinsoku/>
                    <w:wordWrap/>
                    <w:topLinePunct w:val="0"/>
                    <w:bidi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相符</w:t>
                  </w:r>
                </w:p>
              </w:tc>
            </w:tr>
            <w:tr w14:paraId="1C0DF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78558A5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593979AD">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物料运输和转移过程控制措施：</w:t>
                  </w:r>
                </w:p>
                <w:p w14:paraId="45B5356D">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铸造用砂、混配土等粉状物料应采用气力输送设备、管状或带式输送机、螺旋输送机、吨包袋密封装盛等密闭方式输送；粒状、块状散装物料采用封闭通廊的皮带、管状或带式输送机、吨包袋密封装盛等封闭方式输送，并减少转运点和缩短输送距离。</w:t>
                  </w:r>
                </w:p>
                <w:p w14:paraId="4DAB4201">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粉状物料的运输车辆采用密闭罐车；粒状、块状散装物料的运输车辆采用封闭车厢或苫盖严密。</w:t>
                  </w:r>
                </w:p>
                <w:p w14:paraId="5C2DEA7F">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除尘器卸灰口应采取密闭措施，除尘灰采取袋装、罐装等密闭方式收集、存放和运输，不得直接卸落到地面。</w:t>
                  </w:r>
                </w:p>
                <w:p w14:paraId="6C68F2B0">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转移、输送过程中产尘点应采取集气除尘措施，或喷淋（雾）等抑尘措施。固定作业的产尘点宜优先采用收尘技术，在不影响生产和安全的前提下，尽量提高收尘罩的密闭性；间歇式、非固定的产尘点，宜采用喷淋（雾）等抑尘技术。</w:t>
                  </w:r>
                </w:p>
                <w:p w14:paraId="09AD537E">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right="0"/>
                    <w:rPr>
                      <w:rFonts w:hint="eastAsia"/>
                      <w:color w:val="auto"/>
                      <w:sz w:val="21"/>
                      <w:szCs w:val="21"/>
                      <w:lang w:val="en-US" w:eastAsia="zh-CN"/>
                    </w:rPr>
                  </w:pPr>
                  <w:r>
                    <w:rPr>
                      <w:rFonts w:hint="eastAsia"/>
                      <w:color w:val="auto"/>
                      <w:sz w:val="21"/>
                      <w:szCs w:val="21"/>
                      <w:lang w:val="en-US" w:eastAsia="zh-CN"/>
                    </w:rPr>
                    <w:t>转移VOCs物料时，应采用密闭容器或密闭管道输送。</w:t>
                  </w:r>
                </w:p>
                <w:p w14:paraId="488C70CB">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leftChars="0" w:right="0"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厂区道路宜硬化，并采取清扫、洒水等措施，保持清洁。</w:t>
                  </w:r>
                </w:p>
              </w:tc>
              <w:tc>
                <w:tcPr>
                  <w:tcW w:w="1644" w:type="pct"/>
                  <w:shd w:val="clear" w:color="auto" w:fill="auto"/>
                  <w:vAlign w:val="center"/>
                </w:tcPr>
                <w:p w14:paraId="14722E6F">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项目</w:t>
                  </w:r>
                  <w:r>
                    <w:rPr>
                      <w:rFonts w:hint="eastAsia"/>
                      <w:color w:val="auto"/>
                      <w:sz w:val="21"/>
                      <w:szCs w:val="21"/>
                      <w:lang w:val="en-US" w:eastAsia="zh-CN"/>
                    </w:rPr>
                    <w:t>石英砂、稻壳灰、萤石、铝矾土均采用包装袋密封装盛，密闭输送</w:t>
                  </w:r>
                  <w:r>
                    <w:rPr>
                      <w:rFonts w:hint="eastAsia"/>
                      <w:color w:val="auto"/>
                      <w:sz w:val="21"/>
                      <w:szCs w:val="21"/>
                    </w:rPr>
                    <w:t>；除尘器卸灰口采取密闭措施，除尘灰采取袋装密闭方式收集、存放和运输；固定作业的产尘点均设计收集措施；厂区道路均已硬化，并采取清扫、洒水等措施，保持清洁。</w:t>
                  </w:r>
                </w:p>
              </w:tc>
              <w:tc>
                <w:tcPr>
                  <w:tcW w:w="165" w:type="pct"/>
                  <w:shd w:val="clear" w:color="auto" w:fill="auto"/>
                  <w:vAlign w:val="center"/>
                </w:tcPr>
                <w:p w14:paraId="6F510FEB">
                  <w:pPr>
                    <w:keepNext w:val="0"/>
                    <w:keepLines w:val="0"/>
                    <w:pageBreakBefore w:val="0"/>
                    <w:suppressLineNumbers w:val="0"/>
                    <w:kinsoku/>
                    <w:wordWrap/>
                    <w:topLinePunct w:val="0"/>
                    <w:bidi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相符</w:t>
                  </w:r>
                </w:p>
              </w:tc>
            </w:tr>
            <w:tr w14:paraId="242FA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4957C884">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62033197">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eastAsia"/>
                      <w:color w:val="auto"/>
                      <w:sz w:val="21"/>
                      <w:szCs w:val="21"/>
                      <w:lang w:eastAsia="zh-CN"/>
                    </w:rPr>
                  </w:pPr>
                  <w:r>
                    <w:rPr>
                      <w:rFonts w:hint="eastAsia"/>
                      <w:color w:val="auto"/>
                      <w:sz w:val="21"/>
                      <w:szCs w:val="21"/>
                    </w:rPr>
                    <w:t>工艺生产过程控制措施</w:t>
                  </w:r>
                  <w:r>
                    <w:rPr>
                      <w:rFonts w:hint="eastAsia"/>
                      <w:color w:val="auto"/>
                      <w:sz w:val="21"/>
                      <w:szCs w:val="21"/>
                      <w:lang w:eastAsia="zh-CN"/>
                    </w:rPr>
                    <w:t>：</w:t>
                  </w:r>
                </w:p>
                <w:p w14:paraId="28C50817">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原辅材料入炉前宜经机械预处理，清除其中的杂质。</w:t>
                  </w:r>
                </w:p>
                <w:p w14:paraId="7C650E82">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合箱、落砂、开箱、清砂、打磨等操作宜固定作业工位或场地，便于采取防尘措施。</w:t>
                  </w:r>
                </w:p>
                <w:p w14:paraId="6E359C30">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球化、孕育、调质、炉外精炼、除气等金属液处理宜定点处理，并安装集气罩和配备除尘设施。</w:t>
                  </w:r>
                </w:p>
                <w:p w14:paraId="1E1D41C6">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落砂、清理、砂处理等宜在密闭（封闭）空间内操作，废气收集至除尘设施；未在封闭空间内操作的，应采取固定式、移动式集气设备，并配备除尘设施。</w:t>
                  </w:r>
                </w:p>
                <w:p w14:paraId="52F53C0B">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造型、制芯、浇注工序宜在密闭（封闭）空间内操作，或安装集气罩，废气应排至除尘设施、VOCs废气收集处理系统；涉恶臭气体排放的，应设有恶臭气体收集处理系统，恶臭排放应符合GB14554的规定。</w:t>
                  </w:r>
                </w:p>
                <w:p w14:paraId="621E8F91">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金属液转运应采用转运通廊，废气收集至除尘设施，或采用移动集气和除尘设施；无法采用上述措施的，应采用浇包包盖、覆盖、集渣覆盖层等措施减少无组织排放。</w:t>
                  </w:r>
                </w:p>
                <w:p w14:paraId="0A4D4719">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清理（去除浇冒口、铲飞边毛刺等）和浇包、渣包的维修工序宜在封闭空间内操作，废气收集至除尘设施；未在封闭空间内操作的，应采取固定式、移动式集气设备并配备除尘设施，或采取喷淋（雾）等抑尘措施。</w:t>
                  </w:r>
                </w:p>
                <w:p w14:paraId="75F5EB26">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default"/>
                      <w:color w:val="auto"/>
                      <w:sz w:val="21"/>
                      <w:szCs w:val="21"/>
                    </w:rPr>
                  </w:pPr>
                  <w:r>
                    <w:rPr>
                      <w:rFonts w:hint="eastAsia"/>
                      <w:color w:val="auto"/>
                      <w:sz w:val="21"/>
                      <w:szCs w:val="21"/>
                    </w:rPr>
                    <w:t>车间整体的无组织排放，可采用双流体干雾等抑尘技术。</w:t>
                  </w:r>
                </w:p>
                <w:p w14:paraId="70441E3B">
                  <w:pPr>
                    <w:pStyle w:val="125"/>
                    <w:keepNext w:val="0"/>
                    <w:keepLines w:val="0"/>
                    <w:pageBreakBefore w:val="0"/>
                    <w:suppressLineNumbers w:val="0"/>
                    <w:kinsoku/>
                    <w:wordWrap/>
                    <w:topLinePunct w:val="0"/>
                    <w:bidi w:val="0"/>
                    <w:spacing w:before="0" w:beforeAutospacing="0" w:after="0" w:afterAutospacing="0" w:line="240" w:lineRule="auto"/>
                    <w:ind w:left="0" w:right="0"/>
                    <w:rPr>
                      <w:rFonts w:hint="eastAsia"/>
                      <w:color w:val="auto"/>
                      <w:sz w:val="21"/>
                      <w:szCs w:val="21"/>
                    </w:rPr>
                  </w:pPr>
                  <w:r>
                    <w:rPr>
                      <w:rFonts w:hint="eastAsia"/>
                      <w:color w:val="auto"/>
                      <w:sz w:val="21"/>
                      <w:szCs w:val="21"/>
                    </w:rPr>
                    <w:t>表面涂装的配料、涂装和有机溶剂清洗作业宜采用密闭设备或在密闭空间内进行；无法密闭的，应安装集气罩。废气排至VOCs废气收集处理系统。</w:t>
                  </w:r>
                </w:p>
                <w:p w14:paraId="77372B54">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表面涂装工序宜集中作业，通过提高原辅材料及能源利用率、污染物收集率、污染治理设施运转率及其对污染物的去除效率，减少VOCs等污染物的排放量。</w:t>
                  </w:r>
                </w:p>
              </w:tc>
              <w:tc>
                <w:tcPr>
                  <w:tcW w:w="1644" w:type="pct"/>
                  <w:shd w:val="clear" w:color="auto" w:fill="auto"/>
                  <w:vAlign w:val="center"/>
                </w:tcPr>
                <w:p w14:paraId="0DEE0FAC">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rPr>
                    <w:t>项目原辅材料进场之前均已清除其中的杂质；炉外精炼定点处理，并安装集气罩和配套布袋除尘器；生产过程中各产污节点均设置收集措施，并经处理达标排放；金属液转运过程设置了浇包包盖，减少了废气的无组织排放；浇注工序安装集气罩，废气通过除尘设施。清理工序在密闭的设备中进行，设备自带了除尘设施；项目不涉及造型、制芯；不涉及表面涂装。</w:t>
                  </w:r>
                </w:p>
              </w:tc>
              <w:tc>
                <w:tcPr>
                  <w:tcW w:w="165" w:type="pct"/>
                  <w:shd w:val="clear" w:color="auto" w:fill="auto"/>
                  <w:vAlign w:val="center"/>
                </w:tcPr>
                <w:p w14:paraId="77A22D13">
                  <w:pPr>
                    <w:keepNext w:val="0"/>
                    <w:keepLines w:val="0"/>
                    <w:pageBreakBefore w:val="0"/>
                    <w:suppressLineNumbers w:val="0"/>
                    <w:kinsoku/>
                    <w:wordWrap/>
                    <w:topLinePunct w:val="0"/>
                    <w:bidi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相符</w:t>
                  </w:r>
                </w:p>
              </w:tc>
            </w:tr>
            <w:tr w14:paraId="3ED09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1214715D">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4DC70CA6">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eastAsia" w:eastAsia="宋体"/>
                      <w:color w:val="auto"/>
                      <w:sz w:val="21"/>
                      <w:szCs w:val="21"/>
                      <w:lang w:eastAsia="zh-CN"/>
                    </w:rPr>
                  </w:pPr>
                  <w:r>
                    <w:rPr>
                      <w:rFonts w:hint="eastAsia"/>
                      <w:color w:val="auto"/>
                      <w:sz w:val="21"/>
                      <w:szCs w:val="21"/>
                    </w:rPr>
                    <w:t>废气收集系统控制要求</w:t>
                  </w:r>
                  <w:r>
                    <w:rPr>
                      <w:rFonts w:hint="eastAsia"/>
                      <w:color w:val="auto"/>
                      <w:sz w:val="21"/>
                      <w:szCs w:val="21"/>
                      <w:lang w:eastAsia="zh-CN"/>
                    </w:rPr>
                    <w:t>：</w:t>
                  </w:r>
                </w:p>
                <w:p w14:paraId="6D4E3272">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default"/>
                      <w:color w:val="auto"/>
                      <w:sz w:val="21"/>
                      <w:szCs w:val="21"/>
                    </w:rPr>
                  </w:pPr>
                  <w:r>
                    <w:rPr>
                      <w:rFonts w:hint="eastAsia"/>
                      <w:color w:val="auto"/>
                      <w:sz w:val="21"/>
                      <w:szCs w:val="21"/>
                    </w:rPr>
                    <w:t>废气收集系统排风罩（集气罩）的设置应满足GB/T16758的要求，并按照GB/T16758和WS/T757</w:t>
                  </w:r>
                  <w:r>
                    <w:rPr>
                      <w:rFonts w:hint="eastAsia"/>
                      <w:color w:val="auto"/>
                      <w:sz w:val="21"/>
                      <w:szCs w:val="21"/>
                      <w:lang w:val="en-US" w:eastAsia="zh-CN"/>
                    </w:rPr>
                    <w:t>-</w:t>
                  </w:r>
                  <w:r>
                    <w:rPr>
                      <w:rFonts w:hint="eastAsia"/>
                      <w:color w:val="auto"/>
                      <w:sz w:val="21"/>
                      <w:szCs w:val="21"/>
                    </w:rPr>
                    <w:t>2016规定的方法测量控制风速，测量点应选取在距排风罩开口面最远处无组织排放位置，VOCs的排风罩控制风速不应低于0.3m/s，颗粒物的排风罩控制风速不应低于WS/T757</w:t>
                  </w:r>
                  <w:r>
                    <w:rPr>
                      <w:rFonts w:hint="eastAsia"/>
                      <w:color w:val="auto"/>
                      <w:sz w:val="21"/>
                      <w:szCs w:val="21"/>
                      <w:lang w:val="en-US" w:eastAsia="zh-CN"/>
                    </w:rPr>
                    <w:t>-</w:t>
                  </w:r>
                  <w:r>
                    <w:rPr>
                      <w:rFonts w:hint="eastAsia"/>
                      <w:color w:val="auto"/>
                      <w:sz w:val="21"/>
                      <w:szCs w:val="21"/>
                    </w:rPr>
                    <w:t>2016规定的限值。</w:t>
                  </w:r>
                </w:p>
                <w:p w14:paraId="7256E1C4">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default"/>
                      <w:color w:val="auto"/>
                      <w:sz w:val="21"/>
                      <w:szCs w:val="21"/>
                    </w:rPr>
                  </w:pPr>
                  <w:r>
                    <w:rPr>
                      <w:rFonts w:hint="eastAsia"/>
                      <w:color w:val="auto"/>
                      <w:sz w:val="21"/>
                      <w:szCs w:val="21"/>
                    </w:rPr>
                    <w:t>应尽可能利用主体生产装置（如中频感应炉、抛丸机等）自身的集气系统进行收集。排风罩的配置应与所采用的生产工艺协调一致，不影响工艺操作。在保证收集能力的前提下，应结构简单，便于安装和维护管理。</w:t>
                  </w:r>
                </w:p>
                <w:p w14:paraId="784B6D55">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default"/>
                      <w:color w:val="auto"/>
                      <w:sz w:val="21"/>
                      <w:szCs w:val="21"/>
                    </w:rPr>
                  </w:pPr>
                  <w:r>
                    <w:rPr>
                      <w:rFonts w:hint="eastAsia"/>
                      <w:color w:val="auto"/>
                      <w:sz w:val="21"/>
                      <w:szCs w:val="21"/>
                    </w:rPr>
                    <w:t>排风罩应优先考虑采用密闭罩或排气柜，并保持一定的负压。当不能或不便采用密闭罩时，可根据生产操作要求选择半密闭罩或外部排风罩，并尽可能包围或靠近污染源，必要时可增设软帘围挡，以防止污染物外溢。</w:t>
                  </w:r>
                </w:p>
                <w:p w14:paraId="03CD415C">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default"/>
                      <w:color w:val="auto"/>
                      <w:sz w:val="21"/>
                      <w:szCs w:val="21"/>
                    </w:rPr>
                  </w:pPr>
                  <w:r>
                    <w:rPr>
                      <w:rFonts w:hint="eastAsia"/>
                      <w:color w:val="auto"/>
                      <w:sz w:val="21"/>
                      <w:szCs w:val="21"/>
                    </w:rPr>
                    <w:t>排风罩的吸气方向应尽可能与污染气流运动方向一致，防止排风罩周围气流紊乱，避免或减弱干扰气流和送风气流等对吸气气流的影响。</w:t>
                  </w:r>
                </w:p>
                <w:p w14:paraId="412B2545">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default"/>
                      <w:color w:val="auto"/>
                      <w:sz w:val="21"/>
                      <w:szCs w:val="21"/>
                    </w:rPr>
                  </w:pPr>
                  <w:r>
                    <w:rPr>
                      <w:rFonts w:hint="eastAsia"/>
                      <w:color w:val="auto"/>
                      <w:sz w:val="21"/>
                      <w:szCs w:val="21"/>
                    </w:rPr>
                    <w:t>当废气产生点较多，彼此距离较远时，应适当分设多套收集系统。</w:t>
                  </w:r>
                </w:p>
                <w:p w14:paraId="786AC4A1">
                  <w:pPr>
                    <w:pStyle w:val="125"/>
                    <w:keepNext w:val="0"/>
                    <w:keepLines w:val="0"/>
                    <w:pageBreakBefore w:val="0"/>
                    <w:suppressLineNumbers w:val="0"/>
                    <w:kinsoku/>
                    <w:wordWrap/>
                    <w:topLinePunct w:val="0"/>
                    <w:bidi w:val="0"/>
                    <w:spacing w:before="0" w:beforeAutospacing="0" w:after="0" w:afterAutospacing="0" w:line="240" w:lineRule="auto"/>
                    <w:ind w:left="0" w:right="0"/>
                    <w:jc w:val="both"/>
                    <w:rPr>
                      <w:rFonts w:hint="default"/>
                      <w:color w:val="auto"/>
                      <w:sz w:val="21"/>
                      <w:szCs w:val="21"/>
                    </w:rPr>
                  </w:pPr>
                  <w:r>
                    <w:rPr>
                      <w:rFonts w:hint="eastAsia"/>
                      <w:color w:val="auto"/>
                      <w:sz w:val="21"/>
                      <w:szCs w:val="21"/>
                    </w:rPr>
                    <w:t>间歇运行工序或设备的收集系统管道或其支路上应设置自动调节阀，自动调节阀应在该工序或设备开启前开启。</w:t>
                  </w:r>
                </w:p>
                <w:p w14:paraId="6A666EED">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废气收集处理系统应先于或与生产工艺设备同步运行。当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644" w:type="pct"/>
                  <w:shd w:val="clear" w:color="auto" w:fill="auto"/>
                  <w:vAlign w:val="center"/>
                </w:tcPr>
                <w:p w14:paraId="563C3F5D">
                  <w:pPr>
                    <w:pStyle w:val="2"/>
                    <w:keepNext w:val="0"/>
                    <w:keepLines w:val="0"/>
                    <w:pageBreakBefore w:val="0"/>
                    <w:suppressLineNumbers w:val="0"/>
                    <w:kinsoku/>
                    <w:wordWrap/>
                    <w:topLinePunct w:val="0"/>
                    <w:bidi w:val="0"/>
                    <w:spacing w:before="0" w:beforeAutospacing="0" w:after="0" w:afterAutospacing="0" w:line="240" w:lineRule="auto"/>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项目各废气收集装置均按规范设计风速、吸气方向等；各收集点单独设置控制阀；废气收集处理系统与生产工艺设备同步运行。当废气收集处理系统发生故障或检修时，对应的生产工艺设备停止运行，待检修完毕后同步投入使用。</w:t>
                  </w:r>
                </w:p>
              </w:tc>
              <w:tc>
                <w:tcPr>
                  <w:tcW w:w="165" w:type="pct"/>
                  <w:shd w:val="clear" w:color="auto" w:fill="auto"/>
                  <w:vAlign w:val="center"/>
                </w:tcPr>
                <w:p w14:paraId="6EB691B2">
                  <w:pPr>
                    <w:keepNext w:val="0"/>
                    <w:keepLines w:val="0"/>
                    <w:pageBreakBefore w:val="0"/>
                    <w:suppressLineNumbers w:val="0"/>
                    <w:kinsoku/>
                    <w:wordWrap/>
                    <w:topLinePunct w:val="0"/>
                    <w:bidi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相符</w:t>
                  </w:r>
                </w:p>
              </w:tc>
            </w:tr>
            <w:tr w14:paraId="74BE01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227712BE">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497A0FF3">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both"/>
                    <w:rPr>
                      <w:rFonts w:hint="eastAsia"/>
                      <w:color w:val="auto"/>
                      <w:sz w:val="21"/>
                      <w:szCs w:val="21"/>
                      <w:lang w:eastAsia="zh-CN"/>
                    </w:rPr>
                  </w:pPr>
                  <w:r>
                    <w:rPr>
                      <w:rFonts w:hint="eastAsia"/>
                      <w:color w:val="auto"/>
                      <w:sz w:val="21"/>
                      <w:szCs w:val="21"/>
                    </w:rPr>
                    <w:t>污染防治可行技术</w:t>
                  </w:r>
                  <w:r>
                    <w:rPr>
                      <w:rFonts w:hint="eastAsia"/>
                      <w:color w:val="auto"/>
                      <w:sz w:val="21"/>
                      <w:szCs w:val="21"/>
                      <w:lang w:eastAsia="zh-CN"/>
                    </w:rPr>
                    <w:t>：</w:t>
                  </w:r>
                </w:p>
                <w:p w14:paraId="5CAA9A2D">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金属熔炼（化）工序大气污染防治可行技术：可行技术4①旋风除尘技术（可选）+②袋式除尘技术/滤筒除尘技术。</w:t>
                  </w:r>
                </w:p>
              </w:tc>
              <w:tc>
                <w:tcPr>
                  <w:tcW w:w="1644" w:type="pct"/>
                  <w:shd w:val="clear" w:color="auto" w:fill="auto"/>
                  <w:vAlign w:val="center"/>
                </w:tcPr>
                <w:p w14:paraId="04A4738B">
                  <w:pPr>
                    <w:pStyle w:val="125"/>
                    <w:keepNext w:val="0"/>
                    <w:keepLines w:val="0"/>
                    <w:pageBreakBefore w:val="0"/>
                    <w:widowControl w:val="0"/>
                    <w:suppressLineNumbers w:val="0"/>
                    <w:kinsoku/>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项目金属熔炼化工序采取袋式除尘器，符合要求。</w:t>
                  </w:r>
                </w:p>
              </w:tc>
              <w:tc>
                <w:tcPr>
                  <w:tcW w:w="165" w:type="pct"/>
                  <w:vMerge w:val="restart"/>
                  <w:shd w:val="clear" w:color="auto" w:fill="auto"/>
                  <w:vAlign w:val="center"/>
                </w:tcPr>
                <w:p w14:paraId="720606E5">
                  <w:pPr>
                    <w:keepNext w:val="0"/>
                    <w:keepLines w:val="0"/>
                    <w:pageBreakBefore w:val="0"/>
                    <w:suppressLineNumbers w:val="0"/>
                    <w:kinsoku/>
                    <w:wordWrap/>
                    <w:topLinePunct w:val="0"/>
                    <w:bidi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highlight w:val="none"/>
                    </w:rPr>
                    <w:t>相符</w:t>
                  </w:r>
                </w:p>
              </w:tc>
            </w:tr>
            <w:tr w14:paraId="607AA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795543DF">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32326733">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造型、制芯工序大气污染防治可行技术：可行技术1①旋风除尘技术（可选）+②袋式除尘技术/滤筒除尘技术。</w:t>
                  </w:r>
                </w:p>
              </w:tc>
              <w:tc>
                <w:tcPr>
                  <w:tcW w:w="1644" w:type="pct"/>
                  <w:shd w:val="clear" w:color="auto" w:fill="auto"/>
                  <w:vAlign w:val="center"/>
                </w:tcPr>
                <w:p w14:paraId="43F9CBAA">
                  <w:pPr>
                    <w:pStyle w:val="125"/>
                    <w:keepNext w:val="0"/>
                    <w:keepLines w:val="0"/>
                    <w:pageBreakBefore w:val="0"/>
                    <w:widowControl w:val="0"/>
                    <w:suppressLineNumbers w:val="0"/>
                    <w:kinsoku/>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项目不进行造型</w:t>
                  </w:r>
                  <w:r>
                    <w:rPr>
                      <w:rFonts w:hint="eastAsia"/>
                      <w:color w:val="auto"/>
                      <w:sz w:val="21"/>
                      <w:szCs w:val="21"/>
                      <w:lang w:eastAsia="zh-CN"/>
                    </w:rPr>
                    <w:t>、</w:t>
                  </w:r>
                  <w:r>
                    <w:rPr>
                      <w:rFonts w:hint="eastAsia"/>
                      <w:color w:val="auto"/>
                      <w:sz w:val="21"/>
                      <w:szCs w:val="21"/>
                    </w:rPr>
                    <w:t>制芯。</w:t>
                  </w:r>
                </w:p>
              </w:tc>
              <w:tc>
                <w:tcPr>
                  <w:tcW w:w="165" w:type="pct"/>
                  <w:vMerge w:val="continue"/>
                </w:tcPr>
                <w:p w14:paraId="5BBC350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0A1A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04762121">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1F0E945B">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both"/>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浇注工序大气污染防治可行技术：可行技术3湿式除尘技术；可行技术4①旋风除尘技术（可选）+②袋式除尘技术/滤筒除尘技术+③物理吸收法技术。</w:t>
                  </w:r>
                </w:p>
              </w:tc>
              <w:tc>
                <w:tcPr>
                  <w:tcW w:w="1644" w:type="pct"/>
                  <w:shd w:val="clear" w:color="auto" w:fill="auto"/>
                  <w:vAlign w:val="center"/>
                </w:tcPr>
                <w:p w14:paraId="2523AFEB">
                  <w:pPr>
                    <w:pStyle w:val="125"/>
                    <w:keepNext w:val="0"/>
                    <w:keepLines w:val="0"/>
                    <w:pageBreakBefore w:val="0"/>
                    <w:widowControl w:val="0"/>
                    <w:suppressLineNumbers w:val="0"/>
                    <w:kinsoku/>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项目浇注工序采用袋式除尘器，符合要求。</w:t>
                  </w:r>
                </w:p>
              </w:tc>
              <w:tc>
                <w:tcPr>
                  <w:tcW w:w="165" w:type="pct"/>
                  <w:vMerge w:val="continue"/>
                </w:tcPr>
                <w:p w14:paraId="3909A1F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6522E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34855301">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4BC19D6E">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落砂、清理、砂处理、废砂再生及铸件热处理工序大气污染防治可行技术：可行技术1①旋风除尘技术（可选）+②袋式除尘技术/滤筒除尘技术；可行技术4低氮燃烧技术。</w:t>
                  </w:r>
                </w:p>
              </w:tc>
              <w:tc>
                <w:tcPr>
                  <w:tcW w:w="1644" w:type="pct"/>
                  <w:shd w:val="clear" w:color="auto" w:fill="auto"/>
                  <w:vAlign w:val="center"/>
                </w:tcPr>
                <w:p w14:paraId="0EE558B2">
                  <w:pPr>
                    <w:pStyle w:val="125"/>
                    <w:keepNext w:val="0"/>
                    <w:keepLines w:val="0"/>
                    <w:pageBreakBefore w:val="0"/>
                    <w:widowControl w:val="0"/>
                    <w:suppressLineNumbers w:val="0"/>
                    <w:kinsoku/>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lang w:val="en-US" w:eastAsia="zh-CN"/>
                    </w:rPr>
                    <w:t>项目不涉及</w:t>
                  </w:r>
                  <w:r>
                    <w:rPr>
                      <w:rFonts w:hint="eastAsia"/>
                      <w:color w:val="auto"/>
                      <w:sz w:val="21"/>
                      <w:szCs w:val="21"/>
                    </w:rPr>
                    <w:t>砂再生。</w:t>
                  </w:r>
                </w:p>
              </w:tc>
              <w:tc>
                <w:tcPr>
                  <w:tcW w:w="165" w:type="pct"/>
                  <w:vMerge w:val="continue"/>
                </w:tcPr>
                <w:p w14:paraId="7191D9D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3165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vMerge w:val="continue"/>
                </w:tcPr>
                <w:p w14:paraId="42F3D73A">
                  <w:pPr>
                    <w:keepNext w:val="0"/>
                    <w:keepLines w:val="0"/>
                    <w:suppressLineNumbers w:val="0"/>
                    <w:snapToGrid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2186" w:type="pct"/>
                  <w:shd w:val="clear" w:color="auto" w:fill="auto"/>
                  <w:vAlign w:val="center"/>
                </w:tcPr>
                <w:p w14:paraId="3EDCFC94">
                  <w:pPr>
                    <w:pStyle w:val="125"/>
                    <w:keepNext w:val="0"/>
                    <w:keepLines w:val="0"/>
                    <w:pageBreakBefore w:val="0"/>
                    <w:suppressLineNumbers w:val="0"/>
                    <w:kinsoku/>
                    <w:wordWrap/>
                    <w:topLinePunct w:val="0"/>
                    <w:bidi w:val="0"/>
                    <w:spacing w:before="0" w:beforeAutospacing="0" w:after="0" w:afterAutospacing="0" w:line="240" w:lineRule="auto"/>
                    <w:ind w:left="0" w:right="0" w:firstLine="0" w:firstLineChars="0"/>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表面涂装工序大气污染防治可行技术：可行技术2水性涂料替代技术、漆雾处理技术；可行技术4①粉末涂料替代技术+②静电喷涂技术袋式除尘技术/滤筒除尘技术。</w:t>
                  </w:r>
                </w:p>
              </w:tc>
              <w:tc>
                <w:tcPr>
                  <w:tcW w:w="1644" w:type="pct"/>
                  <w:shd w:val="clear" w:color="auto" w:fill="auto"/>
                  <w:vAlign w:val="center"/>
                </w:tcPr>
                <w:p w14:paraId="135307E4">
                  <w:pPr>
                    <w:pStyle w:val="125"/>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w w:val="100"/>
                      <w:kern w:val="2"/>
                      <w:sz w:val="21"/>
                      <w:szCs w:val="21"/>
                      <w:lang w:val="en-US" w:eastAsia="zh-CN" w:bidi="ar-SA"/>
                    </w:rPr>
                  </w:pPr>
                  <w:r>
                    <w:rPr>
                      <w:rFonts w:hint="eastAsia"/>
                      <w:color w:val="auto"/>
                      <w:sz w:val="21"/>
                      <w:szCs w:val="21"/>
                    </w:rPr>
                    <w:t>项目不进行表面涂装。</w:t>
                  </w:r>
                </w:p>
              </w:tc>
              <w:tc>
                <w:tcPr>
                  <w:tcW w:w="165" w:type="pct"/>
                  <w:vMerge w:val="continue"/>
                </w:tcPr>
                <w:p w14:paraId="78EB9DB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B149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02" w:type="pct"/>
                  <w:shd w:val="clear" w:color="auto" w:fill="auto"/>
                  <w:vAlign w:val="center"/>
                </w:tcPr>
                <w:p w14:paraId="367A1389">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《工贸行业重点可燃性粉尘目录（2015版）》</w:t>
                  </w:r>
                </w:p>
              </w:tc>
              <w:tc>
                <w:tcPr>
                  <w:tcW w:w="2186" w:type="pct"/>
                  <w:shd w:val="clear" w:color="auto" w:fill="auto"/>
                  <w:vAlign w:val="center"/>
                </w:tcPr>
                <w:p w14:paraId="31FCAC6B">
                  <w:pPr>
                    <w:pStyle w:val="3"/>
                    <w:keepNext w:val="0"/>
                    <w:keepLines w:val="0"/>
                    <w:pageBreakBefore w:val="0"/>
                    <w:numPr>
                      <w:ilvl w:val="0"/>
                      <w:numId w:val="0"/>
                    </w:numPr>
                    <w:suppressLineNumbers w:val="0"/>
                    <w:kinsoku/>
                    <w:wordWrap/>
                    <w:topLinePunct w:val="0"/>
                    <w:bidi w:val="0"/>
                    <w:spacing w:before="0" w:beforeAutospacing="0" w:after="0" w:afterAutospacing="0" w:line="240" w:lineRule="auto"/>
                    <w:ind w:left="0" w:leftChars="0" w:right="0" w:firstLine="0" w:firstLineChars="0"/>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可燃性粉尘是指在空气中能燃烧或焖燃，在常温常压下与空气形成爆炸性混合物的粉尘、纤维或飞絮。</w:t>
                  </w:r>
                </w:p>
              </w:tc>
              <w:tc>
                <w:tcPr>
                  <w:tcW w:w="1644" w:type="pct"/>
                  <w:shd w:val="clear" w:color="auto" w:fill="auto"/>
                  <w:vAlign w:val="center"/>
                </w:tcPr>
                <w:p w14:paraId="2F199CBC">
                  <w:pPr>
                    <w:keepNext w:val="0"/>
                    <w:keepLines w:val="0"/>
                    <w:pageBreakBefore w:val="0"/>
                    <w:suppressLineNumbers w:val="0"/>
                    <w:kinsoku/>
                    <w:wordWrap/>
                    <w:topLinePunct w:val="0"/>
                    <w:bidi w:val="0"/>
                    <w:spacing w:before="0" w:beforeAutospacing="0" w:after="0" w:afterAutospacing="0" w:line="240" w:lineRule="auto"/>
                    <w:ind w:left="0" w:right="0"/>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对照《目录》，</w:t>
                  </w:r>
                  <w:r>
                    <w:rPr>
                      <w:rFonts w:hint="default"/>
                      <w:color w:val="auto"/>
                      <w:sz w:val="21"/>
                      <w:szCs w:val="21"/>
                      <w:highlight w:val="none"/>
                    </w:rPr>
                    <w:t>项目</w:t>
                  </w:r>
                  <w:r>
                    <w:rPr>
                      <w:rFonts w:hint="eastAsia"/>
                      <w:color w:val="auto"/>
                      <w:sz w:val="21"/>
                      <w:szCs w:val="21"/>
                      <w:highlight w:val="none"/>
                      <w:lang w:val="en-US" w:eastAsia="zh-CN"/>
                    </w:rPr>
                    <w:t>电渣重熔过程中产生的烟尘、焊接烟尘均为钢粉尘，</w:t>
                  </w:r>
                  <w:r>
                    <w:rPr>
                      <w:rFonts w:hint="eastAsia"/>
                      <w:color w:val="auto"/>
                      <w:sz w:val="21"/>
                      <w:szCs w:val="21"/>
                      <w:highlight w:val="none"/>
                      <w:lang w:eastAsia="zh-CN"/>
                    </w:rPr>
                    <w:t>不</w:t>
                  </w:r>
                  <w:r>
                    <w:rPr>
                      <w:rFonts w:hint="default"/>
                      <w:color w:val="auto"/>
                      <w:sz w:val="21"/>
                      <w:szCs w:val="21"/>
                      <w:highlight w:val="none"/>
                    </w:rPr>
                    <w:t>属于可燃</w:t>
                  </w:r>
                  <w:r>
                    <w:rPr>
                      <w:rFonts w:hint="eastAsia"/>
                      <w:color w:val="auto"/>
                      <w:sz w:val="21"/>
                      <w:szCs w:val="21"/>
                      <w:highlight w:val="none"/>
                      <w:lang w:eastAsia="zh-CN"/>
                    </w:rPr>
                    <w:t>性</w:t>
                  </w:r>
                  <w:r>
                    <w:rPr>
                      <w:rFonts w:hint="default"/>
                      <w:color w:val="auto"/>
                      <w:sz w:val="21"/>
                      <w:szCs w:val="21"/>
                      <w:highlight w:val="none"/>
                    </w:rPr>
                    <w:t>粉尘。</w:t>
                  </w:r>
                </w:p>
              </w:tc>
              <w:tc>
                <w:tcPr>
                  <w:tcW w:w="165" w:type="pct"/>
                  <w:shd w:val="clear" w:color="auto" w:fill="auto"/>
                  <w:vAlign w:val="center"/>
                </w:tcPr>
                <w:p w14:paraId="42D98BC6">
                  <w:pPr>
                    <w:keepNext w:val="0"/>
                    <w:keepLines w:val="0"/>
                    <w:pageBreakBefore w:val="0"/>
                    <w:suppressLineNumbers w:val="0"/>
                    <w:kinsoku/>
                    <w:wordWrap/>
                    <w:topLinePunct w:val="0"/>
                    <w:bidi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相符</w:t>
                  </w:r>
                </w:p>
              </w:tc>
            </w:tr>
          </w:tbl>
          <w:p w14:paraId="293B3824">
            <w:pPr>
              <w:pStyle w:val="3"/>
              <w:keepNext w:val="0"/>
              <w:keepLines w:val="0"/>
              <w:numPr>
                <w:ilvl w:val="0"/>
                <w:numId w:val="0"/>
              </w:numPr>
              <w:suppressLineNumbers w:val="0"/>
              <w:spacing w:before="0" w:beforeAutospacing="0" w:after="0" w:afterAutospacing="0"/>
              <w:ind w:left="0" w:right="0"/>
              <w:jc w:val="center"/>
              <w:rPr>
                <w:rFonts w:hint="eastAsia" w:ascii="Times New Roman" w:hAnsi="Times New Roman" w:cs="Times New Roman"/>
                <w:b/>
                <w:bCs/>
                <w:color w:val="auto"/>
                <w:sz w:val="24"/>
              </w:rPr>
            </w:pPr>
          </w:p>
          <w:p w14:paraId="49D44B9F">
            <w:pPr>
              <w:keepNext w:val="0"/>
              <w:keepLines w:val="0"/>
              <w:suppressLineNumbers w:val="0"/>
              <w:spacing w:before="0" w:beforeAutospacing="0" w:after="0" w:afterAutospacing="0"/>
              <w:ind w:left="0" w:right="0"/>
              <w:rPr>
                <w:rFonts w:hint="default" w:ascii="Times New Roman" w:hAnsi="Times New Roman" w:cs="Times New Roman"/>
                <w:color w:val="auto"/>
              </w:rPr>
            </w:pPr>
          </w:p>
          <w:p w14:paraId="440799B1">
            <w:pPr>
              <w:pStyle w:val="2"/>
              <w:keepNext w:val="0"/>
              <w:keepLines w:val="0"/>
              <w:suppressLineNumbers w:val="0"/>
              <w:spacing w:beforeAutospacing="0" w:afterAutospacing="0"/>
              <w:ind w:left="0"/>
              <w:rPr>
                <w:rFonts w:hint="default" w:ascii="Times New Roman" w:hAnsi="Times New Roman" w:cs="Times New Roman"/>
                <w:color w:val="auto"/>
                <w:vertAlign w:val="baseline"/>
              </w:rPr>
            </w:pPr>
          </w:p>
          <w:p w14:paraId="3DC053B4">
            <w:pPr>
              <w:pStyle w:val="3"/>
              <w:keepNext w:val="0"/>
              <w:keepLines w:val="0"/>
              <w:widowControl w:val="0"/>
              <w:numPr>
                <w:ilvl w:val="0"/>
                <w:numId w:val="0"/>
              </w:numPr>
              <w:suppressLineNumbers w:val="0"/>
              <w:spacing w:before="0" w:beforeAutospacing="0" w:after="0" w:afterAutospacing="0"/>
              <w:ind w:left="0" w:right="0"/>
              <w:jc w:val="both"/>
              <w:rPr>
                <w:rFonts w:hint="default" w:ascii="Times New Roman" w:hAnsi="Times New Roman" w:cs="Times New Roman"/>
                <w:color w:val="auto"/>
                <w:vertAlign w:val="baseline"/>
              </w:rPr>
            </w:pPr>
          </w:p>
        </w:tc>
      </w:tr>
    </w:tbl>
    <w:p w14:paraId="77344619">
      <w:pPr>
        <w:pStyle w:val="2"/>
        <w:rPr>
          <w:color w:val="auto"/>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14:paraId="701E6CB7">
      <w:pPr>
        <w:pStyle w:val="23"/>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二、建设项目工程分析</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2B1BA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379" w:type="dxa"/>
            <w:noWrap w:val="0"/>
            <w:vAlign w:val="center"/>
          </w:tcPr>
          <w:p w14:paraId="3884FE69">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605" w:type="dxa"/>
            <w:noWrap w:val="0"/>
            <w:vAlign w:val="top"/>
          </w:tcPr>
          <w:p w14:paraId="3B24BA11">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1.项目概况</w:t>
            </w:r>
          </w:p>
          <w:p w14:paraId="5B623698">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eastAsia" w:ascii="Times New Roman" w:hAnsi="Times New Roman" w:cs="Times New Roman"/>
                <w:color w:val="auto"/>
                <w:sz w:val="24"/>
              </w:rPr>
              <w:t>常州市昌帆金属科技有限公司</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以下简称“</w:t>
            </w:r>
            <w:r>
              <w:rPr>
                <w:rFonts w:hint="eastAsia" w:cs="Times New Roman"/>
                <w:color w:val="auto"/>
                <w:sz w:val="24"/>
                <w:lang w:val="en-US" w:eastAsia="zh-CN"/>
              </w:rPr>
              <w:t>昌帆金属</w:t>
            </w:r>
            <w:r>
              <w:rPr>
                <w:rFonts w:hint="eastAsia" w:ascii="Times New Roman" w:hAnsi="Times New Roman" w:cs="Times New Roman"/>
                <w:color w:val="auto"/>
                <w:sz w:val="24"/>
                <w:lang w:val="en-US" w:eastAsia="zh-CN"/>
              </w:rPr>
              <w: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成立于</w:t>
            </w:r>
            <w:r>
              <w:rPr>
                <w:rFonts w:hint="eastAsia" w:cs="Times New Roman"/>
                <w:color w:val="auto"/>
                <w:sz w:val="24"/>
                <w:lang w:val="en-US" w:eastAsia="zh-CN"/>
              </w:rPr>
              <w:t>2019年7月5日</w:t>
            </w:r>
            <w:r>
              <w:rPr>
                <w:rFonts w:hint="eastAsia" w:ascii="Times New Roman" w:hAnsi="Times New Roman" w:cs="Times New Roman"/>
                <w:color w:val="auto"/>
                <w:sz w:val="24"/>
                <w:lang w:val="en-US" w:eastAsia="zh-CN"/>
              </w:rPr>
              <w:t>，位于常州市金坛区</w:t>
            </w:r>
            <w:r>
              <w:rPr>
                <w:rFonts w:hint="eastAsia" w:cs="Times New Roman"/>
                <w:color w:val="auto"/>
                <w:sz w:val="24"/>
                <w:lang w:val="en-US" w:eastAsia="zh-CN"/>
              </w:rPr>
              <w:t>洮西工业集中区中路1号</w:t>
            </w:r>
            <w:r>
              <w:rPr>
                <w:rFonts w:hint="eastAsia" w:ascii="Times New Roman" w:hAnsi="Times New Roman" w:cs="Times New Roman"/>
                <w:color w:val="auto"/>
                <w:sz w:val="24"/>
                <w:lang w:val="en-US" w:eastAsia="zh-CN"/>
              </w:rPr>
              <w:t>，公司经营范围为金属新材料科技领域内的技术开发、技术转让、技术咨询；精密铸造件的生产与销售。锻件及粉末冶金制品制造；锻件及粉末冶金制品销售；再生资源回收（除生产性废旧金属）；再生资源销售；再生资源加工；生产性废旧金属回收。</w:t>
            </w:r>
            <w:r>
              <w:rPr>
                <w:rFonts w:hint="default" w:ascii="Times New Roman" w:hAnsi="Times New Roman" w:cs="Times New Roman"/>
                <w:bCs/>
                <w:color w:val="auto"/>
                <w:sz w:val="24"/>
                <w:szCs w:val="24"/>
                <w:highlight w:val="none"/>
              </w:rPr>
              <w:t>项目地理位置图详见附图1。</w:t>
            </w:r>
          </w:p>
          <w:p w14:paraId="40F160A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hAnsi="宋体"/>
                <w:color w:val="auto"/>
                <w:sz w:val="24"/>
                <w:highlight w:val="none"/>
              </w:rPr>
            </w:pPr>
            <w:r>
              <w:rPr>
                <w:rFonts w:hint="eastAsia" w:hAnsi="宋体"/>
                <w:color w:val="auto"/>
                <w:sz w:val="24"/>
                <w:highlight w:val="none"/>
                <w:lang w:val="en-US" w:eastAsia="zh-CN"/>
              </w:rPr>
              <w:t>昌帆金属于2022年通过司法拍卖取得</w:t>
            </w:r>
            <w:r>
              <w:rPr>
                <w:rFonts w:hint="eastAsia" w:hAnsi="宋体"/>
                <w:color w:val="auto"/>
                <w:sz w:val="24"/>
                <w:highlight w:val="none"/>
              </w:rPr>
              <w:t>常州金坛鑫豪特种机械配件有限公司</w:t>
            </w:r>
            <w:r>
              <w:rPr>
                <w:rFonts w:hint="eastAsia" w:hAnsi="宋体"/>
                <w:color w:val="auto"/>
                <w:sz w:val="24"/>
                <w:highlight w:val="none"/>
                <w:lang w:eastAsia="zh-CN"/>
              </w:rPr>
              <w:t>（</w:t>
            </w:r>
            <w:r>
              <w:rPr>
                <w:rFonts w:hint="eastAsia" w:hAnsi="宋体"/>
                <w:color w:val="auto"/>
                <w:sz w:val="24"/>
                <w:highlight w:val="none"/>
                <w:lang w:val="en-US" w:eastAsia="zh-CN"/>
              </w:rPr>
              <w:t>以下简称“鑫豪机械”</w:t>
            </w:r>
            <w:r>
              <w:rPr>
                <w:rFonts w:hint="eastAsia" w:hAnsi="宋体"/>
                <w:color w:val="auto"/>
                <w:sz w:val="24"/>
                <w:highlight w:val="none"/>
                <w:lang w:eastAsia="zh-CN"/>
              </w:rPr>
              <w:t>）</w:t>
            </w:r>
            <w:r>
              <w:rPr>
                <w:rFonts w:hint="eastAsia" w:hAnsi="宋体"/>
                <w:color w:val="auto"/>
                <w:sz w:val="24"/>
                <w:highlight w:val="none"/>
                <w:lang w:val="en-US" w:eastAsia="zh-CN"/>
              </w:rPr>
              <w:t>的全部资产（详见附件）。鑫豪机械</w:t>
            </w:r>
            <w:r>
              <w:rPr>
                <w:rFonts w:hint="eastAsia" w:hAnsi="宋体"/>
                <w:color w:val="auto"/>
                <w:sz w:val="24"/>
                <w:highlight w:val="none"/>
              </w:rPr>
              <w:t>“扩建高合金铸件、锻件项目”</w:t>
            </w:r>
            <w:r>
              <w:rPr>
                <w:rFonts w:hint="eastAsia" w:hAnsi="宋体"/>
                <w:color w:val="auto"/>
                <w:sz w:val="24"/>
                <w:highlight w:val="none"/>
                <w:lang w:eastAsia="zh-CN"/>
              </w:rPr>
              <w:t>（</w:t>
            </w:r>
            <w:r>
              <w:rPr>
                <w:rFonts w:hint="eastAsia" w:hAnsi="宋体"/>
                <w:color w:val="auto"/>
                <w:sz w:val="24"/>
                <w:highlight w:val="none"/>
                <w:lang w:val="en-US" w:eastAsia="zh-CN"/>
              </w:rPr>
              <w:t>铸造产能35000吨/年</w:t>
            </w:r>
            <w:r>
              <w:rPr>
                <w:rFonts w:hint="eastAsia" w:hAnsi="宋体"/>
                <w:color w:val="auto"/>
                <w:sz w:val="24"/>
                <w:highlight w:val="none"/>
                <w:lang w:eastAsia="zh-CN"/>
              </w:rPr>
              <w:t>）</w:t>
            </w:r>
            <w:r>
              <w:rPr>
                <w:rFonts w:hint="eastAsia" w:hAnsi="宋体"/>
                <w:color w:val="auto"/>
                <w:sz w:val="24"/>
                <w:highlight w:val="none"/>
              </w:rPr>
              <w:t>于2010年5月31日取得</w:t>
            </w:r>
            <w:r>
              <w:rPr>
                <w:rFonts w:hint="eastAsia" w:hAnsi="宋体"/>
                <w:color w:val="auto"/>
                <w:sz w:val="24"/>
                <w:highlight w:val="none"/>
                <w:lang w:eastAsia="zh-CN"/>
              </w:rPr>
              <w:t>了</w:t>
            </w:r>
            <w:r>
              <w:rPr>
                <w:rFonts w:hint="eastAsia" w:hAnsi="宋体"/>
                <w:color w:val="auto"/>
                <w:sz w:val="24"/>
                <w:highlight w:val="none"/>
                <w:lang w:val="en-US" w:eastAsia="zh-CN"/>
              </w:rPr>
              <w:t>金坛市环境保护局批复</w:t>
            </w:r>
            <w:r>
              <w:rPr>
                <w:rFonts w:hint="eastAsia" w:hAnsi="宋体"/>
                <w:color w:val="auto"/>
                <w:sz w:val="24"/>
                <w:highlight w:val="none"/>
              </w:rPr>
              <w:t>（坛环审</w:t>
            </w:r>
            <w:r>
              <w:rPr>
                <w:rFonts w:hint="eastAsia" w:ascii="宋体" w:hAnsi="宋体" w:eastAsia="宋体" w:cs="宋体"/>
                <w:color w:val="auto"/>
                <w:sz w:val="24"/>
                <w:highlight w:val="none"/>
              </w:rPr>
              <w:t>〔</w:t>
            </w:r>
            <w:r>
              <w:rPr>
                <w:rFonts w:hint="eastAsia" w:hAnsi="宋体"/>
                <w:color w:val="auto"/>
                <w:sz w:val="24"/>
                <w:highlight w:val="none"/>
              </w:rPr>
              <w:t>2010</w:t>
            </w:r>
            <w:r>
              <w:rPr>
                <w:rFonts w:hint="eastAsia" w:ascii="宋体" w:hAnsi="宋体" w:eastAsia="宋体" w:cs="宋体"/>
                <w:color w:val="auto"/>
                <w:sz w:val="24"/>
                <w:highlight w:val="none"/>
              </w:rPr>
              <w:t>〕</w:t>
            </w:r>
            <w:r>
              <w:rPr>
                <w:rFonts w:hint="eastAsia" w:hAnsi="宋体"/>
                <w:color w:val="auto"/>
                <w:sz w:val="24"/>
                <w:highlight w:val="none"/>
              </w:rPr>
              <w:t>107号）</w:t>
            </w:r>
            <w:r>
              <w:rPr>
                <w:rFonts w:hint="eastAsia" w:hAnsi="宋体"/>
                <w:color w:val="auto"/>
                <w:sz w:val="24"/>
                <w:highlight w:val="none"/>
                <w:lang w:eastAsia="zh-CN"/>
              </w:rPr>
              <w:t>，</w:t>
            </w:r>
            <w:r>
              <w:rPr>
                <w:rFonts w:hint="eastAsia" w:hAnsi="宋体"/>
                <w:color w:val="auto"/>
                <w:sz w:val="24"/>
                <w:highlight w:val="none"/>
                <w:lang w:val="en-US" w:eastAsia="zh-CN"/>
              </w:rPr>
              <w:t>于</w:t>
            </w:r>
            <w:r>
              <w:rPr>
                <w:rFonts w:hint="eastAsia" w:hAnsi="宋体"/>
                <w:color w:val="auto"/>
                <w:sz w:val="24"/>
                <w:highlight w:val="none"/>
              </w:rPr>
              <w:t>2010年12月30日</w:t>
            </w:r>
            <w:r>
              <w:rPr>
                <w:rFonts w:hint="eastAsia" w:hAnsi="宋体"/>
                <w:color w:val="auto"/>
                <w:sz w:val="24"/>
                <w:highlight w:val="none"/>
                <w:lang w:val="en-US" w:eastAsia="zh-CN"/>
              </w:rPr>
              <w:t>通过了金坛市环境保护局环境保护竣工验收（</w:t>
            </w:r>
            <w:r>
              <w:rPr>
                <w:rFonts w:hint="eastAsia" w:hAnsi="宋体"/>
                <w:color w:val="auto"/>
                <w:sz w:val="24"/>
                <w:highlight w:val="none"/>
              </w:rPr>
              <w:t>坛环验</w:t>
            </w:r>
            <w:r>
              <w:rPr>
                <w:rFonts w:hint="eastAsia" w:ascii="宋体" w:hAnsi="宋体" w:eastAsia="宋体" w:cs="宋体"/>
                <w:color w:val="auto"/>
                <w:sz w:val="24"/>
                <w:highlight w:val="none"/>
              </w:rPr>
              <w:t>〔</w:t>
            </w:r>
            <w:r>
              <w:rPr>
                <w:rFonts w:hint="eastAsia" w:hAnsi="宋体"/>
                <w:color w:val="auto"/>
                <w:sz w:val="24"/>
                <w:highlight w:val="none"/>
              </w:rPr>
              <w:t>2010</w:t>
            </w:r>
            <w:r>
              <w:rPr>
                <w:rFonts w:hint="eastAsia" w:ascii="宋体" w:hAnsi="宋体" w:eastAsia="宋体" w:cs="宋体"/>
                <w:color w:val="auto"/>
                <w:sz w:val="24"/>
                <w:highlight w:val="none"/>
              </w:rPr>
              <w:t>〕</w:t>
            </w:r>
            <w:r>
              <w:rPr>
                <w:rFonts w:hint="eastAsia" w:hAnsi="宋体"/>
                <w:color w:val="auto"/>
                <w:sz w:val="24"/>
                <w:highlight w:val="none"/>
              </w:rPr>
              <w:t>30号</w:t>
            </w:r>
            <w:r>
              <w:rPr>
                <w:rFonts w:hint="eastAsia" w:hAnsi="宋体"/>
                <w:color w:val="auto"/>
                <w:sz w:val="24"/>
                <w:highlight w:val="none"/>
                <w:lang w:val="en-US" w:eastAsia="zh-CN"/>
              </w:rPr>
              <w:t>）</w:t>
            </w:r>
            <w:r>
              <w:rPr>
                <w:rFonts w:hint="eastAsia" w:hAnsi="宋体"/>
                <w:color w:val="auto"/>
                <w:sz w:val="24"/>
                <w:highlight w:val="none"/>
              </w:rPr>
              <w:t>。2021年8月30日</w:t>
            </w:r>
            <w:r>
              <w:rPr>
                <w:rFonts w:hint="eastAsia" w:hAnsi="宋体"/>
                <w:color w:val="auto"/>
                <w:sz w:val="24"/>
                <w:highlight w:val="none"/>
                <w:lang w:val="en-US" w:eastAsia="zh-CN"/>
              </w:rPr>
              <w:t>昌帆金属</w:t>
            </w:r>
            <w:r>
              <w:rPr>
                <w:rFonts w:hint="eastAsia" w:hAnsi="宋体"/>
                <w:color w:val="auto"/>
                <w:sz w:val="24"/>
                <w:highlight w:val="none"/>
              </w:rPr>
              <w:t>取得</w:t>
            </w:r>
            <w:r>
              <w:rPr>
                <w:rFonts w:hint="eastAsia" w:hAnsi="宋体"/>
                <w:color w:val="auto"/>
                <w:sz w:val="24"/>
                <w:highlight w:val="none"/>
                <w:lang w:eastAsia="zh-CN"/>
              </w:rPr>
              <w:t>了</w:t>
            </w:r>
            <w:r>
              <w:rPr>
                <w:rFonts w:hint="eastAsia" w:hAnsi="宋体"/>
                <w:color w:val="auto"/>
                <w:sz w:val="24"/>
                <w:highlight w:val="none"/>
                <w:lang w:val="en-US" w:eastAsia="zh-CN"/>
              </w:rPr>
              <w:t>常州市金坛生态环境局</w:t>
            </w:r>
            <w:r>
              <w:rPr>
                <w:rFonts w:hint="eastAsia" w:hAnsi="宋体"/>
                <w:color w:val="auto"/>
                <w:sz w:val="24"/>
                <w:highlight w:val="none"/>
              </w:rPr>
              <w:t>《关于常州金坛鑫豪特种机械配件有限公司建设项目主体变更为常州昌帆金属科技有限公司的申请》的复函，明确项目仅建设主体由“常州金坛鑫豪特种机械配件有限公司”变更为“常州市昌帆金属科技有限公司”，在项目的性质、规模、地点、采用的生产工艺、防止污染、防止生态破坏措施等均未发生变动的前提下，无需重新报批建设项目的环境影响评价文件。</w:t>
            </w:r>
          </w:p>
          <w:p w14:paraId="03C9D70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hAnsi="宋体" w:eastAsia="宋体"/>
                <w:color w:val="auto"/>
                <w:sz w:val="24"/>
                <w:highlight w:val="none"/>
                <w:lang w:val="en-US" w:eastAsia="zh-CN"/>
              </w:rPr>
            </w:pPr>
            <w:r>
              <w:rPr>
                <w:rFonts w:hint="eastAsia" w:hAnsi="宋体"/>
                <w:color w:val="auto"/>
                <w:sz w:val="24"/>
                <w:highlight w:val="none"/>
                <w:lang w:val="en-US" w:eastAsia="zh-CN"/>
              </w:rPr>
              <w:t>公司“新建年产各种机械配件43500吨项目”于2024年1月17日取得了常州市生态环境局批复（常金环审</w:t>
            </w:r>
            <w:r>
              <w:rPr>
                <w:rFonts w:hint="eastAsia" w:ascii="宋体" w:hAnsi="宋体" w:eastAsia="宋体" w:cs="宋体"/>
                <w:color w:val="auto"/>
                <w:sz w:val="24"/>
                <w:highlight w:val="none"/>
              </w:rPr>
              <w:t>〔</w:t>
            </w:r>
            <w:r>
              <w:rPr>
                <w:rFonts w:hint="eastAsia" w:hAnsi="宋体"/>
                <w:color w:val="auto"/>
                <w:sz w:val="24"/>
                <w:highlight w:val="none"/>
              </w:rPr>
              <w:t>20</w:t>
            </w:r>
            <w:r>
              <w:rPr>
                <w:rFonts w:hint="eastAsia" w:hAnsi="宋体"/>
                <w:color w:val="auto"/>
                <w:sz w:val="24"/>
                <w:highlight w:val="none"/>
                <w:lang w:val="en-US" w:eastAsia="zh-CN"/>
              </w:rPr>
              <w:t>24</w:t>
            </w:r>
            <w:r>
              <w:rPr>
                <w:rFonts w:hint="eastAsia" w:ascii="宋体" w:hAnsi="宋体" w:eastAsia="宋体" w:cs="宋体"/>
                <w:color w:val="auto"/>
                <w:sz w:val="24"/>
                <w:highlight w:val="none"/>
              </w:rPr>
              <w:t>〕</w:t>
            </w:r>
            <w:r>
              <w:rPr>
                <w:rFonts w:hint="eastAsia" w:hAnsi="宋体"/>
                <w:color w:val="auto"/>
                <w:sz w:val="24"/>
                <w:highlight w:val="none"/>
                <w:lang w:val="en-US" w:eastAsia="zh-CN"/>
              </w:rPr>
              <w:t>10号），该项目正在建设中，计划与本次技改项目一同投产。</w:t>
            </w:r>
          </w:p>
          <w:p w14:paraId="37A0CCB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公司主要产品为机械配件（工程机械</w:t>
            </w:r>
            <w:r>
              <w:rPr>
                <w:rFonts w:hint="eastAsia" w:cs="Times New Roman"/>
                <w:bCs/>
                <w:color w:val="auto"/>
                <w:sz w:val="24"/>
                <w:lang w:val="en-US" w:eastAsia="zh-CN"/>
              </w:rPr>
              <w:t>轴、</w:t>
            </w:r>
            <w:r>
              <w:rPr>
                <w:rFonts w:hint="eastAsia" w:ascii="Times New Roman" w:hAnsi="Times New Roman" w:cs="Times New Roman"/>
                <w:bCs/>
                <w:color w:val="auto"/>
                <w:sz w:val="24"/>
                <w:lang w:val="en-US" w:eastAsia="zh-CN"/>
              </w:rPr>
              <w:t>盾构机</w:t>
            </w:r>
            <w:r>
              <w:rPr>
                <w:rFonts w:hint="eastAsia" w:cs="Times New Roman"/>
                <w:bCs/>
                <w:color w:val="auto"/>
                <w:sz w:val="24"/>
                <w:lang w:val="en-US" w:eastAsia="zh-CN"/>
              </w:rPr>
              <w:t>轴、</w:t>
            </w:r>
            <w:r>
              <w:rPr>
                <w:rFonts w:hint="eastAsia" w:ascii="Times New Roman" w:hAnsi="Times New Roman" w:cs="Times New Roman"/>
                <w:bCs/>
                <w:color w:val="auto"/>
                <w:sz w:val="24"/>
                <w:lang w:val="en-US" w:eastAsia="zh-CN"/>
              </w:rPr>
              <w:t>航空发动机</w:t>
            </w:r>
            <w:r>
              <w:rPr>
                <w:rFonts w:hint="eastAsia" w:cs="Times New Roman"/>
                <w:bCs/>
                <w:color w:val="auto"/>
                <w:sz w:val="24"/>
                <w:lang w:val="en-US" w:eastAsia="zh-CN"/>
              </w:rPr>
              <w:t>轴、</w:t>
            </w:r>
            <w:r>
              <w:rPr>
                <w:rFonts w:hint="eastAsia" w:ascii="Times New Roman" w:hAnsi="Times New Roman" w:cs="Times New Roman"/>
                <w:bCs/>
                <w:color w:val="auto"/>
                <w:sz w:val="24"/>
                <w:lang w:val="en-US" w:eastAsia="zh-CN"/>
              </w:rPr>
              <w:t>液压油缸</w:t>
            </w:r>
            <w:r>
              <w:rPr>
                <w:rFonts w:hint="eastAsia" w:cs="Times New Roman"/>
                <w:bCs/>
                <w:color w:val="auto"/>
                <w:sz w:val="24"/>
                <w:lang w:val="en-US" w:eastAsia="zh-CN"/>
              </w:rPr>
              <w:t>轴、</w:t>
            </w:r>
            <w:r>
              <w:rPr>
                <w:rFonts w:hint="eastAsia" w:ascii="Times New Roman" w:hAnsi="Times New Roman" w:cs="Times New Roman"/>
                <w:bCs/>
                <w:color w:val="auto"/>
                <w:sz w:val="24"/>
                <w:lang w:val="en-US" w:eastAsia="zh-CN"/>
              </w:rPr>
              <w:t>汽车</w:t>
            </w:r>
            <w:r>
              <w:rPr>
                <w:rFonts w:hint="eastAsia" w:cs="Times New Roman"/>
                <w:bCs/>
                <w:color w:val="auto"/>
                <w:sz w:val="24"/>
                <w:lang w:val="en-US" w:eastAsia="zh-CN"/>
              </w:rPr>
              <w:t>传送部件轴</w:t>
            </w:r>
            <w:r>
              <w:rPr>
                <w:rFonts w:hint="eastAsia" w:ascii="Times New Roman" w:hAnsi="Times New Roman" w:cs="Times New Roman"/>
                <w:bCs/>
                <w:color w:val="auto"/>
                <w:sz w:val="24"/>
                <w:lang w:val="en-US" w:eastAsia="zh-CN"/>
              </w:rPr>
              <w:t>），目前产品为大众化铸钢件，不能应用于新兴产业、高新技术的特种环境领域使用。为了企业的生存和可持续发展，响应市场需求和政府高质量发展产业政策，公司决定在不增加铸造产能的前提下，对原</w:t>
            </w:r>
            <w:r>
              <w:rPr>
                <w:rFonts w:hint="eastAsia" w:cs="Times New Roman"/>
                <w:bCs/>
                <w:color w:val="auto"/>
                <w:sz w:val="24"/>
                <w:lang w:val="en-US" w:eastAsia="zh-CN"/>
              </w:rPr>
              <w:t>有部分产品</w:t>
            </w:r>
            <w:r>
              <w:rPr>
                <w:rFonts w:hint="eastAsia" w:ascii="Times New Roman" w:hAnsi="Times New Roman" w:cs="Times New Roman"/>
                <w:bCs/>
                <w:color w:val="auto"/>
                <w:sz w:val="24"/>
                <w:lang w:val="en-US" w:eastAsia="zh-CN"/>
              </w:rPr>
              <w:t>进行改造升级，建设“</w:t>
            </w:r>
            <w:r>
              <w:rPr>
                <w:rFonts w:hint="eastAsia" w:cs="Times New Roman"/>
                <w:bCs/>
                <w:color w:val="auto"/>
                <w:sz w:val="24"/>
                <w:lang w:val="en-US" w:eastAsia="zh-CN"/>
              </w:rPr>
              <w:t>高性能、高强度特种锻件技术改造项目</w:t>
            </w:r>
            <w:r>
              <w:rPr>
                <w:rFonts w:hint="eastAsia" w:ascii="Times New Roman" w:hAnsi="Times New Roman" w:cs="Times New Roman"/>
                <w:bCs/>
                <w:color w:val="auto"/>
                <w:sz w:val="24"/>
                <w:lang w:val="en-US" w:eastAsia="zh-CN"/>
              </w:rPr>
              <w:t>”。技改后项目产品的强度、韧性等均得到提升，产品可应用于石油、船舶、核电、航空、高铁等</w:t>
            </w:r>
            <w:r>
              <w:rPr>
                <w:rFonts w:hint="eastAsia" w:cs="Times New Roman"/>
                <w:bCs/>
                <w:color w:val="auto"/>
                <w:sz w:val="24"/>
                <w:lang w:val="en-US" w:eastAsia="zh-CN"/>
              </w:rPr>
              <w:t>工程</w:t>
            </w:r>
            <w:r>
              <w:rPr>
                <w:rFonts w:hint="eastAsia" w:ascii="Times New Roman" w:hAnsi="Times New Roman" w:cs="Times New Roman"/>
                <w:bCs/>
                <w:color w:val="auto"/>
                <w:sz w:val="24"/>
                <w:lang w:val="en-US" w:eastAsia="zh-CN"/>
              </w:rPr>
              <w:t>领域，避免同质化竞争，提高产品的市场竞争力。</w:t>
            </w:r>
          </w:p>
          <w:p w14:paraId="782F1461">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本次技改项目主要内容为：</w:t>
            </w:r>
          </w:p>
          <w:p w14:paraId="0AC7024F">
            <w:pPr>
              <w:keepNext w:val="0"/>
              <w:keepLines w:val="0"/>
              <w:numPr>
                <w:ilvl w:val="0"/>
                <w:numId w:val="5"/>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在</w:t>
            </w:r>
            <w:r>
              <w:rPr>
                <w:rFonts w:hint="eastAsia" w:cs="Times New Roman"/>
                <w:bCs/>
                <w:color w:val="auto"/>
                <w:sz w:val="24"/>
                <w:lang w:val="en-US" w:eastAsia="zh-CN"/>
              </w:rPr>
              <w:t>精铸</w:t>
            </w:r>
            <w:r>
              <w:rPr>
                <w:rFonts w:hint="eastAsia" w:ascii="Times New Roman" w:hAnsi="Times New Roman" w:cs="Times New Roman"/>
                <w:bCs/>
                <w:color w:val="auto"/>
                <w:sz w:val="24"/>
                <w:lang w:val="en-US" w:eastAsia="zh-CN"/>
              </w:rPr>
              <w:t>工段后增加</w:t>
            </w:r>
            <w:r>
              <w:rPr>
                <w:rFonts w:hint="eastAsia" w:cs="Times New Roman"/>
                <w:bCs/>
                <w:color w:val="auto"/>
                <w:sz w:val="24"/>
                <w:lang w:val="en-US" w:eastAsia="zh-CN"/>
              </w:rPr>
              <w:t>电渣重熔</w:t>
            </w:r>
            <w:r>
              <w:rPr>
                <w:rFonts w:hint="eastAsia" w:ascii="Times New Roman" w:hAnsi="Times New Roman" w:cs="Times New Roman"/>
                <w:bCs/>
                <w:color w:val="auto"/>
                <w:sz w:val="24"/>
                <w:lang w:val="en-US" w:eastAsia="zh-CN"/>
              </w:rPr>
              <w:t>工序，</w:t>
            </w:r>
            <w:r>
              <w:rPr>
                <w:rFonts w:hint="eastAsia" w:cs="Times New Roman"/>
                <w:bCs/>
                <w:color w:val="auto"/>
                <w:sz w:val="24"/>
                <w:lang w:val="en-US" w:eastAsia="zh-CN"/>
              </w:rPr>
              <w:t>添加5套电渣炉对15000吨产品进行</w:t>
            </w:r>
          </w:p>
          <w:p w14:paraId="7034AB79">
            <w:pPr>
              <w:keepNext w:val="0"/>
              <w:keepLines w:val="0"/>
              <w:numPr>
                <w:ilvl w:val="0"/>
                <w:numId w:val="0"/>
              </w:numPr>
              <w:suppressLineNumbers w:val="0"/>
              <w:spacing w:before="0" w:beforeAutospacing="0" w:after="0" w:afterAutospacing="0" w:line="360" w:lineRule="auto"/>
              <w:ind w:left="0" w:right="0" w:rightChars="0"/>
              <w:rPr>
                <w:rFonts w:hint="eastAsia" w:ascii="Times New Roman" w:hAnsi="Times New Roman" w:cs="Times New Roman"/>
                <w:bCs/>
                <w:color w:val="auto"/>
                <w:sz w:val="24"/>
                <w:lang w:val="en-US" w:eastAsia="zh-CN"/>
              </w:rPr>
            </w:pPr>
            <w:r>
              <w:rPr>
                <w:rFonts w:hint="eastAsia" w:cs="Times New Roman"/>
                <w:bCs/>
                <w:color w:val="auto"/>
                <w:sz w:val="24"/>
                <w:lang w:val="en-US" w:eastAsia="zh-CN"/>
              </w:rPr>
              <w:t>电渣重熔</w:t>
            </w:r>
            <w:r>
              <w:rPr>
                <w:rFonts w:hint="eastAsia" w:ascii="Times New Roman" w:hAnsi="Times New Roman" w:cs="Times New Roman"/>
                <w:bCs/>
                <w:color w:val="auto"/>
                <w:sz w:val="24"/>
                <w:lang w:val="en-US" w:eastAsia="zh-CN"/>
              </w:rPr>
              <w:t>，</w:t>
            </w:r>
            <w:r>
              <w:rPr>
                <w:rFonts w:hint="eastAsia" w:cs="Times New Roman"/>
                <w:bCs/>
                <w:color w:val="auto"/>
                <w:sz w:val="24"/>
                <w:lang w:val="en-US" w:eastAsia="zh-CN"/>
              </w:rPr>
              <w:t>通</w:t>
            </w:r>
            <w:r>
              <w:rPr>
                <w:rFonts w:hint="eastAsia" w:ascii="Times New Roman" w:hAnsi="Times New Roman" w:cs="Times New Roman"/>
                <w:bCs/>
                <w:color w:val="auto"/>
                <w:sz w:val="24"/>
                <w:lang w:val="en-US" w:eastAsia="zh-CN"/>
              </w:rPr>
              <w:t>过熔融的导电渣层的化学精炼作用，有效去除金属中的硫、磷、非金属夹杂物等杂质，显著提高材料纯净度</w:t>
            </w:r>
            <w:r>
              <w:rPr>
                <w:rFonts w:hint="eastAsia" w:cs="Times New Roman"/>
                <w:bCs/>
                <w:color w:val="auto"/>
                <w:sz w:val="24"/>
                <w:lang w:val="en-US" w:eastAsia="zh-CN"/>
              </w:rPr>
              <w:t>，同时</w:t>
            </w:r>
            <w:r>
              <w:rPr>
                <w:rFonts w:hint="eastAsia" w:ascii="Times New Roman" w:hAnsi="Times New Roman" w:cs="Times New Roman"/>
                <w:bCs/>
                <w:color w:val="auto"/>
                <w:sz w:val="24"/>
                <w:lang w:val="en-US" w:eastAsia="zh-CN"/>
              </w:rPr>
              <w:t>改善结晶结构</w:t>
            </w:r>
            <w:r>
              <w:rPr>
                <w:rFonts w:hint="eastAsia" w:cs="Times New Roman"/>
                <w:bCs/>
                <w:color w:val="auto"/>
                <w:sz w:val="24"/>
                <w:lang w:val="en-US" w:eastAsia="zh-CN"/>
              </w:rPr>
              <w:t>，</w:t>
            </w:r>
            <w:r>
              <w:rPr>
                <w:rFonts w:hint="eastAsia" w:ascii="Times New Roman" w:hAnsi="Times New Roman" w:cs="Times New Roman"/>
                <w:bCs/>
                <w:color w:val="auto"/>
                <w:sz w:val="24"/>
                <w:lang w:val="en-US" w:eastAsia="zh-CN"/>
              </w:rPr>
              <w:t>减少偏析、缩孔等缺陷，提升材料的力学性能（如强度、韧性）和抗疲劳性。</w:t>
            </w:r>
          </w:p>
          <w:p w14:paraId="234CB874">
            <w:pPr>
              <w:keepNext w:val="0"/>
              <w:keepLines w:val="0"/>
              <w:numPr>
                <w:ilvl w:val="0"/>
                <w:numId w:val="5"/>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lang w:val="en-US" w:eastAsia="zh-CN"/>
              </w:rPr>
            </w:pPr>
            <w:r>
              <w:rPr>
                <w:rFonts w:hint="eastAsia" w:cs="Times New Roman"/>
                <w:bCs/>
                <w:color w:val="auto"/>
                <w:sz w:val="24"/>
                <w:lang w:val="en-US" w:eastAsia="zh-CN"/>
              </w:rPr>
              <w:t>将锻压成型前的电加热炉改为天然气加热炉，可以降低企业的生产成本，同时避免电网负荷的限制，保证生产的稳定性，此外给企业带来明显的安全、环保、效率的提升。</w:t>
            </w:r>
          </w:p>
          <w:p w14:paraId="4F19FE27">
            <w:pPr>
              <w:keepNext w:val="0"/>
              <w:keepLines w:val="0"/>
              <w:numPr>
                <w:ilvl w:val="0"/>
                <w:numId w:val="5"/>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对生产场地进行优化改造，重新布置生产设备和工序位置，建立安全通道，设置安全隔离装置，增加必要的安全报警设备和警示标志。</w:t>
            </w:r>
          </w:p>
          <w:p w14:paraId="4A2F26D0">
            <w:pPr>
              <w:keepNext w:val="0"/>
              <w:keepLines w:val="0"/>
              <w:numPr>
                <w:ilvl w:val="0"/>
                <w:numId w:val="5"/>
              </w:numPr>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对原有废气治理措施进行提升改造，做到应收尽收、应治尽治，提升废气收集效率，减少无组织废气排放量。</w:t>
            </w:r>
          </w:p>
          <w:p w14:paraId="0472EE8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lang w:val="en-US" w:eastAsia="zh-CN"/>
              </w:rPr>
            </w:pPr>
            <w:r>
              <w:rPr>
                <w:rFonts w:hint="eastAsia" w:ascii="Times New Roman" w:hAnsi="Times New Roman" w:cs="Times New Roman"/>
                <w:color w:val="auto"/>
                <w:sz w:val="24"/>
              </w:rPr>
              <w:t>该项目于202</w:t>
            </w:r>
            <w:r>
              <w:rPr>
                <w:rFonts w:hint="eastAsia" w:cs="Times New Roman"/>
                <w:color w:val="auto"/>
                <w:sz w:val="24"/>
                <w:lang w:val="en-US" w:eastAsia="zh-CN"/>
              </w:rPr>
              <w:t>5</w:t>
            </w:r>
            <w:r>
              <w:rPr>
                <w:rFonts w:hint="eastAsia" w:ascii="Times New Roman" w:hAnsi="Times New Roman" w:cs="Times New Roman"/>
                <w:color w:val="auto"/>
                <w:sz w:val="24"/>
              </w:rPr>
              <w:t>年</w:t>
            </w:r>
            <w:r>
              <w:rPr>
                <w:rFonts w:hint="eastAsia" w:cs="Times New Roman"/>
                <w:color w:val="auto"/>
                <w:sz w:val="24"/>
                <w:lang w:val="en-US" w:eastAsia="zh-CN"/>
              </w:rPr>
              <w:t>5</w:t>
            </w:r>
            <w:r>
              <w:rPr>
                <w:rFonts w:hint="eastAsia" w:ascii="Times New Roman" w:hAnsi="Times New Roman" w:cs="Times New Roman"/>
                <w:color w:val="auto"/>
                <w:sz w:val="24"/>
              </w:rPr>
              <w:t>月</w:t>
            </w:r>
            <w:r>
              <w:rPr>
                <w:rFonts w:hint="eastAsia" w:cs="Times New Roman"/>
                <w:color w:val="auto"/>
                <w:sz w:val="24"/>
                <w:lang w:val="en-US" w:eastAsia="zh-CN"/>
              </w:rPr>
              <w:t>27</w:t>
            </w:r>
            <w:r>
              <w:rPr>
                <w:rFonts w:hint="eastAsia" w:ascii="Times New Roman" w:hAnsi="Times New Roman" w:cs="Times New Roman"/>
                <w:color w:val="auto"/>
                <w:sz w:val="24"/>
              </w:rPr>
              <w:t>日取得</w:t>
            </w:r>
            <w:r>
              <w:rPr>
                <w:rFonts w:hint="default" w:ascii="Times New Roman" w:hAnsi="Times New Roman" w:cs="Times New Roman"/>
                <w:color w:val="auto"/>
                <w:sz w:val="24"/>
                <w:szCs w:val="24"/>
                <w:highlight w:val="none"/>
              </w:rPr>
              <w:t>江苏省金坛</w:t>
            </w:r>
            <w:r>
              <w:rPr>
                <w:rFonts w:hint="eastAsia" w:ascii="Times New Roman" w:hAnsi="Times New Roman" w:cs="Times New Roman"/>
                <w:color w:val="auto"/>
                <w:sz w:val="24"/>
                <w:szCs w:val="24"/>
                <w:highlight w:val="none"/>
                <w:lang w:val="en-US" w:eastAsia="zh-CN"/>
              </w:rPr>
              <w:t>区工业和信息化局</w:t>
            </w:r>
            <w:r>
              <w:rPr>
                <w:rFonts w:hint="eastAsia" w:ascii="Times New Roman" w:hAnsi="Times New Roman" w:cs="Times New Roman"/>
                <w:color w:val="auto"/>
                <w:sz w:val="24"/>
              </w:rPr>
              <w:t>《江苏省投资项目备案证》（备案证号：</w:t>
            </w:r>
            <w:r>
              <w:rPr>
                <w:rFonts w:hint="eastAsia" w:ascii="Times New Roman" w:hAnsi="Times New Roman" w:cs="Times New Roman"/>
                <w:bCs/>
                <w:color w:val="auto"/>
                <w:sz w:val="24"/>
                <w:szCs w:val="24"/>
                <w:highlight w:val="none"/>
              </w:rPr>
              <w:t>坛工信备〔202</w:t>
            </w:r>
            <w:r>
              <w:rPr>
                <w:rFonts w:hint="eastAsia" w:cs="Times New Roman"/>
                <w:bCs/>
                <w:color w:val="auto"/>
                <w:sz w:val="24"/>
                <w:szCs w:val="24"/>
                <w:highlight w:val="none"/>
                <w:lang w:val="en-US" w:eastAsia="zh-CN"/>
              </w:rPr>
              <w:t>5</w:t>
            </w:r>
            <w:r>
              <w:rPr>
                <w:rFonts w:hint="eastAsia" w:ascii="宋体" w:hAnsi="宋体" w:eastAsia="宋体" w:cs="宋体"/>
                <w:bCs/>
                <w:color w:val="auto"/>
                <w:sz w:val="24"/>
                <w:szCs w:val="24"/>
                <w:highlight w:val="none"/>
              </w:rPr>
              <w:t>〕</w:t>
            </w:r>
            <w:r>
              <w:rPr>
                <w:rFonts w:hint="eastAsia" w:cs="Times New Roman"/>
                <w:bCs/>
                <w:color w:val="auto"/>
                <w:sz w:val="24"/>
                <w:szCs w:val="24"/>
                <w:highlight w:val="none"/>
                <w:lang w:val="en-US" w:eastAsia="zh-CN"/>
              </w:rPr>
              <w:t>49</w:t>
            </w:r>
            <w:r>
              <w:rPr>
                <w:rFonts w:hint="eastAsia" w:ascii="Times New Roman" w:hAnsi="Times New Roman" w:cs="Times New Roman"/>
                <w:bCs/>
                <w:color w:val="auto"/>
                <w:sz w:val="24"/>
                <w:szCs w:val="24"/>
                <w:highlight w:val="none"/>
              </w:rPr>
              <w:t>号</w:t>
            </w:r>
            <w:r>
              <w:rPr>
                <w:rFonts w:hint="eastAsia" w:ascii="Times New Roman" w:hAnsi="Times New Roman" w:cs="Times New Roman"/>
                <w:color w:val="auto"/>
                <w:sz w:val="24"/>
              </w:rPr>
              <w:t>，项目代码：</w:t>
            </w:r>
            <w:r>
              <w:rPr>
                <w:rFonts w:hint="eastAsia" w:cs="Times New Roman"/>
                <w:color w:val="auto"/>
                <w:sz w:val="24"/>
                <w:lang w:eastAsia="zh-CN"/>
              </w:rPr>
              <w:t>2505-320413-07-02-173474</w:t>
            </w:r>
            <w:r>
              <w:rPr>
                <w:rFonts w:hint="eastAsia" w:ascii="Times New Roman" w:hAnsi="Times New Roman" w:cs="Times New Roman"/>
                <w:color w:val="auto"/>
                <w:sz w:val="24"/>
              </w:rPr>
              <w:t>）</w:t>
            </w:r>
            <w:r>
              <w:rPr>
                <w:rFonts w:hint="eastAsia" w:ascii="Times New Roman" w:hAnsi="Times New Roman" w:cs="Times New Roman"/>
                <w:color w:val="auto"/>
                <w:sz w:val="24"/>
                <w:lang w:eastAsia="zh-CN"/>
              </w:rPr>
              <w:t>，</w:t>
            </w:r>
            <w:r>
              <w:rPr>
                <w:rFonts w:hint="eastAsia" w:ascii="Times New Roman" w:hAnsi="Times New Roman" w:cs="Times New Roman"/>
                <w:bCs/>
                <w:color w:val="auto"/>
                <w:sz w:val="24"/>
                <w:lang w:val="en-US" w:eastAsia="zh-CN"/>
              </w:rPr>
              <w:t>具体建设内容为：项目计划总投资3000万元，购置电渣炉、结晶器、假电极、脱模夹具等主要设备，对现有生产的铸锻件</w:t>
            </w:r>
            <w:r>
              <w:rPr>
                <w:rFonts w:hint="eastAsia" w:cs="Times New Roman"/>
                <w:bCs/>
                <w:color w:val="auto"/>
                <w:sz w:val="24"/>
                <w:lang w:val="en-US" w:eastAsia="zh-CN"/>
              </w:rPr>
              <w:t>采</w:t>
            </w:r>
            <w:r>
              <w:rPr>
                <w:rFonts w:hint="eastAsia" w:ascii="Times New Roman" w:hAnsi="Times New Roman" w:cs="Times New Roman"/>
                <w:bCs/>
                <w:color w:val="auto"/>
                <w:sz w:val="24"/>
                <w:lang w:val="en-US" w:eastAsia="zh-CN"/>
              </w:rPr>
              <w:t>用电渣重熔工艺，来调整铸锻件内部径向分布结构，并去除</w:t>
            </w:r>
            <w:r>
              <w:rPr>
                <w:rFonts w:hint="eastAsia" w:cs="Times New Roman"/>
                <w:bCs/>
                <w:color w:val="auto"/>
                <w:sz w:val="24"/>
                <w:lang w:val="en-US" w:eastAsia="zh-CN"/>
              </w:rPr>
              <w:t>硫</w:t>
            </w:r>
            <w:r>
              <w:rPr>
                <w:rFonts w:hint="eastAsia" w:ascii="Times New Roman" w:hAnsi="Times New Roman" w:cs="Times New Roman"/>
                <w:bCs/>
                <w:color w:val="auto"/>
                <w:sz w:val="24"/>
                <w:lang w:val="en-US" w:eastAsia="zh-CN"/>
              </w:rPr>
              <w:t>磷等杂质，增强抗挠度、抗折弯度等性</w:t>
            </w:r>
            <w:r>
              <w:rPr>
                <w:rFonts w:hint="eastAsia" w:cs="Times New Roman"/>
                <w:bCs/>
                <w:color w:val="auto"/>
                <w:sz w:val="24"/>
                <w:lang w:val="en-US" w:eastAsia="zh-CN"/>
              </w:rPr>
              <w:t>能。</w:t>
            </w:r>
            <w:r>
              <w:rPr>
                <w:rFonts w:hint="eastAsia" w:ascii="Times New Roman" w:hAnsi="Times New Roman" w:cs="Times New Roman"/>
                <w:bCs/>
                <w:color w:val="auto"/>
                <w:sz w:val="24"/>
                <w:lang w:val="en-US" w:eastAsia="zh-CN"/>
              </w:rPr>
              <w:t>本次技改不新增产能。该项目需按国家和省相关规定办理节能、环评、安评等手续后方可开工建设</w:t>
            </w:r>
            <w:r>
              <w:rPr>
                <w:rFonts w:hint="eastAsia" w:cs="Times New Roman"/>
                <w:bCs/>
                <w:color w:val="auto"/>
                <w:sz w:val="24"/>
                <w:lang w:val="en-US" w:eastAsia="zh-CN"/>
              </w:rPr>
              <w:t>。</w:t>
            </w:r>
          </w:p>
          <w:p w14:paraId="42B6D91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依据《中华人民共和国环境影响评价法》和国务院第682号令《建设项目环境保护管理条例》（2017年修订）及《建设项目环境影响评价分类管理名录》（2021年版）的有关规定，本项目属于“</w:t>
            </w:r>
            <w:r>
              <w:rPr>
                <w:rFonts w:hint="eastAsia" w:ascii="Times New Roman" w:hAnsi="Times New Roman" w:cs="Times New Roman"/>
                <w:color w:val="auto"/>
                <w:sz w:val="24"/>
                <w:szCs w:val="24"/>
                <w:highlight w:val="none"/>
                <w:lang w:val="en-US" w:eastAsia="zh-CN"/>
              </w:rPr>
              <w:t>三十、金属制品业33</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highlight w:val="none"/>
                <w:lang w:val="en-US" w:eastAsia="zh-CN"/>
              </w:rPr>
              <w:t>68铸造及其他金属制品制造339－其他（仅分割、焊接、组装的除外）</w:t>
            </w:r>
            <w:r>
              <w:rPr>
                <w:rFonts w:hint="default" w:ascii="Times New Roman" w:hAnsi="Times New Roman" w:cs="Times New Roman"/>
                <w:bCs/>
                <w:color w:val="auto"/>
                <w:sz w:val="24"/>
                <w:szCs w:val="24"/>
                <w:highlight w:val="none"/>
              </w:rPr>
              <w:t>”，本项目应编制环境影响报告表，为此，</w:t>
            </w:r>
            <w:r>
              <w:rPr>
                <w:rFonts w:hint="eastAsia" w:cs="Times New Roman"/>
                <w:color w:val="auto"/>
                <w:sz w:val="24"/>
                <w:lang w:eastAsia="zh-CN"/>
              </w:rPr>
              <w:t>常州市昌帆金属科技有限公司</w:t>
            </w:r>
            <w:r>
              <w:rPr>
                <w:rFonts w:hint="default" w:ascii="Times New Roman" w:hAnsi="Times New Roman" w:cs="Times New Roman"/>
                <w:bCs/>
                <w:color w:val="auto"/>
                <w:sz w:val="24"/>
                <w:szCs w:val="24"/>
                <w:highlight w:val="none"/>
              </w:rPr>
              <w:t>委托</w:t>
            </w:r>
            <w:bookmarkStart w:id="7" w:name="_GoBack"/>
            <w:r>
              <w:rPr>
                <w:rFonts w:hint="eastAsia" w:ascii="Times New Roman" w:hAnsi="Times New Roman" w:cs="Times New Roman"/>
                <w:bCs/>
                <w:color w:val="auto"/>
                <w:sz w:val="24"/>
                <w:szCs w:val="24"/>
                <w:highlight w:val="none"/>
                <w:lang w:eastAsia="zh-CN"/>
              </w:rPr>
              <w:t>江苏佳鼎生态环境科技有限公司</w:t>
            </w:r>
            <w:bookmarkEnd w:id="7"/>
            <w:r>
              <w:rPr>
                <w:rFonts w:hint="default" w:ascii="Times New Roman" w:hAnsi="Times New Roman" w:cs="Times New Roman"/>
                <w:bCs/>
                <w:color w:val="auto"/>
                <w:sz w:val="24"/>
                <w:szCs w:val="24"/>
                <w:highlight w:val="none"/>
              </w:rPr>
              <w:t>承担该项目的环境影响评价工作</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环评公司接受委托后，认真研究了该项目的有关材料，并进行实地踏勘，调查建设项目所在地的自然环境状况、相关规划和有关技术资料，经工程分析、环境影响识别和影响分析，根据国家相关的环保法律法规和相应的标准，编制了本环境影响报告表。</w:t>
            </w:r>
          </w:p>
          <w:p w14:paraId="13CD2F38">
            <w:pPr>
              <w:keepNext w:val="0"/>
              <w:keepLines w:val="0"/>
              <w:numPr>
                <w:ilvl w:val="0"/>
                <w:numId w:val="0"/>
              </w:numPr>
              <w:suppressLineNumbers w:val="0"/>
              <w:spacing w:before="0" w:beforeAutospacing="0" w:after="0" w:afterAutospacing="0" w:line="360" w:lineRule="auto"/>
              <w:ind w:left="0" w:right="0" w:firstLine="478" w:firstLineChars="200"/>
              <w:rPr>
                <w:rFonts w:hint="default" w:ascii="Times New Roman" w:hAnsi="Times New Roman" w:cs="Times New Roman"/>
                <w:b/>
                <w:bCs/>
                <w:color w:val="auto"/>
                <w:spacing w:val="-1"/>
                <w:sz w:val="24"/>
                <w:szCs w:val="24"/>
                <w:highlight w:val="none"/>
              </w:rPr>
            </w:pPr>
            <w:r>
              <w:rPr>
                <w:rFonts w:hint="eastAsia" w:ascii="Times New Roman" w:hAnsi="Times New Roman" w:cs="Times New Roman"/>
                <w:b/>
                <w:bCs/>
                <w:color w:val="auto"/>
                <w:spacing w:val="-1"/>
                <w:sz w:val="24"/>
                <w:szCs w:val="24"/>
                <w:highlight w:val="none"/>
                <w:lang w:val="en-US" w:eastAsia="zh-CN"/>
              </w:rPr>
              <w:t>2.</w:t>
            </w:r>
            <w:r>
              <w:rPr>
                <w:rFonts w:hint="default" w:ascii="Times New Roman" w:hAnsi="Times New Roman" w:cs="Times New Roman"/>
                <w:b/>
                <w:bCs/>
                <w:color w:val="auto"/>
                <w:spacing w:val="-1"/>
                <w:sz w:val="24"/>
                <w:szCs w:val="24"/>
                <w:highlight w:val="none"/>
              </w:rPr>
              <w:t>主要产品及产能</w:t>
            </w:r>
          </w:p>
          <w:p w14:paraId="2A337E6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项目产品方案见表2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-1。</w:t>
            </w:r>
          </w:p>
          <w:p w14:paraId="52AE479E">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-1</w:t>
            </w:r>
            <w:r>
              <w:rPr>
                <w:rFonts w:hint="eastAsia" w:ascii="Times New Roman" w:hAnsi="Times New Roman" w:cs="Times New Roman"/>
                <w:color w:val="auto"/>
                <w:sz w:val="24"/>
                <w:szCs w:val="24"/>
                <w:highlight w:val="none"/>
                <w:lang w:val="en-US" w:eastAsia="zh-CN"/>
              </w:rPr>
              <w:t xml:space="preserve">-1  </w:t>
            </w:r>
            <w:r>
              <w:rPr>
                <w:rFonts w:hint="eastAsia" w:cs="Times New Roman"/>
                <w:color w:val="auto"/>
                <w:sz w:val="24"/>
                <w:szCs w:val="24"/>
                <w:highlight w:val="none"/>
                <w:lang w:val="en-US" w:eastAsia="zh-CN"/>
              </w:rPr>
              <w:t>全厂</w:t>
            </w:r>
            <w:r>
              <w:rPr>
                <w:rFonts w:hint="default" w:ascii="Times New Roman" w:hAnsi="Times New Roman" w:cs="Times New Roman"/>
                <w:color w:val="auto"/>
                <w:sz w:val="24"/>
                <w:szCs w:val="24"/>
                <w:highlight w:val="none"/>
              </w:rPr>
              <w:t>产品方案</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7"/>
              <w:gridCol w:w="1765"/>
              <w:gridCol w:w="1191"/>
              <w:gridCol w:w="1275"/>
              <w:gridCol w:w="1275"/>
              <w:gridCol w:w="1278"/>
              <w:gridCol w:w="1174"/>
            </w:tblGrid>
            <w:tr w14:paraId="7F5E1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29" w:hRule="atLeast"/>
                <w:jc w:val="center"/>
              </w:trPr>
              <w:tc>
                <w:tcPr>
                  <w:tcW w:w="255" w:type="pct"/>
                  <w:vMerge w:val="restart"/>
                  <w:noWrap w:val="0"/>
                  <w:vAlign w:val="center"/>
                </w:tcPr>
                <w:p w14:paraId="2738372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051" w:type="pct"/>
                  <w:vMerge w:val="restart"/>
                  <w:noWrap w:val="0"/>
                  <w:vAlign w:val="center"/>
                </w:tcPr>
                <w:p w14:paraId="6284C3F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产品名称</w:t>
                  </w:r>
                </w:p>
              </w:tc>
              <w:tc>
                <w:tcPr>
                  <w:tcW w:w="710" w:type="pct"/>
                  <w:vMerge w:val="restart"/>
                  <w:noWrap w:val="0"/>
                  <w:vAlign w:val="center"/>
                </w:tcPr>
                <w:p w14:paraId="2D773782">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代表产品规格（mm）</w:t>
                  </w:r>
                </w:p>
              </w:tc>
              <w:tc>
                <w:tcPr>
                  <w:tcW w:w="2282" w:type="pct"/>
                  <w:gridSpan w:val="3"/>
                  <w:noWrap w:val="0"/>
                  <w:vAlign w:val="center"/>
                </w:tcPr>
                <w:p w14:paraId="4AE74DD9">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设计能力</w:t>
                  </w:r>
                  <w:r>
                    <w:rPr>
                      <w:rFonts w:hint="eastAsia" w:ascii="Times New Roman" w:hAnsi="Times New Roman" w:cs="Times New Roman"/>
                      <w:b/>
                      <w:bCs/>
                      <w:color w:val="auto"/>
                      <w:szCs w:val="21"/>
                      <w:lang w:eastAsia="zh-CN"/>
                    </w:rPr>
                    <w:t>（</w:t>
                  </w:r>
                  <w:r>
                    <w:rPr>
                      <w:rFonts w:hint="eastAsia" w:ascii="Times New Roman" w:hAnsi="Times New Roman" w:cs="Times New Roman"/>
                      <w:b/>
                      <w:bCs/>
                      <w:color w:val="auto"/>
                      <w:szCs w:val="21"/>
                      <w:lang w:val="en-US" w:eastAsia="zh-CN"/>
                    </w:rPr>
                    <w:t>吨/年</w:t>
                  </w:r>
                  <w:r>
                    <w:rPr>
                      <w:rFonts w:hint="eastAsia" w:ascii="Times New Roman" w:hAnsi="Times New Roman" w:cs="Times New Roman"/>
                      <w:b/>
                      <w:bCs/>
                      <w:color w:val="auto"/>
                      <w:szCs w:val="21"/>
                      <w:lang w:eastAsia="zh-CN"/>
                    </w:rPr>
                    <w:t>）</w:t>
                  </w:r>
                </w:p>
              </w:tc>
              <w:tc>
                <w:tcPr>
                  <w:tcW w:w="700" w:type="pct"/>
                  <w:vMerge w:val="restart"/>
                  <w:noWrap w:val="0"/>
                  <w:vAlign w:val="center"/>
                </w:tcPr>
                <w:p w14:paraId="067E656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年运行时数</w:t>
                  </w:r>
                </w:p>
              </w:tc>
            </w:tr>
            <w:tr w14:paraId="44A4C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jc w:val="center"/>
              </w:trPr>
              <w:tc>
                <w:tcPr>
                  <w:tcW w:w="255" w:type="pct"/>
                  <w:vMerge w:val="continue"/>
                  <w:noWrap w:val="0"/>
                  <w:vAlign w:val="center"/>
                </w:tcPr>
                <w:p w14:paraId="733E7CE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51" w:type="pct"/>
                  <w:vMerge w:val="continue"/>
                  <w:noWrap w:val="0"/>
                  <w:vAlign w:val="center"/>
                </w:tcPr>
                <w:p w14:paraId="205A943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10" w:type="pct"/>
                  <w:vMerge w:val="continue"/>
                  <w:noWrap w:val="0"/>
                  <w:vAlign w:val="center"/>
                </w:tcPr>
                <w:p w14:paraId="0F1B3188">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Cs w:val="21"/>
                      <w:lang w:val="en-US" w:eastAsia="zh-CN"/>
                    </w:rPr>
                  </w:pPr>
                </w:p>
              </w:tc>
              <w:tc>
                <w:tcPr>
                  <w:tcW w:w="760" w:type="pct"/>
                  <w:noWrap w:val="0"/>
                  <w:vAlign w:val="center"/>
                </w:tcPr>
                <w:p w14:paraId="15F318A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val="en-US"/>
                    </w:rPr>
                  </w:pPr>
                  <w:r>
                    <w:rPr>
                      <w:rFonts w:hint="eastAsia" w:ascii="Times New Roman" w:hAnsi="Times New Roman" w:cs="Times New Roman"/>
                      <w:b/>
                      <w:bCs/>
                      <w:color w:val="auto"/>
                      <w:szCs w:val="21"/>
                      <w:lang w:val="en-US" w:eastAsia="zh-CN"/>
                    </w:rPr>
                    <w:t>技改前</w:t>
                  </w:r>
                </w:p>
              </w:tc>
              <w:tc>
                <w:tcPr>
                  <w:tcW w:w="760" w:type="pct"/>
                  <w:noWrap w:val="0"/>
                  <w:vAlign w:val="center"/>
                </w:tcPr>
                <w:p w14:paraId="7F5CBD7E">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val="en-US" w:eastAsia="zh-CN"/>
                    </w:rPr>
                    <w:t>技改后</w:t>
                  </w:r>
                </w:p>
              </w:tc>
              <w:tc>
                <w:tcPr>
                  <w:tcW w:w="762" w:type="pct"/>
                  <w:noWrap w:val="0"/>
                  <w:vAlign w:val="center"/>
                </w:tcPr>
                <w:p w14:paraId="280344D3">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eastAsia" w:ascii="Times New Roman" w:hAnsi="Times New Roman" w:cs="Times New Roman"/>
                      <w:b/>
                      <w:bCs/>
                      <w:color w:val="auto"/>
                      <w:szCs w:val="21"/>
                      <w:lang w:val="en-US" w:eastAsia="zh-CN"/>
                    </w:rPr>
                    <w:t>变化量</w:t>
                  </w:r>
                </w:p>
              </w:tc>
              <w:tc>
                <w:tcPr>
                  <w:tcW w:w="700" w:type="pct"/>
                  <w:vMerge w:val="continue"/>
                  <w:noWrap w:val="0"/>
                  <w:vAlign w:val="center"/>
                </w:tcPr>
                <w:p w14:paraId="2E4F822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246FF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55" w:type="pct"/>
                  <w:noWrap w:val="0"/>
                  <w:vAlign w:val="center"/>
                </w:tcPr>
                <w:p w14:paraId="5125BAB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51" w:type="pct"/>
                  <w:shd w:val="clear" w:color="auto" w:fill="auto"/>
                  <w:noWrap w:val="0"/>
                  <w:vAlign w:val="center"/>
                </w:tcPr>
                <w:p w14:paraId="2D51AF7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工程机械配件</w:t>
                  </w:r>
                </w:p>
              </w:tc>
              <w:tc>
                <w:tcPr>
                  <w:tcW w:w="710" w:type="pct"/>
                  <w:shd w:val="clear" w:color="auto" w:fill="auto"/>
                  <w:noWrap w:val="0"/>
                  <w:vAlign w:val="center"/>
                </w:tcPr>
                <w:p w14:paraId="35D36FE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300*58</w:t>
                  </w:r>
                </w:p>
              </w:tc>
              <w:tc>
                <w:tcPr>
                  <w:tcW w:w="760" w:type="pct"/>
                  <w:shd w:val="clear" w:color="auto" w:fill="auto"/>
                  <w:noWrap w:val="0"/>
                  <w:vAlign w:val="center"/>
                </w:tcPr>
                <w:p w14:paraId="105EE6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9600</w:t>
                  </w:r>
                </w:p>
              </w:tc>
              <w:tc>
                <w:tcPr>
                  <w:tcW w:w="760" w:type="pct"/>
                  <w:shd w:val="clear" w:color="auto" w:fill="auto"/>
                  <w:noWrap w:val="0"/>
                  <w:vAlign w:val="center"/>
                </w:tcPr>
                <w:p w14:paraId="74C771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9600</w:t>
                  </w:r>
                </w:p>
              </w:tc>
              <w:tc>
                <w:tcPr>
                  <w:tcW w:w="762" w:type="pct"/>
                  <w:noWrap w:val="0"/>
                  <w:vAlign w:val="center"/>
                </w:tcPr>
                <w:p w14:paraId="4CBCB7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0</w:t>
                  </w:r>
                </w:p>
              </w:tc>
              <w:tc>
                <w:tcPr>
                  <w:tcW w:w="700" w:type="pct"/>
                  <w:vMerge w:val="restart"/>
                  <w:noWrap w:val="0"/>
                  <w:vAlign w:val="center"/>
                </w:tcPr>
                <w:p w14:paraId="7137DD3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w:t>
                  </w:r>
                  <w:r>
                    <w:rPr>
                      <w:rFonts w:hint="default" w:ascii="Times New Roman" w:hAnsi="Times New Roman" w:cs="Times New Roman"/>
                      <w:color w:val="auto"/>
                      <w:szCs w:val="21"/>
                    </w:rPr>
                    <w:t>00</w:t>
                  </w:r>
                  <w:r>
                    <w:rPr>
                      <w:rFonts w:hint="eastAsia" w:ascii="Times New Roman" w:hAnsi="Times New Roman" w:cs="Times New Roman"/>
                      <w:color w:val="auto"/>
                      <w:szCs w:val="21"/>
                    </w:rPr>
                    <w:t>h</w:t>
                  </w:r>
                </w:p>
              </w:tc>
            </w:tr>
            <w:tr w14:paraId="3B33D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55" w:type="pct"/>
                  <w:noWrap w:val="0"/>
                  <w:vAlign w:val="center"/>
                </w:tcPr>
                <w:p w14:paraId="27BDC43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51" w:type="pct"/>
                  <w:shd w:val="clear" w:color="auto" w:fill="auto"/>
                  <w:noWrap w:val="0"/>
                  <w:vAlign w:val="center"/>
                </w:tcPr>
                <w:p w14:paraId="1410EC39">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盾构机配件</w:t>
                  </w:r>
                </w:p>
              </w:tc>
              <w:tc>
                <w:tcPr>
                  <w:tcW w:w="710" w:type="pct"/>
                  <w:shd w:val="clear" w:color="auto" w:fill="auto"/>
                  <w:noWrap w:val="0"/>
                  <w:vAlign w:val="center"/>
                </w:tcPr>
                <w:p w14:paraId="2F1BC75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100*6.6</w:t>
                  </w:r>
                </w:p>
              </w:tc>
              <w:tc>
                <w:tcPr>
                  <w:tcW w:w="760" w:type="pct"/>
                  <w:shd w:val="clear" w:color="auto" w:fill="auto"/>
                  <w:noWrap w:val="0"/>
                  <w:vAlign w:val="center"/>
                </w:tcPr>
                <w:p w14:paraId="0E2EE9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5800</w:t>
                  </w:r>
                </w:p>
              </w:tc>
              <w:tc>
                <w:tcPr>
                  <w:tcW w:w="760" w:type="pct"/>
                  <w:shd w:val="clear" w:color="auto" w:fill="auto"/>
                  <w:noWrap w:val="0"/>
                  <w:vAlign w:val="center"/>
                </w:tcPr>
                <w:p w14:paraId="2913DD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5800</w:t>
                  </w:r>
                </w:p>
              </w:tc>
              <w:tc>
                <w:tcPr>
                  <w:tcW w:w="762" w:type="pct"/>
                  <w:noWrap w:val="0"/>
                  <w:vAlign w:val="center"/>
                </w:tcPr>
                <w:p w14:paraId="7F70C27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700" w:type="pct"/>
                  <w:vMerge w:val="continue"/>
                  <w:noWrap w:val="0"/>
                  <w:vAlign w:val="center"/>
                </w:tcPr>
                <w:p w14:paraId="613682F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4865F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55" w:type="pct"/>
                  <w:vAlign w:val="center"/>
                </w:tcPr>
                <w:p w14:paraId="6392C64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051" w:type="pct"/>
                  <w:shd w:val="clear" w:color="auto" w:fill="auto"/>
                  <w:vAlign w:val="center"/>
                </w:tcPr>
                <w:p w14:paraId="42C0E48D">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航空发动机配件</w:t>
                  </w:r>
                </w:p>
              </w:tc>
              <w:tc>
                <w:tcPr>
                  <w:tcW w:w="710" w:type="pct"/>
                  <w:shd w:val="clear" w:color="auto" w:fill="auto"/>
                  <w:vAlign w:val="center"/>
                </w:tcPr>
                <w:p w14:paraId="3E94B36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300*6.5</w:t>
                  </w:r>
                </w:p>
              </w:tc>
              <w:tc>
                <w:tcPr>
                  <w:tcW w:w="760" w:type="pct"/>
                  <w:shd w:val="clear" w:color="auto" w:fill="auto"/>
                  <w:vAlign w:val="center"/>
                </w:tcPr>
                <w:p w14:paraId="7C63C3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10600</w:t>
                  </w:r>
                </w:p>
              </w:tc>
              <w:tc>
                <w:tcPr>
                  <w:tcW w:w="760" w:type="pct"/>
                  <w:shd w:val="clear" w:color="auto" w:fill="auto"/>
                  <w:vAlign w:val="center"/>
                </w:tcPr>
                <w:p w14:paraId="4DB253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10600</w:t>
                  </w:r>
                </w:p>
              </w:tc>
              <w:tc>
                <w:tcPr>
                  <w:tcW w:w="762" w:type="pct"/>
                  <w:vAlign w:val="center"/>
                </w:tcPr>
                <w:p w14:paraId="7FAB271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0</w:t>
                  </w:r>
                </w:p>
              </w:tc>
              <w:tc>
                <w:tcPr>
                  <w:tcW w:w="700" w:type="pct"/>
                  <w:vMerge w:val="continue"/>
                  <w:vAlign w:val="center"/>
                </w:tcPr>
                <w:p w14:paraId="083EC47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297A81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55" w:type="pct"/>
                  <w:vAlign w:val="center"/>
                </w:tcPr>
                <w:p w14:paraId="6E884B0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1051" w:type="pct"/>
                  <w:shd w:val="clear" w:color="auto" w:fill="auto"/>
                  <w:vAlign w:val="center"/>
                </w:tcPr>
                <w:p w14:paraId="7824F2D0">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液压油缸及配件</w:t>
                  </w:r>
                </w:p>
              </w:tc>
              <w:tc>
                <w:tcPr>
                  <w:tcW w:w="710" w:type="pct"/>
                  <w:shd w:val="clear" w:color="auto" w:fill="auto"/>
                  <w:vAlign w:val="center"/>
                </w:tcPr>
                <w:p w14:paraId="006A767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150*8</w:t>
                  </w:r>
                </w:p>
              </w:tc>
              <w:tc>
                <w:tcPr>
                  <w:tcW w:w="760" w:type="pct"/>
                  <w:shd w:val="clear" w:color="auto" w:fill="auto"/>
                  <w:vAlign w:val="center"/>
                </w:tcPr>
                <w:p w14:paraId="2AFCD3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11500</w:t>
                  </w:r>
                </w:p>
              </w:tc>
              <w:tc>
                <w:tcPr>
                  <w:tcW w:w="760" w:type="pct"/>
                  <w:shd w:val="clear" w:color="auto" w:fill="auto"/>
                  <w:vAlign w:val="center"/>
                </w:tcPr>
                <w:p w14:paraId="4929B4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11500</w:t>
                  </w:r>
                </w:p>
              </w:tc>
              <w:tc>
                <w:tcPr>
                  <w:tcW w:w="762" w:type="pct"/>
                  <w:vAlign w:val="center"/>
                </w:tcPr>
                <w:p w14:paraId="09671DC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0</w:t>
                  </w:r>
                </w:p>
              </w:tc>
              <w:tc>
                <w:tcPr>
                  <w:tcW w:w="700" w:type="pct"/>
                  <w:vMerge w:val="continue"/>
                  <w:vAlign w:val="center"/>
                </w:tcPr>
                <w:p w14:paraId="4433E90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04CD1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55" w:type="pct"/>
                  <w:vAlign w:val="center"/>
                </w:tcPr>
                <w:p w14:paraId="2CEE12B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051" w:type="pct"/>
                  <w:shd w:val="clear" w:color="auto" w:fill="auto"/>
                  <w:vAlign w:val="center"/>
                </w:tcPr>
                <w:p w14:paraId="586B71B8">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汽车零部件</w:t>
                  </w:r>
                </w:p>
              </w:tc>
              <w:tc>
                <w:tcPr>
                  <w:tcW w:w="710" w:type="pct"/>
                  <w:shd w:val="clear" w:color="auto" w:fill="auto"/>
                  <w:vAlign w:val="center"/>
                </w:tcPr>
                <w:p w14:paraId="5E2127E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200*8</w:t>
                  </w:r>
                </w:p>
              </w:tc>
              <w:tc>
                <w:tcPr>
                  <w:tcW w:w="760" w:type="pct"/>
                  <w:shd w:val="clear" w:color="auto" w:fill="auto"/>
                  <w:vAlign w:val="center"/>
                </w:tcPr>
                <w:p w14:paraId="361749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6000</w:t>
                  </w:r>
                </w:p>
              </w:tc>
              <w:tc>
                <w:tcPr>
                  <w:tcW w:w="760" w:type="pct"/>
                  <w:shd w:val="clear" w:color="auto" w:fill="auto"/>
                  <w:vAlign w:val="center"/>
                </w:tcPr>
                <w:p w14:paraId="3F7748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6000</w:t>
                  </w:r>
                </w:p>
              </w:tc>
              <w:tc>
                <w:tcPr>
                  <w:tcW w:w="762" w:type="pct"/>
                  <w:vAlign w:val="center"/>
                </w:tcPr>
                <w:p w14:paraId="2F48369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0</w:t>
                  </w:r>
                </w:p>
              </w:tc>
              <w:tc>
                <w:tcPr>
                  <w:tcW w:w="700" w:type="pct"/>
                  <w:vMerge w:val="continue"/>
                  <w:vAlign w:val="center"/>
                </w:tcPr>
                <w:p w14:paraId="5CB100F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73ED0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1307" w:type="pct"/>
                  <w:gridSpan w:val="2"/>
                  <w:vAlign w:val="center"/>
                </w:tcPr>
                <w:p w14:paraId="42799013">
                  <w:pPr>
                    <w:keepNext w:val="0"/>
                    <w:keepLines w:val="0"/>
                    <w:suppressLineNumbers w:val="0"/>
                    <w:adjustRightInd w:val="0"/>
                    <w:snapToGrid w:val="0"/>
                    <w:spacing w:before="0" w:beforeAutospacing="0" w:after="0" w:afterAutospacing="0"/>
                    <w:ind w:left="0" w:right="0"/>
                    <w:jc w:val="center"/>
                    <w:rPr>
                      <w:rFonts w:hint="eastAsia" w:hAnsi="宋体" w:eastAsia="宋体"/>
                      <w:color w:val="auto"/>
                      <w:szCs w:val="21"/>
                      <w:highlight w:val="none"/>
                      <w:lang w:val="en-US" w:eastAsia="zh-CN"/>
                    </w:rPr>
                  </w:pPr>
                  <w:r>
                    <w:rPr>
                      <w:rFonts w:hint="eastAsia" w:hAnsi="宋体"/>
                      <w:b/>
                      <w:bCs/>
                      <w:color w:val="auto"/>
                      <w:szCs w:val="21"/>
                      <w:highlight w:val="none"/>
                      <w:lang w:val="en-US" w:eastAsia="zh-CN"/>
                    </w:rPr>
                    <w:t>合计</w:t>
                  </w:r>
                </w:p>
              </w:tc>
              <w:tc>
                <w:tcPr>
                  <w:tcW w:w="710" w:type="pct"/>
                  <w:shd w:val="clear" w:color="auto" w:fill="auto"/>
                  <w:vAlign w:val="center"/>
                </w:tcPr>
                <w:p w14:paraId="6DA7B0D2">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60" w:type="pct"/>
                  <w:shd w:val="clear" w:color="auto" w:fill="auto"/>
                  <w:vAlign w:val="center"/>
                </w:tcPr>
                <w:p w14:paraId="1C674CA2">
                  <w:pPr>
                    <w:keepNext w:val="0"/>
                    <w:keepLines w:val="0"/>
                    <w:suppressLineNumbers w:val="0"/>
                    <w:adjustRightInd w:val="0"/>
                    <w:snapToGrid w:val="0"/>
                    <w:spacing w:before="0" w:beforeAutospacing="0" w:after="0" w:afterAutospacing="0"/>
                    <w:ind w:left="0" w:right="0"/>
                    <w:jc w:val="center"/>
                    <w:rPr>
                      <w:rFonts w:hint="default" w:eastAsia="宋体"/>
                      <w:b/>
                      <w:bCs/>
                      <w:color w:val="auto"/>
                      <w:szCs w:val="21"/>
                      <w:highlight w:val="none"/>
                      <w:lang w:val="en-US" w:eastAsia="zh-CN"/>
                    </w:rPr>
                  </w:pPr>
                  <w:r>
                    <w:rPr>
                      <w:rFonts w:hint="eastAsia"/>
                      <w:b/>
                      <w:bCs/>
                      <w:color w:val="auto"/>
                      <w:szCs w:val="21"/>
                      <w:highlight w:val="none"/>
                      <w:lang w:val="en-US" w:eastAsia="zh-CN"/>
                    </w:rPr>
                    <w:t>43500</w:t>
                  </w:r>
                </w:p>
              </w:tc>
              <w:tc>
                <w:tcPr>
                  <w:tcW w:w="760" w:type="pct"/>
                  <w:shd w:val="clear" w:color="auto" w:fill="auto"/>
                  <w:vAlign w:val="center"/>
                </w:tcPr>
                <w:p w14:paraId="60C8A902">
                  <w:pPr>
                    <w:keepNext w:val="0"/>
                    <w:keepLines w:val="0"/>
                    <w:suppressLineNumbers w:val="0"/>
                    <w:adjustRightInd w:val="0"/>
                    <w:snapToGrid w:val="0"/>
                    <w:spacing w:before="0" w:beforeAutospacing="0" w:after="0" w:afterAutospacing="0"/>
                    <w:ind w:left="0" w:right="0"/>
                    <w:jc w:val="center"/>
                    <w:rPr>
                      <w:rFonts w:hint="default" w:eastAsia="宋体"/>
                      <w:b/>
                      <w:bCs/>
                      <w:color w:val="auto"/>
                      <w:szCs w:val="21"/>
                      <w:highlight w:val="none"/>
                      <w:lang w:val="en-US" w:eastAsia="zh-CN"/>
                    </w:rPr>
                  </w:pPr>
                  <w:r>
                    <w:rPr>
                      <w:rFonts w:hint="eastAsia"/>
                      <w:b/>
                      <w:bCs/>
                      <w:color w:val="auto"/>
                      <w:szCs w:val="21"/>
                      <w:highlight w:val="none"/>
                      <w:lang w:val="en-US" w:eastAsia="zh-CN"/>
                    </w:rPr>
                    <w:t>43500</w:t>
                  </w:r>
                </w:p>
              </w:tc>
              <w:tc>
                <w:tcPr>
                  <w:tcW w:w="762" w:type="pct"/>
                  <w:vAlign w:val="center"/>
                </w:tcPr>
                <w:p w14:paraId="20EF258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700" w:type="pct"/>
                  <w:vAlign w:val="center"/>
                </w:tcPr>
                <w:p w14:paraId="38FEF20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bl>
          <w:p w14:paraId="4AA2749C">
            <w:pPr>
              <w:keepNext w:val="0"/>
              <w:keepLines w:val="0"/>
              <w:suppressLineNumbers w:val="0"/>
              <w:spacing w:before="120" w:beforeLines="50" w:beforeAutospacing="0" w:after="0" w:afterAutospacing="0" w:line="240" w:lineRule="auto"/>
              <w:ind w:left="0" w:right="0"/>
              <w:rPr>
                <w:rFonts w:hint="eastAsia" w:cs="Times New Roman"/>
                <w:b/>
                <w:bCs/>
                <w:color w:val="auto"/>
                <w:lang w:val="en-US" w:eastAsia="zh-CN"/>
              </w:rPr>
            </w:pPr>
            <w:r>
              <w:rPr>
                <w:rFonts w:hint="eastAsia" w:ascii="Times New Roman" w:hAnsi="Times New Roman" w:cs="Times New Roman"/>
                <w:b/>
                <w:bCs/>
                <w:color w:val="auto"/>
                <w:lang w:val="en-US" w:eastAsia="zh-CN"/>
              </w:rPr>
              <w:t>备注：</w:t>
            </w:r>
            <w:r>
              <w:rPr>
                <w:rFonts w:hint="eastAsia" w:cs="Times New Roman"/>
                <w:b/>
                <w:bCs/>
                <w:color w:val="auto"/>
                <w:lang w:val="en-US" w:eastAsia="zh-CN"/>
              </w:rPr>
              <w:t>①项目产品机械配件主要为轴，具体为工程机械轴、盾构机轴、航空发动机轴、液压油缸轴、汽车传动部件轴；产品重量根据采购方对规格型号要求存在差异，主要在50kg~800kg之间；产品均为合金钢；产品外形均类似下图：</w:t>
            </w:r>
          </w:p>
          <w:p w14:paraId="63AB74F7">
            <w:pPr>
              <w:pStyle w:val="2"/>
              <w:keepNext w:val="0"/>
              <w:keepLines w:val="0"/>
              <w:suppressLineNumbers w:val="0"/>
              <w:spacing w:beforeAutospacing="0" w:afterAutospacing="0"/>
              <w:ind w:left="0"/>
              <w:jc w:val="center"/>
              <w:rPr>
                <w:rFonts w:hint="default"/>
                <w:color w:val="auto"/>
              </w:rPr>
            </w:pPr>
            <w:r>
              <w:rPr>
                <w:rFonts w:hint="default"/>
                <w:color w:val="auto"/>
              </w:rPr>
              <w:drawing>
                <wp:inline distT="0" distB="0" distL="114300" distR="114300">
                  <wp:extent cx="2879725" cy="1781175"/>
                  <wp:effectExtent l="0" t="0" r="1587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879725" cy="1781175"/>
                          </a:xfrm>
                          <a:prstGeom prst="rect">
                            <a:avLst/>
                          </a:prstGeom>
                          <a:noFill/>
                          <a:ln>
                            <a:noFill/>
                          </a:ln>
                        </pic:spPr>
                      </pic:pic>
                    </a:graphicData>
                  </a:graphic>
                </wp:inline>
              </w:drawing>
            </w:r>
          </w:p>
          <w:p w14:paraId="6A651812">
            <w:pPr>
              <w:keepNext w:val="0"/>
              <w:keepLines w:val="0"/>
              <w:suppressLineNumbers w:val="0"/>
              <w:spacing w:before="120" w:beforeLines="50" w:beforeAutospacing="0" w:after="0" w:afterAutospacing="0" w:line="240" w:lineRule="auto"/>
              <w:ind w:left="0" w:right="0"/>
              <w:rPr>
                <w:rFonts w:hint="default" w:ascii="Times New Roman" w:hAnsi="Times New Roman" w:cs="Times New Roman"/>
                <w:b/>
                <w:bCs/>
                <w:color w:val="auto"/>
                <w:lang w:val="en-US" w:eastAsia="zh-CN"/>
              </w:rPr>
            </w:pPr>
            <w:r>
              <w:rPr>
                <w:rFonts w:hint="eastAsia" w:cs="Times New Roman"/>
                <w:b/>
                <w:bCs/>
                <w:color w:val="auto"/>
                <w:lang w:val="en-US" w:eastAsia="zh-CN"/>
              </w:rPr>
              <w:t>②</w:t>
            </w:r>
            <w:r>
              <w:rPr>
                <w:rFonts w:hint="eastAsia" w:ascii="Times New Roman" w:hAnsi="Times New Roman" w:cs="Times New Roman"/>
                <w:b/>
                <w:bCs/>
                <w:color w:val="auto"/>
                <w:lang w:val="en-US" w:eastAsia="zh-CN"/>
              </w:rPr>
              <w:t>技改前后，项目产品方案不变，但</w:t>
            </w:r>
            <w:r>
              <w:rPr>
                <w:rFonts w:hint="eastAsia" w:cs="Times New Roman"/>
                <w:b/>
                <w:bCs/>
                <w:color w:val="auto"/>
                <w:lang w:val="en-US" w:eastAsia="zh-CN"/>
              </w:rPr>
              <w:t>部分</w:t>
            </w:r>
            <w:r>
              <w:rPr>
                <w:rFonts w:hint="eastAsia" w:ascii="Times New Roman" w:hAnsi="Times New Roman" w:cs="Times New Roman"/>
                <w:b/>
                <w:bCs/>
                <w:color w:val="auto"/>
                <w:lang w:val="en-US" w:eastAsia="zh-CN"/>
              </w:rPr>
              <w:t>产品质量得到提升，强度、韧性等均得到提升和改善，产品可应用于石油、船舶、核电、航空、高铁等工程领域</w:t>
            </w:r>
            <w:r>
              <w:rPr>
                <w:rFonts w:hint="eastAsia" w:cs="Times New Roman"/>
                <w:b/>
                <w:bCs/>
                <w:color w:val="auto"/>
                <w:lang w:val="en-US" w:eastAsia="zh-CN"/>
              </w:rPr>
              <w:t>，本次技改涉及产品具体见下表：</w:t>
            </w:r>
          </w:p>
          <w:p w14:paraId="19AE0290">
            <w:pPr>
              <w:pStyle w:val="58"/>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表2</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本</w:t>
            </w:r>
            <w:r>
              <w:rPr>
                <w:rFonts w:hint="eastAsia" w:cs="Times New Roman"/>
                <w:color w:val="auto"/>
                <w:sz w:val="21"/>
                <w:szCs w:val="21"/>
                <w:highlight w:val="none"/>
                <w:lang w:val="en-US" w:eastAsia="zh-CN"/>
              </w:rPr>
              <w:t>次技改涉及</w:t>
            </w:r>
            <w:r>
              <w:rPr>
                <w:rFonts w:hint="default" w:ascii="Times New Roman" w:hAnsi="Times New Roman" w:cs="Times New Roman"/>
                <w:color w:val="auto"/>
                <w:sz w:val="21"/>
                <w:szCs w:val="21"/>
                <w:highlight w:val="none"/>
              </w:rPr>
              <w:t>产品</w:t>
            </w:r>
            <w:r>
              <w:rPr>
                <w:rFonts w:hint="eastAsia" w:cs="Times New Roman"/>
                <w:color w:val="auto"/>
                <w:sz w:val="21"/>
                <w:szCs w:val="21"/>
                <w:highlight w:val="none"/>
                <w:lang w:val="en-US" w:eastAsia="zh-CN"/>
              </w:rPr>
              <w:t>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07"/>
              <w:gridCol w:w="2204"/>
              <w:gridCol w:w="2053"/>
              <w:gridCol w:w="1833"/>
              <w:gridCol w:w="1688"/>
            </w:tblGrid>
            <w:tr w14:paraId="2DE61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28" w:hRule="atLeast"/>
                <w:jc w:val="center"/>
              </w:trPr>
              <w:tc>
                <w:tcPr>
                  <w:tcW w:w="362" w:type="pct"/>
                  <w:noWrap w:val="0"/>
                  <w:vAlign w:val="center"/>
                </w:tcPr>
                <w:p w14:paraId="73CC343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313" w:type="pct"/>
                  <w:noWrap w:val="0"/>
                  <w:vAlign w:val="center"/>
                </w:tcPr>
                <w:p w14:paraId="42C4E45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产品名称</w:t>
                  </w:r>
                </w:p>
              </w:tc>
              <w:tc>
                <w:tcPr>
                  <w:tcW w:w="1224" w:type="pct"/>
                  <w:noWrap w:val="0"/>
                  <w:vAlign w:val="center"/>
                </w:tcPr>
                <w:p w14:paraId="01FECCB7">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代表产品规格（mm）</w:t>
                  </w:r>
                </w:p>
              </w:tc>
              <w:tc>
                <w:tcPr>
                  <w:tcW w:w="1093" w:type="pct"/>
                  <w:noWrap w:val="0"/>
                  <w:vAlign w:val="center"/>
                </w:tcPr>
                <w:p w14:paraId="3A3C59CC">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eastAsia="zh-CN"/>
                    </w:rPr>
                  </w:pPr>
                  <w:r>
                    <w:rPr>
                      <w:rFonts w:hint="default" w:ascii="Times New Roman" w:hAnsi="Times New Roman" w:cs="Times New Roman"/>
                      <w:b/>
                      <w:bCs/>
                      <w:color w:val="auto"/>
                      <w:szCs w:val="21"/>
                    </w:rPr>
                    <w:t>设计能力</w:t>
                  </w:r>
                  <w:r>
                    <w:rPr>
                      <w:rFonts w:hint="eastAsia" w:ascii="Times New Roman" w:hAnsi="Times New Roman" w:cs="Times New Roman"/>
                      <w:b/>
                      <w:bCs/>
                      <w:color w:val="auto"/>
                      <w:szCs w:val="21"/>
                      <w:lang w:eastAsia="zh-CN"/>
                    </w:rPr>
                    <w:t>（</w:t>
                  </w:r>
                  <w:r>
                    <w:rPr>
                      <w:rFonts w:hint="eastAsia" w:ascii="Times New Roman" w:hAnsi="Times New Roman" w:cs="Times New Roman"/>
                      <w:b/>
                      <w:bCs/>
                      <w:color w:val="auto"/>
                      <w:szCs w:val="21"/>
                      <w:lang w:val="en-US" w:eastAsia="zh-CN"/>
                    </w:rPr>
                    <w:t>吨/年</w:t>
                  </w:r>
                  <w:r>
                    <w:rPr>
                      <w:rFonts w:hint="eastAsia" w:ascii="Times New Roman" w:hAnsi="Times New Roman" w:cs="Times New Roman"/>
                      <w:b/>
                      <w:bCs/>
                      <w:color w:val="auto"/>
                      <w:szCs w:val="21"/>
                      <w:lang w:eastAsia="zh-CN"/>
                    </w:rPr>
                    <w:t>）</w:t>
                  </w:r>
                </w:p>
              </w:tc>
              <w:tc>
                <w:tcPr>
                  <w:tcW w:w="1006" w:type="pct"/>
                  <w:noWrap w:val="0"/>
                  <w:vAlign w:val="center"/>
                </w:tcPr>
                <w:p w14:paraId="4893091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年运行时数</w:t>
                  </w:r>
                </w:p>
              </w:tc>
            </w:tr>
            <w:tr w14:paraId="78C6D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362" w:type="pct"/>
                  <w:noWrap w:val="0"/>
                  <w:vAlign w:val="center"/>
                </w:tcPr>
                <w:p w14:paraId="13D5176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313" w:type="pct"/>
                  <w:shd w:val="clear" w:color="auto" w:fill="auto"/>
                  <w:noWrap w:val="0"/>
                  <w:vAlign w:val="center"/>
                </w:tcPr>
                <w:p w14:paraId="47EBB1D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工程机械配件</w:t>
                  </w:r>
                </w:p>
              </w:tc>
              <w:tc>
                <w:tcPr>
                  <w:tcW w:w="1224" w:type="pct"/>
                  <w:shd w:val="clear" w:color="auto" w:fill="auto"/>
                  <w:noWrap w:val="0"/>
                  <w:vAlign w:val="center"/>
                </w:tcPr>
                <w:p w14:paraId="53C22C0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300*58</w:t>
                  </w:r>
                </w:p>
              </w:tc>
              <w:tc>
                <w:tcPr>
                  <w:tcW w:w="1093" w:type="pct"/>
                  <w:shd w:val="clear" w:color="auto" w:fill="auto"/>
                  <w:noWrap w:val="0"/>
                  <w:vAlign w:val="center"/>
                </w:tcPr>
                <w:p w14:paraId="6AF45D43">
                  <w:pPr>
                    <w:keepNext w:val="0"/>
                    <w:keepLines w:val="0"/>
                    <w:suppressLineNumbers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kern w:val="2"/>
                      <w:sz w:val="21"/>
                      <w:szCs w:val="21"/>
                      <w:lang w:val="en-US" w:eastAsia="zh-CN"/>
                    </w:rPr>
                    <w:t>4000</w:t>
                  </w:r>
                </w:p>
              </w:tc>
              <w:tc>
                <w:tcPr>
                  <w:tcW w:w="1006" w:type="pct"/>
                  <w:vMerge w:val="restart"/>
                  <w:noWrap w:val="0"/>
                  <w:vAlign w:val="center"/>
                </w:tcPr>
                <w:p w14:paraId="544FFF9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w:t>
                  </w:r>
                  <w:r>
                    <w:rPr>
                      <w:rFonts w:hint="default" w:ascii="Times New Roman" w:hAnsi="Times New Roman" w:cs="Times New Roman"/>
                      <w:color w:val="auto"/>
                      <w:szCs w:val="21"/>
                    </w:rPr>
                    <w:t>00</w:t>
                  </w:r>
                  <w:r>
                    <w:rPr>
                      <w:rFonts w:hint="eastAsia" w:ascii="Times New Roman" w:hAnsi="Times New Roman" w:cs="Times New Roman"/>
                      <w:color w:val="auto"/>
                      <w:szCs w:val="21"/>
                    </w:rPr>
                    <w:t>h</w:t>
                  </w:r>
                </w:p>
              </w:tc>
            </w:tr>
            <w:tr w14:paraId="0674F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362" w:type="pct"/>
                  <w:noWrap w:val="0"/>
                  <w:vAlign w:val="center"/>
                </w:tcPr>
                <w:p w14:paraId="1EC2F14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313" w:type="pct"/>
                  <w:shd w:val="clear" w:color="auto" w:fill="auto"/>
                  <w:noWrap w:val="0"/>
                  <w:vAlign w:val="center"/>
                </w:tcPr>
                <w:p w14:paraId="55D4A9E1">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盾构机配件</w:t>
                  </w:r>
                </w:p>
              </w:tc>
              <w:tc>
                <w:tcPr>
                  <w:tcW w:w="1224" w:type="pct"/>
                  <w:shd w:val="clear" w:color="auto" w:fill="auto"/>
                  <w:noWrap w:val="0"/>
                  <w:vAlign w:val="center"/>
                </w:tcPr>
                <w:p w14:paraId="020DBC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100*6.6</w:t>
                  </w:r>
                </w:p>
              </w:tc>
              <w:tc>
                <w:tcPr>
                  <w:tcW w:w="1093" w:type="pct"/>
                  <w:shd w:val="clear" w:color="auto" w:fill="auto"/>
                  <w:noWrap w:val="0"/>
                  <w:vAlign w:val="center"/>
                </w:tcPr>
                <w:p w14:paraId="5DB486B1">
                  <w:pPr>
                    <w:keepNext w:val="0"/>
                    <w:keepLines w:val="0"/>
                    <w:suppressLineNumbers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kern w:val="2"/>
                      <w:sz w:val="21"/>
                      <w:szCs w:val="21"/>
                      <w:lang w:val="en-US" w:eastAsia="zh-CN"/>
                    </w:rPr>
                    <w:t>2500</w:t>
                  </w:r>
                </w:p>
              </w:tc>
              <w:tc>
                <w:tcPr>
                  <w:tcW w:w="1006" w:type="pct"/>
                  <w:vMerge w:val="continue"/>
                  <w:noWrap w:val="0"/>
                  <w:vAlign w:val="center"/>
                </w:tcPr>
                <w:p w14:paraId="10A9732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114CD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362" w:type="pct"/>
                  <w:vAlign w:val="center"/>
                </w:tcPr>
                <w:p w14:paraId="61FCECE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313" w:type="pct"/>
                  <w:shd w:val="clear" w:color="auto" w:fill="auto"/>
                  <w:vAlign w:val="center"/>
                </w:tcPr>
                <w:p w14:paraId="19C06136">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航空发动机配件</w:t>
                  </w:r>
                </w:p>
              </w:tc>
              <w:tc>
                <w:tcPr>
                  <w:tcW w:w="1224" w:type="pct"/>
                  <w:shd w:val="clear" w:color="auto" w:fill="auto"/>
                  <w:vAlign w:val="center"/>
                </w:tcPr>
                <w:p w14:paraId="0CBBBC9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300*6.5</w:t>
                  </w:r>
                </w:p>
              </w:tc>
              <w:tc>
                <w:tcPr>
                  <w:tcW w:w="1093" w:type="pct"/>
                  <w:shd w:val="clear" w:color="auto" w:fill="auto"/>
                  <w:vAlign w:val="center"/>
                </w:tcPr>
                <w:p w14:paraId="1C82F584">
                  <w:pPr>
                    <w:keepNext w:val="0"/>
                    <w:keepLines w:val="0"/>
                    <w:suppressLineNumbers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kern w:val="2"/>
                      <w:sz w:val="21"/>
                      <w:szCs w:val="21"/>
                      <w:lang w:val="en-US" w:eastAsia="zh-CN"/>
                    </w:rPr>
                    <w:t>3000</w:t>
                  </w:r>
                </w:p>
              </w:tc>
              <w:tc>
                <w:tcPr>
                  <w:tcW w:w="1006" w:type="pct"/>
                  <w:vMerge w:val="continue"/>
                  <w:vAlign w:val="center"/>
                </w:tcPr>
                <w:p w14:paraId="2AF7C82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78582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362" w:type="pct"/>
                  <w:vAlign w:val="center"/>
                </w:tcPr>
                <w:p w14:paraId="3D7E07A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1313" w:type="pct"/>
                  <w:shd w:val="clear" w:color="auto" w:fill="auto"/>
                  <w:vAlign w:val="center"/>
                </w:tcPr>
                <w:p w14:paraId="7FBBBE74">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液压油缸及配件</w:t>
                  </w:r>
                </w:p>
              </w:tc>
              <w:tc>
                <w:tcPr>
                  <w:tcW w:w="1224" w:type="pct"/>
                  <w:shd w:val="clear" w:color="auto" w:fill="auto"/>
                  <w:vAlign w:val="center"/>
                </w:tcPr>
                <w:p w14:paraId="77B3960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150*8</w:t>
                  </w:r>
                </w:p>
              </w:tc>
              <w:tc>
                <w:tcPr>
                  <w:tcW w:w="1093" w:type="pct"/>
                  <w:shd w:val="clear" w:color="auto" w:fill="auto"/>
                  <w:vAlign w:val="center"/>
                </w:tcPr>
                <w:p w14:paraId="7763C3E3">
                  <w:pPr>
                    <w:keepNext w:val="0"/>
                    <w:keepLines w:val="0"/>
                    <w:suppressLineNumbers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kern w:val="2"/>
                      <w:sz w:val="21"/>
                      <w:szCs w:val="21"/>
                      <w:lang w:val="en-US" w:eastAsia="zh-CN"/>
                    </w:rPr>
                    <w:t>3500</w:t>
                  </w:r>
                </w:p>
              </w:tc>
              <w:tc>
                <w:tcPr>
                  <w:tcW w:w="1006" w:type="pct"/>
                  <w:vMerge w:val="continue"/>
                  <w:vAlign w:val="center"/>
                </w:tcPr>
                <w:p w14:paraId="1C61040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63D42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362" w:type="pct"/>
                  <w:vAlign w:val="center"/>
                </w:tcPr>
                <w:p w14:paraId="3BE71C2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313" w:type="pct"/>
                  <w:shd w:val="clear" w:color="auto" w:fill="auto"/>
                  <w:vAlign w:val="center"/>
                </w:tcPr>
                <w:p w14:paraId="77D76D9B">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汽车零部件</w:t>
                  </w:r>
                </w:p>
              </w:tc>
              <w:tc>
                <w:tcPr>
                  <w:tcW w:w="1224" w:type="pct"/>
                  <w:shd w:val="clear" w:color="auto" w:fill="auto"/>
                  <w:vAlign w:val="center"/>
                </w:tcPr>
                <w:p w14:paraId="16515E7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200*8</w:t>
                  </w:r>
                </w:p>
              </w:tc>
              <w:tc>
                <w:tcPr>
                  <w:tcW w:w="1093" w:type="pct"/>
                  <w:shd w:val="clear" w:color="auto" w:fill="auto"/>
                  <w:vAlign w:val="center"/>
                </w:tcPr>
                <w:p w14:paraId="3EF6677D">
                  <w:pPr>
                    <w:keepNext w:val="0"/>
                    <w:keepLines w:val="0"/>
                    <w:suppressLineNumbers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cs="Times New Roman"/>
                      <w:color w:val="auto"/>
                      <w:spacing w:val="0"/>
                      <w:kern w:val="2"/>
                      <w:sz w:val="21"/>
                      <w:szCs w:val="21"/>
                      <w:lang w:val="en-US" w:eastAsia="zh-CN"/>
                    </w:rPr>
                    <w:t>2000</w:t>
                  </w:r>
                </w:p>
              </w:tc>
              <w:tc>
                <w:tcPr>
                  <w:tcW w:w="1006" w:type="pct"/>
                  <w:vMerge w:val="continue"/>
                  <w:vAlign w:val="center"/>
                </w:tcPr>
                <w:p w14:paraId="1679659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035F9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1676" w:type="pct"/>
                  <w:gridSpan w:val="2"/>
                  <w:vAlign w:val="center"/>
                </w:tcPr>
                <w:p w14:paraId="21E39938">
                  <w:pPr>
                    <w:keepNext w:val="0"/>
                    <w:keepLines w:val="0"/>
                    <w:suppressLineNumbers w:val="0"/>
                    <w:adjustRightInd w:val="0"/>
                    <w:snapToGrid w:val="0"/>
                    <w:spacing w:before="0" w:beforeAutospacing="0" w:after="0" w:afterAutospacing="0"/>
                    <w:ind w:left="0" w:right="0"/>
                    <w:jc w:val="center"/>
                    <w:rPr>
                      <w:rFonts w:hint="eastAsia" w:hAnsi="宋体" w:eastAsia="宋体"/>
                      <w:color w:val="auto"/>
                      <w:szCs w:val="21"/>
                      <w:highlight w:val="none"/>
                      <w:lang w:val="en-US" w:eastAsia="zh-CN"/>
                    </w:rPr>
                  </w:pPr>
                  <w:r>
                    <w:rPr>
                      <w:rFonts w:hint="eastAsia" w:hAnsi="宋体"/>
                      <w:b/>
                      <w:bCs/>
                      <w:color w:val="auto"/>
                      <w:szCs w:val="21"/>
                      <w:highlight w:val="none"/>
                      <w:lang w:val="en-US" w:eastAsia="zh-CN"/>
                    </w:rPr>
                    <w:t>合计</w:t>
                  </w:r>
                </w:p>
              </w:tc>
              <w:tc>
                <w:tcPr>
                  <w:tcW w:w="1224" w:type="pct"/>
                  <w:shd w:val="clear" w:color="auto" w:fill="auto"/>
                  <w:vAlign w:val="center"/>
                </w:tcPr>
                <w:p w14:paraId="2F6EA8A5">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1093" w:type="pct"/>
                  <w:shd w:val="clear" w:color="auto" w:fill="auto"/>
                  <w:vAlign w:val="center"/>
                </w:tcPr>
                <w:p w14:paraId="3007CA21">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ascii="Times New Roman" w:hAnsi="Times New Roman" w:cs="Times New Roman"/>
                      <w:b/>
                      <w:bCs/>
                      <w:color w:val="auto"/>
                      <w:spacing w:val="0"/>
                      <w:kern w:val="2"/>
                      <w:sz w:val="21"/>
                      <w:szCs w:val="21"/>
                      <w:lang w:val="en-US" w:eastAsia="zh-CN"/>
                    </w:rPr>
                    <w:t>15000</w:t>
                  </w:r>
                </w:p>
              </w:tc>
              <w:tc>
                <w:tcPr>
                  <w:tcW w:w="1006" w:type="pct"/>
                  <w:shd w:val="clear" w:color="auto" w:fill="auto"/>
                  <w:vAlign w:val="center"/>
                </w:tcPr>
                <w:p w14:paraId="5738F73E">
                  <w:pPr>
                    <w:keepNext w:val="0"/>
                    <w:keepLines w:val="0"/>
                    <w:suppressLineNumbers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pacing w:val="0"/>
                      <w:kern w:val="2"/>
                      <w:sz w:val="21"/>
                      <w:szCs w:val="21"/>
                      <w:lang w:val="en-US" w:eastAsia="zh-CN" w:bidi="ar-SA"/>
                    </w:rPr>
                  </w:pPr>
                  <w:r>
                    <w:rPr>
                      <w:rFonts w:hint="eastAsia" w:ascii="Times New Roman" w:hAnsi="Times New Roman" w:cs="Times New Roman"/>
                      <w:b/>
                      <w:bCs/>
                      <w:color w:val="auto"/>
                      <w:spacing w:val="0"/>
                      <w:kern w:val="2"/>
                      <w:sz w:val="21"/>
                      <w:szCs w:val="21"/>
                      <w:lang w:val="en-US" w:eastAsia="zh-CN" w:bidi="ar-SA"/>
                    </w:rPr>
                    <w:t>/</w:t>
                  </w:r>
                </w:p>
              </w:tc>
            </w:tr>
          </w:tbl>
          <w:p w14:paraId="3D023014">
            <w:pPr>
              <w:keepNext w:val="0"/>
              <w:keepLines w:val="0"/>
              <w:suppressLineNumbers w:val="0"/>
              <w:spacing w:before="120" w:beforeLines="50" w:beforeAutospacing="0" w:after="0" w:afterAutospacing="0" w:line="360" w:lineRule="auto"/>
              <w:ind w:left="0" w:right="0" w:firstLine="482" w:firstLineChars="200"/>
              <w:rPr>
                <w:rFonts w:hint="eastAsia" w:cs="Times New Roman"/>
                <w:b/>
                <w:color w:val="auto"/>
                <w:sz w:val="24"/>
                <w:szCs w:val="24"/>
                <w:highlight w:val="none"/>
                <w:lang w:val="en-US" w:eastAsia="zh-CN"/>
              </w:rPr>
            </w:pPr>
            <w:r>
              <w:rPr>
                <w:rFonts w:hint="eastAsia" w:cs="Times New Roman"/>
                <w:b/>
                <w:color w:val="auto"/>
                <w:sz w:val="24"/>
                <w:szCs w:val="24"/>
                <w:highlight w:val="none"/>
                <w:lang w:val="en-US" w:eastAsia="zh-CN"/>
              </w:rPr>
              <w:t>项目建成后全厂产品流向示意图见下图：</w:t>
            </w:r>
          </w:p>
          <w:p w14:paraId="1C2D27FA">
            <w:pPr>
              <w:keepNext w:val="0"/>
              <w:keepLines w:val="0"/>
              <w:suppressLineNumbers w:val="0"/>
              <w:spacing w:before="120" w:beforeLines="50" w:beforeAutospacing="0" w:after="0" w:afterAutospacing="0" w:line="360" w:lineRule="auto"/>
              <w:ind w:left="0" w:right="0" w:firstLine="482" w:firstLineChars="200"/>
              <w:rPr>
                <w:rFonts w:hint="eastAsia" w:cs="Times New Roman"/>
                <w:b/>
                <w:color w:val="auto"/>
                <w:sz w:val="24"/>
                <w:szCs w:val="24"/>
                <w:highlight w:val="none"/>
                <w:lang w:val="en-US" w:eastAsia="zh-CN"/>
              </w:rPr>
            </w:pPr>
          </w:p>
          <w:p w14:paraId="4A52BB8D">
            <w:pPr>
              <w:keepNext w:val="0"/>
              <w:keepLines w:val="0"/>
              <w:suppressLineNumbers w:val="0"/>
              <w:spacing w:before="120" w:beforeLines="50" w:beforeAutospacing="0" w:after="0" w:afterAutospacing="0" w:line="360" w:lineRule="auto"/>
              <w:ind w:left="0" w:right="0" w:firstLine="482" w:firstLineChars="200"/>
              <w:rPr>
                <w:rFonts w:hint="eastAsia" w:cs="Times New Roman"/>
                <w:b/>
                <w:color w:val="auto"/>
                <w:sz w:val="24"/>
                <w:szCs w:val="24"/>
                <w:highlight w:val="none"/>
                <w:lang w:val="en-US" w:eastAsia="zh-CN"/>
              </w:rPr>
            </w:pPr>
          </w:p>
          <w:p w14:paraId="0A7129A6">
            <w:pPr>
              <w:keepNext w:val="0"/>
              <w:keepLines w:val="0"/>
              <w:suppressLineNumbers w:val="0"/>
              <w:spacing w:before="120" w:beforeLines="50" w:beforeAutospacing="0" w:after="0" w:afterAutospacing="0" w:line="360" w:lineRule="auto"/>
              <w:ind w:left="0" w:right="0" w:firstLine="482" w:firstLineChars="200"/>
              <w:rPr>
                <w:rFonts w:hint="eastAsia" w:cs="Times New Roman"/>
                <w:b/>
                <w:color w:val="auto"/>
                <w:sz w:val="24"/>
                <w:szCs w:val="24"/>
                <w:highlight w:val="none"/>
                <w:lang w:val="en-US" w:eastAsia="zh-CN"/>
              </w:rPr>
            </w:pPr>
          </w:p>
          <w:p w14:paraId="0EC6FD8F">
            <w:pPr>
              <w:pStyle w:val="2"/>
              <w:keepNext w:val="0"/>
              <w:keepLines w:val="0"/>
              <w:suppressLineNumbers w:val="0"/>
              <w:spacing w:beforeAutospacing="0" w:afterAutospacing="0"/>
              <w:ind w:left="0"/>
              <w:jc w:val="center"/>
              <w:rPr>
                <w:rFonts w:hint="default"/>
                <w:color w:val="auto"/>
              </w:rPr>
            </w:pPr>
            <w:r>
              <w:rPr>
                <w:rFonts w:hint="default"/>
                <w:color w:val="auto"/>
              </w:rPr>
              <w:drawing>
                <wp:inline distT="0" distB="0" distL="114300" distR="114300">
                  <wp:extent cx="5191125" cy="1952625"/>
                  <wp:effectExtent l="0" t="0" r="0" b="952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5191125" cy="1952625"/>
                          </a:xfrm>
                          <a:prstGeom prst="rect">
                            <a:avLst/>
                          </a:prstGeom>
                          <a:noFill/>
                          <a:ln>
                            <a:noFill/>
                          </a:ln>
                        </pic:spPr>
                      </pic:pic>
                    </a:graphicData>
                  </a:graphic>
                </wp:inline>
              </w:drawing>
            </w:r>
          </w:p>
          <w:p w14:paraId="427A860F">
            <w:pPr>
              <w:pStyle w:val="3"/>
              <w:keepNext w:val="0"/>
              <w:keepLines w:val="0"/>
              <w:numPr>
                <w:ilvl w:val="0"/>
                <w:numId w:val="0"/>
              </w:numPr>
              <w:suppressLineNumbers w:val="0"/>
              <w:spacing w:before="0" w:beforeAutospacing="0" w:after="0" w:afterAutospacing="0"/>
              <w:ind w:left="0" w:right="0"/>
              <w:jc w:val="center"/>
              <w:rPr>
                <w:rFonts w:hint="default" w:eastAsia="宋体"/>
                <w:b/>
                <w:bCs/>
                <w:color w:val="auto"/>
                <w:sz w:val="24"/>
                <w:szCs w:val="24"/>
                <w:lang w:val="en-US" w:eastAsia="zh-CN"/>
              </w:rPr>
            </w:pPr>
            <w:r>
              <w:rPr>
                <w:rFonts w:hint="eastAsia"/>
                <w:b/>
                <w:bCs/>
                <w:color w:val="auto"/>
                <w:sz w:val="24"/>
                <w:szCs w:val="24"/>
                <w:lang w:val="en-US" w:eastAsia="zh-CN"/>
              </w:rPr>
              <w:t>图2-1 项目建成后全厂产品流向示意图</w:t>
            </w:r>
          </w:p>
          <w:p w14:paraId="336C1D18">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color w:val="auto"/>
                <w:sz w:val="24"/>
                <w:szCs w:val="24"/>
                <w:highlight w:val="none"/>
              </w:rPr>
              <w:t>3.</w:t>
            </w:r>
            <w:r>
              <w:rPr>
                <w:rFonts w:hint="eastAsia" w:ascii="Times New Roman" w:hAnsi="Times New Roman" w:cs="Times New Roman"/>
                <w:b/>
                <w:bCs/>
                <w:color w:val="auto"/>
                <w:sz w:val="24"/>
              </w:rPr>
              <w:t>主体工程及</w:t>
            </w:r>
            <w:r>
              <w:rPr>
                <w:rFonts w:hint="default" w:ascii="Times New Roman" w:hAnsi="Times New Roman" w:cs="Times New Roman"/>
                <w:b/>
                <w:bCs/>
                <w:color w:val="auto"/>
                <w:sz w:val="24"/>
              </w:rPr>
              <w:t>公用、辅助、环保</w:t>
            </w:r>
            <w:r>
              <w:rPr>
                <w:rFonts w:hint="eastAsia" w:ascii="Times New Roman" w:hAnsi="Times New Roman" w:cs="Times New Roman"/>
                <w:b/>
                <w:bCs/>
                <w:color w:val="auto"/>
                <w:sz w:val="24"/>
              </w:rPr>
              <w:t>、</w:t>
            </w:r>
            <w:r>
              <w:rPr>
                <w:rFonts w:hint="default" w:ascii="Times New Roman" w:hAnsi="Times New Roman" w:cs="Times New Roman"/>
                <w:b/>
                <w:bCs/>
                <w:color w:val="auto"/>
                <w:sz w:val="24"/>
              </w:rPr>
              <w:t>储运工程概况</w:t>
            </w:r>
          </w:p>
          <w:p w14:paraId="0725EDBD">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本项目主体工程见表2.1-</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rPr>
              <w:t>，公用辅助等工程见表2.1-</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w:t>
            </w:r>
          </w:p>
          <w:p w14:paraId="36263D3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w:t>
            </w:r>
            <w:r>
              <w:rPr>
                <w:rFonts w:hint="eastAsia" w:ascii="Times New Roman" w:hAnsi="Times New Roman" w:cs="Times New Roman"/>
                <w:b/>
                <w:color w:val="auto"/>
                <w:sz w:val="24"/>
              </w:rPr>
              <w:t>2.1-</w:t>
            </w:r>
            <w:r>
              <w:rPr>
                <w:rFonts w:hint="eastAsia" w:ascii="Times New Roman" w:hAnsi="Times New Roman" w:cs="Times New Roman"/>
                <w:b/>
                <w:color w:val="auto"/>
                <w:sz w:val="24"/>
                <w:lang w:val="en-US" w:eastAsia="zh-CN"/>
              </w:rPr>
              <w:t>2</w:t>
            </w:r>
            <w:r>
              <w:rPr>
                <w:rFonts w:hint="default" w:ascii="Times New Roman" w:hAnsi="Times New Roman" w:cs="Times New Roman"/>
                <w:b/>
                <w:color w:val="auto"/>
                <w:sz w:val="24"/>
              </w:rPr>
              <w:t xml:space="preserve">  主要建筑物及功能一览表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8"/>
              <w:gridCol w:w="1170"/>
              <w:gridCol w:w="989"/>
              <w:gridCol w:w="1224"/>
              <w:gridCol w:w="682"/>
              <w:gridCol w:w="683"/>
              <w:gridCol w:w="3072"/>
            </w:tblGrid>
            <w:tr w14:paraId="78FD4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2450F3F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697" w:type="pct"/>
                  <w:noWrap w:val="0"/>
                  <w:vAlign w:val="center"/>
                </w:tcPr>
                <w:p w14:paraId="6383C88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建筑物名称</w:t>
                  </w:r>
                </w:p>
              </w:tc>
              <w:tc>
                <w:tcPr>
                  <w:tcW w:w="589" w:type="pct"/>
                  <w:noWrap w:val="0"/>
                  <w:vAlign w:val="center"/>
                </w:tcPr>
                <w:p w14:paraId="4DF823E7">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占地面积</w:t>
                  </w:r>
                  <w:r>
                    <w:rPr>
                      <w:rFonts w:hint="eastAsia" w:ascii="Times New Roman" w:hAnsi="Times New Roman" w:cs="Times New Roman"/>
                      <w:b/>
                      <w:bCs/>
                      <w:color w:val="auto"/>
                      <w:sz w:val="21"/>
                      <w:szCs w:val="21"/>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2</w:t>
                  </w:r>
                  <w:r>
                    <w:rPr>
                      <w:rFonts w:hint="eastAsia" w:ascii="Times New Roman" w:hAnsi="Times New Roman" w:cs="Times New Roman"/>
                      <w:b/>
                      <w:bCs/>
                      <w:color w:val="auto"/>
                      <w:sz w:val="21"/>
                      <w:szCs w:val="21"/>
                    </w:rPr>
                    <w:t>）</w:t>
                  </w:r>
                </w:p>
              </w:tc>
              <w:tc>
                <w:tcPr>
                  <w:tcW w:w="729" w:type="pct"/>
                  <w:noWrap w:val="0"/>
                  <w:vAlign w:val="center"/>
                </w:tcPr>
                <w:p w14:paraId="436DA9E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建筑面积</w:t>
                  </w:r>
                  <w:r>
                    <w:rPr>
                      <w:rFonts w:hint="eastAsia" w:ascii="Times New Roman" w:hAnsi="Times New Roman" w:cs="Times New Roman"/>
                      <w:b/>
                      <w:bCs/>
                      <w:color w:val="auto"/>
                      <w:sz w:val="21"/>
                      <w:szCs w:val="21"/>
                    </w:rPr>
                    <w:t>（</w:t>
                  </w:r>
                  <w:r>
                    <w:rPr>
                      <w:rFonts w:hint="default" w:ascii="Times New Roman" w:hAnsi="Times New Roman" w:cs="Times New Roman"/>
                      <w:b/>
                      <w:bCs/>
                      <w:color w:val="auto"/>
                      <w:sz w:val="21"/>
                      <w:szCs w:val="21"/>
                    </w:rPr>
                    <w:t>m</w:t>
                  </w:r>
                  <w:r>
                    <w:rPr>
                      <w:rFonts w:hint="default" w:ascii="Times New Roman" w:hAnsi="Times New Roman" w:cs="Times New Roman"/>
                      <w:b/>
                      <w:bCs/>
                      <w:color w:val="auto"/>
                      <w:sz w:val="21"/>
                      <w:szCs w:val="21"/>
                      <w:vertAlign w:val="superscript"/>
                    </w:rPr>
                    <w:t>2</w:t>
                  </w:r>
                  <w:r>
                    <w:rPr>
                      <w:rFonts w:hint="eastAsia" w:ascii="Times New Roman" w:hAnsi="Times New Roman" w:cs="Times New Roman"/>
                      <w:b/>
                      <w:bCs/>
                      <w:color w:val="auto"/>
                      <w:sz w:val="21"/>
                      <w:szCs w:val="21"/>
                    </w:rPr>
                    <w:t>）</w:t>
                  </w:r>
                </w:p>
              </w:tc>
              <w:tc>
                <w:tcPr>
                  <w:tcW w:w="406" w:type="pct"/>
                  <w:noWrap w:val="0"/>
                  <w:vAlign w:val="center"/>
                </w:tcPr>
                <w:p w14:paraId="75391D3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层数</w:t>
                  </w:r>
                </w:p>
              </w:tc>
              <w:tc>
                <w:tcPr>
                  <w:tcW w:w="407" w:type="pct"/>
                  <w:noWrap w:val="0"/>
                  <w:vAlign w:val="center"/>
                </w:tcPr>
                <w:p w14:paraId="5AF4B31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高度（m）</w:t>
                  </w:r>
                </w:p>
              </w:tc>
              <w:tc>
                <w:tcPr>
                  <w:tcW w:w="1830" w:type="pct"/>
                  <w:noWrap w:val="0"/>
                  <w:vAlign w:val="center"/>
                </w:tcPr>
                <w:p w14:paraId="1FDD6E3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29097B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132DB6C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1</w:t>
                  </w:r>
                </w:p>
              </w:tc>
              <w:tc>
                <w:tcPr>
                  <w:tcW w:w="697" w:type="pct"/>
                  <w:noWrap w:val="0"/>
                  <w:vAlign w:val="center"/>
                </w:tcPr>
                <w:p w14:paraId="575455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车间一</w:t>
                  </w:r>
                </w:p>
              </w:tc>
              <w:tc>
                <w:tcPr>
                  <w:tcW w:w="589" w:type="pct"/>
                  <w:noWrap w:val="0"/>
                  <w:vAlign w:val="center"/>
                </w:tcPr>
                <w:p w14:paraId="236F77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4650</w:t>
                  </w:r>
                </w:p>
              </w:tc>
              <w:tc>
                <w:tcPr>
                  <w:tcW w:w="729" w:type="pct"/>
                  <w:noWrap w:val="0"/>
                  <w:vAlign w:val="center"/>
                </w:tcPr>
                <w:p w14:paraId="2D0F22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4915</w:t>
                  </w:r>
                </w:p>
              </w:tc>
              <w:tc>
                <w:tcPr>
                  <w:tcW w:w="406" w:type="pct"/>
                  <w:noWrap w:val="0"/>
                  <w:vAlign w:val="center"/>
                </w:tcPr>
                <w:p w14:paraId="2FBCB0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1F</w:t>
                  </w:r>
                </w:p>
              </w:tc>
              <w:tc>
                <w:tcPr>
                  <w:tcW w:w="407" w:type="pct"/>
                  <w:noWrap w:val="0"/>
                  <w:vAlign w:val="center"/>
                </w:tcPr>
                <w:p w14:paraId="58B32D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w:t>
                  </w:r>
                </w:p>
              </w:tc>
              <w:tc>
                <w:tcPr>
                  <w:tcW w:w="1830" w:type="pct"/>
                  <w:noWrap w:val="0"/>
                  <w:vAlign w:val="center"/>
                </w:tcPr>
                <w:p w14:paraId="4F7CD75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已建，用于原有熔化、精炼、精铸、加热</w:t>
                  </w:r>
                </w:p>
              </w:tc>
            </w:tr>
            <w:tr w14:paraId="50D3D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1604188C">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2</w:t>
                  </w:r>
                </w:p>
              </w:tc>
              <w:tc>
                <w:tcPr>
                  <w:tcW w:w="697" w:type="pct"/>
                  <w:noWrap w:val="0"/>
                  <w:vAlign w:val="center"/>
                </w:tcPr>
                <w:p w14:paraId="4C120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车间二</w:t>
                  </w:r>
                </w:p>
              </w:tc>
              <w:tc>
                <w:tcPr>
                  <w:tcW w:w="589" w:type="pct"/>
                  <w:noWrap w:val="0"/>
                  <w:vAlign w:val="center"/>
                </w:tcPr>
                <w:p w14:paraId="68EF57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461.63</w:t>
                  </w:r>
                </w:p>
              </w:tc>
              <w:tc>
                <w:tcPr>
                  <w:tcW w:w="729" w:type="pct"/>
                  <w:noWrap w:val="0"/>
                  <w:vAlign w:val="center"/>
                </w:tcPr>
                <w:p w14:paraId="1A913C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461.63</w:t>
                  </w:r>
                </w:p>
              </w:tc>
              <w:tc>
                <w:tcPr>
                  <w:tcW w:w="406" w:type="pct"/>
                  <w:noWrap w:val="0"/>
                  <w:vAlign w:val="center"/>
                </w:tcPr>
                <w:p w14:paraId="35714C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1F</w:t>
                  </w:r>
                </w:p>
              </w:tc>
              <w:tc>
                <w:tcPr>
                  <w:tcW w:w="407" w:type="pct"/>
                  <w:noWrap w:val="0"/>
                  <w:vAlign w:val="center"/>
                </w:tcPr>
                <w:p w14:paraId="688F9D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w:t>
                  </w:r>
                </w:p>
              </w:tc>
              <w:tc>
                <w:tcPr>
                  <w:tcW w:w="1830" w:type="pct"/>
                  <w:noWrap w:val="0"/>
                  <w:vAlign w:val="center"/>
                </w:tcPr>
                <w:p w14:paraId="1E2EF91E">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已建，</w:t>
                  </w:r>
                  <w:r>
                    <w:rPr>
                      <w:rFonts w:hint="eastAsia" w:hAnsi="宋体" w:cs="Times New Roman"/>
                      <w:color w:val="auto"/>
                      <w:kern w:val="0"/>
                      <w:sz w:val="21"/>
                      <w:szCs w:val="21"/>
                      <w:lang w:val="en-US" w:eastAsia="zh-CN"/>
                    </w:rPr>
                    <w:t>用于</w:t>
                  </w:r>
                  <w:r>
                    <w:rPr>
                      <w:rFonts w:hint="eastAsia" w:ascii="Times New Roman" w:hAnsi="宋体" w:cs="Times New Roman"/>
                      <w:color w:val="auto"/>
                      <w:kern w:val="0"/>
                      <w:sz w:val="21"/>
                      <w:szCs w:val="21"/>
                      <w:lang w:val="en-US" w:eastAsia="zh-CN"/>
                    </w:rPr>
                    <w:t>本次技改</w:t>
                  </w:r>
                  <w:r>
                    <w:rPr>
                      <w:rFonts w:hint="eastAsia" w:hAnsi="宋体" w:cs="Times New Roman"/>
                      <w:color w:val="auto"/>
                      <w:kern w:val="0"/>
                      <w:sz w:val="21"/>
                      <w:szCs w:val="21"/>
                      <w:lang w:val="en-US" w:eastAsia="zh-CN"/>
                    </w:rPr>
                    <w:t>新增电渣重熔、去冒口</w:t>
                  </w:r>
                </w:p>
              </w:tc>
            </w:tr>
            <w:tr w14:paraId="48FB8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49D389B2">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3</w:t>
                  </w:r>
                </w:p>
              </w:tc>
              <w:tc>
                <w:tcPr>
                  <w:tcW w:w="697" w:type="pct"/>
                  <w:noWrap w:val="0"/>
                  <w:vAlign w:val="center"/>
                </w:tcPr>
                <w:p w14:paraId="74F631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车间三</w:t>
                  </w:r>
                </w:p>
              </w:tc>
              <w:tc>
                <w:tcPr>
                  <w:tcW w:w="589" w:type="pct"/>
                  <w:noWrap w:val="0"/>
                  <w:vAlign w:val="center"/>
                </w:tcPr>
                <w:p w14:paraId="6859A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8187.67</w:t>
                  </w:r>
                </w:p>
              </w:tc>
              <w:tc>
                <w:tcPr>
                  <w:tcW w:w="729" w:type="pct"/>
                  <w:noWrap w:val="0"/>
                  <w:vAlign w:val="center"/>
                </w:tcPr>
                <w:p w14:paraId="729449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8187.67</w:t>
                  </w:r>
                </w:p>
              </w:tc>
              <w:tc>
                <w:tcPr>
                  <w:tcW w:w="406" w:type="pct"/>
                  <w:noWrap w:val="0"/>
                  <w:vAlign w:val="center"/>
                </w:tcPr>
                <w:p w14:paraId="1411BC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1F</w:t>
                  </w:r>
                </w:p>
              </w:tc>
              <w:tc>
                <w:tcPr>
                  <w:tcW w:w="407" w:type="pct"/>
                  <w:noWrap w:val="0"/>
                  <w:vAlign w:val="center"/>
                </w:tcPr>
                <w:p w14:paraId="6AED19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w:t>
                  </w:r>
                </w:p>
              </w:tc>
              <w:tc>
                <w:tcPr>
                  <w:tcW w:w="1830" w:type="pct"/>
                  <w:noWrap w:val="0"/>
                  <w:vAlign w:val="center"/>
                </w:tcPr>
                <w:p w14:paraId="2F515DD5">
                  <w:pPr>
                    <w:keepNext w:val="0"/>
                    <w:keepLines w:val="0"/>
                    <w:widowControl/>
                    <w:suppressLineNumbers w:val="0"/>
                    <w:spacing w:before="0" w:beforeAutospacing="0" w:after="0" w:afterAutospacing="0" w:line="320" w:lineRule="exact"/>
                    <w:ind w:left="0" w:right="0"/>
                    <w:jc w:val="center"/>
                    <w:rPr>
                      <w:rFonts w:hint="default" w:ascii="Times New Roman" w:hAnsi="宋体" w:eastAsia="宋体" w:cs="Times New Roman"/>
                      <w:b/>
                      <w:bCs/>
                      <w:color w:val="auto"/>
                      <w:kern w:val="0"/>
                      <w:sz w:val="21"/>
                      <w:szCs w:val="21"/>
                      <w:lang w:val="en-US" w:eastAsia="zh-CN"/>
                    </w:rPr>
                  </w:pPr>
                  <w:r>
                    <w:rPr>
                      <w:rFonts w:hint="eastAsia" w:cs="Times New Roman"/>
                      <w:color w:val="auto"/>
                      <w:sz w:val="21"/>
                      <w:szCs w:val="21"/>
                      <w:lang w:val="en-US" w:eastAsia="zh-CN"/>
                    </w:rPr>
                    <w:t>已建，</w:t>
                  </w:r>
                  <w:r>
                    <w:rPr>
                      <w:rFonts w:hint="eastAsia" w:ascii="Times New Roman" w:hAnsi="Times New Roman" w:eastAsia="宋体" w:cs="Times New Roman"/>
                      <w:color w:val="auto"/>
                      <w:kern w:val="0"/>
                      <w:sz w:val="21"/>
                      <w:szCs w:val="21"/>
                      <w:lang w:val="en-US" w:eastAsia="zh-CN"/>
                    </w:rPr>
                    <w:t>用于原有</w:t>
                  </w:r>
                  <w:r>
                    <w:rPr>
                      <w:rFonts w:hint="eastAsia" w:cs="Times New Roman"/>
                      <w:color w:val="auto"/>
                      <w:kern w:val="0"/>
                      <w:sz w:val="21"/>
                      <w:szCs w:val="21"/>
                      <w:lang w:val="en-US" w:eastAsia="zh-CN"/>
                    </w:rPr>
                    <w:t>加热炉升温、锻压成型、退火、锻件质检、打磨、精加工、检验、包装</w:t>
                  </w:r>
                </w:p>
              </w:tc>
            </w:tr>
            <w:tr w14:paraId="19EC2B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141F74FF">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p>
              </w:tc>
              <w:tc>
                <w:tcPr>
                  <w:tcW w:w="697" w:type="pct"/>
                  <w:noWrap w:val="0"/>
                  <w:vAlign w:val="center"/>
                </w:tcPr>
                <w:p w14:paraId="0731E8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辅房</w:t>
                  </w:r>
                </w:p>
              </w:tc>
              <w:tc>
                <w:tcPr>
                  <w:tcW w:w="589" w:type="pct"/>
                  <w:noWrap w:val="0"/>
                  <w:vAlign w:val="center"/>
                </w:tcPr>
                <w:p w14:paraId="57A18F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1040.04</w:t>
                  </w:r>
                </w:p>
              </w:tc>
              <w:tc>
                <w:tcPr>
                  <w:tcW w:w="729" w:type="pct"/>
                  <w:noWrap w:val="0"/>
                  <w:vAlign w:val="center"/>
                </w:tcPr>
                <w:p w14:paraId="2AB3FB2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5259.24</w:t>
                  </w:r>
                </w:p>
              </w:tc>
              <w:tc>
                <w:tcPr>
                  <w:tcW w:w="406" w:type="pct"/>
                  <w:noWrap w:val="0"/>
                  <w:vAlign w:val="center"/>
                </w:tcPr>
                <w:p w14:paraId="2166A3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5F</w:t>
                  </w:r>
                </w:p>
              </w:tc>
              <w:tc>
                <w:tcPr>
                  <w:tcW w:w="407" w:type="pct"/>
                  <w:noWrap w:val="0"/>
                  <w:vAlign w:val="center"/>
                </w:tcPr>
                <w:p w14:paraId="37920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w:t>
                  </w:r>
                </w:p>
              </w:tc>
              <w:tc>
                <w:tcPr>
                  <w:tcW w:w="1830" w:type="pct"/>
                  <w:noWrap w:val="0"/>
                  <w:vAlign w:val="center"/>
                </w:tcPr>
                <w:p w14:paraId="692D31C0">
                  <w:pPr>
                    <w:keepNext w:val="0"/>
                    <w:keepLines w:val="0"/>
                    <w:widowControl/>
                    <w:suppressLineNumbers w:val="0"/>
                    <w:spacing w:before="0" w:beforeAutospacing="0" w:after="0" w:afterAutospacing="0" w:line="320" w:lineRule="exact"/>
                    <w:ind w:left="0" w:right="0"/>
                    <w:jc w:val="center"/>
                    <w:rPr>
                      <w:rFonts w:hint="default" w:ascii="Times New Roman" w:hAnsi="宋体" w:cs="Times New Roman"/>
                      <w:color w:val="auto"/>
                      <w:kern w:val="0"/>
                      <w:sz w:val="21"/>
                      <w:szCs w:val="21"/>
                      <w:lang w:val="en-US" w:eastAsia="zh-CN"/>
                    </w:rPr>
                  </w:pPr>
                  <w:r>
                    <w:rPr>
                      <w:rFonts w:hint="eastAsia" w:cs="Times New Roman"/>
                      <w:color w:val="auto"/>
                      <w:sz w:val="21"/>
                      <w:szCs w:val="21"/>
                      <w:lang w:val="en-US" w:eastAsia="zh-CN"/>
                    </w:rPr>
                    <w:t>已建，</w:t>
                  </w:r>
                  <w:r>
                    <w:rPr>
                      <w:rFonts w:hint="eastAsia" w:ascii="Times New Roman" w:hAnsi="宋体" w:cs="Times New Roman"/>
                      <w:color w:val="auto"/>
                      <w:kern w:val="0"/>
                      <w:sz w:val="21"/>
                      <w:szCs w:val="21"/>
                      <w:lang w:val="en-US" w:eastAsia="zh-CN"/>
                    </w:rPr>
                    <w:t>用于办公及员工休息</w:t>
                  </w:r>
                </w:p>
              </w:tc>
            </w:tr>
            <w:tr w14:paraId="6A108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154EF046">
                  <w:pPr>
                    <w:keepNext w:val="0"/>
                    <w:keepLines w:val="0"/>
                    <w:widowControl/>
                    <w:suppressLineNumbers w:val="0"/>
                    <w:spacing w:before="0" w:beforeAutospacing="0" w:after="0" w:afterAutospacing="0" w:line="320" w:lineRule="exact"/>
                    <w:ind w:left="0" w:right="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697" w:type="pct"/>
                  <w:noWrap w:val="0"/>
                  <w:vAlign w:val="center"/>
                </w:tcPr>
                <w:p w14:paraId="4C1C9D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116"/>
                      <w:rFonts w:hint="eastAsia"/>
                      <w:color w:val="auto"/>
                      <w:sz w:val="21"/>
                      <w:szCs w:val="21"/>
                      <w:lang w:val="en-US" w:eastAsia="zh-CN" w:bidi="ar"/>
                    </w:rPr>
                    <w:t>门卫</w:t>
                  </w:r>
                </w:p>
              </w:tc>
              <w:tc>
                <w:tcPr>
                  <w:tcW w:w="589" w:type="pct"/>
                  <w:noWrap w:val="0"/>
                  <w:vAlign w:val="center"/>
                </w:tcPr>
                <w:p w14:paraId="565533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729" w:type="pct"/>
                  <w:noWrap w:val="0"/>
                  <w:vAlign w:val="center"/>
                </w:tcPr>
                <w:p w14:paraId="530B0F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w:t>
                  </w:r>
                </w:p>
              </w:tc>
              <w:tc>
                <w:tcPr>
                  <w:tcW w:w="406" w:type="pct"/>
                  <w:noWrap w:val="0"/>
                  <w:vAlign w:val="center"/>
                </w:tcPr>
                <w:p w14:paraId="7D9BE7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r>
                    <w:rPr>
                      <w:rFonts w:hint="eastAsia" w:ascii="Times New Roman" w:hAnsi="Times New Roman" w:eastAsia="宋体" w:cs="Times New Roman"/>
                      <w:i w:val="0"/>
                      <w:iCs w:val="0"/>
                      <w:color w:val="auto"/>
                      <w:kern w:val="0"/>
                      <w:sz w:val="21"/>
                      <w:szCs w:val="21"/>
                      <w:u w:val="none"/>
                      <w:lang w:val="en-US" w:eastAsia="zh-CN" w:bidi="ar"/>
                    </w:rPr>
                    <w:t>F</w:t>
                  </w:r>
                </w:p>
              </w:tc>
              <w:tc>
                <w:tcPr>
                  <w:tcW w:w="407" w:type="pct"/>
                  <w:noWrap w:val="0"/>
                  <w:vAlign w:val="center"/>
                </w:tcPr>
                <w:p w14:paraId="134E4A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w:t>
                  </w:r>
                </w:p>
              </w:tc>
              <w:tc>
                <w:tcPr>
                  <w:tcW w:w="1830" w:type="pct"/>
                  <w:noWrap w:val="0"/>
                  <w:vAlign w:val="center"/>
                </w:tcPr>
                <w:p w14:paraId="4548A46E">
                  <w:pPr>
                    <w:keepNext w:val="0"/>
                    <w:keepLines w:val="0"/>
                    <w:widowControl/>
                    <w:suppressLineNumbers w:val="0"/>
                    <w:spacing w:before="0" w:beforeAutospacing="0" w:after="0" w:afterAutospacing="0" w:line="320" w:lineRule="exact"/>
                    <w:ind w:left="0" w:right="0"/>
                    <w:jc w:val="center"/>
                    <w:rPr>
                      <w:rFonts w:hint="default" w:ascii="Times New Roman" w:hAnsi="宋体" w:eastAsia="宋体" w:cs="Times New Roman"/>
                      <w:color w:val="auto"/>
                      <w:kern w:val="0"/>
                      <w:sz w:val="21"/>
                      <w:szCs w:val="21"/>
                      <w:lang w:val="en-US" w:eastAsia="zh-CN"/>
                    </w:rPr>
                  </w:pPr>
                  <w:r>
                    <w:rPr>
                      <w:rFonts w:hint="eastAsia" w:cs="Times New Roman"/>
                      <w:color w:val="auto"/>
                      <w:sz w:val="21"/>
                      <w:szCs w:val="21"/>
                      <w:lang w:val="en-US" w:eastAsia="zh-CN"/>
                    </w:rPr>
                    <w:t>已建</w:t>
                  </w:r>
                </w:p>
              </w:tc>
            </w:tr>
            <w:tr w14:paraId="3B4AD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39" w:type="pct"/>
                  <w:noWrap w:val="0"/>
                  <w:vAlign w:val="center"/>
                </w:tcPr>
                <w:p w14:paraId="0D045824">
                  <w:pPr>
                    <w:keepNext w:val="0"/>
                    <w:keepLines w:val="0"/>
                    <w:widowControl/>
                    <w:suppressLineNumbers w:val="0"/>
                    <w:spacing w:before="0" w:beforeAutospacing="0" w:after="0" w:afterAutospacing="0" w:line="320" w:lineRule="exact"/>
                    <w:ind w:left="0" w:right="0"/>
                    <w:jc w:val="center"/>
                    <w:rPr>
                      <w:rFonts w:hint="eastAsia" w:ascii="Times New Roman" w:hAnsi="Times New Roman" w:cs="Times New Roman"/>
                      <w:color w:val="auto"/>
                      <w:kern w:val="0"/>
                      <w:sz w:val="21"/>
                      <w:szCs w:val="21"/>
                      <w:lang w:val="en-US" w:eastAsia="zh-CN" w:bidi="ar-SA"/>
                    </w:rPr>
                  </w:pPr>
                  <w:r>
                    <w:rPr>
                      <w:rFonts w:hint="eastAsia" w:cs="Times New Roman"/>
                      <w:color w:val="auto"/>
                      <w:kern w:val="0"/>
                      <w:sz w:val="21"/>
                      <w:szCs w:val="21"/>
                      <w:lang w:val="en-US" w:eastAsia="zh-CN"/>
                    </w:rPr>
                    <w:t>6</w:t>
                  </w:r>
                </w:p>
              </w:tc>
              <w:tc>
                <w:tcPr>
                  <w:tcW w:w="697" w:type="pct"/>
                  <w:noWrap w:val="0"/>
                  <w:vAlign w:val="center"/>
                </w:tcPr>
                <w:p w14:paraId="02061F0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配电房</w:t>
                  </w:r>
                </w:p>
              </w:tc>
              <w:tc>
                <w:tcPr>
                  <w:tcW w:w="589" w:type="pct"/>
                  <w:noWrap w:val="0"/>
                  <w:vAlign w:val="center"/>
                </w:tcPr>
                <w:p w14:paraId="5E7261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100</w:t>
                  </w:r>
                </w:p>
              </w:tc>
              <w:tc>
                <w:tcPr>
                  <w:tcW w:w="729" w:type="pct"/>
                  <w:noWrap w:val="0"/>
                  <w:vAlign w:val="center"/>
                </w:tcPr>
                <w:p w14:paraId="59DD42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100</w:t>
                  </w:r>
                </w:p>
              </w:tc>
              <w:tc>
                <w:tcPr>
                  <w:tcW w:w="406" w:type="pct"/>
                  <w:noWrap w:val="0"/>
                  <w:vAlign w:val="center"/>
                </w:tcPr>
                <w:p w14:paraId="62F91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Style w:val="117"/>
                      <w:rFonts w:eastAsia="宋体"/>
                      <w:color w:val="auto"/>
                      <w:sz w:val="21"/>
                      <w:szCs w:val="21"/>
                      <w:lang w:val="en-US" w:eastAsia="zh-CN" w:bidi="ar"/>
                    </w:rPr>
                    <w:t>1F</w:t>
                  </w:r>
                </w:p>
              </w:tc>
              <w:tc>
                <w:tcPr>
                  <w:tcW w:w="407" w:type="pct"/>
                  <w:noWrap w:val="0"/>
                  <w:vAlign w:val="center"/>
                </w:tcPr>
                <w:p w14:paraId="63D2A84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830" w:type="pct"/>
                  <w:noWrap w:val="0"/>
                  <w:vAlign w:val="center"/>
                </w:tcPr>
                <w:p w14:paraId="1BB90B35">
                  <w:pPr>
                    <w:keepNext w:val="0"/>
                    <w:keepLines w:val="0"/>
                    <w:widowControl/>
                    <w:suppressLineNumbers w:val="0"/>
                    <w:spacing w:before="0" w:beforeAutospacing="0" w:after="0" w:afterAutospacing="0" w:line="320" w:lineRule="exact"/>
                    <w:ind w:left="0" w:right="0"/>
                    <w:jc w:val="center"/>
                    <w:rPr>
                      <w:rFonts w:hint="default" w:ascii="Times New Roman" w:hAnsi="宋体" w:eastAsia="宋体" w:cs="Times New Roman"/>
                      <w:color w:val="auto"/>
                      <w:kern w:val="0"/>
                      <w:sz w:val="21"/>
                      <w:szCs w:val="21"/>
                      <w:lang w:val="en-US" w:eastAsia="zh-CN"/>
                    </w:rPr>
                  </w:pPr>
                  <w:r>
                    <w:rPr>
                      <w:rFonts w:hint="eastAsia" w:cs="Times New Roman"/>
                      <w:color w:val="auto"/>
                      <w:sz w:val="21"/>
                      <w:szCs w:val="21"/>
                      <w:lang w:val="en-US" w:eastAsia="zh-CN"/>
                    </w:rPr>
                    <w:t>已建</w:t>
                  </w:r>
                </w:p>
              </w:tc>
            </w:tr>
            <w:tr w14:paraId="67B94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036" w:type="pct"/>
                  <w:gridSpan w:val="2"/>
                  <w:noWrap w:val="0"/>
                  <w:vAlign w:val="center"/>
                </w:tcPr>
                <w:p w14:paraId="6A6B22F9">
                  <w:pPr>
                    <w:keepNext w:val="0"/>
                    <w:keepLines w:val="0"/>
                    <w:widowControl/>
                    <w:suppressLineNumbers w:val="0"/>
                    <w:spacing w:before="0" w:beforeAutospacing="0" w:after="0" w:afterAutospacing="0" w:line="320" w:lineRule="exact"/>
                    <w:ind w:left="0" w:right="0"/>
                    <w:jc w:val="center"/>
                    <w:rPr>
                      <w:rFonts w:hint="eastAsia" w:ascii="Times New Roman" w:hAnsi="宋体" w:cs="Times New Roman"/>
                      <w:color w:val="auto"/>
                      <w:kern w:val="0"/>
                      <w:sz w:val="21"/>
                      <w:szCs w:val="21"/>
                    </w:rPr>
                  </w:pPr>
                  <w:r>
                    <w:rPr>
                      <w:rFonts w:hint="eastAsia" w:ascii="Times New Roman" w:hAnsi="Times New Roman" w:cs="Times New Roman"/>
                      <w:color w:val="auto"/>
                      <w:kern w:val="0"/>
                      <w:sz w:val="21"/>
                      <w:szCs w:val="21"/>
                    </w:rPr>
                    <w:t>合计</w:t>
                  </w:r>
                </w:p>
              </w:tc>
              <w:tc>
                <w:tcPr>
                  <w:tcW w:w="589" w:type="pct"/>
                  <w:shd w:val="clear" w:color="auto" w:fill="auto"/>
                  <w:noWrap w:val="0"/>
                  <w:vAlign w:val="center"/>
                </w:tcPr>
                <w:p w14:paraId="17435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14489.34</w:t>
                  </w:r>
                </w:p>
              </w:tc>
              <w:tc>
                <w:tcPr>
                  <w:tcW w:w="729" w:type="pct"/>
                  <w:shd w:val="clear" w:color="auto" w:fill="auto"/>
                  <w:noWrap w:val="0"/>
                  <w:vAlign w:val="center"/>
                </w:tcPr>
                <w:p w14:paraId="6C8323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18973.54</w:t>
                  </w:r>
                </w:p>
              </w:tc>
              <w:tc>
                <w:tcPr>
                  <w:tcW w:w="406" w:type="pct"/>
                  <w:noWrap w:val="0"/>
                  <w:vAlign w:val="center"/>
                </w:tcPr>
                <w:p w14:paraId="1260C4BD">
                  <w:pPr>
                    <w:keepNext w:val="0"/>
                    <w:keepLines w:val="0"/>
                    <w:widowControl/>
                    <w:suppressLineNumbers w:val="0"/>
                    <w:spacing w:before="0" w:beforeAutospacing="0" w:after="0" w:afterAutospacing="0" w:line="320" w:lineRule="exact"/>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407" w:type="pct"/>
                  <w:noWrap w:val="0"/>
                  <w:vAlign w:val="center"/>
                </w:tcPr>
                <w:p w14:paraId="10612EEB">
                  <w:pPr>
                    <w:keepNext w:val="0"/>
                    <w:keepLines w:val="0"/>
                    <w:widowControl/>
                    <w:suppressLineNumbers w:val="0"/>
                    <w:spacing w:before="0" w:beforeAutospacing="0" w:after="0" w:afterAutospacing="0" w:line="320" w:lineRule="exact"/>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c>
                <w:tcPr>
                  <w:tcW w:w="1830" w:type="pct"/>
                  <w:noWrap w:val="0"/>
                  <w:vAlign w:val="center"/>
                </w:tcPr>
                <w:p w14:paraId="5F293F5F">
                  <w:pPr>
                    <w:keepNext w:val="0"/>
                    <w:keepLines w:val="0"/>
                    <w:widowControl/>
                    <w:suppressLineNumbers w:val="0"/>
                    <w:spacing w:before="0" w:beforeAutospacing="0" w:after="0" w:afterAutospacing="0" w:line="320" w:lineRule="exact"/>
                    <w:ind w:left="0" w:right="0"/>
                    <w:jc w:val="center"/>
                    <w:rPr>
                      <w:rFonts w:hint="eastAsia" w:ascii="Times New Roman" w:hAnsi="Times New Roman" w:cs="Times New Roman"/>
                      <w:color w:val="auto"/>
                      <w:kern w:val="0"/>
                      <w:sz w:val="21"/>
                      <w:szCs w:val="21"/>
                    </w:rPr>
                  </w:pPr>
                  <w:r>
                    <w:rPr>
                      <w:rFonts w:hint="eastAsia" w:ascii="Times New Roman" w:hAnsi="Times New Roman" w:cs="Times New Roman"/>
                      <w:color w:val="auto"/>
                      <w:kern w:val="0"/>
                      <w:sz w:val="21"/>
                      <w:szCs w:val="21"/>
                    </w:rPr>
                    <w:t>/</w:t>
                  </w:r>
                </w:p>
              </w:tc>
            </w:tr>
          </w:tbl>
          <w:p w14:paraId="598EB4DF">
            <w:pPr>
              <w:keepNext w:val="0"/>
              <w:keepLines w:val="0"/>
              <w:suppressLineNumbers w:val="0"/>
              <w:spacing w:before="0" w:beforeAutospacing="0" w:after="0" w:afterAutospacing="0" w:line="240" w:lineRule="auto"/>
              <w:ind w:left="0" w:right="0"/>
              <w:jc w:val="left"/>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备注：本次技改项目不新增建筑面积，主体工程均依托现有。</w:t>
            </w:r>
          </w:p>
          <w:p w14:paraId="0A48FEDD">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w:t>
            </w:r>
            <w:r>
              <w:rPr>
                <w:rFonts w:hint="eastAsia" w:ascii="Times New Roman" w:hAnsi="Times New Roman" w:cs="Times New Roman"/>
                <w:b/>
                <w:color w:val="auto"/>
                <w:sz w:val="24"/>
              </w:rPr>
              <w:t>2.1-</w:t>
            </w:r>
            <w:r>
              <w:rPr>
                <w:rFonts w:hint="eastAsia" w:ascii="Times New Roman" w:hAnsi="Times New Roman" w:cs="Times New Roman"/>
                <w:b/>
                <w:color w:val="auto"/>
                <w:sz w:val="24"/>
                <w:lang w:val="en-US" w:eastAsia="zh-CN"/>
              </w:rPr>
              <w:t>3</w:t>
            </w:r>
            <w:r>
              <w:rPr>
                <w:rFonts w:hint="eastAsia" w:cs="Times New Roman"/>
                <w:b/>
                <w:color w:val="auto"/>
                <w:sz w:val="24"/>
                <w:lang w:val="en-US" w:eastAsia="zh-CN"/>
              </w:rPr>
              <w:t>-1</w:t>
            </w:r>
            <w:r>
              <w:rPr>
                <w:rFonts w:hint="default" w:ascii="Times New Roman" w:hAnsi="Times New Roman" w:cs="Times New Roman"/>
                <w:b/>
                <w:color w:val="auto"/>
                <w:sz w:val="24"/>
              </w:rPr>
              <w:t xml:space="preserve">  建设项目公用及辅助工程一览表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5"/>
              <w:gridCol w:w="220"/>
              <w:gridCol w:w="1204"/>
              <w:gridCol w:w="1963"/>
              <w:gridCol w:w="1963"/>
              <w:gridCol w:w="751"/>
              <w:gridCol w:w="2069"/>
            </w:tblGrid>
            <w:tr w14:paraId="541B27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restart"/>
                  <w:noWrap w:val="0"/>
                  <w:vAlign w:val="center"/>
                </w:tcPr>
                <w:p w14:paraId="1D483677">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类型</w:t>
                  </w:r>
                </w:p>
              </w:tc>
              <w:tc>
                <w:tcPr>
                  <w:tcW w:w="995" w:type="pct"/>
                  <w:vMerge w:val="restart"/>
                  <w:noWrap w:val="0"/>
                  <w:vAlign w:val="center"/>
                </w:tcPr>
                <w:p w14:paraId="62365C96">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建筑名称</w:t>
                  </w:r>
                </w:p>
              </w:tc>
              <w:tc>
                <w:tcPr>
                  <w:tcW w:w="2369" w:type="pct"/>
                  <w:gridSpan w:val="3"/>
                  <w:noWrap w:val="0"/>
                  <w:vAlign w:val="center"/>
                </w:tcPr>
                <w:p w14:paraId="19EC2E15">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设计能力</w:t>
                  </w:r>
                </w:p>
              </w:tc>
              <w:tc>
                <w:tcPr>
                  <w:tcW w:w="1373" w:type="pct"/>
                  <w:vMerge w:val="restart"/>
                  <w:noWrap w:val="0"/>
                  <w:vAlign w:val="center"/>
                </w:tcPr>
                <w:p w14:paraId="60F64810">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14:paraId="09C7E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4B124B93">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p>
              </w:tc>
              <w:tc>
                <w:tcPr>
                  <w:tcW w:w="995" w:type="pct"/>
                  <w:vMerge w:val="continue"/>
                  <w:noWrap w:val="0"/>
                  <w:vAlign w:val="center"/>
                </w:tcPr>
                <w:p w14:paraId="2D0F3884">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p>
              </w:tc>
              <w:tc>
                <w:tcPr>
                  <w:tcW w:w="817" w:type="pct"/>
                  <w:noWrap w:val="0"/>
                  <w:vAlign w:val="center"/>
                </w:tcPr>
                <w:p w14:paraId="4C5FCA84">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技改前</w:t>
                  </w:r>
                </w:p>
              </w:tc>
              <w:tc>
                <w:tcPr>
                  <w:tcW w:w="965" w:type="pct"/>
                  <w:noWrap w:val="0"/>
                  <w:vAlign w:val="center"/>
                </w:tcPr>
                <w:p w14:paraId="3AD1C32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技改后全厂</w:t>
                  </w:r>
                </w:p>
              </w:tc>
              <w:tc>
                <w:tcPr>
                  <w:tcW w:w="586" w:type="pct"/>
                  <w:noWrap w:val="0"/>
                  <w:vAlign w:val="center"/>
                </w:tcPr>
                <w:p w14:paraId="41C822F8">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eastAsia" w:ascii="Times New Roman" w:hAnsi="Times New Roman" w:cs="Times New Roman"/>
                      <w:b/>
                      <w:color w:val="auto"/>
                      <w:szCs w:val="21"/>
                      <w:lang w:val="en-US" w:eastAsia="zh-CN"/>
                    </w:rPr>
                    <w:t>变化量</w:t>
                  </w:r>
                </w:p>
              </w:tc>
              <w:tc>
                <w:tcPr>
                  <w:tcW w:w="1373" w:type="pct"/>
                  <w:vMerge w:val="continue"/>
                  <w:noWrap w:val="0"/>
                  <w:vAlign w:val="center"/>
                </w:tcPr>
                <w:p w14:paraId="44F4B7A6">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p>
              </w:tc>
            </w:tr>
            <w:tr w14:paraId="037F6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restart"/>
                  <w:noWrap w:val="0"/>
                  <w:vAlign w:val="center"/>
                </w:tcPr>
                <w:p w14:paraId="4EBE6C3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贮运工程</w:t>
                  </w:r>
                </w:p>
              </w:tc>
              <w:tc>
                <w:tcPr>
                  <w:tcW w:w="995" w:type="pct"/>
                  <w:noWrap w:val="0"/>
                  <w:vAlign w:val="center"/>
                </w:tcPr>
                <w:p w14:paraId="7713C46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原料仓库</w:t>
                  </w:r>
                </w:p>
              </w:tc>
              <w:tc>
                <w:tcPr>
                  <w:tcW w:w="817" w:type="pct"/>
                  <w:noWrap w:val="0"/>
                  <w:vAlign w:val="center"/>
                </w:tcPr>
                <w:p w14:paraId="40CF7C6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1390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965" w:type="pct"/>
                  <w:noWrap w:val="0"/>
                  <w:vAlign w:val="center"/>
                </w:tcPr>
                <w:p w14:paraId="622883E2">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s="Times New Roman"/>
                      <w:color w:val="auto"/>
                      <w:szCs w:val="21"/>
                      <w:lang w:val="en-US" w:eastAsia="zh-CN"/>
                    </w:rPr>
                    <w:t>1390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586" w:type="pct"/>
                  <w:noWrap w:val="0"/>
                  <w:vAlign w:val="center"/>
                </w:tcPr>
                <w:p w14:paraId="1821656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373" w:type="pct"/>
                  <w:noWrap w:val="0"/>
                  <w:vAlign w:val="center"/>
                </w:tcPr>
                <w:p w14:paraId="4BBBDB9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依托原有，</w:t>
                  </w:r>
                  <w:r>
                    <w:rPr>
                      <w:rFonts w:hint="eastAsia" w:cs="Times New Roman"/>
                      <w:color w:val="auto"/>
                      <w:szCs w:val="21"/>
                      <w:lang w:val="en-US" w:eastAsia="zh-CN"/>
                    </w:rPr>
                    <w:t>其中</w:t>
                  </w:r>
                  <w:r>
                    <w:rPr>
                      <w:rFonts w:hint="eastAsia" w:ascii="Times New Roman" w:hAnsi="Times New Roman" w:cs="Times New Roman"/>
                      <w:color w:val="auto"/>
                      <w:kern w:val="0"/>
                      <w:szCs w:val="21"/>
                      <w:lang w:val="en-US" w:eastAsia="zh-CN"/>
                    </w:rPr>
                    <w:t>车间二</w:t>
                  </w:r>
                  <w:r>
                    <w:rPr>
                      <w:rFonts w:hint="eastAsia" w:cs="Times New Roman"/>
                      <w:color w:val="auto"/>
                      <w:kern w:val="0"/>
                      <w:szCs w:val="21"/>
                      <w:lang w:val="en-US" w:eastAsia="zh-CN"/>
                    </w:rPr>
                    <w:t>内1150m</w:t>
                  </w:r>
                  <w:r>
                    <w:rPr>
                      <w:rFonts w:hint="eastAsia" w:cs="Times New Roman"/>
                      <w:color w:val="auto"/>
                      <w:kern w:val="0"/>
                      <w:szCs w:val="21"/>
                      <w:vertAlign w:val="superscript"/>
                      <w:lang w:val="en-US" w:eastAsia="zh-CN"/>
                    </w:rPr>
                    <w:t>2</w:t>
                  </w:r>
                  <w:r>
                    <w:rPr>
                      <w:rFonts w:hint="eastAsia" w:ascii="Times New Roman" w:hAnsi="Times New Roman" w:cs="Times New Roman"/>
                      <w:color w:val="auto"/>
                      <w:kern w:val="0"/>
                      <w:szCs w:val="21"/>
                      <w:lang w:val="en-US" w:eastAsia="zh-CN"/>
                    </w:rPr>
                    <w:t>，</w:t>
                  </w:r>
                  <w:r>
                    <w:rPr>
                      <w:rFonts w:hint="eastAsia" w:cs="Times New Roman"/>
                      <w:color w:val="auto"/>
                      <w:kern w:val="0"/>
                      <w:szCs w:val="21"/>
                      <w:lang w:val="en-US" w:eastAsia="zh-CN"/>
                    </w:rPr>
                    <w:t>车间三内240m</w:t>
                  </w:r>
                  <w:r>
                    <w:rPr>
                      <w:rFonts w:hint="eastAsia" w:cs="Times New Roman"/>
                      <w:color w:val="auto"/>
                      <w:kern w:val="0"/>
                      <w:szCs w:val="21"/>
                      <w:vertAlign w:val="superscript"/>
                      <w:lang w:val="en-US" w:eastAsia="zh-CN"/>
                    </w:rPr>
                    <w:t>2</w:t>
                  </w:r>
                  <w:r>
                    <w:rPr>
                      <w:rFonts w:hint="eastAsia" w:ascii="Times New Roman" w:hAnsi="Times New Roman" w:cs="Times New Roman"/>
                      <w:color w:val="auto"/>
                      <w:kern w:val="0"/>
                      <w:szCs w:val="21"/>
                      <w:lang w:val="en-US" w:eastAsia="zh-CN"/>
                    </w:rPr>
                    <w:t>，用于存放原料</w:t>
                  </w:r>
                </w:p>
              </w:tc>
            </w:tr>
            <w:tr w14:paraId="6D677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02929B4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95" w:type="pct"/>
                  <w:noWrap w:val="0"/>
                  <w:vAlign w:val="center"/>
                </w:tcPr>
                <w:p w14:paraId="179FEBCE">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成品仓库</w:t>
                  </w:r>
                </w:p>
              </w:tc>
              <w:tc>
                <w:tcPr>
                  <w:tcW w:w="817" w:type="pct"/>
                  <w:noWrap w:val="0"/>
                  <w:vAlign w:val="center"/>
                </w:tcPr>
                <w:p w14:paraId="0F63D0AC">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s="Times New Roman"/>
                      <w:color w:val="auto"/>
                      <w:szCs w:val="21"/>
                      <w:lang w:val="en-US" w:eastAsia="zh-CN"/>
                    </w:rPr>
                    <w:t>380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965" w:type="pct"/>
                  <w:noWrap w:val="0"/>
                  <w:vAlign w:val="center"/>
                </w:tcPr>
                <w:p w14:paraId="4C10B77C">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s="Times New Roman"/>
                      <w:color w:val="auto"/>
                      <w:szCs w:val="21"/>
                      <w:lang w:val="en-US" w:eastAsia="zh-CN"/>
                    </w:rPr>
                    <w:t>380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586" w:type="pct"/>
                  <w:noWrap w:val="0"/>
                  <w:vAlign w:val="center"/>
                </w:tcPr>
                <w:p w14:paraId="3028C388">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lang w:val="en-US" w:eastAsia="zh-CN"/>
                    </w:rPr>
                    <w:t>0</w:t>
                  </w:r>
                </w:p>
              </w:tc>
              <w:tc>
                <w:tcPr>
                  <w:tcW w:w="1373" w:type="pct"/>
                  <w:noWrap w:val="0"/>
                  <w:vAlign w:val="center"/>
                </w:tcPr>
                <w:p w14:paraId="38D5E7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依托原有，</w:t>
                  </w:r>
                  <w:r>
                    <w:rPr>
                      <w:rFonts w:hint="eastAsia" w:ascii="Times New Roman" w:hAnsi="Times New Roman" w:cs="Times New Roman"/>
                      <w:color w:val="auto"/>
                      <w:szCs w:val="21"/>
                    </w:rPr>
                    <w:t>位于</w:t>
                  </w:r>
                  <w:r>
                    <w:rPr>
                      <w:rFonts w:hint="eastAsia" w:ascii="Times New Roman" w:hAnsi="Times New Roman" w:cs="Times New Roman"/>
                      <w:color w:val="auto"/>
                      <w:kern w:val="0"/>
                      <w:szCs w:val="21"/>
                      <w:lang w:val="en-US" w:eastAsia="zh-CN"/>
                    </w:rPr>
                    <w:t>车间三，用于存放成品</w:t>
                  </w:r>
                </w:p>
              </w:tc>
            </w:tr>
            <w:tr w14:paraId="000F6C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2F3A5F6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95" w:type="pct"/>
                  <w:noWrap w:val="0"/>
                  <w:vAlign w:val="center"/>
                </w:tcPr>
                <w:p w14:paraId="54A1A626">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液态</w:t>
                  </w:r>
                  <w:r>
                    <w:rPr>
                      <w:rFonts w:hint="eastAsia" w:cs="Times New Roman"/>
                      <w:color w:val="auto"/>
                      <w:szCs w:val="21"/>
                      <w:lang w:val="en-US" w:eastAsia="zh-CN"/>
                    </w:rPr>
                    <w:t>氩气</w:t>
                  </w:r>
                  <w:r>
                    <w:rPr>
                      <w:rFonts w:hint="eastAsia" w:ascii="Times New Roman" w:hAnsi="Times New Roman" w:cs="Times New Roman"/>
                      <w:color w:val="auto"/>
                      <w:szCs w:val="21"/>
                      <w:lang w:val="en-US" w:eastAsia="zh-CN"/>
                    </w:rPr>
                    <w:t>储罐区</w:t>
                  </w:r>
                </w:p>
              </w:tc>
              <w:tc>
                <w:tcPr>
                  <w:tcW w:w="817" w:type="pct"/>
                  <w:noWrap w:val="0"/>
                  <w:vAlign w:val="center"/>
                </w:tcPr>
                <w:p w14:paraId="5EF9CDC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965" w:type="pct"/>
                  <w:noWrap w:val="0"/>
                  <w:vAlign w:val="center"/>
                </w:tcPr>
                <w:p w14:paraId="0E8B242E">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s="Times New Roman"/>
                      <w:color w:val="auto"/>
                      <w:szCs w:val="21"/>
                      <w:lang w:val="en-US" w:eastAsia="zh-CN"/>
                    </w:rPr>
                    <w:t>2</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586" w:type="pct"/>
                  <w:noWrap w:val="0"/>
                  <w:vAlign w:val="center"/>
                </w:tcPr>
                <w:p w14:paraId="7ED0DE32">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373" w:type="pct"/>
                  <w:noWrap w:val="0"/>
                  <w:vAlign w:val="center"/>
                </w:tcPr>
                <w:p w14:paraId="4D93E3EE">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原有，设置1个</w:t>
                  </w:r>
                  <w:r>
                    <w:rPr>
                      <w:rFonts w:hint="eastAsia" w:cs="Times New Roman"/>
                      <w:color w:val="auto"/>
                      <w:sz w:val="21"/>
                      <w:lang w:val="en-US" w:eastAsia="zh-CN"/>
                    </w:rPr>
                    <w:t>4</w:t>
                  </w:r>
                  <w:r>
                    <w:rPr>
                      <w:rFonts w:hint="eastAsia" w:ascii="Times New Roman" w:hAnsi="Times New Roman" w:cs="Times New Roman"/>
                      <w:color w:val="auto"/>
                      <w:sz w:val="21"/>
                    </w:rPr>
                    <w:t>m</w:t>
                  </w:r>
                  <w:r>
                    <w:rPr>
                      <w:rFonts w:hint="eastAsia" w:ascii="Times New Roman" w:hAnsi="Times New Roman" w:cs="Times New Roman"/>
                      <w:color w:val="auto"/>
                      <w:sz w:val="21"/>
                      <w:vertAlign w:val="superscript"/>
                    </w:rPr>
                    <w:t>3</w:t>
                  </w:r>
                  <w:r>
                    <w:rPr>
                      <w:rFonts w:hint="eastAsia" w:ascii="Times New Roman" w:hAnsi="Times New Roman" w:cs="Times New Roman"/>
                      <w:color w:val="auto"/>
                      <w:szCs w:val="21"/>
                      <w:lang w:val="en-US" w:eastAsia="zh-CN"/>
                    </w:rPr>
                    <w:t>液态</w:t>
                  </w:r>
                  <w:r>
                    <w:rPr>
                      <w:rFonts w:hint="eastAsia" w:cs="Times New Roman"/>
                      <w:color w:val="auto"/>
                      <w:szCs w:val="21"/>
                      <w:lang w:val="en-US" w:eastAsia="zh-CN"/>
                    </w:rPr>
                    <w:t>氩气</w:t>
                  </w:r>
                  <w:r>
                    <w:rPr>
                      <w:rFonts w:hint="eastAsia" w:ascii="Times New Roman" w:hAnsi="Times New Roman" w:cs="Times New Roman"/>
                      <w:color w:val="auto"/>
                      <w:szCs w:val="21"/>
                      <w:lang w:val="en-US" w:eastAsia="zh-CN"/>
                    </w:rPr>
                    <w:t>储罐</w:t>
                  </w:r>
                </w:p>
              </w:tc>
            </w:tr>
            <w:tr w14:paraId="60884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71275DC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95" w:type="pct"/>
                  <w:noWrap w:val="0"/>
                  <w:vAlign w:val="center"/>
                </w:tcPr>
                <w:p w14:paraId="0C311F5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液态原料库</w:t>
                  </w:r>
                </w:p>
              </w:tc>
              <w:tc>
                <w:tcPr>
                  <w:tcW w:w="817" w:type="pct"/>
                  <w:noWrap w:val="0"/>
                  <w:vAlign w:val="center"/>
                </w:tcPr>
                <w:p w14:paraId="4AD70EF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965" w:type="pct"/>
                  <w:noWrap w:val="0"/>
                  <w:vAlign w:val="center"/>
                </w:tcPr>
                <w:p w14:paraId="5086D2A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586" w:type="pct"/>
                  <w:noWrap w:val="0"/>
                  <w:vAlign w:val="center"/>
                </w:tcPr>
                <w:p w14:paraId="4DC5EAC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373" w:type="pct"/>
                  <w:noWrap w:val="0"/>
                  <w:vAlign w:val="center"/>
                </w:tcPr>
                <w:p w14:paraId="4E46E7B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新增，位于车间三内，用于存放切削液、乳化油、润滑油</w:t>
                  </w:r>
                </w:p>
              </w:tc>
            </w:tr>
            <w:tr w14:paraId="73F4D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242C640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95" w:type="pct"/>
                  <w:noWrap w:val="0"/>
                  <w:vAlign w:val="center"/>
                </w:tcPr>
                <w:p w14:paraId="25ADC9D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钢瓶区</w:t>
                  </w:r>
                </w:p>
              </w:tc>
              <w:tc>
                <w:tcPr>
                  <w:tcW w:w="817" w:type="pct"/>
                  <w:noWrap w:val="0"/>
                  <w:vAlign w:val="center"/>
                </w:tcPr>
                <w:p w14:paraId="6D54849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965" w:type="pct"/>
                  <w:noWrap w:val="0"/>
                  <w:vAlign w:val="center"/>
                </w:tcPr>
                <w:p w14:paraId="3A52D33A">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cs="Times New Roman"/>
                      <w:color w:val="auto"/>
                      <w:szCs w:val="21"/>
                      <w:lang w:val="en-US" w:eastAsia="zh-CN"/>
                    </w:rPr>
                    <w:t>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586" w:type="pct"/>
                  <w:noWrap w:val="0"/>
                  <w:vAlign w:val="center"/>
                </w:tcPr>
                <w:p w14:paraId="6DEF6A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1373" w:type="pct"/>
                  <w:noWrap w:val="0"/>
                  <w:vAlign w:val="center"/>
                </w:tcPr>
                <w:p w14:paraId="31A2672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用于存放二氧化碳、氩气钢瓶</w:t>
                  </w:r>
                </w:p>
              </w:tc>
            </w:tr>
            <w:tr w14:paraId="4254E0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restart"/>
                  <w:noWrap w:val="0"/>
                  <w:vAlign w:val="center"/>
                </w:tcPr>
                <w:p w14:paraId="1255FA3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公用工程</w:t>
                  </w:r>
                </w:p>
              </w:tc>
              <w:tc>
                <w:tcPr>
                  <w:tcW w:w="995" w:type="pct"/>
                  <w:noWrap w:val="0"/>
                  <w:vAlign w:val="center"/>
                </w:tcPr>
                <w:p w14:paraId="14DB622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供配电系统</w:t>
                  </w:r>
                </w:p>
              </w:tc>
              <w:tc>
                <w:tcPr>
                  <w:tcW w:w="817" w:type="pct"/>
                  <w:noWrap w:val="0"/>
                  <w:vAlign w:val="center"/>
                </w:tcPr>
                <w:p w14:paraId="6C3FBE7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1600</w:t>
                  </w:r>
                  <w:r>
                    <w:rPr>
                      <w:rFonts w:hint="default" w:ascii="Times New Roman" w:hAnsi="Times New Roman" w:cs="Times New Roman"/>
                      <w:color w:val="auto"/>
                      <w:szCs w:val="21"/>
                    </w:rPr>
                    <w:t>万k</w:t>
                  </w:r>
                  <w:r>
                    <w:rPr>
                      <w:rFonts w:hint="eastAsia" w:cs="Times New Roman"/>
                      <w:color w:val="auto"/>
                      <w:szCs w:val="21"/>
                      <w:lang w:val="en-US" w:eastAsia="zh-CN"/>
                    </w:rPr>
                    <w:t>W</w:t>
                  </w:r>
                  <w:r>
                    <w:rPr>
                      <w:rFonts w:hint="default" w:ascii="Times New Roman" w:hAnsi="Times New Roman" w:cs="Times New Roman"/>
                      <w:color w:val="auto"/>
                      <w:szCs w:val="21"/>
                    </w:rPr>
                    <w:t>h/a</w:t>
                  </w:r>
                </w:p>
              </w:tc>
              <w:tc>
                <w:tcPr>
                  <w:tcW w:w="965" w:type="pct"/>
                  <w:noWrap w:val="0"/>
                  <w:vAlign w:val="center"/>
                </w:tcPr>
                <w:p w14:paraId="5CB35019">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s="Times New Roman"/>
                      <w:color w:val="auto"/>
                      <w:szCs w:val="21"/>
                      <w:lang w:val="en-US" w:eastAsia="zh-CN"/>
                    </w:rPr>
                    <w:t>2400</w:t>
                  </w:r>
                  <w:r>
                    <w:rPr>
                      <w:rFonts w:hint="default" w:ascii="Times New Roman" w:hAnsi="Times New Roman" w:cs="Times New Roman"/>
                      <w:color w:val="auto"/>
                      <w:szCs w:val="21"/>
                    </w:rPr>
                    <w:t>万k</w:t>
                  </w:r>
                  <w:r>
                    <w:rPr>
                      <w:rFonts w:hint="eastAsia" w:cs="Times New Roman"/>
                      <w:color w:val="auto"/>
                      <w:szCs w:val="21"/>
                      <w:lang w:val="en-US" w:eastAsia="zh-CN"/>
                    </w:rPr>
                    <w:t>W</w:t>
                  </w:r>
                  <w:r>
                    <w:rPr>
                      <w:rFonts w:hint="default" w:ascii="Times New Roman" w:hAnsi="Times New Roman" w:cs="Times New Roman"/>
                      <w:color w:val="auto"/>
                      <w:szCs w:val="21"/>
                    </w:rPr>
                    <w:t>h/a</w:t>
                  </w:r>
                </w:p>
              </w:tc>
              <w:tc>
                <w:tcPr>
                  <w:tcW w:w="586" w:type="pct"/>
                  <w:noWrap w:val="0"/>
                  <w:vAlign w:val="center"/>
                </w:tcPr>
                <w:p w14:paraId="48847A0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r>
                    <w:rPr>
                      <w:rFonts w:hint="eastAsia" w:cs="Times New Roman"/>
                      <w:color w:val="auto"/>
                      <w:szCs w:val="21"/>
                      <w:lang w:val="en-US" w:eastAsia="zh-CN"/>
                    </w:rPr>
                    <w:t>800</w:t>
                  </w:r>
                  <w:r>
                    <w:rPr>
                      <w:rFonts w:hint="default" w:ascii="Times New Roman" w:hAnsi="Times New Roman" w:cs="Times New Roman"/>
                      <w:color w:val="auto"/>
                      <w:szCs w:val="21"/>
                    </w:rPr>
                    <w:t>万k</w:t>
                  </w:r>
                  <w:r>
                    <w:rPr>
                      <w:rFonts w:hint="eastAsia" w:cs="Times New Roman"/>
                      <w:color w:val="auto"/>
                      <w:szCs w:val="21"/>
                      <w:lang w:val="en-US" w:eastAsia="zh-CN"/>
                    </w:rPr>
                    <w:t>W</w:t>
                  </w:r>
                  <w:r>
                    <w:rPr>
                      <w:rFonts w:hint="default" w:ascii="Times New Roman" w:hAnsi="Times New Roman" w:cs="Times New Roman"/>
                      <w:color w:val="auto"/>
                      <w:szCs w:val="21"/>
                    </w:rPr>
                    <w:t>h/a</w:t>
                  </w:r>
                </w:p>
              </w:tc>
              <w:tc>
                <w:tcPr>
                  <w:tcW w:w="1373" w:type="pct"/>
                  <w:noWrap w:val="0"/>
                  <w:vAlign w:val="center"/>
                </w:tcPr>
                <w:p w14:paraId="66BAA5F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市政电网供给</w:t>
                  </w:r>
                </w:p>
              </w:tc>
            </w:tr>
            <w:tr w14:paraId="3AFC3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3224B8D9">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95" w:type="pct"/>
                  <w:noWrap w:val="0"/>
                  <w:vAlign w:val="center"/>
                </w:tcPr>
                <w:p w14:paraId="3518C0A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给水系统</w:t>
                  </w:r>
                </w:p>
              </w:tc>
              <w:tc>
                <w:tcPr>
                  <w:tcW w:w="817" w:type="pct"/>
                  <w:noWrap w:val="0"/>
                  <w:vAlign w:val="center"/>
                </w:tcPr>
                <w:p w14:paraId="27997812">
                  <w:pPr>
                    <w:keepNext w:val="0"/>
                    <w:keepLines w:val="0"/>
                    <w:suppressLineNumbers w:val="0"/>
                    <w:spacing w:before="0" w:beforeAutospacing="0" w:after="0" w:afterAutospacing="0" w:line="28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21135</w:t>
                  </w:r>
                  <w:r>
                    <w:rPr>
                      <w:rFonts w:hint="eastAsia" w:ascii="Times New Roman" w:hAnsi="Times New Roman" w:cs="Times New Roman"/>
                      <w:color w:val="auto"/>
                      <w:szCs w:val="21"/>
                      <w:lang w:val="en-US" w:eastAsia="zh-CN"/>
                    </w:rPr>
                    <w:t>t/a</w:t>
                  </w:r>
                </w:p>
              </w:tc>
              <w:tc>
                <w:tcPr>
                  <w:tcW w:w="965" w:type="pct"/>
                  <w:noWrap w:val="0"/>
                  <w:vAlign w:val="center"/>
                </w:tcPr>
                <w:p w14:paraId="2DB9E4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22115</w:t>
                  </w:r>
                  <w:r>
                    <w:rPr>
                      <w:rFonts w:hint="eastAsia" w:ascii="Times New Roman" w:hAnsi="Times New Roman" w:cs="Times New Roman"/>
                      <w:color w:val="auto"/>
                      <w:szCs w:val="21"/>
                      <w:lang w:val="en-US" w:eastAsia="zh-CN"/>
                    </w:rPr>
                    <w:t>t/a</w:t>
                  </w:r>
                </w:p>
              </w:tc>
              <w:tc>
                <w:tcPr>
                  <w:tcW w:w="586" w:type="pct"/>
                  <w:noWrap w:val="0"/>
                  <w:vAlign w:val="center"/>
                </w:tcPr>
                <w:p w14:paraId="382C6C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980</w:t>
                  </w:r>
                  <w:r>
                    <w:rPr>
                      <w:rFonts w:hint="eastAsia" w:ascii="Times New Roman" w:hAnsi="Times New Roman" w:cs="Times New Roman"/>
                      <w:color w:val="auto"/>
                      <w:szCs w:val="21"/>
                      <w:lang w:val="en-US" w:eastAsia="zh-CN"/>
                    </w:rPr>
                    <w:t>t/a</w:t>
                  </w:r>
                </w:p>
              </w:tc>
              <w:tc>
                <w:tcPr>
                  <w:tcW w:w="1373" w:type="pct"/>
                  <w:noWrap w:val="0"/>
                  <w:vAlign w:val="center"/>
                </w:tcPr>
                <w:p w14:paraId="21F3B72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区域给水管网</w:t>
                  </w:r>
                </w:p>
              </w:tc>
            </w:tr>
            <w:tr w14:paraId="0DC0E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258A3858">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95" w:type="pct"/>
                  <w:noWrap w:val="0"/>
                  <w:vAlign w:val="center"/>
                </w:tcPr>
                <w:p w14:paraId="7970CB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天然气</w:t>
                  </w:r>
                </w:p>
              </w:tc>
              <w:tc>
                <w:tcPr>
                  <w:tcW w:w="817" w:type="pct"/>
                  <w:shd w:val="clear" w:color="auto" w:fill="auto"/>
                  <w:noWrap w:val="0"/>
                  <w:vAlign w:val="center"/>
                </w:tcPr>
                <w:p w14:paraId="0DBCDF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w:t>
                  </w:r>
                </w:p>
              </w:tc>
              <w:tc>
                <w:tcPr>
                  <w:tcW w:w="965" w:type="pct"/>
                  <w:shd w:val="clear" w:color="auto" w:fill="auto"/>
                  <w:noWrap w:val="0"/>
                  <w:vAlign w:val="center"/>
                </w:tcPr>
                <w:p w14:paraId="5053316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120万</w:t>
                  </w:r>
                  <w:r>
                    <w:rPr>
                      <w:rFonts w:hint="eastAsia" w:ascii="Times New Roman" w:hAnsi="Times New Roman" w:eastAsia="宋体" w:cs="Times New Roman"/>
                      <w:i w:val="0"/>
                      <w:iCs w:val="0"/>
                      <w:color w:val="auto"/>
                      <w:kern w:val="2"/>
                      <w:sz w:val="21"/>
                      <w:szCs w:val="21"/>
                      <w:u w:val="none"/>
                      <w:lang w:val="en-US" w:eastAsia="zh-CN" w:bidi="ar-SA"/>
                    </w:rPr>
                    <w:t>m</w:t>
                  </w:r>
                  <w:r>
                    <w:rPr>
                      <w:rFonts w:hint="eastAsia" w:ascii="Times New Roman" w:hAnsi="Times New Roman" w:eastAsia="宋体" w:cs="Times New Roman"/>
                      <w:i w:val="0"/>
                      <w:iCs w:val="0"/>
                      <w:color w:val="auto"/>
                      <w:kern w:val="2"/>
                      <w:sz w:val="21"/>
                      <w:szCs w:val="21"/>
                      <w:u w:val="none"/>
                      <w:vertAlign w:val="superscript"/>
                      <w:lang w:val="en-US" w:eastAsia="zh-CN" w:bidi="ar-SA"/>
                    </w:rPr>
                    <w:t>3</w:t>
                  </w:r>
                  <w:r>
                    <w:rPr>
                      <w:rFonts w:hint="default" w:ascii="Times New Roman" w:hAnsi="Times New Roman" w:cs="Times New Roman"/>
                      <w:color w:val="auto"/>
                      <w:szCs w:val="21"/>
                    </w:rPr>
                    <w:t>/a</w:t>
                  </w:r>
                </w:p>
              </w:tc>
              <w:tc>
                <w:tcPr>
                  <w:tcW w:w="586" w:type="pct"/>
                  <w:shd w:val="clear" w:color="auto" w:fill="auto"/>
                  <w:noWrap w:val="0"/>
                  <w:vAlign w:val="center"/>
                </w:tcPr>
                <w:p w14:paraId="5C2DA7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+120万</w:t>
                  </w:r>
                  <w:r>
                    <w:rPr>
                      <w:rFonts w:hint="eastAsia" w:ascii="Times New Roman" w:hAnsi="Times New Roman" w:eastAsia="宋体" w:cs="Times New Roman"/>
                      <w:i w:val="0"/>
                      <w:iCs w:val="0"/>
                      <w:color w:val="auto"/>
                      <w:kern w:val="2"/>
                      <w:sz w:val="21"/>
                      <w:szCs w:val="21"/>
                      <w:u w:val="none"/>
                      <w:lang w:val="en-US" w:eastAsia="zh-CN" w:bidi="ar-SA"/>
                    </w:rPr>
                    <w:t>m</w:t>
                  </w:r>
                  <w:r>
                    <w:rPr>
                      <w:rFonts w:hint="eastAsia" w:ascii="Times New Roman" w:hAnsi="Times New Roman" w:eastAsia="宋体" w:cs="Times New Roman"/>
                      <w:i w:val="0"/>
                      <w:iCs w:val="0"/>
                      <w:color w:val="auto"/>
                      <w:kern w:val="2"/>
                      <w:sz w:val="21"/>
                      <w:szCs w:val="21"/>
                      <w:u w:val="none"/>
                      <w:vertAlign w:val="superscript"/>
                      <w:lang w:val="en-US" w:eastAsia="zh-CN" w:bidi="ar-SA"/>
                    </w:rPr>
                    <w:t>3</w:t>
                  </w:r>
                  <w:r>
                    <w:rPr>
                      <w:rFonts w:hint="default" w:ascii="Times New Roman" w:hAnsi="Times New Roman" w:cs="Times New Roman"/>
                      <w:color w:val="auto"/>
                      <w:szCs w:val="21"/>
                    </w:rPr>
                    <w:t>/a</w:t>
                  </w:r>
                </w:p>
              </w:tc>
              <w:tc>
                <w:tcPr>
                  <w:tcW w:w="1373" w:type="pct"/>
                  <w:noWrap w:val="0"/>
                  <w:vAlign w:val="center"/>
                </w:tcPr>
                <w:p w14:paraId="5F66153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区域供气管网</w:t>
                  </w:r>
                </w:p>
              </w:tc>
            </w:tr>
            <w:tr w14:paraId="5C063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61" w:type="pct"/>
                  <w:gridSpan w:val="2"/>
                  <w:vMerge w:val="continue"/>
                  <w:noWrap w:val="0"/>
                  <w:vAlign w:val="center"/>
                </w:tcPr>
                <w:p w14:paraId="16223399">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95" w:type="pct"/>
                  <w:noWrap w:val="0"/>
                  <w:vAlign w:val="center"/>
                </w:tcPr>
                <w:p w14:paraId="540E4B1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排水系统</w:t>
                  </w:r>
                </w:p>
              </w:tc>
              <w:tc>
                <w:tcPr>
                  <w:tcW w:w="817" w:type="pct"/>
                  <w:noWrap w:val="0"/>
                  <w:vAlign w:val="center"/>
                </w:tcPr>
                <w:p w14:paraId="556E0E3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2448</w:t>
                  </w:r>
                  <w:r>
                    <w:rPr>
                      <w:rFonts w:hint="default" w:ascii="Times New Roman" w:hAnsi="Times New Roman" w:cs="Times New Roman"/>
                      <w:color w:val="auto"/>
                      <w:szCs w:val="21"/>
                    </w:rPr>
                    <w:t>t/a</w:t>
                  </w:r>
                </w:p>
              </w:tc>
              <w:tc>
                <w:tcPr>
                  <w:tcW w:w="965" w:type="pct"/>
                  <w:noWrap w:val="0"/>
                  <w:vAlign w:val="center"/>
                </w:tcPr>
                <w:p w14:paraId="395D8EEF">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cs="Times New Roman"/>
                      <w:color w:val="auto"/>
                      <w:szCs w:val="21"/>
                      <w:lang w:val="en-US" w:eastAsia="zh-CN"/>
                    </w:rPr>
                    <w:t>2448</w:t>
                  </w:r>
                  <w:r>
                    <w:rPr>
                      <w:rFonts w:hint="default" w:ascii="Times New Roman" w:hAnsi="Times New Roman" w:cs="Times New Roman"/>
                      <w:color w:val="auto"/>
                      <w:szCs w:val="21"/>
                    </w:rPr>
                    <w:t>t/a</w:t>
                  </w:r>
                </w:p>
              </w:tc>
              <w:tc>
                <w:tcPr>
                  <w:tcW w:w="586" w:type="pct"/>
                  <w:noWrap w:val="0"/>
                  <w:vAlign w:val="center"/>
                </w:tcPr>
                <w:p w14:paraId="537494BF">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373" w:type="pct"/>
                  <w:noWrap w:val="0"/>
                  <w:vAlign w:val="center"/>
                </w:tcPr>
                <w:p w14:paraId="2BA3123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olor w:val="auto"/>
                      <w:lang w:val="en-US" w:eastAsia="zh-CN"/>
                    </w:rPr>
                    <w:t>生活污水</w:t>
                  </w:r>
                  <w:r>
                    <w:rPr>
                      <w:rFonts w:hint="eastAsia" w:ascii="Times New Roman" w:hAnsi="Times New Roman" w:cs="Times New Roman"/>
                      <w:color w:val="auto"/>
                      <w:szCs w:val="21"/>
                    </w:rPr>
                    <w:t>近期由金坛区指前镇新河村委收集后集中处理，尾水自用于农田灌溉，不排到附近河流；远期待符合接管条件时，排放至市政管网</w:t>
                  </w:r>
                </w:p>
              </w:tc>
            </w:tr>
            <w:tr w14:paraId="6C0D3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restart"/>
                  <w:noWrap w:val="0"/>
                  <w:vAlign w:val="center"/>
                </w:tcPr>
                <w:p w14:paraId="622DCA8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w:t>
                  </w:r>
                </w:p>
                <w:p w14:paraId="00286D0C">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134" w:type="pct"/>
                  <w:vMerge w:val="restart"/>
                  <w:noWrap w:val="0"/>
                  <w:vAlign w:val="center"/>
                </w:tcPr>
                <w:p w14:paraId="135FDFDE">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废气</w:t>
                  </w:r>
                </w:p>
              </w:tc>
              <w:tc>
                <w:tcPr>
                  <w:tcW w:w="995" w:type="pct"/>
                  <w:shd w:val="clear" w:color="auto" w:fill="auto"/>
                  <w:noWrap w:val="0"/>
                  <w:vAlign w:val="center"/>
                </w:tcPr>
                <w:p w14:paraId="1C77C0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bidi="ar"/>
                    </w:rPr>
                    <w:t>布袋除尘器+</w:t>
                  </w:r>
                  <w:r>
                    <w:rPr>
                      <w:rFonts w:hint="eastAsia" w:ascii="Times New Roman" w:hAnsi="Times New Roman" w:cs="Times New Roman"/>
                      <w:color w:val="auto"/>
                      <w:kern w:val="0"/>
                      <w:szCs w:val="21"/>
                      <w:lang w:val="en-US" w:eastAsia="zh-CN" w:bidi="ar"/>
                    </w:rPr>
                    <w:t>15m高</w:t>
                  </w:r>
                  <w:r>
                    <w:rPr>
                      <w:rFonts w:hint="eastAsia" w:ascii="Times New Roman" w:hAnsi="Times New Roman" w:cs="Times New Roman"/>
                      <w:color w:val="auto"/>
                      <w:kern w:val="0"/>
                      <w:szCs w:val="21"/>
                      <w:lang w:bidi="ar"/>
                    </w:rPr>
                    <w:t>排气筒1#</w:t>
                  </w:r>
                </w:p>
              </w:tc>
              <w:tc>
                <w:tcPr>
                  <w:tcW w:w="817" w:type="pct"/>
                  <w:shd w:val="clear" w:color="auto" w:fill="auto"/>
                  <w:noWrap w:val="0"/>
                  <w:vAlign w:val="center"/>
                </w:tcPr>
                <w:p w14:paraId="05FAE55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1套，</w:t>
                  </w:r>
                  <w:r>
                    <w:rPr>
                      <w:rFonts w:hint="eastAsia" w:cs="Times New Roman"/>
                      <w:color w:val="auto"/>
                      <w:szCs w:val="21"/>
                      <w:lang w:val="en-US" w:eastAsia="zh-CN"/>
                    </w:rPr>
                    <w:t>变频风机，</w:t>
                  </w:r>
                  <w:r>
                    <w:rPr>
                      <w:rFonts w:hint="eastAsia" w:ascii="Times New Roman" w:hAnsi="Times New Roman" w:cs="Times New Roman"/>
                      <w:color w:val="auto"/>
                      <w:szCs w:val="21"/>
                    </w:rPr>
                    <w:t>风量</w:t>
                  </w:r>
                  <w:r>
                    <w:rPr>
                      <w:rFonts w:hint="eastAsia" w:cs="Times New Roman"/>
                      <w:color w:val="auto"/>
                      <w:szCs w:val="21"/>
                      <w:lang w:val="en-US" w:eastAsia="zh-CN"/>
                    </w:rPr>
                    <w:t>300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cs="Times New Roman"/>
                      <w:color w:val="auto"/>
                      <w:szCs w:val="21"/>
                      <w:lang w:val="en-US" w:eastAsia="zh-CN"/>
                    </w:rPr>
                    <w:t>~50000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965" w:type="pct"/>
                  <w:noWrap w:val="0"/>
                  <w:vAlign w:val="center"/>
                </w:tcPr>
                <w:p w14:paraId="59A23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1套，</w:t>
                  </w:r>
                  <w:r>
                    <w:rPr>
                      <w:rFonts w:hint="eastAsia" w:cs="Times New Roman"/>
                      <w:color w:val="auto"/>
                      <w:szCs w:val="21"/>
                      <w:lang w:val="en-US" w:eastAsia="zh-CN"/>
                    </w:rPr>
                    <w:t>变频风机，</w:t>
                  </w:r>
                  <w:r>
                    <w:rPr>
                      <w:rFonts w:hint="eastAsia" w:ascii="Times New Roman" w:hAnsi="Times New Roman" w:cs="Times New Roman"/>
                      <w:color w:val="auto"/>
                      <w:szCs w:val="21"/>
                    </w:rPr>
                    <w:t>风量</w:t>
                  </w:r>
                  <w:r>
                    <w:rPr>
                      <w:rFonts w:hint="eastAsia" w:cs="Times New Roman"/>
                      <w:color w:val="auto"/>
                      <w:szCs w:val="21"/>
                      <w:lang w:val="en-US" w:eastAsia="zh-CN"/>
                    </w:rPr>
                    <w:t>300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cs="Times New Roman"/>
                      <w:color w:val="auto"/>
                      <w:szCs w:val="21"/>
                      <w:lang w:val="en-US" w:eastAsia="zh-CN"/>
                    </w:rPr>
                    <w:t>~50000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586" w:type="pct"/>
                  <w:noWrap w:val="0"/>
                  <w:vAlign w:val="center"/>
                </w:tcPr>
                <w:p w14:paraId="7B59CA2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cs="Times New Roman"/>
                      <w:color w:val="auto"/>
                      <w:szCs w:val="21"/>
                      <w:lang w:val="en-US" w:eastAsia="zh-CN"/>
                    </w:rPr>
                    <w:t>0</w:t>
                  </w:r>
                </w:p>
              </w:tc>
              <w:tc>
                <w:tcPr>
                  <w:tcW w:w="1373" w:type="pct"/>
                  <w:shd w:val="clear" w:color="auto" w:fill="auto"/>
                  <w:noWrap w:val="0"/>
                  <w:vAlign w:val="center"/>
                </w:tcPr>
                <w:p w14:paraId="09FCCFA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原有，</w:t>
                  </w:r>
                  <w:r>
                    <w:rPr>
                      <w:rFonts w:hint="eastAsia" w:ascii="Times New Roman" w:hAnsi="Times New Roman" w:cs="Times New Roman"/>
                      <w:color w:val="auto"/>
                      <w:sz w:val="21"/>
                      <w:szCs w:val="21"/>
                    </w:rPr>
                    <w:t>用于处理</w:t>
                  </w:r>
                  <w:r>
                    <w:rPr>
                      <w:rFonts w:hint="eastAsia" w:cs="Times New Roman"/>
                      <w:color w:val="auto"/>
                      <w:sz w:val="21"/>
                      <w:szCs w:val="21"/>
                      <w:lang w:val="en-US" w:eastAsia="zh-CN"/>
                    </w:rPr>
                    <w:t>中频炉和钢包精炼炉</w:t>
                  </w:r>
                  <w:r>
                    <w:rPr>
                      <w:rFonts w:hint="eastAsia" w:ascii="Times New Roman" w:hAnsi="Times New Roman" w:cs="Times New Roman"/>
                      <w:color w:val="auto"/>
                      <w:sz w:val="21"/>
                      <w:szCs w:val="21"/>
                      <w:lang w:val="en-US" w:eastAsia="zh-CN"/>
                    </w:rPr>
                    <w:t>产生的烟尘</w:t>
                  </w:r>
                </w:p>
              </w:tc>
            </w:tr>
            <w:tr w14:paraId="58D0C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continue"/>
                  <w:noWrap w:val="0"/>
                  <w:vAlign w:val="center"/>
                </w:tcPr>
                <w:p w14:paraId="1A316411">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34" w:type="pct"/>
                  <w:vMerge w:val="continue"/>
                  <w:noWrap w:val="0"/>
                  <w:vAlign w:val="center"/>
                </w:tcPr>
                <w:p w14:paraId="201FD2D8">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995" w:type="pct"/>
                  <w:shd w:val="clear" w:color="auto" w:fill="auto"/>
                  <w:noWrap w:val="0"/>
                  <w:vAlign w:val="center"/>
                </w:tcPr>
                <w:p w14:paraId="0A06E4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hAnsi="宋体"/>
                      <w:color w:val="auto"/>
                      <w:szCs w:val="21"/>
                      <w:highlight w:val="none"/>
                      <w:lang w:val="en-US" w:eastAsia="zh-CN"/>
                    </w:rPr>
                    <w:t>油雾净化装置</w:t>
                  </w:r>
                </w:p>
              </w:tc>
              <w:tc>
                <w:tcPr>
                  <w:tcW w:w="817" w:type="pct"/>
                  <w:shd w:val="clear" w:color="auto" w:fill="auto"/>
                  <w:noWrap w:val="0"/>
                  <w:vAlign w:val="center"/>
                </w:tcPr>
                <w:p w14:paraId="306C1D6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1套</w:t>
                  </w:r>
                  <w:r>
                    <w:rPr>
                      <w:rFonts w:hint="eastAsia" w:cs="Times New Roman"/>
                      <w:color w:val="auto"/>
                      <w:szCs w:val="21"/>
                      <w:lang w:eastAsia="zh-CN"/>
                    </w:rPr>
                    <w:t>，</w:t>
                  </w:r>
                  <w:r>
                    <w:rPr>
                      <w:rFonts w:hint="eastAsia" w:cs="Times New Roman"/>
                      <w:color w:val="auto"/>
                      <w:szCs w:val="21"/>
                      <w:lang w:val="en-US" w:eastAsia="zh-CN"/>
                    </w:rPr>
                    <w:t>风机风量200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965" w:type="pct"/>
                  <w:noWrap w:val="0"/>
                  <w:vAlign w:val="center"/>
                </w:tcPr>
                <w:p w14:paraId="171CE6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1套</w:t>
                  </w:r>
                  <w:r>
                    <w:rPr>
                      <w:rFonts w:hint="eastAsia" w:cs="Times New Roman"/>
                      <w:color w:val="auto"/>
                      <w:szCs w:val="21"/>
                      <w:lang w:eastAsia="zh-CN"/>
                    </w:rPr>
                    <w:t>，</w:t>
                  </w:r>
                  <w:r>
                    <w:rPr>
                      <w:rFonts w:hint="eastAsia" w:cs="Times New Roman"/>
                      <w:color w:val="auto"/>
                      <w:szCs w:val="21"/>
                      <w:lang w:val="en-US" w:eastAsia="zh-CN"/>
                    </w:rPr>
                    <w:t>风机风量200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586" w:type="pct"/>
                  <w:noWrap w:val="0"/>
                  <w:vAlign w:val="center"/>
                </w:tcPr>
                <w:p w14:paraId="4E92AB9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w:t>
                  </w:r>
                </w:p>
              </w:tc>
              <w:tc>
                <w:tcPr>
                  <w:tcW w:w="1373" w:type="pct"/>
                  <w:shd w:val="clear" w:color="auto" w:fill="auto"/>
                  <w:noWrap w:val="0"/>
                  <w:vAlign w:val="center"/>
                </w:tcPr>
                <w:p w14:paraId="61B07AF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原有，</w:t>
                  </w:r>
                  <w:r>
                    <w:rPr>
                      <w:rFonts w:hint="eastAsia" w:ascii="Times New Roman" w:hAnsi="Times New Roman" w:cs="Times New Roman"/>
                      <w:color w:val="auto"/>
                      <w:sz w:val="21"/>
                      <w:szCs w:val="21"/>
                    </w:rPr>
                    <w:t>用于处理</w:t>
                  </w:r>
                  <w:r>
                    <w:rPr>
                      <w:rFonts w:hint="eastAsia" w:cs="Times New Roman"/>
                      <w:color w:val="auto"/>
                      <w:sz w:val="21"/>
                      <w:szCs w:val="21"/>
                      <w:lang w:val="en-US" w:eastAsia="zh-CN"/>
                    </w:rPr>
                    <w:t>打磨、精加工过程中</w:t>
                  </w:r>
                  <w:r>
                    <w:rPr>
                      <w:rFonts w:hint="eastAsia"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有机废气</w:t>
                  </w:r>
                </w:p>
              </w:tc>
            </w:tr>
            <w:tr w14:paraId="34D14A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continue"/>
                  <w:noWrap w:val="0"/>
                  <w:vAlign w:val="center"/>
                </w:tcPr>
                <w:p w14:paraId="0555F20A">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34" w:type="pct"/>
                  <w:vMerge w:val="continue"/>
                  <w:noWrap w:val="0"/>
                  <w:vAlign w:val="center"/>
                </w:tcPr>
                <w:p w14:paraId="1802BC7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95" w:type="pct"/>
                  <w:shd w:val="clear" w:color="auto" w:fill="auto"/>
                  <w:noWrap w:val="0"/>
                  <w:vAlign w:val="center"/>
                </w:tcPr>
                <w:p w14:paraId="13A36A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bidi="ar"/>
                    </w:rPr>
                    <w:t>布袋除尘器</w:t>
                  </w:r>
                  <w:r>
                    <w:rPr>
                      <w:rFonts w:hint="eastAsia" w:cs="Times New Roman"/>
                      <w:color w:val="auto"/>
                      <w:kern w:val="0"/>
                      <w:szCs w:val="21"/>
                      <w:lang w:eastAsia="zh-CN" w:bidi="ar"/>
                    </w:rPr>
                    <w:t>（</w:t>
                  </w:r>
                  <w:r>
                    <w:rPr>
                      <w:rFonts w:hint="eastAsia" w:cs="Times New Roman"/>
                      <w:color w:val="auto"/>
                      <w:kern w:val="0"/>
                      <w:szCs w:val="21"/>
                      <w:lang w:val="en-US" w:eastAsia="zh-CN" w:bidi="ar"/>
                    </w:rPr>
                    <w:t>喷石灰粉</w:t>
                  </w:r>
                  <w:r>
                    <w:rPr>
                      <w:rFonts w:hint="eastAsia" w:cs="Times New Roman"/>
                      <w:color w:val="auto"/>
                      <w:kern w:val="0"/>
                      <w:szCs w:val="21"/>
                      <w:lang w:eastAsia="zh-CN" w:bidi="ar"/>
                    </w:rPr>
                    <w:t>）</w:t>
                  </w:r>
                  <w:r>
                    <w:rPr>
                      <w:rFonts w:hint="eastAsia" w:ascii="Times New Roman" w:hAnsi="Times New Roman" w:cs="Times New Roman"/>
                      <w:color w:val="auto"/>
                      <w:kern w:val="0"/>
                      <w:szCs w:val="21"/>
                      <w:lang w:bidi="ar"/>
                    </w:rPr>
                    <w:t>+</w:t>
                  </w:r>
                  <w:r>
                    <w:rPr>
                      <w:rFonts w:hint="eastAsia" w:ascii="Times New Roman" w:hAnsi="Times New Roman" w:cs="Times New Roman"/>
                      <w:color w:val="auto"/>
                      <w:kern w:val="0"/>
                      <w:szCs w:val="21"/>
                      <w:lang w:val="en-US" w:eastAsia="zh-CN" w:bidi="ar"/>
                    </w:rPr>
                    <w:t>15m高</w:t>
                  </w:r>
                  <w:r>
                    <w:rPr>
                      <w:rFonts w:hint="eastAsia" w:ascii="Times New Roman" w:hAnsi="Times New Roman" w:cs="Times New Roman"/>
                      <w:color w:val="auto"/>
                      <w:kern w:val="0"/>
                      <w:szCs w:val="21"/>
                      <w:lang w:bidi="ar"/>
                    </w:rPr>
                    <w:t>排气筒</w:t>
                  </w:r>
                  <w:r>
                    <w:rPr>
                      <w:rFonts w:hint="eastAsia" w:cs="Times New Roman"/>
                      <w:color w:val="auto"/>
                      <w:kern w:val="0"/>
                      <w:szCs w:val="21"/>
                      <w:lang w:val="en-US" w:eastAsia="zh-CN" w:bidi="ar"/>
                    </w:rPr>
                    <w:t>2</w:t>
                  </w:r>
                  <w:r>
                    <w:rPr>
                      <w:rFonts w:hint="eastAsia" w:ascii="Times New Roman" w:hAnsi="Times New Roman" w:cs="Times New Roman"/>
                      <w:color w:val="auto"/>
                      <w:kern w:val="0"/>
                      <w:szCs w:val="21"/>
                      <w:lang w:bidi="ar"/>
                    </w:rPr>
                    <w:t>#</w:t>
                  </w:r>
                </w:p>
              </w:tc>
              <w:tc>
                <w:tcPr>
                  <w:tcW w:w="1963" w:type="dxa"/>
                  <w:shd w:val="clear" w:color="auto" w:fill="auto"/>
                  <w:noWrap w:val="0"/>
                  <w:vAlign w:val="center"/>
                </w:tcPr>
                <w:p w14:paraId="6C92C6C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1963" w:type="dxa"/>
                  <w:noWrap w:val="0"/>
                  <w:vAlign w:val="center"/>
                </w:tcPr>
                <w:p w14:paraId="7B88FE1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1套，变频风机，风量</w:t>
                  </w:r>
                  <w:r>
                    <w:rPr>
                      <w:rFonts w:hint="eastAsia" w:cs="Times New Roman"/>
                      <w:color w:val="auto"/>
                      <w:szCs w:val="21"/>
                      <w:lang w:val="en-US" w:eastAsia="zh-CN"/>
                    </w:rPr>
                    <w:t>260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cs="Times New Roman"/>
                      <w:color w:val="auto"/>
                      <w:szCs w:val="21"/>
                      <w:lang w:val="en-US" w:eastAsia="zh-CN"/>
                    </w:rPr>
                    <w:t>30</w:t>
                  </w:r>
                  <w:r>
                    <w:rPr>
                      <w:rFonts w:hint="default" w:ascii="Times New Roman" w:hAnsi="Times New Roman" w:cs="Times New Roman"/>
                      <w:color w:val="auto"/>
                      <w:szCs w:val="21"/>
                    </w:rPr>
                    <w:t>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ascii="Times New Roman" w:hAnsi="Times New Roman" w:cs="Times New Roman"/>
                      <w:color w:val="auto"/>
                      <w:szCs w:val="21"/>
                    </w:rPr>
                    <w:t>（本次取</w:t>
                  </w:r>
                  <w:r>
                    <w:rPr>
                      <w:rFonts w:hint="eastAsia" w:cs="Times New Roman"/>
                      <w:color w:val="auto"/>
                      <w:szCs w:val="21"/>
                      <w:lang w:val="en-US" w:eastAsia="zh-CN"/>
                    </w:rPr>
                    <w:t>28000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ascii="Times New Roman" w:hAnsi="Times New Roman" w:cs="Times New Roman"/>
                      <w:color w:val="auto"/>
                      <w:szCs w:val="21"/>
                    </w:rPr>
                    <w:t>）</w:t>
                  </w:r>
                </w:p>
              </w:tc>
              <w:tc>
                <w:tcPr>
                  <w:tcW w:w="586" w:type="pct"/>
                  <w:noWrap w:val="0"/>
                  <w:vAlign w:val="center"/>
                </w:tcPr>
                <w:p w14:paraId="0125860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cs="Times New Roman"/>
                      <w:color w:val="auto"/>
                      <w:szCs w:val="21"/>
                      <w:lang w:val="en-US" w:eastAsia="zh-CN"/>
                    </w:rPr>
                    <w:t>+1</w:t>
                  </w:r>
                </w:p>
              </w:tc>
              <w:tc>
                <w:tcPr>
                  <w:tcW w:w="1373" w:type="pct"/>
                  <w:shd w:val="clear" w:color="auto" w:fill="auto"/>
                  <w:noWrap w:val="0"/>
                  <w:vAlign w:val="center"/>
                </w:tcPr>
                <w:p w14:paraId="1721A3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新增，用于处理</w:t>
                  </w:r>
                  <w:r>
                    <w:rPr>
                      <w:rFonts w:hint="eastAsia" w:cs="Times New Roman"/>
                      <w:color w:val="auto"/>
                      <w:sz w:val="21"/>
                      <w:szCs w:val="21"/>
                      <w:lang w:val="en-US" w:eastAsia="zh-CN"/>
                    </w:rPr>
                    <w:t>化渣、电渣重熔</w:t>
                  </w:r>
                  <w:r>
                    <w:rPr>
                      <w:rFonts w:hint="eastAsia" w:ascii="Times New Roman" w:hAnsi="Times New Roman" w:eastAsia="宋体" w:cs="Times New Roman"/>
                      <w:color w:val="auto"/>
                      <w:sz w:val="21"/>
                      <w:szCs w:val="21"/>
                      <w:lang w:val="en-US" w:eastAsia="zh-CN"/>
                    </w:rPr>
                    <w:t>过程中产生的</w:t>
                  </w:r>
                  <w:r>
                    <w:rPr>
                      <w:rFonts w:hint="eastAsia" w:cs="Times New Roman"/>
                      <w:color w:val="auto"/>
                      <w:sz w:val="21"/>
                      <w:szCs w:val="21"/>
                      <w:lang w:val="en-US" w:eastAsia="zh-CN"/>
                    </w:rPr>
                    <w:t>烟尘</w:t>
                  </w:r>
                </w:p>
              </w:tc>
            </w:tr>
            <w:tr w14:paraId="54BB1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continue"/>
                  <w:noWrap w:val="0"/>
                  <w:vAlign w:val="center"/>
                </w:tcPr>
                <w:p w14:paraId="298971D2">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34" w:type="pct"/>
                  <w:vMerge w:val="continue"/>
                  <w:noWrap w:val="0"/>
                  <w:vAlign w:val="center"/>
                </w:tcPr>
                <w:p w14:paraId="23D051C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995" w:type="pct"/>
                  <w:shd w:val="clear" w:color="auto" w:fill="auto"/>
                  <w:noWrap w:val="0"/>
                  <w:vAlign w:val="center"/>
                </w:tcPr>
                <w:p w14:paraId="203F2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低氮燃烧装置+15m高排气筒3#</w:t>
                  </w:r>
                </w:p>
              </w:tc>
              <w:tc>
                <w:tcPr>
                  <w:tcW w:w="817" w:type="pct"/>
                  <w:shd w:val="clear" w:color="auto" w:fill="auto"/>
                  <w:noWrap w:val="0"/>
                  <w:vAlign w:val="center"/>
                </w:tcPr>
                <w:p w14:paraId="7781687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965" w:type="pct"/>
                  <w:noWrap w:val="0"/>
                  <w:vAlign w:val="center"/>
                </w:tcPr>
                <w:p w14:paraId="2FC9A7A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szCs w:val="21"/>
                    </w:rPr>
                    <w:t>1套</w:t>
                  </w:r>
                  <w:r>
                    <w:rPr>
                      <w:rFonts w:hint="eastAsia" w:cs="Times New Roman"/>
                      <w:color w:val="auto"/>
                      <w:szCs w:val="21"/>
                      <w:lang w:eastAsia="zh-CN"/>
                    </w:rPr>
                    <w:t>，</w:t>
                  </w:r>
                  <w:r>
                    <w:rPr>
                      <w:rFonts w:hint="eastAsia" w:cs="Times New Roman"/>
                      <w:color w:val="auto"/>
                      <w:szCs w:val="21"/>
                      <w:lang w:val="en-US" w:eastAsia="zh-CN"/>
                    </w:rPr>
                    <w:t>风机风量60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586" w:type="pct"/>
                  <w:noWrap w:val="0"/>
                  <w:vAlign w:val="center"/>
                </w:tcPr>
                <w:p w14:paraId="73B22B6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1373" w:type="pct"/>
                  <w:shd w:val="clear" w:color="auto" w:fill="auto"/>
                  <w:noWrap w:val="0"/>
                  <w:vAlign w:val="center"/>
                </w:tcPr>
                <w:p w14:paraId="2B8E63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新增，用于排放天然气燃烧废气</w:t>
                  </w:r>
                </w:p>
              </w:tc>
            </w:tr>
            <w:tr w14:paraId="6FD85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continue"/>
                  <w:noWrap w:val="0"/>
                  <w:vAlign w:val="center"/>
                </w:tcPr>
                <w:p w14:paraId="700C4CB0">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34" w:type="pct"/>
                  <w:noWrap w:val="0"/>
                  <w:vAlign w:val="center"/>
                </w:tcPr>
                <w:p w14:paraId="75862BD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废水</w:t>
                  </w:r>
                </w:p>
              </w:tc>
              <w:tc>
                <w:tcPr>
                  <w:tcW w:w="995" w:type="pct"/>
                  <w:noWrap w:val="0"/>
                  <w:vAlign w:val="center"/>
                </w:tcPr>
                <w:p w14:paraId="63DA421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化粪池</w:t>
                  </w:r>
                </w:p>
              </w:tc>
              <w:tc>
                <w:tcPr>
                  <w:tcW w:w="817" w:type="pct"/>
                  <w:noWrap w:val="0"/>
                  <w:vAlign w:val="center"/>
                </w:tcPr>
                <w:p w14:paraId="730FD6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1个</w:t>
                  </w:r>
                </w:p>
              </w:tc>
              <w:tc>
                <w:tcPr>
                  <w:tcW w:w="965" w:type="pct"/>
                  <w:noWrap w:val="0"/>
                  <w:vAlign w:val="center"/>
                </w:tcPr>
                <w:p w14:paraId="7EC209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1"/>
                    </w:rPr>
                  </w:pPr>
                  <w:r>
                    <w:rPr>
                      <w:rFonts w:hint="eastAsia" w:ascii="Times New Roman" w:hAnsi="Times New Roman" w:cs="Times New Roman"/>
                      <w:color w:val="auto"/>
                      <w:kern w:val="2"/>
                      <w:sz w:val="21"/>
                      <w:szCs w:val="21"/>
                      <w:lang w:val="en-US" w:eastAsia="zh-CN" w:bidi="ar-SA"/>
                    </w:rPr>
                    <w:t>1个</w:t>
                  </w:r>
                </w:p>
              </w:tc>
              <w:tc>
                <w:tcPr>
                  <w:tcW w:w="586" w:type="pct"/>
                  <w:noWrap w:val="0"/>
                  <w:vAlign w:val="center"/>
                </w:tcPr>
                <w:p w14:paraId="5BCE43C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0</w:t>
                  </w:r>
                </w:p>
              </w:tc>
              <w:tc>
                <w:tcPr>
                  <w:tcW w:w="1373" w:type="pct"/>
                  <w:noWrap w:val="0"/>
                  <w:vAlign w:val="center"/>
                </w:tcPr>
                <w:p w14:paraId="3072D4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原有，用于处理生活污水</w:t>
                  </w:r>
                </w:p>
              </w:tc>
            </w:tr>
            <w:tr w14:paraId="2C23C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continue"/>
                  <w:noWrap w:val="0"/>
                  <w:vAlign w:val="center"/>
                </w:tcPr>
                <w:p w14:paraId="135EFC88">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34" w:type="pct"/>
                  <w:vMerge w:val="restart"/>
                  <w:noWrap w:val="0"/>
                  <w:vAlign w:val="center"/>
                </w:tcPr>
                <w:p w14:paraId="1591975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固废</w:t>
                  </w:r>
                </w:p>
              </w:tc>
              <w:tc>
                <w:tcPr>
                  <w:tcW w:w="995" w:type="pct"/>
                  <w:noWrap w:val="0"/>
                  <w:vAlign w:val="center"/>
                </w:tcPr>
                <w:p w14:paraId="6EA77315">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一般固废库房</w:t>
                  </w:r>
                </w:p>
              </w:tc>
              <w:tc>
                <w:tcPr>
                  <w:tcW w:w="817" w:type="pct"/>
                  <w:noWrap w:val="0"/>
                  <w:vAlign w:val="center"/>
                </w:tcPr>
                <w:p w14:paraId="447F59C9">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Cs w:val="21"/>
                      <w:lang w:val="en-US" w:eastAsia="zh-CN" w:bidi="ar"/>
                    </w:rPr>
                    <w:t>100m</w:t>
                  </w:r>
                  <w:r>
                    <w:rPr>
                      <w:rFonts w:hint="default" w:ascii="Times New Roman" w:hAnsi="Times New Roman" w:cs="Times New Roman"/>
                      <w:color w:val="auto"/>
                      <w:kern w:val="0"/>
                      <w:szCs w:val="21"/>
                      <w:vertAlign w:val="superscript"/>
                      <w:lang w:val="en-US" w:eastAsia="zh-CN" w:bidi="ar"/>
                    </w:rPr>
                    <w:t>2</w:t>
                  </w:r>
                </w:p>
              </w:tc>
              <w:tc>
                <w:tcPr>
                  <w:tcW w:w="965" w:type="pct"/>
                  <w:noWrap w:val="0"/>
                  <w:vAlign w:val="center"/>
                </w:tcPr>
                <w:p w14:paraId="0305B317">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100m</w:t>
                  </w:r>
                  <w:r>
                    <w:rPr>
                      <w:rFonts w:hint="default" w:ascii="Times New Roman" w:hAnsi="Times New Roman" w:cs="Times New Roman"/>
                      <w:color w:val="auto"/>
                      <w:kern w:val="0"/>
                      <w:szCs w:val="21"/>
                      <w:vertAlign w:val="superscript"/>
                      <w:lang w:val="en-US" w:eastAsia="zh-CN" w:bidi="ar"/>
                    </w:rPr>
                    <w:t>2</w:t>
                  </w:r>
                </w:p>
              </w:tc>
              <w:tc>
                <w:tcPr>
                  <w:tcW w:w="586" w:type="pct"/>
                  <w:noWrap w:val="0"/>
                  <w:vAlign w:val="center"/>
                </w:tcPr>
                <w:p w14:paraId="5CEC3543">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0</w:t>
                  </w:r>
                </w:p>
              </w:tc>
              <w:tc>
                <w:tcPr>
                  <w:tcW w:w="1373" w:type="pct"/>
                  <w:noWrap w:val="0"/>
                  <w:vAlign w:val="center"/>
                </w:tcPr>
                <w:p w14:paraId="033C8AAD">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依托原有</w:t>
                  </w:r>
                  <w:r>
                    <w:rPr>
                      <w:rFonts w:hint="eastAsia" w:cs="Times New Roman"/>
                      <w:color w:val="auto"/>
                      <w:kern w:val="0"/>
                      <w:szCs w:val="21"/>
                      <w:lang w:val="en-US" w:eastAsia="zh-CN" w:bidi="ar"/>
                    </w:rPr>
                    <w:t>（已建）</w:t>
                  </w:r>
                  <w:r>
                    <w:rPr>
                      <w:rFonts w:hint="eastAsia" w:ascii="Times New Roman" w:hAnsi="Times New Roman" w:cs="Times New Roman"/>
                      <w:color w:val="auto"/>
                      <w:kern w:val="0"/>
                      <w:szCs w:val="21"/>
                      <w:lang w:val="en-US" w:eastAsia="zh-CN" w:bidi="ar"/>
                    </w:rPr>
                    <w:t>，位于车间三</w:t>
                  </w:r>
                  <w:r>
                    <w:rPr>
                      <w:rFonts w:hint="default" w:ascii="Times New Roman" w:hAnsi="Times New Roman" w:cs="Times New Roman"/>
                      <w:color w:val="auto"/>
                      <w:kern w:val="0"/>
                      <w:szCs w:val="21"/>
                      <w:lang w:val="en-US" w:eastAsia="zh-CN" w:bidi="ar"/>
                    </w:rPr>
                    <w:t>内，用于一般固体废物</w:t>
                  </w:r>
                </w:p>
              </w:tc>
            </w:tr>
            <w:tr w14:paraId="30EB9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27" w:type="pct"/>
                  <w:vMerge w:val="continue"/>
                  <w:noWrap w:val="0"/>
                  <w:vAlign w:val="center"/>
                </w:tcPr>
                <w:p w14:paraId="0689A439">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34" w:type="pct"/>
                  <w:vMerge w:val="continue"/>
                  <w:noWrap w:val="0"/>
                  <w:vAlign w:val="center"/>
                </w:tcPr>
                <w:p w14:paraId="4EACE5CC">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95" w:type="pct"/>
                  <w:noWrap w:val="0"/>
                  <w:vAlign w:val="center"/>
                </w:tcPr>
                <w:p w14:paraId="793EDC06">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危废库房</w:t>
                  </w:r>
                </w:p>
              </w:tc>
              <w:tc>
                <w:tcPr>
                  <w:tcW w:w="817" w:type="pct"/>
                  <w:noWrap w:val="0"/>
                  <w:vAlign w:val="center"/>
                </w:tcPr>
                <w:p w14:paraId="741A32E0">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Cs w:val="21"/>
                      <w:lang w:val="en-US" w:eastAsia="zh-CN" w:bidi="ar"/>
                    </w:rPr>
                    <w:t>2</w:t>
                  </w:r>
                  <w:r>
                    <w:rPr>
                      <w:rFonts w:hint="default" w:ascii="Times New Roman" w:hAnsi="Times New Roman" w:cs="Times New Roman"/>
                      <w:color w:val="auto"/>
                      <w:kern w:val="0"/>
                      <w:szCs w:val="21"/>
                      <w:lang w:val="en-US" w:eastAsia="zh-CN" w:bidi="ar"/>
                    </w:rPr>
                    <w:t>0m</w:t>
                  </w:r>
                  <w:r>
                    <w:rPr>
                      <w:rFonts w:hint="default" w:ascii="Times New Roman" w:hAnsi="Times New Roman" w:cs="Times New Roman"/>
                      <w:color w:val="auto"/>
                      <w:kern w:val="0"/>
                      <w:szCs w:val="21"/>
                      <w:vertAlign w:val="superscript"/>
                      <w:lang w:val="en-US" w:eastAsia="zh-CN" w:bidi="ar"/>
                    </w:rPr>
                    <w:t>2</w:t>
                  </w:r>
                </w:p>
              </w:tc>
              <w:tc>
                <w:tcPr>
                  <w:tcW w:w="965" w:type="pct"/>
                  <w:noWrap w:val="0"/>
                  <w:vAlign w:val="center"/>
                </w:tcPr>
                <w:p w14:paraId="7EEAF820">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2</w:t>
                  </w:r>
                  <w:r>
                    <w:rPr>
                      <w:rFonts w:hint="default" w:ascii="Times New Roman" w:hAnsi="Times New Roman" w:cs="Times New Roman"/>
                      <w:color w:val="auto"/>
                      <w:kern w:val="0"/>
                      <w:szCs w:val="21"/>
                      <w:lang w:val="en-US" w:eastAsia="zh-CN" w:bidi="ar"/>
                    </w:rPr>
                    <w:t>0m</w:t>
                  </w:r>
                  <w:r>
                    <w:rPr>
                      <w:rFonts w:hint="default" w:ascii="Times New Roman" w:hAnsi="Times New Roman" w:cs="Times New Roman"/>
                      <w:color w:val="auto"/>
                      <w:kern w:val="0"/>
                      <w:szCs w:val="21"/>
                      <w:vertAlign w:val="superscript"/>
                      <w:lang w:val="en-US" w:eastAsia="zh-CN" w:bidi="ar"/>
                    </w:rPr>
                    <w:t>2</w:t>
                  </w:r>
                </w:p>
              </w:tc>
              <w:tc>
                <w:tcPr>
                  <w:tcW w:w="586" w:type="pct"/>
                  <w:noWrap w:val="0"/>
                  <w:vAlign w:val="center"/>
                </w:tcPr>
                <w:p w14:paraId="0D566F69">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0</w:t>
                  </w:r>
                </w:p>
              </w:tc>
              <w:tc>
                <w:tcPr>
                  <w:tcW w:w="1373" w:type="pct"/>
                  <w:noWrap w:val="0"/>
                  <w:vAlign w:val="center"/>
                </w:tcPr>
                <w:p w14:paraId="7D761351">
                  <w:pPr>
                    <w:pStyle w:val="8"/>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依托原有（在建）</w:t>
                  </w:r>
                  <w:r>
                    <w:rPr>
                      <w:rFonts w:hint="eastAsia" w:ascii="Times New Roman" w:hAnsi="Times New Roman" w:cs="Times New Roman"/>
                      <w:color w:val="auto"/>
                      <w:kern w:val="0"/>
                      <w:szCs w:val="21"/>
                      <w:lang w:val="en-US" w:eastAsia="zh-CN" w:bidi="ar"/>
                    </w:rPr>
                    <w:t>，</w:t>
                  </w:r>
                  <w:r>
                    <w:rPr>
                      <w:rFonts w:hint="default" w:ascii="Times New Roman" w:hAnsi="Times New Roman" w:cs="Times New Roman"/>
                      <w:color w:val="auto"/>
                      <w:kern w:val="0"/>
                      <w:szCs w:val="21"/>
                      <w:lang w:val="en-US" w:eastAsia="zh-CN" w:bidi="ar"/>
                    </w:rPr>
                    <w:t>位于</w:t>
                  </w:r>
                  <w:r>
                    <w:rPr>
                      <w:rFonts w:hint="eastAsia" w:ascii="Times New Roman" w:hAnsi="Times New Roman" w:cs="Times New Roman"/>
                      <w:color w:val="auto"/>
                      <w:kern w:val="0"/>
                      <w:szCs w:val="21"/>
                      <w:lang w:val="en-US" w:eastAsia="zh-CN" w:bidi="ar"/>
                    </w:rPr>
                    <w:t>车间三</w:t>
                  </w:r>
                  <w:r>
                    <w:rPr>
                      <w:rFonts w:hint="default" w:ascii="Times New Roman" w:hAnsi="Times New Roman" w:cs="Times New Roman"/>
                      <w:color w:val="auto"/>
                      <w:kern w:val="0"/>
                      <w:szCs w:val="21"/>
                      <w:lang w:val="en-US" w:eastAsia="zh-CN" w:bidi="ar"/>
                    </w:rPr>
                    <w:t>内，用于贮存危险废物</w:t>
                  </w:r>
                </w:p>
              </w:tc>
            </w:tr>
          </w:tbl>
          <w:p w14:paraId="046D6B4A">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2"/>
              <w:textAlignment w:val="auto"/>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备注：本次技改项目</w:t>
            </w:r>
            <w:r>
              <w:rPr>
                <w:rFonts w:hint="eastAsia" w:cs="Times New Roman"/>
                <w:b/>
                <w:bCs/>
                <w:color w:val="auto"/>
                <w:sz w:val="21"/>
                <w:szCs w:val="21"/>
                <w:highlight w:val="none"/>
                <w:lang w:val="en-US" w:eastAsia="zh-CN"/>
              </w:rPr>
              <w:t>不新增产品产量，</w:t>
            </w:r>
            <w:r>
              <w:rPr>
                <w:rFonts w:hint="eastAsia" w:ascii="Times New Roman" w:hAnsi="Times New Roman" w:cs="Times New Roman"/>
                <w:b/>
                <w:bCs/>
                <w:color w:val="auto"/>
                <w:sz w:val="21"/>
                <w:szCs w:val="21"/>
                <w:highlight w:val="none"/>
                <w:lang w:val="en-US" w:eastAsia="zh-CN"/>
              </w:rPr>
              <w:t>原料仓库、一般固废库房</w:t>
            </w:r>
            <w:r>
              <w:rPr>
                <w:rFonts w:hint="eastAsia" w:cs="Times New Roman"/>
                <w:b/>
                <w:bCs/>
                <w:color w:val="auto"/>
                <w:sz w:val="21"/>
                <w:szCs w:val="21"/>
                <w:highlight w:val="none"/>
                <w:lang w:val="en-US" w:eastAsia="zh-CN"/>
              </w:rPr>
              <w:t>和危废库房均</w:t>
            </w:r>
            <w:r>
              <w:rPr>
                <w:rFonts w:hint="eastAsia" w:ascii="Times New Roman" w:hAnsi="Times New Roman" w:cs="Times New Roman"/>
                <w:b/>
                <w:bCs/>
                <w:color w:val="auto"/>
                <w:sz w:val="21"/>
                <w:szCs w:val="21"/>
                <w:highlight w:val="none"/>
                <w:lang w:val="en-US" w:eastAsia="zh-CN"/>
              </w:rPr>
              <w:t>依托原有。</w:t>
            </w:r>
            <w:r>
              <w:rPr>
                <w:rFonts w:hint="eastAsia" w:cs="Times New Roman"/>
                <w:b/>
                <w:bCs/>
                <w:color w:val="auto"/>
                <w:sz w:val="21"/>
                <w:szCs w:val="21"/>
                <w:highlight w:val="none"/>
                <w:lang w:val="en-US" w:eastAsia="zh-CN"/>
              </w:rPr>
              <w:t>依托可行性分析如下：</w:t>
            </w:r>
          </w:p>
          <w:p w14:paraId="11CF8A31">
            <w:pPr>
              <w:keepNext w:val="0"/>
              <w:keepLines w:val="0"/>
              <w:suppressLineNumbers w:val="0"/>
              <w:spacing w:before="0" w:beforeAutospacing="0" w:after="0" w:afterAutospacing="0"/>
              <w:ind w:left="0" w:right="0"/>
              <w:jc w:val="center"/>
              <w:rPr>
                <w:rFonts w:hint="default" w:hAnsi="宋体"/>
                <w:b/>
                <w:bCs/>
                <w:color w:val="auto"/>
                <w:sz w:val="24"/>
              </w:rPr>
            </w:pPr>
            <w:r>
              <w:rPr>
                <w:rFonts w:hint="eastAsia" w:hAnsi="宋体"/>
                <w:b/>
                <w:bCs/>
                <w:color w:val="auto"/>
                <w:sz w:val="24"/>
              </w:rPr>
              <w:t>表</w:t>
            </w:r>
            <w:r>
              <w:rPr>
                <w:rFonts w:hint="eastAsia" w:hAnsi="宋体"/>
                <w:b/>
                <w:bCs/>
                <w:color w:val="auto"/>
                <w:sz w:val="24"/>
                <w:lang w:val="en-US" w:eastAsia="zh-CN"/>
              </w:rPr>
              <w:t>2.1-3-2</w:t>
            </w:r>
            <w:r>
              <w:rPr>
                <w:rFonts w:hint="eastAsia" w:hAnsi="宋体"/>
                <w:b/>
                <w:bCs/>
                <w:color w:val="auto"/>
                <w:sz w:val="24"/>
              </w:rPr>
              <w:t xml:space="preserve"> 本项目环保工程依托可行性</w:t>
            </w:r>
            <w:r>
              <w:rPr>
                <w:rFonts w:hint="default" w:hAnsi="宋体"/>
                <w:b/>
                <w:bCs/>
                <w:color w:val="auto"/>
                <w:sz w:val="24"/>
              </w:rPr>
              <w:t>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0" w:type="dxa"/>
                <w:bottom w:w="0" w:type="dxa"/>
                <w:right w:w="0" w:type="dxa"/>
              </w:tblCellMar>
            </w:tblPr>
            <w:tblGrid>
              <w:gridCol w:w="570"/>
              <w:gridCol w:w="1763"/>
              <w:gridCol w:w="1060"/>
              <w:gridCol w:w="2023"/>
              <w:gridCol w:w="1533"/>
              <w:gridCol w:w="1436"/>
            </w:tblGrid>
            <w:tr w14:paraId="1E721C1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jc w:val="center"/>
              </w:trPr>
              <w:tc>
                <w:tcPr>
                  <w:tcW w:w="1391" w:type="pct"/>
                  <w:gridSpan w:val="2"/>
                  <w:noWrap w:val="0"/>
                  <w:vAlign w:val="center"/>
                </w:tcPr>
                <w:p w14:paraId="506D05EC">
                  <w:pPr>
                    <w:pStyle w:val="127"/>
                    <w:keepNext w:val="0"/>
                    <w:keepLines w:val="0"/>
                    <w:suppressLineNumbers w:val="0"/>
                    <w:spacing w:before="0" w:beforeAutospacing="0" w:after="0" w:afterAutospacing="0" w:line="240" w:lineRule="auto"/>
                    <w:ind w:left="0" w:right="0"/>
                    <w:rPr>
                      <w:rFonts w:hint="default"/>
                      <w:b/>
                      <w:bCs/>
                      <w:color w:val="auto"/>
                    </w:rPr>
                  </w:pPr>
                  <w:r>
                    <w:rPr>
                      <w:rFonts w:hint="default"/>
                      <w:b/>
                      <w:bCs/>
                      <w:color w:val="auto"/>
                    </w:rPr>
                    <w:t>类别</w:t>
                  </w:r>
                </w:p>
              </w:tc>
              <w:tc>
                <w:tcPr>
                  <w:tcW w:w="632" w:type="pct"/>
                  <w:noWrap w:val="0"/>
                  <w:vAlign w:val="center"/>
                </w:tcPr>
                <w:p w14:paraId="4A38BA45">
                  <w:pPr>
                    <w:pStyle w:val="127"/>
                    <w:keepNext w:val="0"/>
                    <w:keepLines w:val="0"/>
                    <w:suppressLineNumbers w:val="0"/>
                    <w:spacing w:before="0" w:beforeAutospacing="0" w:after="0" w:afterAutospacing="0" w:line="240" w:lineRule="auto"/>
                    <w:ind w:left="0" w:right="0"/>
                    <w:rPr>
                      <w:rFonts w:hint="default"/>
                      <w:b/>
                      <w:bCs/>
                      <w:color w:val="auto"/>
                    </w:rPr>
                  </w:pPr>
                  <w:r>
                    <w:rPr>
                      <w:rFonts w:hint="default"/>
                      <w:b/>
                      <w:bCs/>
                      <w:color w:val="auto"/>
                    </w:rPr>
                    <w:t>设计能力</w:t>
                  </w:r>
                </w:p>
              </w:tc>
              <w:tc>
                <w:tcPr>
                  <w:tcW w:w="1206" w:type="pct"/>
                  <w:noWrap w:val="0"/>
                  <w:vAlign w:val="center"/>
                </w:tcPr>
                <w:p w14:paraId="5C4A218B">
                  <w:pPr>
                    <w:pStyle w:val="127"/>
                    <w:keepNext w:val="0"/>
                    <w:keepLines w:val="0"/>
                    <w:suppressLineNumbers w:val="0"/>
                    <w:spacing w:before="0" w:beforeAutospacing="0" w:after="0" w:afterAutospacing="0" w:line="240" w:lineRule="auto"/>
                    <w:ind w:left="0" w:right="0"/>
                    <w:rPr>
                      <w:rFonts w:hint="default"/>
                      <w:b/>
                      <w:bCs/>
                      <w:color w:val="auto"/>
                    </w:rPr>
                  </w:pPr>
                  <w:r>
                    <w:rPr>
                      <w:rFonts w:hint="eastAsia"/>
                      <w:b/>
                      <w:bCs/>
                      <w:color w:val="auto"/>
                    </w:rPr>
                    <w:t>现有项目</w:t>
                  </w:r>
                  <w:r>
                    <w:rPr>
                      <w:rFonts w:hint="default"/>
                      <w:b/>
                      <w:bCs/>
                      <w:color w:val="auto"/>
                    </w:rPr>
                    <w:t>已占用</w:t>
                  </w:r>
                </w:p>
              </w:tc>
              <w:tc>
                <w:tcPr>
                  <w:tcW w:w="914" w:type="pct"/>
                  <w:noWrap w:val="0"/>
                  <w:vAlign w:val="center"/>
                </w:tcPr>
                <w:p w14:paraId="440F61F7">
                  <w:pPr>
                    <w:pStyle w:val="127"/>
                    <w:keepNext w:val="0"/>
                    <w:keepLines w:val="0"/>
                    <w:suppressLineNumbers w:val="0"/>
                    <w:spacing w:before="0" w:beforeAutospacing="0" w:after="0" w:afterAutospacing="0" w:line="240" w:lineRule="auto"/>
                    <w:ind w:left="0" w:right="0"/>
                    <w:rPr>
                      <w:rFonts w:hint="default"/>
                      <w:b/>
                      <w:bCs/>
                      <w:color w:val="auto"/>
                    </w:rPr>
                  </w:pPr>
                  <w:r>
                    <w:rPr>
                      <w:rFonts w:hint="default"/>
                      <w:b/>
                      <w:bCs/>
                      <w:color w:val="auto"/>
                    </w:rPr>
                    <w:t>剩余能力</w:t>
                  </w:r>
                </w:p>
              </w:tc>
              <w:tc>
                <w:tcPr>
                  <w:tcW w:w="856" w:type="pct"/>
                  <w:noWrap w:val="0"/>
                  <w:vAlign w:val="center"/>
                </w:tcPr>
                <w:p w14:paraId="1B635D61">
                  <w:pPr>
                    <w:pStyle w:val="127"/>
                    <w:keepNext w:val="0"/>
                    <w:keepLines w:val="0"/>
                    <w:suppressLineNumbers w:val="0"/>
                    <w:spacing w:before="0" w:beforeAutospacing="0" w:after="0" w:afterAutospacing="0" w:line="240" w:lineRule="auto"/>
                    <w:ind w:left="0" w:right="0"/>
                    <w:rPr>
                      <w:rFonts w:hint="default"/>
                      <w:b/>
                      <w:bCs/>
                      <w:color w:val="auto"/>
                    </w:rPr>
                  </w:pPr>
                  <w:r>
                    <w:rPr>
                      <w:rFonts w:hint="default"/>
                      <w:b/>
                      <w:bCs/>
                      <w:color w:val="auto"/>
                    </w:rPr>
                    <w:t>本项目拟占用</w:t>
                  </w:r>
                </w:p>
              </w:tc>
            </w:tr>
            <w:tr w14:paraId="5848F22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37" w:hRule="atLeast"/>
                <w:jc w:val="center"/>
              </w:trPr>
              <w:tc>
                <w:tcPr>
                  <w:tcW w:w="340" w:type="pct"/>
                  <w:vMerge w:val="restart"/>
                  <w:noWrap w:val="0"/>
                  <w:vAlign w:val="center"/>
                </w:tcPr>
                <w:p w14:paraId="4D045065">
                  <w:pPr>
                    <w:pStyle w:val="127"/>
                    <w:keepNext w:val="0"/>
                    <w:keepLines w:val="0"/>
                    <w:suppressLineNumbers w:val="0"/>
                    <w:spacing w:before="0" w:beforeAutospacing="0" w:after="0" w:afterAutospacing="0" w:line="240" w:lineRule="auto"/>
                    <w:ind w:left="0" w:right="0"/>
                    <w:rPr>
                      <w:rFonts w:hint="eastAsia"/>
                      <w:color w:val="auto"/>
                    </w:rPr>
                  </w:pPr>
                  <w:r>
                    <w:rPr>
                      <w:rFonts w:hint="eastAsia"/>
                      <w:color w:val="auto"/>
                    </w:rPr>
                    <w:t>贮运工程</w:t>
                  </w:r>
                </w:p>
              </w:tc>
              <w:tc>
                <w:tcPr>
                  <w:tcW w:w="1050" w:type="pct"/>
                  <w:noWrap w:val="0"/>
                  <w:vAlign w:val="center"/>
                </w:tcPr>
                <w:p w14:paraId="432047C4">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原料仓库</w:t>
                  </w:r>
                </w:p>
              </w:tc>
              <w:tc>
                <w:tcPr>
                  <w:tcW w:w="632" w:type="pct"/>
                  <w:shd w:val="clear" w:color="auto" w:fill="auto"/>
                  <w:noWrap w:val="0"/>
                  <w:vAlign w:val="center"/>
                </w:tcPr>
                <w:p w14:paraId="0B7861E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1390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1206" w:type="pct"/>
                  <w:noWrap w:val="0"/>
                  <w:vAlign w:val="center"/>
                </w:tcPr>
                <w:p w14:paraId="2FA98BD7">
                  <w:pPr>
                    <w:pStyle w:val="127"/>
                    <w:keepNext w:val="0"/>
                    <w:keepLines w:val="0"/>
                    <w:suppressLineNumbers w:val="0"/>
                    <w:spacing w:before="0" w:beforeAutospacing="0" w:after="0" w:afterAutospacing="0" w:line="240" w:lineRule="auto"/>
                    <w:ind w:left="0" w:right="0"/>
                    <w:rPr>
                      <w:rFonts w:hint="default"/>
                      <w:color w:val="auto"/>
                      <w:lang w:val="en-US" w:eastAsia="zh-CN"/>
                    </w:rPr>
                  </w:pPr>
                  <w:r>
                    <w:rPr>
                      <w:rFonts w:hint="eastAsia"/>
                      <w:color w:val="auto"/>
                      <w:lang w:val="en-US" w:eastAsia="zh-CN"/>
                    </w:rPr>
                    <w:t>1000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914" w:type="pct"/>
                  <w:noWrap w:val="0"/>
                  <w:vAlign w:val="center"/>
                </w:tcPr>
                <w:p w14:paraId="74A482DC">
                  <w:pPr>
                    <w:pStyle w:val="127"/>
                    <w:keepNext w:val="0"/>
                    <w:keepLines w:val="0"/>
                    <w:suppressLineNumbers w:val="0"/>
                    <w:spacing w:before="0" w:beforeAutospacing="0" w:after="0" w:afterAutospacing="0" w:line="240" w:lineRule="auto"/>
                    <w:ind w:left="0" w:right="0"/>
                    <w:rPr>
                      <w:rFonts w:hint="default"/>
                      <w:color w:val="auto"/>
                      <w:lang w:val="en-US" w:eastAsia="zh-CN"/>
                    </w:rPr>
                  </w:pPr>
                  <w:r>
                    <w:rPr>
                      <w:rFonts w:hint="eastAsia"/>
                      <w:color w:val="auto"/>
                      <w:lang w:val="en-US" w:eastAsia="zh-CN"/>
                    </w:rPr>
                    <w:t>390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c>
                <w:tcPr>
                  <w:tcW w:w="856" w:type="pct"/>
                  <w:noWrap w:val="0"/>
                  <w:vAlign w:val="center"/>
                </w:tcPr>
                <w:p w14:paraId="6E261B4C">
                  <w:pPr>
                    <w:pStyle w:val="127"/>
                    <w:keepNext w:val="0"/>
                    <w:keepLines w:val="0"/>
                    <w:suppressLineNumbers w:val="0"/>
                    <w:spacing w:before="0" w:beforeAutospacing="0" w:after="0" w:afterAutospacing="0" w:line="240" w:lineRule="auto"/>
                    <w:ind w:left="0" w:right="0"/>
                    <w:rPr>
                      <w:rFonts w:hint="default" w:eastAsia="宋体"/>
                      <w:color w:val="auto"/>
                      <w:lang w:val="en-US" w:eastAsia="zh-CN"/>
                    </w:rPr>
                  </w:pPr>
                  <w:r>
                    <w:rPr>
                      <w:rFonts w:hint="eastAsia"/>
                      <w:color w:val="auto"/>
                      <w:lang w:val="en-US" w:eastAsia="zh-CN"/>
                    </w:rPr>
                    <w:t>120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2</w:t>
                  </w:r>
                </w:p>
              </w:tc>
            </w:tr>
            <w:tr w14:paraId="671850A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37" w:hRule="atLeast"/>
                <w:jc w:val="center"/>
              </w:trPr>
              <w:tc>
                <w:tcPr>
                  <w:tcW w:w="340" w:type="pct"/>
                  <w:vMerge w:val="continue"/>
                  <w:noWrap w:val="0"/>
                  <w:vAlign w:val="center"/>
                </w:tcPr>
                <w:p w14:paraId="5A8EBA57">
                  <w:pPr>
                    <w:pStyle w:val="127"/>
                    <w:keepNext w:val="0"/>
                    <w:keepLines w:val="0"/>
                    <w:suppressLineNumbers w:val="0"/>
                    <w:spacing w:before="0" w:beforeAutospacing="0" w:after="0" w:afterAutospacing="0" w:line="240" w:lineRule="auto"/>
                    <w:ind w:left="0" w:right="0"/>
                    <w:rPr>
                      <w:rFonts w:hint="eastAsia"/>
                      <w:color w:val="auto"/>
                    </w:rPr>
                  </w:pPr>
                </w:p>
              </w:tc>
              <w:tc>
                <w:tcPr>
                  <w:tcW w:w="1050" w:type="pct"/>
                  <w:noWrap w:val="0"/>
                  <w:vAlign w:val="center"/>
                </w:tcPr>
                <w:p w14:paraId="2794275A">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固废库</w:t>
                  </w:r>
                </w:p>
              </w:tc>
              <w:tc>
                <w:tcPr>
                  <w:tcW w:w="632" w:type="pct"/>
                  <w:noWrap w:val="0"/>
                  <w:vAlign w:val="center"/>
                </w:tcPr>
                <w:p w14:paraId="1A562B8F">
                  <w:pPr>
                    <w:keepNext w:val="0"/>
                    <w:keepLines w:val="0"/>
                    <w:suppressLineNumbers w:val="0"/>
                    <w:spacing w:before="0" w:beforeAutospacing="0" w:after="0" w:afterAutospacing="0"/>
                    <w:ind w:left="0" w:right="0"/>
                    <w:jc w:val="center"/>
                    <w:rPr>
                      <w:rFonts w:hint="eastAsia"/>
                      <w:color w:val="auto"/>
                    </w:rPr>
                  </w:pPr>
                  <w:r>
                    <w:rPr>
                      <w:rFonts w:hint="eastAsia"/>
                      <w:color w:val="auto"/>
                      <w:szCs w:val="21"/>
                      <w:lang w:val="en-US" w:eastAsia="zh-CN"/>
                    </w:rPr>
                    <w:t>1</w:t>
                  </w:r>
                  <w:r>
                    <w:rPr>
                      <w:rFonts w:hint="eastAsia"/>
                      <w:color w:val="auto"/>
                      <w:szCs w:val="21"/>
                    </w:rPr>
                    <w:t>00m</w:t>
                  </w:r>
                  <w:r>
                    <w:rPr>
                      <w:rFonts w:hint="eastAsia"/>
                      <w:color w:val="auto"/>
                      <w:szCs w:val="21"/>
                      <w:vertAlign w:val="superscript"/>
                    </w:rPr>
                    <w:t>2</w:t>
                  </w:r>
                </w:p>
              </w:tc>
              <w:tc>
                <w:tcPr>
                  <w:tcW w:w="1206" w:type="pct"/>
                  <w:noWrap w:val="0"/>
                  <w:vAlign w:val="center"/>
                </w:tcPr>
                <w:p w14:paraId="37F3B514">
                  <w:pPr>
                    <w:pStyle w:val="127"/>
                    <w:keepNext w:val="0"/>
                    <w:keepLines w:val="0"/>
                    <w:suppressLineNumbers w:val="0"/>
                    <w:spacing w:before="0" w:beforeAutospacing="0" w:after="0" w:afterAutospacing="0" w:line="240" w:lineRule="auto"/>
                    <w:ind w:left="0" w:right="0"/>
                    <w:rPr>
                      <w:rFonts w:hint="default"/>
                      <w:color w:val="auto"/>
                    </w:rPr>
                  </w:pPr>
                  <w:r>
                    <w:rPr>
                      <w:rFonts w:hint="eastAsia"/>
                      <w:color w:val="auto"/>
                      <w:lang w:val="en-US" w:eastAsia="zh-CN"/>
                    </w:rPr>
                    <w:t>60</w:t>
                  </w:r>
                  <w:r>
                    <w:rPr>
                      <w:rFonts w:hint="eastAsia"/>
                      <w:color w:val="auto"/>
                    </w:rPr>
                    <w:t>m</w:t>
                  </w:r>
                  <w:r>
                    <w:rPr>
                      <w:rFonts w:hint="eastAsia"/>
                      <w:color w:val="auto"/>
                      <w:vertAlign w:val="superscript"/>
                    </w:rPr>
                    <w:t>2</w:t>
                  </w:r>
                </w:p>
              </w:tc>
              <w:tc>
                <w:tcPr>
                  <w:tcW w:w="914" w:type="pct"/>
                  <w:noWrap w:val="0"/>
                  <w:vAlign w:val="center"/>
                </w:tcPr>
                <w:p w14:paraId="54FF95B8">
                  <w:pPr>
                    <w:pStyle w:val="127"/>
                    <w:keepNext w:val="0"/>
                    <w:keepLines w:val="0"/>
                    <w:suppressLineNumbers w:val="0"/>
                    <w:spacing w:before="0" w:beforeAutospacing="0" w:after="0" w:afterAutospacing="0" w:line="240" w:lineRule="auto"/>
                    <w:ind w:left="0" w:right="0"/>
                    <w:rPr>
                      <w:rFonts w:hint="default"/>
                      <w:color w:val="auto"/>
                    </w:rPr>
                  </w:pPr>
                  <w:r>
                    <w:rPr>
                      <w:rFonts w:hint="eastAsia"/>
                      <w:color w:val="auto"/>
                      <w:lang w:val="en-US" w:eastAsia="zh-CN"/>
                    </w:rPr>
                    <w:t>40</w:t>
                  </w:r>
                  <w:r>
                    <w:rPr>
                      <w:rFonts w:hint="eastAsia"/>
                      <w:color w:val="auto"/>
                    </w:rPr>
                    <w:t>m</w:t>
                  </w:r>
                  <w:r>
                    <w:rPr>
                      <w:rFonts w:hint="eastAsia"/>
                      <w:color w:val="auto"/>
                      <w:vertAlign w:val="superscript"/>
                    </w:rPr>
                    <w:t>2</w:t>
                  </w:r>
                </w:p>
              </w:tc>
              <w:tc>
                <w:tcPr>
                  <w:tcW w:w="856" w:type="pct"/>
                  <w:noWrap w:val="0"/>
                  <w:vAlign w:val="center"/>
                </w:tcPr>
                <w:p w14:paraId="60D923C1">
                  <w:pPr>
                    <w:pStyle w:val="127"/>
                    <w:keepNext w:val="0"/>
                    <w:keepLines w:val="0"/>
                    <w:suppressLineNumbers w:val="0"/>
                    <w:spacing w:before="0" w:beforeAutospacing="0" w:after="0" w:afterAutospacing="0" w:line="240" w:lineRule="auto"/>
                    <w:ind w:left="0" w:right="0"/>
                    <w:rPr>
                      <w:rFonts w:hint="default"/>
                      <w:color w:val="auto"/>
                    </w:rPr>
                  </w:pPr>
                  <w:r>
                    <w:rPr>
                      <w:rFonts w:hint="eastAsia"/>
                      <w:color w:val="auto"/>
                      <w:lang w:val="en-US" w:eastAsia="zh-CN"/>
                    </w:rPr>
                    <w:t>3</w:t>
                  </w:r>
                  <w:r>
                    <w:rPr>
                      <w:rFonts w:hint="eastAsia"/>
                      <w:color w:val="auto"/>
                    </w:rPr>
                    <w:t>0m</w:t>
                  </w:r>
                  <w:r>
                    <w:rPr>
                      <w:rFonts w:hint="eastAsia"/>
                      <w:color w:val="auto"/>
                      <w:vertAlign w:val="superscript"/>
                    </w:rPr>
                    <w:t>2</w:t>
                  </w:r>
                </w:p>
              </w:tc>
            </w:tr>
            <w:tr w14:paraId="2EF8C56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trHeight w:val="337" w:hRule="atLeast"/>
                <w:jc w:val="center"/>
              </w:trPr>
              <w:tc>
                <w:tcPr>
                  <w:tcW w:w="340" w:type="pct"/>
                  <w:vMerge w:val="continue"/>
                  <w:tcBorders>
                    <w:bottom w:val="single" w:color="000000" w:sz="2" w:space="0"/>
                  </w:tcBorders>
                  <w:noWrap w:val="0"/>
                  <w:vAlign w:val="center"/>
                </w:tcPr>
                <w:p w14:paraId="2F82A0DA">
                  <w:pPr>
                    <w:pStyle w:val="127"/>
                    <w:keepNext w:val="0"/>
                    <w:keepLines w:val="0"/>
                    <w:suppressLineNumbers w:val="0"/>
                    <w:spacing w:before="0" w:beforeAutospacing="0" w:after="0" w:afterAutospacing="0" w:line="240" w:lineRule="auto"/>
                    <w:ind w:left="0" w:right="0"/>
                    <w:rPr>
                      <w:rFonts w:hint="eastAsia"/>
                      <w:color w:val="auto"/>
                    </w:rPr>
                  </w:pPr>
                </w:p>
              </w:tc>
              <w:tc>
                <w:tcPr>
                  <w:tcW w:w="1050" w:type="pct"/>
                  <w:tcBorders>
                    <w:bottom w:val="single" w:color="000000" w:sz="2" w:space="0"/>
                  </w:tcBorders>
                  <w:noWrap w:val="0"/>
                  <w:vAlign w:val="center"/>
                </w:tcPr>
                <w:p w14:paraId="53ED6274">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危废库</w:t>
                  </w:r>
                </w:p>
              </w:tc>
              <w:tc>
                <w:tcPr>
                  <w:tcW w:w="632" w:type="pct"/>
                  <w:noWrap w:val="0"/>
                  <w:vAlign w:val="center"/>
                </w:tcPr>
                <w:p w14:paraId="0204CB5B">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20</w:t>
                  </w:r>
                  <w:r>
                    <w:rPr>
                      <w:rFonts w:hint="eastAsia"/>
                      <w:color w:val="auto"/>
                      <w:szCs w:val="21"/>
                    </w:rPr>
                    <w:t>m</w:t>
                  </w:r>
                  <w:r>
                    <w:rPr>
                      <w:rFonts w:hint="eastAsia"/>
                      <w:color w:val="auto"/>
                      <w:szCs w:val="21"/>
                      <w:vertAlign w:val="superscript"/>
                    </w:rPr>
                    <w:t>2</w:t>
                  </w:r>
                </w:p>
              </w:tc>
              <w:tc>
                <w:tcPr>
                  <w:tcW w:w="1206" w:type="pct"/>
                  <w:noWrap w:val="0"/>
                  <w:vAlign w:val="center"/>
                </w:tcPr>
                <w:p w14:paraId="3E538685">
                  <w:pPr>
                    <w:pStyle w:val="127"/>
                    <w:keepNext w:val="0"/>
                    <w:keepLines w:val="0"/>
                    <w:suppressLineNumbers w:val="0"/>
                    <w:spacing w:before="0" w:beforeAutospacing="0" w:after="0" w:afterAutospacing="0" w:line="240" w:lineRule="auto"/>
                    <w:ind w:left="0" w:right="0"/>
                    <w:rPr>
                      <w:rFonts w:hint="eastAsia" w:eastAsia="宋体"/>
                      <w:color w:val="auto"/>
                      <w:lang w:eastAsia="zh-CN"/>
                    </w:rPr>
                  </w:pPr>
                  <w:r>
                    <w:rPr>
                      <w:rFonts w:hint="eastAsia"/>
                      <w:color w:val="auto"/>
                      <w:lang w:val="en-US" w:eastAsia="zh-CN"/>
                    </w:rPr>
                    <w:t>5</w:t>
                  </w:r>
                  <w:r>
                    <w:rPr>
                      <w:rFonts w:hint="eastAsia"/>
                      <w:color w:val="auto"/>
                    </w:rPr>
                    <w:t>m</w:t>
                  </w:r>
                  <w:r>
                    <w:rPr>
                      <w:rFonts w:hint="eastAsia"/>
                      <w:color w:val="auto"/>
                      <w:vertAlign w:val="superscript"/>
                    </w:rPr>
                    <w:t>2</w:t>
                  </w:r>
                </w:p>
              </w:tc>
              <w:tc>
                <w:tcPr>
                  <w:tcW w:w="914" w:type="pct"/>
                  <w:noWrap w:val="0"/>
                  <w:vAlign w:val="center"/>
                </w:tcPr>
                <w:p w14:paraId="384381A4">
                  <w:pPr>
                    <w:pStyle w:val="127"/>
                    <w:keepNext w:val="0"/>
                    <w:keepLines w:val="0"/>
                    <w:suppressLineNumbers w:val="0"/>
                    <w:spacing w:before="0" w:beforeAutospacing="0" w:after="0" w:afterAutospacing="0" w:line="240" w:lineRule="auto"/>
                    <w:ind w:left="0" w:right="0"/>
                    <w:rPr>
                      <w:rFonts w:hint="default"/>
                      <w:color w:val="auto"/>
                    </w:rPr>
                  </w:pPr>
                  <w:r>
                    <w:rPr>
                      <w:rFonts w:hint="eastAsia"/>
                      <w:color w:val="auto"/>
                      <w:lang w:val="en-US" w:eastAsia="zh-CN"/>
                    </w:rPr>
                    <w:t>15</w:t>
                  </w:r>
                  <w:r>
                    <w:rPr>
                      <w:rFonts w:hint="eastAsia"/>
                      <w:color w:val="auto"/>
                    </w:rPr>
                    <w:t>m</w:t>
                  </w:r>
                  <w:r>
                    <w:rPr>
                      <w:rFonts w:hint="eastAsia"/>
                      <w:color w:val="auto"/>
                      <w:vertAlign w:val="superscript"/>
                    </w:rPr>
                    <w:t>2</w:t>
                  </w:r>
                </w:p>
              </w:tc>
              <w:tc>
                <w:tcPr>
                  <w:tcW w:w="856" w:type="pct"/>
                  <w:noWrap w:val="0"/>
                  <w:vAlign w:val="center"/>
                </w:tcPr>
                <w:p w14:paraId="698C6812">
                  <w:pPr>
                    <w:pStyle w:val="127"/>
                    <w:keepNext w:val="0"/>
                    <w:keepLines w:val="0"/>
                    <w:suppressLineNumbers w:val="0"/>
                    <w:spacing w:before="0" w:beforeAutospacing="0" w:after="0" w:afterAutospacing="0" w:line="240" w:lineRule="auto"/>
                    <w:ind w:left="0" w:right="0"/>
                    <w:rPr>
                      <w:rFonts w:hint="default"/>
                      <w:color w:val="auto"/>
                    </w:rPr>
                  </w:pPr>
                  <w:r>
                    <w:rPr>
                      <w:rFonts w:hint="eastAsia"/>
                      <w:color w:val="auto"/>
                      <w:lang w:val="en-US" w:eastAsia="zh-CN"/>
                    </w:rPr>
                    <w:t>7</w:t>
                  </w:r>
                  <w:r>
                    <w:rPr>
                      <w:rFonts w:hint="eastAsia"/>
                      <w:color w:val="auto"/>
                    </w:rPr>
                    <w:t>m</w:t>
                  </w:r>
                  <w:r>
                    <w:rPr>
                      <w:rFonts w:hint="eastAsia"/>
                      <w:color w:val="auto"/>
                      <w:vertAlign w:val="superscript"/>
                    </w:rPr>
                    <w:t>2</w:t>
                  </w:r>
                </w:p>
              </w:tc>
            </w:tr>
          </w:tbl>
          <w:p w14:paraId="5FE2FF3E">
            <w:pPr>
              <w:pStyle w:val="67"/>
              <w:keepNext w:val="0"/>
              <w:keepLines w:val="0"/>
              <w:suppressLineNumbers w:val="0"/>
              <w:snapToGrid/>
              <w:spacing w:before="120" w:beforeLines="50" w:beforeAutospacing="0" w:after="0" w:afterAutospacing="0"/>
              <w:ind w:left="0" w:right="0" w:firstLine="482"/>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4.主要生产设施及设施参数</w:t>
            </w:r>
          </w:p>
          <w:p w14:paraId="12A72628">
            <w:pPr>
              <w:pStyle w:val="67"/>
              <w:keepNext w:val="0"/>
              <w:keepLines w:val="0"/>
              <w:suppressLineNumbers w:val="0"/>
              <w:snapToGrid/>
              <w:spacing w:before="0" w:beforeAutospacing="0" w:after="0" w:afterAutospacing="0"/>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本项目主要设备见表2</w:t>
            </w:r>
            <w:r>
              <w:rPr>
                <w:rFonts w:hint="eastAsia" w:ascii="Times New Roman" w:hAnsi="Times New Roman" w:cs="Times New Roman"/>
                <w:color w:val="auto"/>
                <w:sz w:val="24"/>
                <w:szCs w:val="24"/>
                <w:highlight w:val="none"/>
                <w:lang w:val="en-US" w:eastAsia="zh-CN"/>
              </w:rPr>
              <w:t>.1-4</w:t>
            </w:r>
            <w:r>
              <w:rPr>
                <w:rFonts w:hint="default" w:ascii="Times New Roman" w:hAnsi="Times New Roman" w:cs="Times New Roman"/>
                <w:color w:val="auto"/>
                <w:sz w:val="24"/>
                <w:szCs w:val="24"/>
                <w:highlight w:val="none"/>
              </w:rPr>
              <w:t>。</w:t>
            </w:r>
          </w:p>
          <w:p w14:paraId="1ABDBAFF">
            <w:pPr>
              <w:pStyle w:val="67"/>
              <w:keepNext w:val="0"/>
              <w:keepLines w:val="0"/>
              <w:suppressLineNumbers w:val="0"/>
              <w:snapToGrid/>
              <w:spacing w:before="0" w:beforeAutospacing="0" w:after="0" w:afterAutospacing="0" w:line="240" w:lineRule="auto"/>
              <w:ind w:left="0" w:right="0" w:firstLine="482"/>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表2</w:t>
            </w:r>
            <w:r>
              <w:rPr>
                <w:rFonts w:hint="eastAsia" w:ascii="Times New Roman" w:hAnsi="Times New Roman" w:cs="Times New Roman"/>
                <w:b/>
                <w:bCs/>
                <w:color w:val="auto"/>
                <w:sz w:val="24"/>
                <w:szCs w:val="24"/>
                <w:highlight w:val="none"/>
                <w:lang w:val="en-US" w:eastAsia="zh-CN"/>
              </w:rPr>
              <w:t>.1-4</w:t>
            </w:r>
            <w:r>
              <w:rPr>
                <w:rFonts w:hint="eastAsia"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 xml:space="preserve">  主要设备一览表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31"/>
              <w:gridCol w:w="1099"/>
              <w:gridCol w:w="2093"/>
              <w:gridCol w:w="786"/>
              <w:gridCol w:w="700"/>
              <w:gridCol w:w="927"/>
              <w:gridCol w:w="450"/>
              <w:gridCol w:w="465"/>
              <w:gridCol w:w="1637"/>
            </w:tblGrid>
            <w:tr w14:paraId="0C4D2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38" w:type="pct"/>
                  <w:vMerge w:val="restart"/>
                  <w:tcBorders>
                    <w:tl2br w:val="nil"/>
                    <w:tr2bl w:val="nil"/>
                  </w:tcBorders>
                  <w:noWrap w:val="0"/>
                  <w:vAlign w:val="center"/>
                </w:tcPr>
                <w:p w14:paraId="0DF8BB2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类型</w:t>
                  </w:r>
                </w:p>
              </w:tc>
              <w:tc>
                <w:tcPr>
                  <w:tcW w:w="655" w:type="pct"/>
                  <w:vMerge w:val="restart"/>
                  <w:tcBorders>
                    <w:tl2br w:val="nil"/>
                    <w:tr2bl w:val="nil"/>
                  </w:tcBorders>
                  <w:noWrap w:val="0"/>
                  <w:vAlign w:val="center"/>
                </w:tcPr>
                <w:p w14:paraId="126C70D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1247" w:type="pct"/>
                  <w:vMerge w:val="restart"/>
                  <w:tcBorders>
                    <w:tl2br w:val="nil"/>
                    <w:tr2bl w:val="nil"/>
                  </w:tcBorders>
                  <w:noWrap w:val="0"/>
                  <w:vAlign w:val="center"/>
                </w:tcPr>
                <w:p w14:paraId="1A503D2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规格型号</w:t>
                  </w:r>
                </w:p>
              </w:tc>
              <w:tc>
                <w:tcPr>
                  <w:tcW w:w="885" w:type="pct"/>
                  <w:gridSpan w:val="2"/>
                  <w:tcBorders>
                    <w:tl2br w:val="nil"/>
                    <w:tr2bl w:val="nil"/>
                  </w:tcBorders>
                  <w:noWrap w:val="0"/>
                  <w:vAlign w:val="center"/>
                </w:tcPr>
                <w:p w14:paraId="117EE5C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技改前（台/套）</w:t>
                  </w:r>
                </w:p>
              </w:tc>
              <w:tc>
                <w:tcPr>
                  <w:tcW w:w="552" w:type="pct"/>
                  <w:vMerge w:val="restart"/>
                  <w:tcBorders>
                    <w:tl2br w:val="nil"/>
                    <w:tr2bl w:val="nil"/>
                  </w:tcBorders>
                  <w:noWrap w:val="0"/>
                  <w:vAlign w:val="center"/>
                </w:tcPr>
                <w:p w14:paraId="7787817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技改后（台/套）</w:t>
                  </w:r>
                </w:p>
              </w:tc>
              <w:tc>
                <w:tcPr>
                  <w:tcW w:w="268" w:type="pct"/>
                  <w:vMerge w:val="restart"/>
                  <w:tcBorders>
                    <w:tl2br w:val="nil"/>
                    <w:tr2bl w:val="nil"/>
                  </w:tcBorders>
                  <w:noWrap w:val="0"/>
                  <w:vAlign w:val="center"/>
                </w:tcPr>
                <w:p w14:paraId="2E3D27A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变化量</w:t>
                  </w:r>
                </w:p>
              </w:tc>
              <w:tc>
                <w:tcPr>
                  <w:tcW w:w="277" w:type="pct"/>
                  <w:vMerge w:val="restart"/>
                  <w:tcBorders>
                    <w:tl2br w:val="nil"/>
                    <w:tr2bl w:val="nil"/>
                  </w:tcBorders>
                  <w:noWrap w:val="0"/>
                  <w:vAlign w:val="center"/>
                </w:tcPr>
                <w:p w14:paraId="71446D5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产地</w:t>
                  </w:r>
                </w:p>
              </w:tc>
              <w:tc>
                <w:tcPr>
                  <w:tcW w:w="975" w:type="pct"/>
                  <w:vMerge w:val="restart"/>
                  <w:tcBorders>
                    <w:tl2br w:val="nil"/>
                    <w:tr2bl w:val="nil"/>
                  </w:tcBorders>
                  <w:noWrap w:val="0"/>
                  <w:vAlign w:val="center"/>
                </w:tcPr>
                <w:p w14:paraId="2DB24E01">
                  <w:pPr>
                    <w:pStyle w:val="107"/>
                    <w:keepNext w:val="0"/>
                    <w:keepLines w:val="0"/>
                    <w:suppressLineNumbers w:val="0"/>
                    <w:spacing w:before="0" w:beforeLines="0" w:beforeAutospacing="0" w:after="0" w:afterAutospacing="0" w:line="240" w:lineRule="auto"/>
                    <w:ind w:left="0" w:right="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备注</w:t>
                  </w:r>
                </w:p>
              </w:tc>
            </w:tr>
            <w:tr w14:paraId="196DDF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blHeader/>
              </w:trPr>
              <w:tc>
                <w:tcPr>
                  <w:tcW w:w="138" w:type="pct"/>
                  <w:vMerge w:val="continue"/>
                  <w:tcBorders>
                    <w:tl2br w:val="nil"/>
                    <w:tr2bl w:val="nil"/>
                  </w:tcBorders>
                  <w:noWrap w:val="0"/>
                  <w:vAlign w:val="center"/>
                </w:tcPr>
                <w:p w14:paraId="5BB533B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655" w:type="pct"/>
                  <w:vMerge w:val="continue"/>
                  <w:tcBorders>
                    <w:tl2br w:val="nil"/>
                    <w:tr2bl w:val="nil"/>
                  </w:tcBorders>
                  <w:noWrap w:val="0"/>
                  <w:vAlign w:val="center"/>
                </w:tcPr>
                <w:p w14:paraId="02D0096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1247" w:type="pct"/>
                  <w:vMerge w:val="continue"/>
                  <w:tcBorders>
                    <w:tl2br w:val="nil"/>
                    <w:tr2bl w:val="nil"/>
                  </w:tcBorders>
                  <w:noWrap w:val="0"/>
                  <w:vAlign w:val="center"/>
                </w:tcPr>
                <w:p w14:paraId="3B637C6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468" w:type="pct"/>
                  <w:tcBorders>
                    <w:tl2br w:val="nil"/>
                    <w:tr2bl w:val="nil"/>
                  </w:tcBorders>
                  <w:noWrap w:val="0"/>
                  <w:vAlign w:val="center"/>
                </w:tcPr>
                <w:p w14:paraId="7EA9A5BC">
                  <w:pPr>
                    <w:pStyle w:val="107"/>
                    <w:keepNext w:val="0"/>
                    <w:keepLines w:val="0"/>
                    <w:suppressLineNumbers w:val="0"/>
                    <w:spacing w:before="0" w:beforeLines="0" w:beforeAutospacing="0" w:after="0" w:afterAutospacing="0" w:line="240" w:lineRule="auto"/>
                    <w:ind w:left="0" w:right="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原环评</w:t>
                  </w:r>
                </w:p>
              </w:tc>
              <w:tc>
                <w:tcPr>
                  <w:tcW w:w="417" w:type="pct"/>
                  <w:tcBorders>
                    <w:tl2br w:val="nil"/>
                    <w:tr2bl w:val="nil"/>
                  </w:tcBorders>
                  <w:noWrap w:val="0"/>
                  <w:vAlign w:val="center"/>
                </w:tcPr>
                <w:p w14:paraId="2C30C7A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实际</w:t>
                  </w:r>
                </w:p>
              </w:tc>
              <w:tc>
                <w:tcPr>
                  <w:tcW w:w="552" w:type="pct"/>
                  <w:vMerge w:val="continue"/>
                  <w:tcBorders>
                    <w:tl2br w:val="nil"/>
                    <w:tr2bl w:val="nil"/>
                  </w:tcBorders>
                  <w:noWrap w:val="0"/>
                  <w:vAlign w:val="center"/>
                </w:tcPr>
                <w:p w14:paraId="3EC8CFE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p>
              </w:tc>
              <w:tc>
                <w:tcPr>
                  <w:tcW w:w="268" w:type="pct"/>
                  <w:vMerge w:val="continue"/>
                  <w:tcBorders>
                    <w:tl2br w:val="nil"/>
                    <w:tr2bl w:val="nil"/>
                  </w:tcBorders>
                  <w:noWrap w:val="0"/>
                  <w:vAlign w:val="center"/>
                </w:tcPr>
                <w:p w14:paraId="7EE3AB8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p>
              </w:tc>
              <w:tc>
                <w:tcPr>
                  <w:tcW w:w="277" w:type="pct"/>
                  <w:vMerge w:val="continue"/>
                  <w:tcBorders>
                    <w:tl2br w:val="nil"/>
                    <w:tr2bl w:val="nil"/>
                  </w:tcBorders>
                  <w:noWrap w:val="0"/>
                  <w:vAlign w:val="center"/>
                </w:tcPr>
                <w:p w14:paraId="2FE340A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p>
              </w:tc>
              <w:tc>
                <w:tcPr>
                  <w:tcW w:w="975" w:type="pct"/>
                  <w:vMerge w:val="continue"/>
                  <w:tcBorders>
                    <w:tl2br w:val="nil"/>
                    <w:tr2bl w:val="nil"/>
                  </w:tcBorders>
                  <w:noWrap w:val="0"/>
                  <w:vAlign w:val="center"/>
                </w:tcPr>
                <w:p w14:paraId="7D5ED9E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lang w:val="en-US" w:eastAsia="zh-CN"/>
                    </w:rPr>
                  </w:pPr>
                </w:p>
              </w:tc>
            </w:tr>
            <w:tr w14:paraId="160F9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restart"/>
                  <w:tcBorders>
                    <w:tl2br w:val="nil"/>
                    <w:tr2bl w:val="nil"/>
                  </w:tcBorders>
                  <w:noWrap w:val="0"/>
                  <w:vAlign w:val="center"/>
                </w:tcPr>
                <w:p w14:paraId="110837C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生产设备</w:t>
                  </w:r>
                </w:p>
              </w:tc>
              <w:tc>
                <w:tcPr>
                  <w:tcW w:w="655" w:type="pct"/>
                  <w:tcBorders>
                    <w:tl2br w:val="nil"/>
                    <w:tr2bl w:val="nil"/>
                  </w:tcBorders>
                  <w:shd w:val="clear" w:color="auto" w:fill="auto"/>
                  <w:noWrap w:val="0"/>
                  <w:vAlign w:val="center"/>
                </w:tcPr>
                <w:p w14:paraId="6F9B0C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中频炉</w:t>
                  </w:r>
                </w:p>
              </w:tc>
              <w:tc>
                <w:tcPr>
                  <w:tcW w:w="1247" w:type="pct"/>
                  <w:tcBorders>
                    <w:tl2br w:val="nil"/>
                    <w:tr2bl w:val="nil"/>
                  </w:tcBorders>
                  <w:shd w:val="clear" w:color="auto" w:fill="auto"/>
                  <w:noWrap w:val="0"/>
                  <w:vAlign w:val="center"/>
                </w:tcPr>
                <w:p w14:paraId="2184D86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10t</w:t>
                  </w:r>
                </w:p>
              </w:tc>
              <w:tc>
                <w:tcPr>
                  <w:tcW w:w="468" w:type="pct"/>
                  <w:tcBorders>
                    <w:tl2br w:val="nil"/>
                    <w:tr2bl w:val="nil"/>
                  </w:tcBorders>
                  <w:noWrap w:val="0"/>
                  <w:vAlign w:val="center"/>
                </w:tcPr>
                <w:p w14:paraId="58BFEE60">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2</w:t>
                  </w:r>
                </w:p>
              </w:tc>
              <w:tc>
                <w:tcPr>
                  <w:tcW w:w="417" w:type="pct"/>
                  <w:tcBorders>
                    <w:tl2br w:val="nil"/>
                    <w:tr2bl w:val="nil"/>
                  </w:tcBorders>
                  <w:noWrap w:val="0"/>
                  <w:vAlign w:val="center"/>
                </w:tcPr>
                <w:p w14:paraId="338B5601">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Cs/>
                      <w:color w:val="auto"/>
                      <w:spacing w:val="10"/>
                      <w:kern w:val="2"/>
                      <w:sz w:val="21"/>
                      <w:szCs w:val="21"/>
                      <w:lang w:val="en-US" w:eastAsia="zh-CN" w:bidi="ar-SA"/>
                    </w:rPr>
                  </w:pPr>
                  <w:r>
                    <w:rPr>
                      <w:rFonts w:hint="eastAsia"/>
                      <w:color w:val="auto"/>
                      <w:lang w:val="en-US" w:eastAsia="zh-CN"/>
                    </w:rPr>
                    <w:t>2</w:t>
                  </w:r>
                </w:p>
              </w:tc>
              <w:tc>
                <w:tcPr>
                  <w:tcW w:w="552" w:type="pct"/>
                  <w:tcBorders>
                    <w:tl2br w:val="nil"/>
                    <w:tr2bl w:val="nil"/>
                  </w:tcBorders>
                  <w:shd w:val="clear" w:color="auto" w:fill="auto"/>
                  <w:noWrap w:val="0"/>
                  <w:vAlign w:val="center"/>
                </w:tcPr>
                <w:p w14:paraId="5D466F1E">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pacing w:val="10"/>
                      <w:kern w:val="2"/>
                      <w:sz w:val="21"/>
                      <w:szCs w:val="21"/>
                      <w:lang w:val="en-US" w:eastAsia="zh-CN" w:bidi="ar-SA"/>
                    </w:rPr>
                  </w:pPr>
                  <w:r>
                    <w:rPr>
                      <w:rFonts w:hint="eastAsia" w:cs="Times New Roman"/>
                      <w:bCs/>
                      <w:color w:val="auto"/>
                      <w:spacing w:val="10"/>
                      <w:sz w:val="21"/>
                      <w:szCs w:val="21"/>
                      <w:lang w:val="en-US" w:eastAsia="zh-CN"/>
                    </w:rPr>
                    <w:t>2</w:t>
                  </w:r>
                </w:p>
              </w:tc>
              <w:tc>
                <w:tcPr>
                  <w:tcW w:w="268" w:type="pct"/>
                  <w:tcBorders>
                    <w:tl2br w:val="nil"/>
                    <w:tr2bl w:val="nil"/>
                  </w:tcBorders>
                  <w:noWrap w:val="0"/>
                  <w:vAlign w:val="center"/>
                </w:tcPr>
                <w:p w14:paraId="28FEAC0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noWrap w:val="0"/>
                  <w:vAlign w:val="center"/>
                </w:tcPr>
                <w:p w14:paraId="43BC684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67E1AAB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熔化设备</w:t>
                  </w:r>
                </w:p>
              </w:tc>
            </w:tr>
            <w:tr w14:paraId="798DB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4B09B44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3F4437A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钢包精炼炉</w:t>
                  </w:r>
                </w:p>
              </w:tc>
              <w:tc>
                <w:tcPr>
                  <w:tcW w:w="1247" w:type="pct"/>
                  <w:tcBorders>
                    <w:tl2br w:val="nil"/>
                    <w:tr2bl w:val="nil"/>
                  </w:tcBorders>
                  <w:shd w:val="clear" w:color="auto" w:fill="auto"/>
                  <w:noWrap w:val="0"/>
                  <w:vAlign w:val="center"/>
                </w:tcPr>
                <w:p w14:paraId="2865435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2F-30t</w:t>
                  </w:r>
                </w:p>
              </w:tc>
              <w:tc>
                <w:tcPr>
                  <w:tcW w:w="468" w:type="pct"/>
                  <w:tcBorders>
                    <w:tl2br w:val="nil"/>
                    <w:tr2bl w:val="nil"/>
                  </w:tcBorders>
                  <w:noWrap w:val="0"/>
                  <w:vAlign w:val="center"/>
                </w:tcPr>
                <w:p w14:paraId="7A5B1C3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1</w:t>
                  </w:r>
                </w:p>
              </w:tc>
              <w:tc>
                <w:tcPr>
                  <w:tcW w:w="417" w:type="pct"/>
                  <w:tcBorders>
                    <w:tl2br w:val="nil"/>
                    <w:tr2bl w:val="nil"/>
                  </w:tcBorders>
                  <w:shd w:val="clear" w:color="auto" w:fill="auto"/>
                  <w:noWrap w:val="0"/>
                  <w:vAlign w:val="center"/>
                </w:tcPr>
                <w:p w14:paraId="14278925">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1</w:t>
                  </w:r>
                </w:p>
              </w:tc>
              <w:tc>
                <w:tcPr>
                  <w:tcW w:w="552" w:type="pct"/>
                  <w:tcBorders>
                    <w:tl2br w:val="nil"/>
                    <w:tr2bl w:val="nil"/>
                  </w:tcBorders>
                  <w:shd w:val="clear" w:color="auto" w:fill="auto"/>
                  <w:noWrap w:val="0"/>
                  <w:vAlign w:val="center"/>
                </w:tcPr>
                <w:p w14:paraId="31998931">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1</w:t>
                  </w:r>
                </w:p>
              </w:tc>
              <w:tc>
                <w:tcPr>
                  <w:tcW w:w="268" w:type="pct"/>
                  <w:tcBorders>
                    <w:tl2br w:val="nil"/>
                    <w:tr2bl w:val="nil"/>
                  </w:tcBorders>
                  <w:noWrap w:val="0"/>
                  <w:vAlign w:val="center"/>
                </w:tcPr>
                <w:p w14:paraId="0D151FFA">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noWrap w:val="0"/>
                  <w:vAlign w:val="center"/>
                </w:tcPr>
                <w:p w14:paraId="782B7A0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restart"/>
                  <w:tcBorders>
                    <w:tl2br w:val="nil"/>
                    <w:tr2bl w:val="nil"/>
                  </w:tcBorders>
                  <w:noWrap w:val="0"/>
                  <w:vAlign w:val="center"/>
                </w:tcPr>
                <w:p w14:paraId="45D8D7E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精炼设备</w:t>
                  </w:r>
                </w:p>
              </w:tc>
            </w:tr>
            <w:tr w14:paraId="7BAFE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37DF673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5E06666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真空精炼炉</w:t>
                  </w:r>
                </w:p>
              </w:tc>
              <w:tc>
                <w:tcPr>
                  <w:tcW w:w="1247" w:type="pct"/>
                  <w:tcBorders>
                    <w:tl2br w:val="nil"/>
                    <w:tr2bl w:val="nil"/>
                  </w:tcBorders>
                  <w:shd w:val="clear" w:color="auto" w:fill="auto"/>
                  <w:noWrap w:val="0"/>
                  <w:vAlign w:val="center"/>
                </w:tcPr>
                <w:p w14:paraId="499EB19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VD-30t</w:t>
                  </w:r>
                </w:p>
              </w:tc>
              <w:tc>
                <w:tcPr>
                  <w:tcW w:w="468" w:type="pct"/>
                  <w:tcBorders>
                    <w:tl2br w:val="nil"/>
                    <w:tr2bl w:val="nil"/>
                  </w:tcBorders>
                  <w:noWrap w:val="0"/>
                  <w:vAlign w:val="center"/>
                </w:tcPr>
                <w:p w14:paraId="43ED968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1</w:t>
                  </w:r>
                </w:p>
              </w:tc>
              <w:tc>
                <w:tcPr>
                  <w:tcW w:w="417" w:type="pct"/>
                  <w:tcBorders>
                    <w:tl2br w:val="nil"/>
                    <w:tr2bl w:val="nil"/>
                  </w:tcBorders>
                  <w:shd w:val="clear" w:color="auto" w:fill="auto"/>
                  <w:noWrap w:val="0"/>
                  <w:vAlign w:val="center"/>
                </w:tcPr>
                <w:p w14:paraId="6109C76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1</w:t>
                  </w:r>
                </w:p>
              </w:tc>
              <w:tc>
                <w:tcPr>
                  <w:tcW w:w="552" w:type="pct"/>
                  <w:tcBorders>
                    <w:tl2br w:val="nil"/>
                    <w:tr2bl w:val="nil"/>
                  </w:tcBorders>
                  <w:shd w:val="clear" w:color="auto" w:fill="auto"/>
                  <w:noWrap w:val="0"/>
                  <w:vAlign w:val="center"/>
                </w:tcPr>
                <w:p w14:paraId="15701C76">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color w:val="auto"/>
                      <w:spacing w:val="10"/>
                      <w:kern w:val="2"/>
                      <w:sz w:val="21"/>
                      <w:szCs w:val="21"/>
                      <w:lang w:val="en-US" w:eastAsia="zh-CN" w:bidi="ar-SA"/>
                    </w:rPr>
                  </w:pPr>
                  <w:r>
                    <w:rPr>
                      <w:rFonts w:hint="eastAsia" w:cs="Times New Roman"/>
                      <w:bCs/>
                      <w:color w:val="auto"/>
                      <w:spacing w:val="10"/>
                      <w:kern w:val="2"/>
                      <w:sz w:val="21"/>
                      <w:szCs w:val="21"/>
                      <w:lang w:val="en-US" w:eastAsia="zh-CN" w:bidi="ar-SA"/>
                    </w:rPr>
                    <w:t>1</w:t>
                  </w:r>
                </w:p>
              </w:tc>
              <w:tc>
                <w:tcPr>
                  <w:tcW w:w="268" w:type="pct"/>
                  <w:tcBorders>
                    <w:tl2br w:val="nil"/>
                    <w:tr2bl w:val="nil"/>
                  </w:tcBorders>
                  <w:noWrap w:val="0"/>
                  <w:vAlign w:val="center"/>
                </w:tcPr>
                <w:p w14:paraId="402241A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noWrap w:val="0"/>
                  <w:vAlign w:val="center"/>
                </w:tcPr>
                <w:p w14:paraId="330C623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noWrap w:val="0"/>
                  <w:vAlign w:val="center"/>
                </w:tcPr>
                <w:p w14:paraId="3CA3986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186E6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7FC1AA8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599BEEE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方锭模具</w:t>
                  </w:r>
                </w:p>
              </w:tc>
              <w:tc>
                <w:tcPr>
                  <w:tcW w:w="1247" w:type="pct"/>
                  <w:tcBorders>
                    <w:tl2br w:val="nil"/>
                    <w:tr2bl w:val="nil"/>
                  </w:tcBorders>
                  <w:shd w:val="clear" w:color="auto" w:fill="auto"/>
                  <w:noWrap w:val="0"/>
                  <w:vAlign w:val="center"/>
                </w:tcPr>
                <w:p w14:paraId="54BD21C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10-24</w:t>
                  </w:r>
                  <w:r>
                    <w:rPr>
                      <w:rFonts w:hint="eastAsia"/>
                      <w:color w:val="auto"/>
                      <w:sz w:val="21"/>
                      <w:szCs w:val="21"/>
                      <w:highlight w:val="none"/>
                    </w:rPr>
                    <w:t>寸</w:t>
                  </w: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rPr>
                    <w:t>-7</w:t>
                  </w:r>
                  <w:r>
                    <w:rPr>
                      <w:rFonts w:hint="eastAsia"/>
                      <w:color w:val="auto"/>
                      <w:sz w:val="21"/>
                      <w:szCs w:val="21"/>
                      <w:highlight w:val="none"/>
                      <w:lang w:val="en-US" w:eastAsia="zh-CN"/>
                    </w:rPr>
                    <w:t>吨</w:t>
                  </w:r>
                </w:p>
              </w:tc>
              <w:tc>
                <w:tcPr>
                  <w:tcW w:w="468" w:type="pct"/>
                  <w:tcBorders>
                    <w:tl2br w:val="nil"/>
                    <w:tr2bl w:val="nil"/>
                  </w:tcBorders>
                  <w:shd w:val="clear" w:color="auto" w:fill="auto"/>
                  <w:noWrap w:val="0"/>
                  <w:vAlign w:val="center"/>
                </w:tcPr>
                <w:p w14:paraId="660782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20</w:t>
                  </w:r>
                </w:p>
              </w:tc>
              <w:tc>
                <w:tcPr>
                  <w:tcW w:w="417" w:type="pct"/>
                  <w:tcBorders>
                    <w:tl2br w:val="nil"/>
                    <w:tr2bl w:val="nil"/>
                  </w:tcBorders>
                  <w:shd w:val="clear" w:color="auto" w:fill="auto"/>
                  <w:noWrap w:val="0"/>
                  <w:vAlign w:val="center"/>
                </w:tcPr>
                <w:p w14:paraId="4112A0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30</w:t>
                  </w:r>
                </w:p>
              </w:tc>
              <w:tc>
                <w:tcPr>
                  <w:tcW w:w="552" w:type="pct"/>
                  <w:tcBorders>
                    <w:tl2br w:val="nil"/>
                    <w:tr2bl w:val="nil"/>
                  </w:tcBorders>
                  <w:shd w:val="clear" w:color="auto" w:fill="auto"/>
                  <w:noWrap w:val="0"/>
                  <w:vAlign w:val="center"/>
                </w:tcPr>
                <w:p w14:paraId="08D0DC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30</w:t>
                  </w:r>
                </w:p>
              </w:tc>
              <w:tc>
                <w:tcPr>
                  <w:tcW w:w="268" w:type="pct"/>
                  <w:tcBorders>
                    <w:tl2br w:val="nil"/>
                    <w:tr2bl w:val="nil"/>
                  </w:tcBorders>
                  <w:noWrap w:val="0"/>
                  <w:vAlign w:val="center"/>
                </w:tcPr>
                <w:p w14:paraId="66AAA7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noWrap w:val="0"/>
                  <w:vAlign w:val="center"/>
                </w:tcPr>
                <w:p w14:paraId="7956BD5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国产</w:t>
                  </w:r>
                </w:p>
              </w:tc>
              <w:tc>
                <w:tcPr>
                  <w:tcW w:w="975" w:type="pct"/>
                  <w:vMerge w:val="restart"/>
                  <w:tcBorders>
                    <w:tl2br w:val="nil"/>
                    <w:tr2bl w:val="nil"/>
                  </w:tcBorders>
                  <w:noWrap w:val="0"/>
                  <w:vAlign w:val="center"/>
                </w:tcPr>
                <w:p w14:paraId="75D07FA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精铸设备</w:t>
                  </w:r>
                </w:p>
              </w:tc>
            </w:tr>
            <w:tr w14:paraId="65921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36DCB8E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5AA17D9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八角梅花锭模具</w:t>
                  </w:r>
                </w:p>
              </w:tc>
              <w:tc>
                <w:tcPr>
                  <w:tcW w:w="1247" w:type="pct"/>
                  <w:tcBorders>
                    <w:tl2br w:val="nil"/>
                    <w:tr2bl w:val="nil"/>
                  </w:tcBorders>
                  <w:shd w:val="clear" w:color="auto" w:fill="auto"/>
                  <w:noWrap w:val="0"/>
                  <w:vAlign w:val="center"/>
                </w:tcPr>
                <w:p w14:paraId="6A37A7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6-15吨</w:t>
                  </w:r>
                </w:p>
              </w:tc>
              <w:tc>
                <w:tcPr>
                  <w:tcW w:w="468" w:type="pct"/>
                  <w:tcBorders>
                    <w:tl2br w:val="nil"/>
                    <w:tr2bl w:val="nil"/>
                  </w:tcBorders>
                  <w:shd w:val="clear" w:color="auto" w:fill="auto"/>
                  <w:noWrap w:val="0"/>
                  <w:vAlign w:val="center"/>
                </w:tcPr>
                <w:p w14:paraId="7DF7681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24</w:t>
                  </w:r>
                </w:p>
              </w:tc>
              <w:tc>
                <w:tcPr>
                  <w:tcW w:w="417" w:type="pct"/>
                  <w:tcBorders>
                    <w:tl2br w:val="nil"/>
                    <w:tr2bl w:val="nil"/>
                  </w:tcBorders>
                  <w:shd w:val="clear" w:color="auto" w:fill="auto"/>
                  <w:noWrap w:val="0"/>
                  <w:vAlign w:val="center"/>
                </w:tcPr>
                <w:p w14:paraId="522FD31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24</w:t>
                  </w:r>
                </w:p>
              </w:tc>
              <w:tc>
                <w:tcPr>
                  <w:tcW w:w="552" w:type="pct"/>
                  <w:tcBorders>
                    <w:tl2br w:val="nil"/>
                    <w:tr2bl w:val="nil"/>
                  </w:tcBorders>
                  <w:shd w:val="clear" w:color="auto" w:fill="auto"/>
                  <w:noWrap w:val="0"/>
                  <w:vAlign w:val="center"/>
                </w:tcPr>
                <w:p w14:paraId="51F969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24</w:t>
                  </w:r>
                </w:p>
              </w:tc>
              <w:tc>
                <w:tcPr>
                  <w:tcW w:w="268" w:type="pct"/>
                  <w:tcBorders>
                    <w:tl2br w:val="nil"/>
                    <w:tr2bl w:val="nil"/>
                  </w:tcBorders>
                  <w:shd w:val="clear" w:color="auto" w:fill="auto"/>
                  <w:noWrap w:val="0"/>
                  <w:vAlign w:val="center"/>
                </w:tcPr>
                <w:p w14:paraId="3B880C3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0D990D3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5F01E39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p>
              </w:tc>
            </w:tr>
            <w:tr w14:paraId="2782A3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33C60D3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16272603">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液压锻造机</w:t>
                  </w:r>
                </w:p>
              </w:tc>
              <w:tc>
                <w:tcPr>
                  <w:tcW w:w="1247" w:type="pct"/>
                  <w:tcBorders>
                    <w:tl2br w:val="nil"/>
                    <w:tr2bl w:val="nil"/>
                  </w:tcBorders>
                  <w:shd w:val="clear" w:color="auto" w:fill="auto"/>
                  <w:noWrap w:val="0"/>
                  <w:vAlign w:val="center"/>
                </w:tcPr>
                <w:p w14:paraId="0127B611">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ZDYJ-1600</w:t>
                  </w:r>
                </w:p>
              </w:tc>
              <w:tc>
                <w:tcPr>
                  <w:tcW w:w="468" w:type="pct"/>
                  <w:tcBorders>
                    <w:tl2br w:val="nil"/>
                    <w:tr2bl w:val="nil"/>
                  </w:tcBorders>
                  <w:shd w:val="clear" w:color="auto" w:fill="auto"/>
                  <w:noWrap w:val="0"/>
                  <w:vAlign w:val="center"/>
                </w:tcPr>
                <w:p w14:paraId="2C7519F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417" w:type="pct"/>
                  <w:tcBorders>
                    <w:tl2br w:val="nil"/>
                    <w:tr2bl w:val="nil"/>
                  </w:tcBorders>
                  <w:shd w:val="clear" w:color="auto" w:fill="auto"/>
                  <w:noWrap w:val="0"/>
                  <w:vAlign w:val="center"/>
                </w:tcPr>
                <w:p w14:paraId="7C306B9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552" w:type="pct"/>
                  <w:tcBorders>
                    <w:tl2br w:val="nil"/>
                    <w:tr2bl w:val="nil"/>
                  </w:tcBorders>
                  <w:shd w:val="clear" w:color="auto" w:fill="auto"/>
                  <w:noWrap w:val="0"/>
                  <w:vAlign w:val="center"/>
                </w:tcPr>
                <w:p w14:paraId="007A44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268" w:type="pct"/>
                  <w:tcBorders>
                    <w:tl2br w:val="nil"/>
                    <w:tr2bl w:val="nil"/>
                  </w:tcBorders>
                  <w:shd w:val="clear" w:color="auto" w:fill="auto"/>
                  <w:noWrap w:val="0"/>
                  <w:vAlign w:val="center"/>
                </w:tcPr>
                <w:p w14:paraId="59459C9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693240A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restart"/>
                  <w:tcBorders>
                    <w:tl2br w:val="nil"/>
                    <w:tr2bl w:val="nil"/>
                  </w:tcBorders>
                  <w:shd w:val="clear" w:color="auto" w:fill="auto"/>
                  <w:noWrap w:val="0"/>
                  <w:vAlign w:val="center"/>
                </w:tcPr>
                <w:p w14:paraId="43DD468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锻压设备</w:t>
                  </w:r>
                </w:p>
              </w:tc>
            </w:tr>
            <w:tr w14:paraId="30B65B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00B8052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7AFA1B08">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液压锻造机</w:t>
                  </w:r>
                </w:p>
              </w:tc>
              <w:tc>
                <w:tcPr>
                  <w:tcW w:w="1247" w:type="pct"/>
                  <w:tcBorders>
                    <w:tl2br w:val="nil"/>
                    <w:tr2bl w:val="nil"/>
                  </w:tcBorders>
                  <w:shd w:val="clear" w:color="auto" w:fill="auto"/>
                  <w:noWrap w:val="0"/>
                  <w:vAlign w:val="center"/>
                </w:tcPr>
                <w:p w14:paraId="52FB85B9">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THH-5</w:t>
                  </w:r>
                </w:p>
              </w:tc>
              <w:tc>
                <w:tcPr>
                  <w:tcW w:w="468" w:type="pct"/>
                  <w:tcBorders>
                    <w:tl2br w:val="nil"/>
                    <w:tr2bl w:val="nil"/>
                  </w:tcBorders>
                  <w:shd w:val="clear" w:color="auto" w:fill="auto"/>
                  <w:noWrap w:val="0"/>
                  <w:vAlign w:val="center"/>
                </w:tcPr>
                <w:p w14:paraId="3CB388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417" w:type="pct"/>
                  <w:tcBorders>
                    <w:tl2br w:val="nil"/>
                    <w:tr2bl w:val="nil"/>
                  </w:tcBorders>
                  <w:shd w:val="clear" w:color="auto" w:fill="auto"/>
                  <w:noWrap w:val="0"/>
                  <w:vAlign w:val="center"/>
                </w:tcPr>
                <w:p w14:paraId="14ACA0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552" w:type="pct"/>
                  <w:tcBorders>
                    <w:tl2br w:val="nil"/>
                    <w:tr2bl w:val="nil"/>
                  </w:tcBorders>
                  <w:shd w:val="clear" w:color="auto" w:fill="auto"/>
                  <w:noWrap w:val="0"/>
                  <w:vAlign w:val="center"/>
                </w:tcPr>
                <w:p w14:paraId="266511C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268" w:type="pct"/>
                  <w:tcBorders>
                    <w:tl2br w:val="nil"/>
                    <w:tr2bl w:val="nil"/>
                  </w:tcBorders>
                  <w:shd w:val="clear" w:color="auto" w:fill="auto"/>
                  <w:noWrap w:val="0"/>
                  <w:vAlign w:val="center"/>
                </w:tcPr>
                <w:p w14:paraId="67F9AFA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54DCEA4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2C2F80E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60B25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675B5B6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14106908">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回火炉</w:t>
                  </w:r>
                  <w:r>
                    <w:rPr>
                      <w:rFonts w:hint="eastAsia" w:hAnsi="宋体"/>
                      <w:color w:val="auto"/>
                      <w:sz w:val="21"/>
                      <w:szCs w:val="21"/>
                      <w:highlight w:val="none"/>
                      <w:lang w:eastAsia="zh-CN"/>
                    </w:rPr>
                    <w:t>（</w:t>
                  </w:r>
                  <w:r>
                    <w:rPr>
                      <w:rFonts w:hint="eastAsia" w:hAnsi="宋体"/>
                      <w:color w:val="auto"/>
                      <w:sz w:val="21"/>
                      <w:szCs w:val="21"/>
                      <w:highlight w:val="none"/>
                      <w:lang w:val="en-US" w:eastAsia="zh-CN"/>
                    </w:rPr>
                    <w:t>热处理炉</w:t>
                  </w:r>
                  <w:r>
                    <w:rPr>
                      <w:rFonts w:hint="eastAsia" w:hAnsi="宋体"/>
                      <w:color w:val="auto"/>
                      <w:sz w:val="21"/>
                      <w:szCs w:val="21"/>
                      <w:highlight w:val="none"/>
                      <w:lang w:eastAsia="zh-CN"/>
                    </w:rPr>
                    <w:t>）</w:t>
                  </w:r>
                </w:p>
              </w:tc>
              <w:tc>
                <w:tcPr>
                  <w:tcW w:w="1247" w:type="pct"/>
                  <w:tcBorders>
                    <w:tl2br w:val="nil"/>
                    <w:tr2bl w:val="nil"/>
                  </w:tcBorders>
                  <w:shd w:val="clear" w:color="auto" w:fill="auto"/>
                  <w:noWrap w:val="0"/>
                  <w:vAlign w:val="center"/>
                </w:tcPr>
                <w:p w14:paraId="4449D28D">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R1-2</w:t>
                  </w:r>
                </w:p>
              </w:tc>
              <w:tc>
                <w:tcPr>
                  <w:tcW w:w="468" w:type="pct"/>
                  <w:tcBorders>
                    <w:tl2br w:val="nil"/>
                    <w:tr2bl w:val="nil"/>
                  </w:tcBorders>
                  <w:shd w:val="clear" w:color="auto" w:fill="auto"/>
                  <w:noWrap w:val="0"/>
                  <w:vAlign w:val="center"/>
                </w:tcPr>
                <w:p w14:paraId="5AFA1F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8</w:t>
                  </w:r>
                </w:p>
              </w:tc>
              <w:tc>
                <w:tcPr>
                  <w:tcW w:w="417" w:type="pct"/>
                  <w:tcBorders>
                    <w:tl2br w:val="nil"/>
                    <w:tr2bl w:val="nil"/>
                  </w:tcBorders>
                  <w:shd w:val="clear" w:color="auto" w:fill="auto"/>
                  <w:noWrap w:val="0"/>
                  <w:vAlign w:val="center"/>
                </w:tcPr>
                <w:p w14:paraId="2702D9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8</w:t>
                  </w:r>
                </w:p>
              </w:tc>
              <w:tc>
                <w:tcPr>
                  <w:tcW w:w="552" w:type="pct"/>
                  <w:tcBorders>
                    <w:tl2br w:val="nil"/>
                    <w:tr2bl w:val="nil"/>
                  </w:tcBorders>
                  <w:shd w:val="clear" w:color="auto" w:fill="auto"/>
                  <w:noWrap w:val="0"/>
                  <w:vAlign w:val="center"/>
                </w:tcPr>
                <w:p w14:paraId="112E7B8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8</w:t>
                  </w:r>
                </w:p>
              </w:tc>
              <w:tc>
                <w:tcPr>
                  <w:tcW w:w="268" w:type="pct"/>
                  <w:tcBorders>
                    <w:tl2br w:val="nil"/>
                    <w:tr2bl w:val="nil"/>
                  </w:tcBorders>
                  <w:shd w:val="clear" w:color="auto" w:fill="auto"/>
                  <w:noWrap w:val="0"/>
                  <w:vAlign w:val="center"/>
                </w:tcPr>
                <w:p w14:paraId="599D8D4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0100A0E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shd w:val="clear" w:color="auto" w:fill="auto"/>
                  <w:noWrap w:val="0"/>
                  <w:vAlign w:val="center"/>
                </w:tcPr>
                <w:p w14:paraId="39994652">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4台用于精铸后加热，4台用于退火</w:t>
                  </w:r>
                </w:p>
              </w:tc>
            </w:tr>
            <w:tr w14:paraId="57303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7" w:hRule="atLeast"/>
              </w:trPr>
              <w:tc>
                <w:tcPr>
                  <w:tcW w:w="138" w:type="pct"/>
                  <w:vMerge w:val="continue"/>
                  <w:tcBorders>
                    <w:tl2br w:val="nil"/>
                    <w:tr2bl w:val="nil"/>
                  </w:tcBorders>
                  <w:noWrap w:val="0"/>
                  <w:vAlign w:val="center"/>
                </w:tcPr>
                <w:p w14:paraId="41CB801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03196F9A">
                  <w:pPr>
                    <w:keepNext w:val="0"/>
                    <w:keepLines w:val="0"/>
                    <w:suppressLineNumbers w:val="0"/>
                    <w:adjustRightInd w:val="0"/>
                    <w:snapToGrid w:val="0"/>
                    <w:spacing w:before="0" w:beforeAutospacing="0" w:after="0" w:afterAutospacing="0"/>
                    <w:ind w:left="0" w:right="0"/>
                    <w:jc w:val="center"/>
                    <w:rPr>
                      <w:rFonts w:hint="default" w:hAnsi="宋体" w:eastAsia="宋体"/>
                      <w:color w:val="auto"/>
                      <w:sz w:val="21"/>
                      <w:szCs w:val="21"/>
                      <w:highlight w:val="none"/>
                      <w:lang w:val="en-US" w:eastAsia="zh-CN"/>
                    </w:rPr>
                  </w:pPr>
                  <w:r>
                    <w:rPr>
                      <w:rFonts w:hint="eastAsia" w:hAnsi="宋体"/>
                      <w:color w:val="auto"/>
                      <w:sz w:val="21"/>
                      <w:szCs w:val="21"/>
                      <w:highlight w:val="none"/>
                      <w:lang w:val="en-US" w:eastAsia="zh-CN"/>
                    </w:rPr>
                    <w:t>加热炉</w:t>
                  </w:r>
                </w:p>
              </w:tc>
              <w:tc>
                <w:tcPr>
                  <w:tcW w:w="1247" w:type="pct"/>
                  <w:tcBorders>
                    <w:tl2br w:val="nil"/>
                    <w:tr2bl w:val="nil"/>
                  </w:tcBorders>
                  <w:shd w:val="clear" w:color="auto" w:fill="auto"/>
                  <w:noWrap w:val="0"/>
                  <w:vAlign w:val="center"/>
                </w:tcPr>
                <w:p w14:paraId="11ADF7D8">
                  <w:pPr>
                    <w:keepNext w:val="0"/>
                    <w:keepLines w:val="0"/>
                    <w:suppressLineNumbers w:val="0"/>
                    <w:adjustRightInd w:val="0"/>
                    <w:snapToGrid w:val="0"/>
                    <w:spacing w:before="0" w:beforeAutospacing="0" w:after="0" w:afterAutospacing="0"/>
                    <w:ind w:left="0" w:right="0"/>
                    <w:jc w:val="center"/>
                    <w:rPr>
                      <w:rFonts w:hint="default"/>
                      <w:color w:val="auto"/>
                      <w:sz w:val="21"/>
                      <w:szCs w:val="21"/>
                      <w:highlight w:val="none"/>
                      <w:lang w:val="en-US" w:eastAsia="zh-CN"/>
                    </w:rPr>
                  </w:pPr>
                  <w:r>
                    <w:rPr>
                      <w:rFonts w:hint="eastAsia"/>
                      <w:color w:val="auto"/>
                      <w:sz w:val="21"/>
                      <w:szCs w:val="21"/>
                      <w:highlight w:val="none"/>
                      <w:lang w:val="en-US" w:eastAsia="zh-CN"/>
                    </w:rPr>
                    <w:t>50T，电加热</w:t>
                  </w:r>
                </w:p>
              </w:tc>
              <w:tc>
                <w:tcPr>
                  <w:tcW w:w="468" w:type="pct"/>
                  <w:tcBorders>
                    <w:tl2br w:val="nil"/>
                    <w:tr2bl w:val="nil"/>
                  </w:tcBorders>
                  <w:shd w:val="clear" w:color="auto" w:fill="auto"/>
                  <w:noWrap w:val="0"/>
                  <w:vAlign w:val="center"/>
                </w:tcPr>
                <w:p w14:paraId="12E5422D">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417" w:type="pct"/>
                  <w:tcBorders>
                    <w:tl2br w:val="nil"/>
                    <w:tr2bl w:val="nil"/>
                  </w:tcBorders>
                  <w:shd w:val="clear" w:color="auto" w:fill="auto"/>
                  <w:noWrap w:val="0"/>
                  <w:vAlign w:val="center"/>
                </w:tcPr>
                <w:p w14:paraId="007BB476">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2</w:t>
                  </w:r>
                </w:p>
              </w:tc>
              <w:tc>
                <w:tcPr>
                  <w:tcW w:w="552" w:type="pct"/>
                  <w:tcBorders>
                    <w:tl2br w:val="nil"/>
                    <w:tr2bl w:val="nil"/>
                  </w:tcBorders>
                  <w:shd w:val="clear" w:color="auto" w:fill="auto"/>
                  <w:noWrap w:val="0"/>
                  <w:vAlign w:val="center"/>
                </w:tcPr>
                <w:p w14:paraId="7469EBB7">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268" w:type="pct"/>
                  <w:tcBorders>
                    <w:tl2br w:val="nil"/>
                    <w:tr2bl w:val="nil"/>
                  </w:tcBorders>
                  <w:shd w:val="clear" w:color="auto" w:fill="auto"/>
                  <w:noWrap w:val="0"/>
                  <w:vAlign w:val="center"/>
                </w:tcPr>
                <w:p w14:paraId="16E26F0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277" w:type="pct"/>
                  <w:vMerge w:val="restart"/>
                  <w:tcBorders>
                    <w:tl2br w:val="nil"/>
                    <w:tr2bl w:val="nil"/>
                  </w:tcBorders>
                  <w:shd w:val="clear" w:color="auto" w:fill="auto"/>
                  <w:noWrap w:val="0"/>
                  <w:vAlign w:val="center"/>
                </w:tcPr>
                <w:p w14:paraId="174AF44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restart"/>
                  <w:tcBorders>
                    <w:tl2br w:val="nil"/>
                    <w:tr2bl w:val="nil"/>
                  </w:tcBorders>
                  <w:shd w:val="clear" w:color="auto" w:fill="auto"/>
                  <w:noWrap w:val="0"/>
                  <w:vAlign w:val="center"/>
                </w:tcPr>
                <w:p w14:paraId="390F90D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用于锻压前加热，将电加热炉改为天然气炉</w:t>
                  </w:r>
                </w:p>
              </w:tc>
            </w:tr>
            <w:tr w14:paraId="06A75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04E0EBC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756C1586">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加热炉</w:t>
                  </w:r>
                </w:p>
              </w:tc>
              <w:tc>
                <w:tcPr>
                  <w:tcW w:w="1247" w:type="pct"/>
                  <w:tcBorders>
                    <w:tl2br w:val="nil"/>
                    <w:tr2bl w:val="nil"/>
                  </w:tcBorders>
                  <w:shd w:val="clear" w:color="auto" w:fill="auto"/>
                  <w:noWrap w:val="0"/>
                  <w:vAlign w:val="center"/>
                </w:tcPr>
                <w:p w14:paraId="78385D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50T，天然气加热</w:t>
                  </w:r>
                </w:p>
              </w:tc>
              <w:tc>
                <w:tcPr>
                  <w:tcW w:w="468" w:type="pct"/>
                  <w:tcBorders>
                    <w:tl2br w:val="nil"/>
                    <w:tr2bl w:val="nil"/>
                  </w:tcBorders>
                  <w:shd w:val="clear" w:color="auto" w:fill="auto"/>
                  <w:noWrap w:val="0"/>
                  <w:vAlign w:val="center"/>
                </w:tcPr>
                <w:p w14:paraId="421CB61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6255E4B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28B8577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w:t>
                  </w:r>
                </w:p>
              </w:tc>
              <w:tc>
                <w:tcPr>
                  <w:tcW w:w="268" w:type="pct"/>
                  <w:tcBorders>
                    <w:tl2br w:val="nil"/>
                    <w:tr2bl w:val="nil"/>
                  </w:tcBorders>
                  <w:shd w:val="clear" w:color="auto" w:fill="auto"/>
                  <w:noWrap w:val="0"/>
                  <w:vAlign w:val="center"/>
                </w:tcPr>
                <w:p w14:paraId="03EF848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277" w:type="pct"/>
                  <w:vMerge w:val="continue"/>
                  <w:tcBorders>
                    <w:tl2br w:val="nil"/>
                    <w:tr2bl w:val="nil"/>
                  </w:tcBorders>
                  <w:shd w:val="clear" w:color="auto" w:fill="auto"/>
                  <w:noWrap w:val="0"/>
                  <w:vAlign w:val="center"/>
                </w:tcPr>
                <w:p w14:paraId="20215492">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c>
                <w:tcPr>
                  <w:tcW w:w="975" w:type="pct"/>
                  <w:vMerge w:val="continue"/>
                  <w:tcBorders>
                    <w:tl2br w:val="nil"/>
                    <w:tr2bl w:val="nil"/>
                  </w:tcBorders>
                  <w:shd w:val="clear" w:color="auto" w:fill="auto"/>
                  <w:noWrap w:val="0"/>
                  <w:vAlign w:val="center"/>
                </w:tcPr>
                <w:p w14:paraId="37F70B20">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p>
              </w:tc>
            </w:tr>
            <w:tr w14:paraId="2F0F9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31E3081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09DBF652">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锯床</w:t>
                  </w:r>
                </w:p>
              </w:tc>
              <w:tc>
                <w:tcPr>
                  <w:tcW w:w="1247" w:type="pct"/>
                  <w:tcBorders>
                    <w:tl2br w:val="nil"/>
                    <w:tr2bl w:val="nil"/>
                  </w:tcBorders>
                  <w:shd w:val="clear" w:color="auto" w:fill="auto"/>
                  <w:noWrap w:val="0"/>
                  <w:vAlign w:val="center"/>
                </w:tcPr>
                <w:p w14:paraId="581B8325">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定制</w:t>
                  </w:r>
                </w:p>
              </w:tc>
              <w:tc>
                <w:tcPr>
                  <w:tcW w:w="468" w:type="pct"/>
                  <w:tcBorders>
                    <w:tl2br w:val="nil"/>
                    <w:tr2bl w:val="nil"/>
                  </w:tcBorders>
                  <w:shd w:val="clear" w:color="auto" w:fill="auto"/>
                  <w:noWrap w:val="0"/>
                  <w:vAlign w:val="center"/>
                </w:tcPr>
                <w:p w14:paraId="6122F4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40BC522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w:t>
                  </w:r>
                </w:p>
              </w:tc>
              <w:tc>
                <w:tcPr>
                  <w:tcW w:w="552" w:type="pct"/>
                  <w:tcBorders>
                    <w:tl2br w:val="nil"/>
                    <w:tr2bl w:val="nil"/>
                  </w:tcBorders>
                  <w:shd w:val="clear" w:color="auto" w:fill="auto"/>
                  <w:noWrap w:val="0"/>
                  <w:vAlign w:val="center"/>
                </w:tcPr>
                <w:p w14:paraId="4A77DAC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w:t>
                  </w:r>
                </w:p>
              </w:tc>
              <w:tc>
                <w:tcPr>
                  <w:tcW w:w="268" w:type="pct"/>
                  <w:tcBorders>
                    <w:tl2br w:val="nil"/>
                    <w:tr2bl w:val="nil"/>
                  </w:tcBorders>
                  <w:shd w:val="clear" w:color="auto" w:fill="auto"/>
                  <w:noWrap w:val="0"/>
                  <w:vAlign w:val="center"/>
                </w:tcPr>
                <w:p w14:paraId="7965D02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w:t>
                  </w:r>
                </w:p>
              </w:tc>
              <w:tc>
                <w:tcPr>
                  <w:tcW w:w="277" w:type="pct"/>
                  <w:tcBorders>
                    <w:tl2br w:val="nil"/>
                    <w:tr2bl w:val="nil"/>
                  </w:tcBorders>
                  <w:shd w:val="clear" w:color="auto" w:fill="auto"/>
                  <w:noWrap w:val="0"/>
                  <w:vAlign w:val="center"/>
                </w:tcPr>
                <w:p w14:paraId="789A1BC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shd w:val="clear" w:color="auto" w:fill="auto"/>
                  <w:noWrap w:val="0"/>
                  <w:vAlign w:val="center"/>
                </w:tcPr>
                <w:p w14:paraId="2EBD9D26">
                  <w:pPr>
                    <w:keepNext w:val="0"/>
                    <w:keepLines w:val="0"/>
                    <w:suppressLineNumbers w:val="0"/>
                    <w:spacing w:before="0" w:beforeAutospacing="0" w:after="0" w:afterAutospacing="0" w:line="240" w:lineRule="auto"/>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去冒口设备</w:t>
                  </w:r>
                </w:p>
              </w:tc>
            </w:tr>
            <w:tr w14:paraId="66D80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199B1D3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01B4E399">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车床</w:t>
                  </w:r>
                </w:p>
              </w:tc>
              <w:tc>
                <w:tcPr>
                  <w:tcW w:w="1247" w:type="pct"/>
                  <w:tcBorders>
                    <w:tl2br w:val="nil"/>
                    <w:tr2bl w:val="nil"/>
                  </w:tcBorders>
                  <w:shd w:val="clear" w:color="auto" w:fill="auto"/>
                  <w:noWrap w:val="0"/>
                  <w:vAlign w:val="center"/>
                </w:tcPr>
                <w:p w14:paraId="09B4E1EA">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CL-6150</w:t>
                  </w:r>
                </w:p>
              </w:tc>
              <w:tc>
                <w:tcPr>
                  <w:tcW w:w="468" w:type="pct"/>
                  <w:tcBorders>
                    <w:tl2br w:val="nil"/>
                    <w:tr2bl w:val="nil"/>
                  </w:tcBorders>
                  <w:shd w:val="clear" w:color="auto" w:fill="auto"/>
                  <w:noWrap w:val="0"/>
                  <w:vAlign w:val="center"/>
                </w:tcPr>
                <w:p w14:paraId="498C28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w:t>
                  </w:r>
                </w:p>
              </w:tc>
              <w:tc>
                <w:tcPr>
                  <w:tcW w:w="417" w:type="pct"/>
                  <w:tcBorders>
                    <w:tl2br w:val="nil"/>
                    <w:tr2bl w:val="nil"/>
                  </w:tcBorders>
                  <w:shd w:val="clear" w:color="auto" w:fill="auto"/>
                  <w:noWrap w:val="0"/>
                  <w:vAlign w:val="center"/>
                </w:tcPr>
                <w:p w14:paraId="5E20649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w:t>
                  </w:r>
                </w:p>
              </w:tc>
              <w:tc>
                <w:tcPr>
                  <w:tcW w:w="552" w:type="pct"/>
                  <w:tcBorders>
                    <w:tl2br w:val="nil"/>
                    <w:tr2bl w:val="nil"/>
                  </w:tcBorders>
                  <w:shd w:val="clear" w:color="auto" w:fill="auto"/>
                  <w:noWrap w:val="0"/>
                  <w:vAlign w:val="center"/>
                </w:tcPr>
                <w:p w14:paraId="0E2342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w:t>
                  </w:r>
                </w:p>
              </w:tc>
              <w:tc>
                <w:tcPr>
                  <w:tcW w:w="268" w:type="pct"/>
                  <w:tcBorders>
                    <w:tl2br w:val="nil"/>
                    <w:tr2bl w:val="nil"/>
                  </w:tcBorders>
                  <w:shd w:val="clear" w:color="auto" w:fill="auto"/>
                  <w:noWrap w:val="0"/>
                  <w:vAlign w:val="center"/>
                </w:tcPr>
                <w:p w14:paraId="40DBD11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199F304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restart"/>
                  <w:tcBorders>
                    <w:tl2br w:val="nil"/>
                    <w:tr2bl w:val="nil"/>
                  </w:tcBorders>
                  <w:shd w:val="clear" w:color="auto" w:fill="auto"/>
                  <w:noWrap w:val="0"/>
                  <w:vAlign w:val="center"/>
                </w:tcPr>
                <w:p w14:paraId="6C98F74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精加工设备</w:t>
                  </w:r>
                </w:p>
              </w:tc>
            </w:tr>
            <w:tr w14:paraId="32E1F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1C9614B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1EEC0E10">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磨床</w:t>
                  </w:r>
                </w:p>
              </w:tc>
              <w:tc>
                <w:tcPr>
                  <w:tcW w:w="1247" w:type="pct"/>
                  <w:tcBorders>
                    <w:tl2br w:val="nil"/>
                    <w:tr2bl w:val="nil"/>
                  </w:tcBorders>
                  <w:shd w:val="clear" w:color="auto" w:fill="auto"/>
                  <w:noWrap w:val="0"/>
                  <w:vAlign w:val="center"/>
                </w:tcPr>
                <w:p w14:paraId="70312817">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M7130</w:t>
                  </w:r>
                </w:p>
              </w:tc>
              <w:tc>
                <w:tcPr>
                  <w:tcW w:w="468" w:type="pct"/>
                  <w:tcBorders>
                    <w:tl2br w:val="nil"/>
                    <w:tr2bl w:val="nil"/>
                  </w:tcBorders>
                  <w:shd w:val="clear" w:color="auto" w:fill="auto"/>
                  <w:noWrap w:val="0"/>
                  <w:vAlign w:val="center"/>
                </w:tcPr>
                <w:p w14:paraId="596FDE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w:t>
                  </w:r>
                </w:p>
              </w:tc>
              <w:tc>
                <w:tcPr>
                  <w:tcW w:w="417" w:type="pct"/>
                  <w:tcBorders>
                    <w:tl2br w:val="nil"/>
                    <w:tr2bl w:val="nil"/>
                  </w:tcBorders>
                  <w:shd w:val="clear" w:color="auto" w:fill="auto"/>
                  <w:noWrap w:val="0"/>
                  <w:vAlign w:val="center"/>
                </w:tcPr>
                <w:p w14:paraId="2D81E2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w:t>
                  </w:r>
                </w:p>
              </w:tc>
              <w:tc>
                <w:tcPr>
                  <w:tcW w:w="552" w:type="pct"/>
                  <w:tcBorders>
                    <w:tl2br w:val="nil"/>
                    <w:tr2bl w:val="nil"/>
                  </w:tcBorders>
                  <w:shd w:val="clear" w:color="auto" w:fill="auto"/>
                  <w:noWrap w:val="0"/>
                  <w:vAlign w:val="center"/>
                </w:tcPr>
                <w:p w14:paraId="1F74E93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2</w:t>
                  </w:r>
                </w:p>
              </w:tc>
              <w:tc>
                <w:tcPr>
                  <w:tcW w:w="268" w:type="pct"/>
                  <w:tcBorders>
                    <w:tl2br w:val="nil"/>
                    <w:tr2bl w:val="nil"/>
                  </w:tcBorders>
                  <w:shd w:val="clear" w:color="auto" w:fill="auto"/>
                  <w:noWrap w:val="0"/>
                  <w:vAlign w:val="center"/>
                </w:tcPr>
                <w:p w14:paraId="298C3CD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4513C58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7466F14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1555D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6" w:hRule="atLeast"/>
              </w:trPr>
              <w:tc>
                <w:tcPr>
                  <w:tcW w:w="138" w:type="pct"/>
                  <w:vMerge w:val="continue"/>
                  <w:tcBorders>
                    <w:tl2br w:val="nil"/>
                    <w:tr2bl w:val="nil"/>
                  </w:tcBorders>
                  <w:noWrap w:val="0"/>
                  <w:vAlign w:val="center"/>
                </w:tcPr>
                <w:p w14:paraId="6C15ED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712D7768">
                  <w:pPr>
                    <w:keepNext w:val="0"/>
                    <w:keepLines w:val="0"/>
                    <w:suppressLineNumbers w:val="0"/>
                    <w:adjustRightInd w:val="0"/>
                    <w:snapToGrid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超声探伤仪</w:t>
                  </w:r>
                </w:p>
              </w:tc>
              <w:tc>
                <w:tcPr>
                  <w:tcW w:w="1247" w:type="pct"/>
                  <w:tcBorders>
                    <w:tl2br w:val="nil"/>
                    <w:tr2bl w:val="nil"/>
                  </w:tcBorders>
                  <w:shd w:val="clear" w:color="auto" w:fill="auto"/>
                  <w:noWrap w:val="0"/>
                  <w:vAlign w:val="center"/>
                </w:tcPr>
                <w:p w14:paraId="41A4A97E">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 w:val="21"/>
                      <w:szCs w:val="21"/>
                      <w:highlight w:val="none"/>
                    </w:rPr>
                    <w:t>C</w:t>
                  </w:r>
                  <w:r>
                    <w:rPr>
                      <w:rFonts w:hint="eastAsia" w:hAnsi="宋体"/>
                      <w:color w:val="auto"/>
                      <w:sz w:val="21"/>
                      <w:szCs w:val="21"/>
                      <w:highlight w:val="none"/>
                      <w:lang w:val="en-US" w:eastAsia="zh-CN"/>
                    </w:rPr>
                    <w:t>ST</w:t>
                  </w:r>
                  <w:r>
                    <w:rPr>
                      <w:rFonts w:hint="eastAsia" w:hAnsi="宋体"/>
                      <w:color w:val="auto"/>
                      <w:sz w:val="21"/>
                      <w:szCs w:val="21"/>
                      <w:highlight w:val="none"/>
                    </w:rPr>
                    <w:t>-2</w:t>
                  </w:r>
                  <w:r>
                    <w:rPr>
                      <w:rFonts w:hint="eastAsia" w:hAnsi="宋体"/>
                      <w:color w:val="auto"/>
                      <w:sz w:val="21"/>
                      <w:szCs w:val="21"/>
                      <w:highlight w:val="none"/>
                      <w:lang w:val="en-US" w:eastAsia="zh-CN"/>
                    </w:rPr>
                    <w:t>600</w:t>
                  </w:r>
                </w:p>
              </w:tc>
              <w:tc>
                <w:tcPr>
                  <w:tcW w:w="468" w:type="pct"/>
                  <w:tcBorders>
                    <w:tl2br w:val="nil"/>
                    <w:tr2bl w:val="nil"/>
                  </w:tcBorders>
                  <w:shd w:val="clear" w:color="auto" w:fill="auto"/>
                  <w:noWrap w:val="0"/>
                  <w:vAlign w:val="center"/>
                </w:tcPr>
                <w:p w14:paraId="6F8CF5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417" w:type="pct"/>
                  <w:tcBorders>
                    <w:tl2br w:val="nil"/>
                    <w:tr2bl w:val="nil"/>
                  </w:tcBorders>
                  <w:shd w:val="clear" w:color="auto" w:fill="auto"/>
                  <w:noWrap w:val="0"/>
                  <w:vAlign w:val="center"/>
                </w:tcPr>
                <w:p w14:paraId="3A4105F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552" w:type="pct"/>
                  <w:tcBorders>
                    <w:tl2br w:val="nil"/>
                    <w:tr2bl w:val="nil"/>
                  </w:tcBorders>
                  <w:shd w:val="clear" w:color="auto" w:fill="auto"/>
                  <w:noWrap w:val="0"/>
                  <w:vAlign w:val="center"/>
                </w:tcPr>
                <w:p w14:paraId="7F43D57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268" w:type="pct"/>
                  <w:tcBorders>
                    <w:tl2br w:val="nil"/>
                    <w:tr2bl w:val="nil"/>
                  </w:tcBorders>
                  <w:shd w:val="clear" w:color="auto" w:fill="auto"/>
                  <w:noWrap w:val="0"/>
                  <w:vAlign w:val="center"/>
                </w:tcPr>
                <w:p w14:paraId="21100B0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shd w:val="clear" w:color="auto" w:fill="auto"/>
                  <w:noWrap w:val="0"/>
                  <w:vAlign w:val="center"/>
                </w:tcPr>
                <w:p w14:paraId="7CD456FB">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shd w:val="clear" w:color="auto" w:fill="auto"/>
                  <w:noWrap w:val="0"/>
                  <w:vAlign w:val="center"/>
                </w:tcPr>
                <w:p w14:paraId="59C2093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质检设备</w:t>
                  </w:r>
                </w:p>
              </w:tc>
            </w:tr>
            <w:tr w14:paraId="4F6B6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281DB1C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71D67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电渣炉</w:t>
                  </w:r>
                </w:p>
              </w:tc>
              <w:tc>
                <w:tcPr>
                  <w:tcW w:w="1247" w:type="pct"/>
                  <w:tcBorders>
                    <w:tl2br w:val="nil"/>
                    <w:tr2bl w:val="nil"/>
                  </w:tcBorders>
                  <w:shd w:val="clear" w:color="auto" w:fill="auto"/>
                  <w:noWrap w:val="0"/>
                  <w:vAlign w:val="center"/>
                </w:tcPr>
                <w:p w14:paraId="1E33C0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5T</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3T</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2T</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1.5T</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1T</w:t>
                  </w:r>
                </w:p>
              </w:tc>
              <w:tc>
                <w:tcPr>
                  <w:tcW w:w="468" w:type="pct"/>
                  <w:tcBorders>
                    <w:tl2br w:val="nil"/>
                    <w:tr2bl w:val="nil"/>
                  </w:tcBorders>
                  <w:shd w:val="clear" w:color="auto" w:fill="auto"/>
                  <w:noWrap w:val="0"/>
                  <w:vAlign w:val="center"/>
                </w:tcPr>
                <w:p w14:paraId="05B811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19B20385">
                  <w:pPr>
                    <w:keepNext w:val="0"/>
                    <w:keepLines w:val="0"/>
                    <w:widowControl/>
                    <w:suppressLineNumbers w:val="0"/>
                    <w:spacing w:before="0" w:beforeAutospacing="0" w:after="0" w:afterAutospacing="0"/>
                    <w:ind w:left="0" w:right="0"/>
                    <w:jc w:val="center"/>
                    <w:textAlignment w:val="center"/>
                    <w:rPr>
                      <w:rFonts w:hint="eastAsia"/>
                      <w:color w:val="auto"/>
                      <w:sz w:val="21"/>
                      <w:szCs w:val="21"/>
                      <w:highlight w:val="none"/>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7FF1A6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268" w:type="pct"/>
                  <w:tcBorders>
                    <w:tl2br w:val="nil"/>
                    <w:tr2bl w:val="nil"/>
                  </w:tcBorders>
                  <w:shd w:val="clear" w:color="auto" w:fill="auto"/>
                  <w:noWrap w:val="0"/>
                  <w:vAlign w:val="center"/>
                </w:tcPr>
                <w:p w14:paraId="5678C73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277" w:type="pct"/>
                  <w:tcBorders>
                    <w:tl2br w:val="nil"/>
                    <w:tr2bl w:val="nil"/>
                  </w:tcBorders>
                  <w:shd w:val="clear" w:color="auto" w:fill="auto"/>
                  <w:noWrap w:val="0"/>
                  <w:vAlign w:val="center"/>
                </w:tcPr>
                <w:p w14:paraId="7821B40A">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restart"/>
                  <w:tcBorders>
                    <w:tl2br w:val="nil"/>
                    <w:tr2bl w:val="nil"/>
                  </w:tcBorders>
                  <w:shd w:val="clear" w:color="auto" w:fill="auto"/>
                  <w:noWrap w:val="0"/>
                  <w:vAlign w:val="center"/>
                </w:tcPr>
                <w:p w14:paraId="657FB2E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电渣重熔设备</w:t>
                  </w:r>
                </w:p>
              </w:tc>
            </w:tr>
            <w:tr w14:paraId="7E04C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07317BD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40FE9BF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化渣炉</w:t>
                  </w:r>
                </w:p>
              </w:tc>
              <w:tc>
                <w:tcPr>
                  <w:tcW w:w="1247" w:type="pct"/>
                  <w:tcBorders>
                    <w:tl2br w:val="nil"/>
                    <w:tr2bl w:val="nil"/>
                  </w:tcBorders>
                  <w:shd w:val="clear" w:color="auto" w:fill="auto"/>
                  <w:noWrap w:val="0"/>
                  <w:vAlign w:val="center"/>
                </w:tcPr>
                <w:p w14:paraId="0D7F03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300kg</w:t>
                  </w:r>
                </w:p>
              </w:tc>
              <w:tc>
                <w:tcPr>
                  <w:tcW w:w="468" w:type="pct"/>
                  <w:tcBorders>
                    <w:tl2br w:val="nil"/>
                    <w:tr2bl w:val="nil"/>
                  </w:tcBorders>
                  <w:shd w:val="clear" w:color="auto" w:fill="auto"/>
                  <w:noWrap w:val="0"/>
                  <w:vAlign w:val="center"/>
                </w:tcPr>
                <w:p w14:paraId="37EDBB0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5711319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34F40E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2</w:t>
                  </w:r>
                </w:p>
              </w:tc>
              <w:tc>
                <w:tcPr>
                  <w:tcW w:w="268" w:type="pct"/>
                  <w:tcBorders>
                    <w:tl2br w:val="nil"/>
                    <w:tr2bl w:val="nil"/>
                  </w:tcBorders>
                  <w:shd w:val="clear" w:color="auto" w:fill="auto"/>
                  <w:noWrap w:val="0"/>
                  <w:vAlign w:val="center"/>
                </w:tcPr>
                <w:p w14:paraId="219FE38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277" w:type="pct"/>
                  <w:tcBorders>
                    <w:tl2br w:val="nil"/>
                    <w:tr2bl w:val="nil"/>
                  </w:tcBorders>
                  <w:shd w:val="clear" w:color="auto" w:fill="auto"/>
                  <w:noWrap w:val="0"/>
                  <w:vAlign w:val="center"/>
                </w:tcPr>
                <w:p w14:paraId="2E74BFA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5E21C9ED">
                  <w:pPr>
                    <w:keepNext w:val="0"/>
                    <w:keepLines w:val="0"/>
                    <w:suppressLineNumbers w:val="0"/>
                    <w:spacing w:before="0" w:beforeAutospacing="0" w:after="0" w:afterAutospacing="0" w:line="240" w:lineRule="auto"/>
                    <w:ind w:left="0" w:leftChars="0" w:right="0" w:rightChars="0"/>
                    <w:jc w:val="center"/>
                    <w:rPr>
                      <w:rFonts w:hint="eastAsia" w:cs="Times New Roman"/>
                      <w:color w:val="auto"/>
                      <w:sz w:val="21"/>
                      <w:szCs w:val="21"/>
                      <w:lang w:val="en-US" w:eastAsia="zh-CN"/>
                    </w:rPr>
                  </w:pPr>
                </w:p>
              </w:tc>
            </w:tr>
            <w:tr w14:paraId="52703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125B627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07072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结晶器</w:t>
                  </w:r>
                </w:p>
              </w:tc>
              <w:tc>
                <w:tcPr>
                  <w:tcW w:w="1247" w:type="pct"/>
                  <w:tcBorders>
                    <w:tl2br w:val="nil"/>
                    <w:tr2bl w:val="nil"/>
                  </w:tcBorders>
                  <w:shd w:val="clear" w:color="auto" w:fill="auto"/>
                  <w:noWrap w:val="0"/>
                  <w:vAlign w:val="center"/>
                </w:tcPr>
                <w:p w14:paraId="157D8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定制</w:t>
                  </w:r>
                </w:p>
              </w:tc>
              <w:tc>
                <w:tcPr>
                  <w:tcW w:w="468" w:type="pct"/>
                  <w:tcBorders>
                    <w:tl2br w:val="nil"/>
                    <w:tr2bl w:val="nil"/>
                  </w:tcBorders>
                  <w:shd w:val="clear" w:color="auto" w:fill="auto"/>
                  <w:noWrap w:val="0"/>
                  <w:vAlign w:val="center"/>
                </w:tcPr>
                <w:p w14:paraId="28CBC32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6C9B2D53">
                  <w:pPr>
                    <w:keepNext w:val="0"/>
                    <w:keepLines w:val="0"/>
                    <w:widowControl/>
                    <w:suppressLineNumbers w:val="0"/>
                    <w:spacing w:before="0" w:beforeAutospacing="0" w:after="0" w:afterAutospacing="0"/>
                    <w:ind w:left="0" w:right="0"/>
                    <w:jc w:val="center"/>
                    <w:textAlignment w:val="center"/>
                    <w:rPr>
                      <w:rFonts w:hint="eastAsia"/>
                      <w:color w:val="auto"/>
                      <w:sz w:val="21"/>
                      <w:szCs w:val="21"/>
                      <w:highlight w:val="none"/>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37218A9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68" w:type="pct"/>
                  <w:tcBorders>
                    <w:tl2br w:val="nil"/>
                    <w:tr2bl w:val="nil"/>
                  </w:tcBorders>
                  <w:shd w:val="clear" w:color="auto" w:fill="auto"/>
                  <w:noWrap w:val="0"/>
                  <w:vAlign w:val="center"/>
                </w:tcPr>
                <w:p w14:paraId="7C628F2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277" w:type="pct"/>
                  <w:tcBorders>
                    <w:tl2br w:val="nil"/>
                    <w:tr2bl w:val="nil"/>
                  </w:tcBorders>
                  <w:shd w:val="clear" w:color="auto" w:fill="auto"/>
                  <w:noWrap w:val="0"/>
                  <w:vAlign w:val="center"/>
                </w:tcPr>
                <w:p w14:paraId="0DAFBC8F">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558C496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1E2EA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537C6E4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1264C7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假电极</w:t>
                  </w:r>
                </w:p>
              </w:tc>
              <w:tc>
                <w:tcPr>
                  <w:tcW w:w="1247" w:type="pct"/>
                  <w:tcBorders>
                    <w:tl2br w:val="nil"/>
                    <w:tr2bl w:val="nil"/>
                  </w:tcBorders>
                  <w:shd w:val="clear" w:color="auto" w:fill="auto"/>
                  <w:noWrap w:val="0"/>
                  <w:vAlign w:val="center"/>
                </w:tcPr>
                <w:p w14:paraId="61E09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定制</w:t>
                  </w:r>
                </w:p>
              </w:tc>
              <w:tc>
                <w:tcPr>
                  <w:tcW w:w="468" w:type="pct"/>
                  <w:tcBorders>
                    <w:tl2br w:val="nil"/>
                    <w:tr2bl w:val="nil"/>
                  </w:tcBorders>
                  <w:shd w:val="clear" w:color="auto" w:fill="auto"/>
                  <w:noWrap w:val="0"/>
                  <w:vAlign w:val="center"/>
                </w:tcPr>
                <w:p w14:paraId="628853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27C8D999">
                  <w:pPr>
                    <w:keepNext w:val="0"/>
                    <w:keepLines w:val="0"/>
                    <w:widowControl/>
                    <w:suppressLineNumbers w:val="0"/>
                    <w:spacing w:before="0" w:beforeAutospacing="0" w:after="0" w:afterAutospacing="0"/>
                    <w:ind w:left="0" w:right="0"/>
                    <w:jc w:val="center"/>
                    <w:textAlignment w:val="center"/>
                    <w:rPr>
                      <w:rFonts w:hint="eastAsia"/>
                      <w:color w:val="auto"/>
                      <w:sz w:val="21"/>
                      <w:szCs w:val="21"/>
                      <w:highlight w:val="none"/>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100997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w:t>
                  </w:r>
                  <w:r>
                    <w:rPr>
                      <w:rFonts w:hint="eastAsia" w:ascii="宋体" w:hAnsi="宋体" w:eastAsia="宋体" w:cs="宋体"/>
                      <w:i w:val="0"/>
                      <w:iCs w:val="0"/>
                      <w:color w:val="auto"/>
                      <w:kern w:val="0"/>
                      <w:sz w:val="21"/>
                      <w:szCs w:val="21"/>
                      <w:u w:val="none"/>
                      <w:lang w:val="en-US" w:eastAsia="zh-CN" w:bidi="ar"/>
                    </w:rPr>
                    <w:t>只</w:t>
                  </w:r>
                </w:p>
              </w:tc>
              <w:tc>
                <w:tcPr>
                  <w:tcW w:w="268" w:type="pct"/>
                  <w:tcBorders>
                    <w:tl2br w:val="nil"/>
                    <w:tr2bl w:val="nil"/>
                  </w:tcBorders>
                  <w:shd w:val="clear" w:color="auto" w:fill="auto"/>
                  <w:noWrap w:val="0"/>
                  <w:vAlign w:val="center"/>
                </w:tcPr>
                <w:p w14:paraId="56123CA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277" w:type="pct"/>
                  <w:tcBorders>
                    <w:tl2br w:val="nil"/>
                    <w:tr2bl w:val="nil"/>
                  </w:tcBorders>
                  <w:shd w:val="clear" w:color="auto" w:fill="auto"/>
                  <w:noWrap w:val="0"/>
                  <w:vAlign w:val="center"/>
                </w:tcPr>
                <w:p w14:paraId="0E3527B4">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238363F8">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1F549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5F86600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252A1F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脱模夹具</w:t>
                  </w:r>
                </w:p>
              </w:tc>
              <w:tc>
                <w:tcPr>
                  <w:tcW w:w="1247" w:type="pct"/>
                  <w:tcBorders>
                    <w:tl2br w:val="nil"/>
                    <w:tr2bl w:val="nil"/>
                  </w:tcBorders>
                  <w:shd w:val="clear" w:color="auto" w:fill="auto"/>
                  <w:noWrap w:val="0"/>
                  <w:vAlign w:val="center"/>
                </w:tcPr>
                <w:p w14:paraId="0DEF1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定制</w:t>
                  </w:r>
                </w:p>
              </w:tc>
              <w:tc>
                <w:tcPr>
                  <w:tcW w:w="468" w:type="pct"/>
                  <w:tcBorders>
                    <w:tl2br w:val="nil"/>
                    <w:tr2bl w:val="nil"/>
                  </w:tcBorders>
                  <w:shd w:val="clear" w:color="auto" w:fill="auto"/>
                  <w:noWrap w:val="0"/>
                  <w:vAlign w:val="center"/>
                </w:tcPr>
                <w:p w14:paraId="1F6F53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1C3659A9">
                  <w:pPr>
                    <w:keepNext w:val="0"/>
                    <w:keepLines w:val="0"/>
                    <w:widowControl/>
                    <w:suppressLineNumbers w:val="0"/>
                    <w:spacing w:before="0" w:beforeAutospacing="0" w:after="0" w:afterAutospacing="0"/>
                    <w:ind w:left="0" w:right="0"/>
                    <w:jc w:val="center"/>
                    <w:textAlignment w:val="center"/>
                    <w:rPr>
                      <w:rFonts w:hint="eastAsia"/>
                      <w:color w:val="auto"/>
                      <w:sz w:val="21"/>
                      <w:szCs w:val="21"/>
                      <w:highlight w:val="none"/>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192960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268" w:type="pct"/>
                  <w:tcBorders>
                    <w:tl2br w:val="nil"/>
                    <w:tr2bl w:val="nil"/>
                  </w:tcBorders>
                  <w:shd w:val="clear" w:color="auto" w:fill="auto"/>
                  <w:noWrap w:val="0"/>
                  <w:vAlign w:val="center"/>
                </w:tcPr>
                <w:p w14:paraId="7C9C116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277" w:type="pct"/>
                  <w:tcBorders>
                    <w:tl2br w:val="nil"/>
                    <w:tr2bl w:val="nil"/>
                  </w:tcBorders>
                  <w:shd w:val="clear" w:color="auto" w:fill="auto"/>
                  <w:noWrap w:val="0"/>
                  <w:vAlign w:val="center"/>
                </w:tcPr>
                <w:p w14:paraId="455539BD">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0622ECEC">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56B3E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8" w:hRule="atLeast"/>
              </w:trPr>
              <w:tc>
                <w:tcPr>
                  <w:tcW w:w="138" w:type="pct"/>
                  <w:vMerge w:val="continue"/>
                  <w:tcBorders>
                    <w:tl2br w:val="nil"/>
                    <w:tr2bl w:val="nil"/>
                  </w:tcBorders>
                  <w:noWrap w:val="0"/>
                  <w:vAlign w:val="center"/>
                </w:tcPr>
                <w:p w14:paraId="4E26B17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65E7BF6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气保焊机</w:t>
                  </w:r>
                </w:p>
              </w:tc>
              <w:tc>
                <w:tcPr>
                  <w:tcW w:w="1247" w:type="pct"/>
                  <w:tcBorders>
                    <w:tl2br w:val="nil"/>
                    <w:tr2bl w:val="nil"/>
                  </w:tcBorders>
                  <w:shd w:val="clear" w:color="auto" w:fill="auto"/>
                  <w:noWrap w:val="0"/>
                  <w:vAlign w:val="center"/>
                </w:tcPr>
                <w:p w14:paraId="47C26D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NBC-500</w:t>
                  </w:r>
                </w:p>
              </w:tc>
              <w:tc>
                <w:tcPr>
                  <w:tcW w:w="468" w:type="pct"/>
                  <w:tcBorders>
                    <w:tl2br w:val="nil"/>
                    <w:tr2bl w:val="nil"/>
                  </w:tcBorders>
                  <w:shd w:val="clear" w:color="auto" w:fill="auto"/>
                  <w:noWrap w:val="0"/>
                  <w:vAlign w:val="center"/>
                </w:tcPr>
                <w:p w14:paraId="3156C0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00A6B365">
                  <w:pPr>
                    <w:keepNext w:val="0"/>
                    <w:keepLines w:val="0"/>
                    <w:widowControl/>
                    <w:suppressLineNumbers w:val="0"/>
                    <w:spacing w:before="0" w:beforeAutospacing="0" w:after="0" w:afterAutospacing="0"/>
                    <w:ind w:left="0" w:right="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0</w:t>
                  </w:r>
                </w:p>
              </w:tc>
              <w:tc>
                <w:tcPr>
                  <w:tcW w:w="552" w:type="pct"/>
                  <w:tcBorders>
                    <w:tl2br w:val="nil"/>
                    <w:tr2bl w:val="nil"/>
                  </w:tcBorders>
                  <w:shd w:val="clear" w:color="auto" w:fill="auto"/>
                  <w:noWrap w:val="0"/>
                  <w:vAlign w:val="center"/>
                </w:tcPr>
                <w:p w14:paraId="09F6684E">
                  <w:pPr>
                    <w:keepNext w:val="0"/>
                    <w:keepLines w:val="0"/>
                    <w:widowControl/>
                    <w:suppressLineNumbers w:val="0"/>
                    <w:spacing w:before="0" w:beforeAutospacing="0" w:after="0" w:afterAutospacing="0"/>
                    <w:ind w:left="0" w:leftChars="0" w:right="0" w:rightChars="0"/>
                    <w:jc w:val="center"/>
                    <w:textAlignment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1</w:t>
                  </w:r>
                </w:p>
              </w:tc>
              <w:tc>
                <w:tcPr>
                  <w:tcW w:w="268" w:type="pct"/>
                  <w:tcBorders>
                    <w:tl2br w:val="nil"/>
                    <w:tr2bl w:val="nil"/>
                  </w:tcBorders>
                  <w:shd w:val="clear" w:color="auto" w:fill="auto"/>
                  <w:noWrap w:val="0"/>
                  <w:vAlign w:val="center"/>
                </w:tcPr>
                <w:p w14:paraId="5FCD1D0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277" w:type="pct"/>
                  <w:tcBorders>
                    <w:tl2br w:val="nil"/>
                    <w:tr2bl w:val="nil"/>
                  </w:tcBorders>
                  <w:shd w:val="clear" w:color="auto" w:fill="auto"/>
                  <w:noWrap w:val="0"/>
                  <w:vAlign w:val="center"/>
                </w:tcPr>
                <w:p w14:paraId="1742584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国产</w:t>
                  </w:r>
                </w:p>
              </w:tc>
              <w:tc>
                <w:tcPr>
                  <w:tcW w:w="975" w:type="pct"/>
                  <w:vMerge w:val="continue"/>
                  <w:tcBorders>
                    <w:tl2br w:val="nil"/>
                    <w:tr2bl w:val="nil"/>
                  </w:tcBorders>
                  <w:shd w:val="clear" w:color="auto" w:fill="auto"/>
                  <w:noWrap w:val="0"/>
                  <w:vAlign w:val="center"/>
                </w:tcPr>
                <w:p w14:paraId="57C4E2A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color w:val="auto"/>
                      <w:sz w:val="21"/>
                      <w:szCs w:val="21"/>
                      <w:lang w:val="en-US" w:eastAsia="zh-CN"/>
                    </w:rPr>
                  </w:pPr>
                </w:p>
              </w:tc>
            </w:tr>
            <w:tr w14:paraId="16CCB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restart"/>
                  <w:tcBorders>
                    <w:tl2br w:val="nil"/>
                    <w:tr2bl w:val="nil"/>
                  </w:tcBorders>
                  <w:noWrap w:val="0"/>
                  <w:vAlign w:val="center"/>
                </w:tcPr>
                <w:p w14:paraId="4A218F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检验设备</w:t>
                  </w:r>
                </w:p>
              </w:tc>
              <w:tc>
                <w:tcPr>
                  <w:tcW w:w="655" w:type="pct"/>
                  <w:tcBorders>
                    <w:tl2br w:val="nil"/>
                    <w:tr2bl w:val="nil"/>
                  </w:tcBorders>
                  <w:noWrap w:val="0"/>
                  <w:vAlign w:val="center"/>
                </w:tcPr>
                <w:p w14:paraId="631BF5C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宋体"/>
                      <w:color w:val="auto"/>
                      <w:kern w:val="0"/>
                      <w:sz w:val="21"/>
                      <w:szCs w:val="21"/>
                      <w:lang w:val="en-US" w:eastAsia="zh-CN" w:bidi="ar"/>
                    </w:rPr>
                  </w:pPr>
                  <w:r>
                    <w:rPr>
                      <w:rFonts w:hint="eastAsia" w:ascii="Times New Roman" w:hAnsi="Times New Roman" w:cs="宋体"/>
                      <w:color w:val="auto"/>
                      <w:kern w:val="0"/>
                      <w:sz w:val="21"/>
                      <w:szCs w:val="21"/>
                      <w:lang w:bidi="ar"/>
                    </w:rPr>
                    <w:t>光谱仪</w:t>
                  </w:r>
                </w:p>
              </w:tc>
              <w:tc>
                <w:tcPr>
                  <w:tcW w:w="1247" w:type="pct"/>
                  <w:tcBorders>
                    <w:tl2br w:val="nil"/>
                    <w:tr2bl w:val="nil"/>
                  </w:tcBorders>
                  <w:noWrap w:val="0"/>
                  <w:vAlign w:val="center"/>
                </w:tcPr>
                <w:p w14:paraId="21E5911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MAXXLMFO5</w:t>
                  </w:r>
                </w:p>
              </w:tc>
              <w:tc>
                <w:tcPr>
                  <w:tcW w:w="468" w:type="pct"/>
                  <w:tcBorders>
                    <w:tl2br w:val="nil"/>
                    <w:tr2bl w:val="nil"/>
                  </w:tcBorders>
                  <w:noWrap w:val="0"/>
                  <w:vAlign w:val="center"/>
                </w:tcPr>
                <w:p w14:paraId="6EDFEDC2">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7510DAB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552" w:type="pct"/>
                  <w:tcBorders>
                    <w:tl2br w:val="nil"/>
                    <w:tr2bl w:val="nil"/>
                  </w:tcBorders>
                  <w:shd w:val="clear" w:color="auto" w:fill="auto"/>
                  <w:noWrap w:val="0"/>
                  <w:vAlign w:val="center"/>
                </w:tcPr>
                <w:p w14:paraId="0AB5B0C2">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68" w:type="pct"/>
                  <w:tcBorders>
                    <w:tl2br w:val="nil"/>
                    <w:tr2bl w:val="nil"/>
                  </w:tcBorders>
                  <w:noWrap w:val="0"/>
                  <w:vAlign w:val="center"/>
                </w:tcPr>
                <w:p w14:paraId="0C3729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72562A6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德国</w:t>
                  </w:r>
                </w:p>
              </w:tc>
              <w:tc>
                <w:tcPr>
                  <w:tcW w:w="975" w:type="pct"/>
                  <w:vMerge w:val="restart"/>
                  <w:tcBorders>
                    <w:tl2br w:val="nil"/>
                    <w:tr2bl w:val="nil"/>
                  </w:tcBorders>
                  <w:noWrap w:val="0"/>
                  <w:vAlign w:val="center"/>
                </w:tcPr>
                <w:p w14:paraId="0E4A835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检验设备</w:t>
                  </w:r>
                </w:p>
              </w:tc>
            </w:tr>
            <w:tr w14:paraId="2FCAC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4180C69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c>
                <w:tcPr>
                  <w:tcW w:w="655" w:type="pct"/>
                  <w:tcBorders>
                    <w:tl2br w:val="nil"/>
                    <w:tr2bl w:val="nil"/>
                  </w:tcBorders>
                  <w:noWrap w:val="0"/>
                  <w:vAlign w:val="center"/>
                </w:tcPr>
                <w:p w14:paraId="1B609D3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0"/>
                      <w:sz w:val="21"/>
                      <w:szCs w:val="21"/>
                      <w:lang w:val="en-US" w:eastAsia="zh-CN" w:bidi="ar"/>
                    </w:rPr>
                  </w:pPr>
                  <w:r>
                    <w:rPr>
                      <w:rFonts w:hint="eastAsia" w:cs="宋体"/>
                      <w:color w:val="auto"/>
                      <w:kern w:val="0"/>
                      <w:sz w:val="21"/>
                      <w:szCs w:val="21"/>
                      <w:lang w:val="en-US" w:eastAsia="zh-CN" w:bidi="ar"/>
                    </w:rPr>
                    <w:t>测温仪</w:t>
                  </w:r>
                </w:p>
              </w:tc>
              <w:tc>
                <w:tcPr>
                  <w:tcW w:w="1247" w:type="pct"/>
                  <w:tcBorders>
                    <w:tl2br w:val="nil"/>
                    <w:tr2bl w:val="nil"/>
                  </w:tcBorders>
                  <w:noWrap w:val="0"/>
                  <w:vAlign w:val="center"/>
                </w:tcPr>
                <w:p w14:paraId="48AEF7C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color w:val="auto"/>
                      <w:kern w:val="0"/>
                      <w:sz w:val="21"/>
                      <w:szCs w:val="21"/>
                    </w:rPr>
                  </w:pPr>
                  <w:r>
                    <w:rPr>
                      <w:rFonts w:hint="eastAsia" w:ascii="Times New Roman" w:hAnsi="Times New Roman" w:cs="Times New Roman"/>
                      <w:bCs/>
                      <w:color w:val="auto"/>
                      <w:sz w:val="21"/>
                      <w:szCs w:val="21"/>
                    </w:rPr>
                    <w:t>/</w:t>
                  </w:r>
                </w:p>
              </w:tc>
              <w:tc>
                <w:tcPr>
                  <w:tcW w:w="468" w:type="pct"/>
                  <w:tcBorders>
                    <w:tl2br w:val="nil"/>
                    <w:tr2bl w:val="nil"/>
                  </w:tcBorders>
                  <w:noWrap w:val="0"/>
                  <w:vAlign w:val="center"/>
                </w:tcPr>
                <w:p w14:paraId="3B74C86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19DE8329">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552" w:type="pct"/>
                  <w:tcBorders>
                    <w:tl2br w:val="nil"/>
                    <w:tr2bl w:val="nil"/>
                  </w:tcBorders>
                  <w:shd w:val="clear" w:color="auto" w:fill="auto"/>
                  <w:noWrap w:val="0"/>
                  <w:vAlign w:val="center"/>
                </w:tcPr>
                <w:p w14:paraId="1F36DA04">
                  <w:pPr>
                    <w:keepNext w:val="0"/>
                    <w:keepLines w:val="0"/>
                    <w:widowControl/>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p>
              </w:tc>
              <w:tc>
                <w:tcPr>
                  <w:tcW w:w="268" w:type="pct"/>
                  <w:tcBorders>
                    <w:tl2br w:val="nil"/>
                    <w:tr2bl w:val="nil"/>
                  </w:tcBorders>
                  <w:noWrap w:val="0"/>
                  <w:vAlign w:val="center"/>
                </w:tcPr>
                <w:p w14:paraId="25B40817">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1F4A95A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国产</w:t>
                  </w:r>
                </w:p>
              </w:tc>
              <w:tc>
                <w:tcPr>
                  <w:tcW w:w="975" w:type="pct"/>
                  <w:vMerge w:val="continue"/>
                  <w:tcBorders>
                    <w:tl2br w:val="nil"/>
                    <w:tr2bl w:val="nil"/>
                  </w:tcBorders>
                  <w:noWrap w:val="0"/>
                  <w:vAlign w:val="center"/>
                </w:tcPr>
                <w:p w14:paraId="00B66134">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4CF81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70E8646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noWrap w:val="0"/>
                  <w:vAlign w:val="center"/>
                </w:tcPr>
                <w:p w14:paraId="7CBFDC5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
                    </w:rPr>
                  </w:pPr>
                  <w:r>
                    <w:rPr>
                      <w:rFonts w:hint="eastAsia" w:ascii="Times New Roman" w:hAnsi="Times New Roman" w:cs="Times New Roman"/>
                      <w:bCs/>
                      <w:color w:val="auto"/>
                      <w:sz w:val="21"/>
                      <w:szCs w:val="21"/>
                      <w:lang w:bidi="ar"/>
                    </w:rPr>
                    <w:t>秤</w:t>
                  </w:r>
                </w:p>
              </w:tc>
              <w:tc>
                <w:tcPr>
                  <w:tcW w:w="1247" w:type="pct"/>
                  <w:tcBorders>
                    <w:tl2br w:val="nil"/>
                    <w:tr2bl w:val="nil"/>
                  </w:tcBorders>
                  <w:noWrap w:val="0"/>
                  <w:vAlign w:val="center"/>
                </w:tcPr>
                <w:p w14:paraId="12703C0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cs="Times New Roman"/>
                      <w:bCs/>
                      <w:color w:val="auto"/>
                      <w:sz w:val="21"/>
                      <w:szCs w:val="21"/>
                    </w:rPr>
                    <w:t>/</w:t>
                  </w:r>
                </w:p>
              </w:tc>
              <w:tc>
                <w:tcPr>
                  <w:tcW w:w="468" w:type="pct"/>
                  <w:tcBorders>
                    <w:tl2br w:val="nil"/>
                    <w:tr2bl w:val="nil"/>
                  </w:tcBorders>
                  <w:noWrap w:val="0"/>
                  <w:vAlign w:val="center"/>
                </w:tcPr>
                <w:p w14:paraId="3F1F530A">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cs="Times New Roman"/>
                      <w:color w:val="auto"/>
                      <w:kern w:val="0"/>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6A5A656B">
                  <w:pPr>
                    <w:keepNext w:val="0"/>
                    <w:keepLines w:val="0"/>
                    <w:widowControl/>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552" w:type="pct"/>
                  <w:tcBorders>
                    <w:tl2br w:val="nil"/>
                    <w:tr2bl w:val="nil"/>
                  </w:tcBorders>
                  <w:shd w:val="clear" w:color="auto" w:fill="auto"/>
                  <w:noWrap w:val="0"/>
                  <w:vAlign w:val="center"/>
                </w:tcPr>
                <w:p w14:paraId="618739B2">
                  <w:pPr>
                    <w:keepNext w:val="0"/>
                    <w:keepLines w:val="0"/>
                    <w:widowControl/>
                    <w:suppressLineNumbers w:val="0"/>
                    <w:adjustRightIn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68" w:type="pct"/>
                  <w:tcBorders>
                    <w:tl2br w:val="nil"/>
                    <w:tr2bl w:val="nil"/>
                  </w:tcBorders>
                  <w:noWrap w:val="0"/>
                  <w:vAlign w:val="center"/>
                </w:tcPr>
                <w:p w14:paraId="58A1A4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5A9EC5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noWrap w:val="0"/>
                  <w:vAlign w:val="center"/>
                </w:tcPr>
                <w:p w14:paraId="47618A58">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03A4A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484A19C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noWrap w:val="0"/>
                  <w:vAlign w:val="center"/>
                </w:tcPr>
                <w:p w14:paraId="365EFBA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bCs/>
                      <w:color w:val="auto"/>
                      <w:kern w:val="2"/>
                      <w:sz w:val="21"/>
                      <w:szCs w:val="21"/>
                      <w:lang w:val="en-US" w:eastAsia="zh-CN" w:bidi="ar"/>
                    </w:rPr>
                  </w:pPr>
                  <w:r>
                    <w:rPr>
                      <w:rFonts w:hint="eastAsia" w:ascii="Times New Roman" w:hAnsi="Times New Roman" w:cs="Times New Roman"/>
                      <w:bCs/>
                      <w:color w:val="auto"/>
                      <w:sz w:val="21"/>
                      <w:szCs w:val="21"/>
                      <w:lang w:bidi="ar"/>
                    </w:rPr>
                    <w:t>化验室设备整套</w:t>
                  </w:r>
                </w:p>
              </w:tc>
              <w:tc>
                <w:tcPr>
                  <w:tcW w:w="1247" w:type="pct"/>
                  <w:tcBorders>
                    <w:tl2br w:val="nil"/>
                    <w:tr2bl w:val="nil"/>
                  </w:tcBorders>
                  <w:noWrap w:val="0"/>
                  <w:vAlign w:val="center"/>
                </w:tcPr>
                <w:p w14:paraId="38DFFD24">
                  <w:pPr>
                    <w:keepNext w:val="0"/>
                    <w:keepLines w:val="0"/>
                    <w:widowControl/>
                    <w:suppressLineNumbers w:val="0"/>
                    <w:adjustRightInd w:val="0"/>
                    <w:spacing w:before="0" w:beforeAutospacing="0" w:after="0" w:afterAutospacing="0" w:line="240" w:lineRule="auto"/>
                    <w:ind w:left="0" w:right="0" w:firstLine="0" w:firstLineChars="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cs="Times New Roman"/>
                      <w:color w:val="auto"/>
                      <w:kern w:val="0"/>
                      <w:sz w:val="21"/>
                      <w:szCs w:val="21"/>
                    </w:rPr>
                    <w:t>/</w:t>
                  </w:r>
                </w:p>
              </w:tc>
              <w:tc>
                <w:tcPr>
                  <w:tcW w:w="468" w:type="pct"/>
                  <w:tcBorders>
                    <w:tl2br w:val="nil"/>
                    <w:tr2bl w:val="nil"/>
                  </w:tcBorders>
                  <w:noWrap w:val="0"/>
                  <w:vAlign w:val="center"/>
                </w:tcPr>
                <w:p w14:paraId="30B7C0EC">
                  <w:pPr>
                    <w:keepNext w:val="0"/>
                    <w:keepLines w:val="0"/>
                    <w:widowControl/>
                    <w:suppressLineNumbers w:val="0"/>
                    <w:adjustRightInd w:val="0"/>
                    <w:spacing w:before="0" w:beforeAutospacing="0" w:after="0" w:afterAutospacing="0" w:line="240" w:lineRule="auto"/>
                    <w:ind w:left="0" w:right="0" w:firstLine="0" w:firstLineChars="0"/>
                    <w:jc w:val="center"/>
                    <w:rPr>
                      <w:rFonts w:hint="eastAsia" w:ascii="Times New Roman" w:hAnsi="Times New Roman" w:cs="Times New Roman"/>
                      <w:color w:val="auto"/>
                      <w:kern w:val="0"/>
                      <w:sz w:val="21"/>
                      <w:szCs w:val="21"/>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74A4BA66">
                  <w:pPr>
                    <w:keepNext w:val="0"/>
                    <w:keepLines w:val="0"/>
                    <w:widowControl/>
                    <w:suppressLineNumbers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552" w:type="pct"/>
                  <w:tcBorders>
                    <w:tl2br w:val="nil"/>
                    <w:tr2bl w:val="nil"/>
                  </w:tcBorders>
                  <w:shd w:val="clear" w:color="auto" w:fill="auto"/>
                  <w:noWrap w:val="0"/>
                  <w:vAlign w:val="center"/>
                </w:tcPr>
                <w:p w14:paraId="15D92A3D">
                  <w:pPr>
                    <w:keepNext w:val="0"/>
                    <w:keepLines w:val="0"/>
                    <w:widowControl/>
                    <w:suppressLineNumbers w:val="0"/>
                    <w:adjustRightIn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w:t>
                  </w:r>
                </w:p>
              </w:tc>
              <w:tc>
                <w:tcPr>
                  <w:tcW w:w="268" w:type="pct"/>
                  <w:tcBorders>
                    <w:tl2br w:val="nil"/>
                    <w:tr2bl w:val="nil"/>
                  </w:tcBorders>
                  <w:noWrap w:val="0"/>
                  <w:vAlign w:val="center"/>
                </w:tcPr>
                <w:p w14:paraId="632CD21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175805F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vMerge w:val="continue"/>
                  <w:tcBorders>
                    <w:tl2br w:val="nil"/>
                    <w:tr2bl w:val="nil"/>
                  </w:tcBorders>
                  <w:noWrap w:val="0"/>
                  <w:vAlign w:val="center"/>
                </w:tcPr>
                <w:p w14:paraId="30E71CA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p>
              </w:tc>
            </w:tr>
            <w:tr w14:paraId="47849E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restart"/>
                  <w:tcBorders>
                    <w:tl2br w:val="nil"/>
                    <w:tr2bl w:val="nil"/>
                  </w:tcBorders>
                  <w:noWrap w:val="0"/>
                  <w:vAlign w:val="center"/>
                </w:tcPr>
                <w:p w14:paraId="510AEBF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公辅设备</w:t>
                  </w:r>
                </w:p>
              </w:tc>
              <w:tc>
                <w:tcPr>
                  <w:tcW w:w="655" w:type="pct"/>
                  <w:tcBorders>
                    <w:tl2br w:val="nil"/>
                    <w:tr2bl w:val="nil"/>
                  </w:tcBorders>
                  <w:shd w:val="clear" w:color="auto" w:fill="auto"/>
                  <w:noWrap w:val="0"/>
                  <w:vAlign w:val="center"/>
                </w:tcPr>
                <w:p w14:paraId="2B28E4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行车</w:t>
                  </w:r>
                </w:p>
              </w:tc>
              <w:tc>
                <w:tcPr>
                  <w:tcW w:w="1247" w:type="pct"/>
                  <w:tcBorders>
                    <w:tl2br w:val="nil"/>
                    <w:tr2bl w:val="nil"/>
                  </w:tcBorders>
                  <w:shd w:val="clear" w:color="auto" w:fill="auto"/>
                  <w:noWrap w:val="0"/>
                  <w:vAlign w:val="center"/>
                </w:tcPr>
                <w:p w14:paraId="2B10D8F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50t、32t</w:t>
                  </w:r>
                </w:p>
              </w:tc>
              <w:tc>
                <w:tcPr>
                  <w:tcW w:w="468" w:type="pct"/>
                  <w:tcBorders>
                    <w:tl2br w:val="nil"/>
                    <w:tr2bl w:val="nil"/>
                  </w:tcBorders>
                  <w:shd w:val="clear" w:color="auto" w:fill="auto"/>
                  <w:noWrap w:val="0"/>
                  <w:vAlign w:val="center"/>
                </w:tcPr>
                <w:p w14:paraId="1FB5BA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4F17183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p>
              </w:tc>
              <w:tc>
                <w:tcPr>
                  <w:tcW w:w="552" w:type="pct"/>
                  <w:tcBorders>
                    <w:tl2br w:val="nil"/>
                    <w:tr2bl w:val="nil"/>
                  </w:tcBorders>
                  <w:shd w:val="clear" w:color="auto" w:fill="auto"/>
                  <w:noWrap w:val="0"/>
                  <w:vAlign w:val="center"/>
                </w:tcPr>
                <w:p w14:paraId="6DF3A5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w:t>
                  </w:r>
                </w:p>
              </w:tc>
              <w:tc>
                <w:tcPr>
                  <w:tcW w:w="268" w:type="pct"/>
                  <w:tcBorders>
                    <w:tl2br w:val="nil"/>
                    <w:tr2bl w:val="nil"/>
                  </w:tcBorders>
                  <w:noWrap w:val="0"/>
                  <w:vAlign w:val="center"/>
                </w:tcPr>
                <w:p w14:paraId="0A9487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784524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6E4BE0C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09489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7112166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44B9C93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行车</w:t>
                  </w:r>
                </w:p>
              </w:tc>
              <w:tc>
                <w:tcPr>
                  <w:tcW w:w="1247" w:type="pct"/>
                  <w:tcBorders>
                    <w:tl2br w:val="nil"/>
                    <w:tr2bl w:val="nil"/>
                  </w:tcBorders>
                  <w:shd w:val="clear" w:color="auto" w:fill="auto"/>
                  <w:noWrap w:val="0"/>
                  <w:vAlign w:val="center"/>
                </w:tcPr>
                <w:p w14:paraId="14F7B4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10t、20t</w:t>
                  </w:r>
                </w:p>
              </w:tc>
              <w:tc>
                <w:tcPr>
                  <w:tcW w:w="468" w:type="pct"/>
                  <w:tcBorders>
                    <w:tl2br w:val="nil"/>
                    <w:tr2bl w:val="nil"/>
                  </w:tcBorders>
                  <w:shd w:val="clear" w:color="auto" w:fill="auto"/>
                  <w:noWrap w:val="0"/>
                  <w:vAlign w:val="center"/>
                </w:tcPr>
                <w:p w14:paraId="299164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0</w:t>
                  </w:r>
                </w:p>
              </w:tc>
              <w:tc>
                <w:tcPr>
                  <w:tcW w:w="417" w:type="pct"/>
                  <w:tcBorders>
                    <w:tl2br w:val="nil"/>
                    <w:tr2bl w:val="nil"/>
                  </w:tcBorders>
                  <w:shd w:val="clear" w:color="auto" w:fill="auto"/>
                  <w:noWrap w:val="0"/>
                  <w:vAlign w:val="center"/>
                </w:tcPr>
                <w:p w14:paraId="7C85A93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552" w:type="pct"/>
                  <w:tcBorders>
                    <w:tl2br w:val="nil"/>
                    <w:tr2bl w:val="nil"/>
                  </w:tcBorders>
                  <w:shd w:val="clear" w:color="auto" w:fill="auto"/>
                  <w:noWrap w:val="0"/>
                  <w:vAlign w:val="center"/>
                </w:tcPr>
                <w:p w14:paraId="512DBA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4</w:t>
                  </w:r>
                </w:p>
              </w:tc>
              <w:tc>
                <w:tcPr>
                  <w:tcW w:w="268" w:type="pct"/>
                  <w:tcBorders>
                    <w:tl2br w:val="nil"/>
                    <w:tr2bl w:val="nil"/>
                  </w:tcBorders>
                  <w:noWrap w:val="0"/>
                  <w:vAlign w:val="center"/>
                </w:tcPr>
                <w:p w14:paraId="18F80E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791144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1C74F905">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02A0B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5B52141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1BC7A91E">
                  <w:pPr>
                    <w:keepNext w:val="0"/>
                    <w:keepLines w:val="0"/>
                    <w:suppressLineNumbers w:val="0"/>
                    <w:adjustRightInd w:val="0"/>
                    <w:snapToGrid w:val="0"/>
                    <w:spacing w:before="0" w:beforeAutospacing="0" w:after="0" w:afterAutospacing="0"/>
                    <w:ind w:left="0" w:leftChars="0" w:right="0" w:rightChars="0"/>
                    <w:jc w:val="center"/>
                    <w:rPr>
                      <w:rFonts w:hint="eastAsia"/>
                      <w:color w:val="auto"/>
                      <w:sz w:val="21"/>
                      <w:szCs w:val="21"/>
                      <w:highlight w:val="none"/>
                    </w:rPr>
                  </w:pPr>
                  <w:r>
                    <w:rPr>
                      <w:rFonts w:hint="eastAsia"/>
                      <w:color w:val="auto"/>
                      <w:sz w:val="21"/>
                      <w:szCs w:val="21"/>
                      <w:highlight w:val="none"/>
                    </w:rPr>
                    <w:t>水冷设备</w:t>
                  </w:r>
                </w:p>
              </w:tc>
              <w:tc>
                <w:tcPr>
                  <w:tcW w:w="1247" w:type="pct"/>
                  <w:tcBorders>
                    <w:tl2br w:val="nil"/>
                    <w:tr2bl w:val="nil"/>
                  </w:tcBorders>
                  <w:shd w:val="clear" w:color="auto" w:fill="auto"/>
                  <w:noWrap w:val="0"/>
                  <w:vAlign w:val="center"/>
                </w:tcPr>
                <w:p w14:paraId="4F04AD4D">
                  <w:pPr>
                    <w:keepNext w:val="0"/>
                    <w:keepLines w:val="0"/>
                    <w:suppressLineNumbers w:val="0"/>
                    <w:adjustRightInd w:val="0"/>
                    <w:snapToGrid w:val="0"/>
                    <w:spacing w:before="0" w:beforeAutospacing="0" w:after="0" w:afterAutospacing="0"/>
                    <w:ind w:left="0" w:leftChars="0" w:right="0" w:right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380t/h</w:t>
                  </w:r>
                </w:p>
              </w:tc>
              <w:tc>
                <w:tcPr>
                  <w:tcW w:w="468" w:type="pct"/>
                  <w:tcBorders>
                    <w:tl2br w:val="nil"/>
                    <w:tr2bl w:val="nil"/>
                  </w:tcBorders>
                  <w:shd w:val="clear" w:color="auto" w:fill="auto"/>
                  <w:noWrap w:val="0"/>
                  <w:vAlign w:val="center"/>
                </w:tcPr>
                <w:p w14:paraId="1D2D6BE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417" w:type="pct"/>
                  <w:tcBorders>
                    <w:tl2br w:val="nil"/>
                    <w:tr2bl w:val="nil"/>
                  </w:tcBorders>
                  <w:shd w:val="clear" w:color="auto" w:fill="auto"/>
                  <w:noWrap w:val="0"/>
                  <w:vAlign w:val="center"/>
                </w:tcPr>
                <w:p w14:paraId="6C3F365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552" w:type="pct"/>
                  <w:tcBorders>
                    <w:tl2br w:val="nil"/>
                    <w:tr2bl w:val="nil"/>
                  </w:tcBorders>
                  <w:shd w:val="clear" w:color="auto" w:fill="auto"/>
                  <w:noWrap w:val="0"/>
                  <w:vAlign w:val="center"/>
                </w:tcPr>
                <w:p w14:paraId="2117F4E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1</w:t>
                  </w:r>
                </w:p>
              </w:tc>
              <w:tc>
                <w:tcPr>
                  <w:tcW w:w="268" w:type="pct"/>
                  <w:tcBorders>
                    <w:tl2br w:val="nil"/>
                    <w:tr2bl w:val="nil"/>
                  </w:tcBorders>
                  <w:noWrap w:val="0"/>
                  <w:vAlign w:val="center"/>
                </w:tcPr>
                <w:p w14:paraId="31AE328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56043B9E">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326A2F0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0014A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13B11AB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7C49B7B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罗茨真空泵</w:t>
                  </w:r>
                </w:p>
              </w:tc>
              <w:tc>
                <w:tcPr>
                  <w:tcW w:w="1247" w:type="pct"/>
                  <w:tcBorders>
                    <w:tl2br w:val="nil"/>
                    <w:tr2bl w:val="nil"/>
                  </w:tcBorders>
                  <w:shd w:val="clear" w:color="auto" w:fill="auto"/>
                  <w:noWrap w:val="0"/>
                  <w:vAlign w:val="center"/>
                </w:tcPr>
                <w:p w14:paraId="6955359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 w:val="21"/>
                      <w:szCs w:val="21"/>
                    </w:rPr>
                    <w:t>/</w:t>
                  </w:r>
                </w:p>
              </w:tc>
              <w:tc>
                <w:tcPr>
                  <w:tcW w:w="468" w:type="pct"/>
                  <w:tcBorders>
                    <w:tl2br w:val="nil"/>
                    <w:tr2bl w:val="nil"/>
                  </w:tcBorders>
                  <w:shd w:val="clear" w:color="auto" w:fill="auto"/>
                  <w:noWrap w:val="0"/>
                  <w:vAlign w:val="center"/>
                </w:tcPr>
                <w:p w14:paraId="2154D29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w:t>
                  </w:r>
                </w:p>
              </w:tc>
              <w:tc>
                <w:tcPr>
                  <w:tcW w:w="417" w:type="pct"/>
                  <w:tcBorders>
                    <w:tl2br w:val="nil"/>
                    <w:tr2bl w:val="nil"/>
                  </w:tcBorders>
                  <w:shd w:val="clear" w:color="auto" w:fill="auto"/>
                  <w:noWrap w:val="0"/>
                  <w:vAlign w:val="center"/>
                </w:tcPr>
                <w:p w14:paraId="52FEDEF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552" w:type="pct"/>
                  <w:tcBorders>
                    <w:tl2br w:val="nil"/>
                    <w:tr2bl w:val="nil"/>
                  </w:tcBorders>
                  <w:shd w:val="clear" w:color="auto" w:fill="auto"/>
                  <w:noWrap w:val="0"/>
                  <w:vAlign w:val="center"/>
                </w:tcPr>
                <w:p w14:paraId="48C7E88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w:t>
                  </w:r>
                </w:p>
              </w:tc>
              <w:tc>
                <w:tcPr>
                  <w:tcW w:w="268" w:type="pct"/>
                  <w:tcBorders>
                    <w:tl2br w:val="nil"/>
                    <w:tr2bl w:val="nil"/>
                  </w:tcBorders>
                  <w:noWrap w:val="0"/>
                  <w:vAlign w:val="center"/>
                </w:tcPr>
                <w:p w14:paraId="7AB44128">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30B7041D">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310F52A0">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1A2D7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142A40A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3B6079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起重机</w:t>
                  </w:r>
                </w:p>
              </w:tc>
              <w:tc>
                <w:tcPr>
                  <w:tcW w:w="1247" w:type="pct"/>
                  <w:tcBorders>
                    <w:tl2br w:val="nil"/>
                    <w:tr2bl w:val="nil"/>
                  </w:tcBorders>
                  <w:shd w:val="clear" w:color="auto" w:fill="auto"/>
                  <w:noWrap w:val="0"/>
                  <w:vAlign w:val="center"/>
                </w:tcPr>
                <w:p w14:paraId="107457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Gn=32/5tS=22.5m</w:t>
                  </w:r>
                  <w:r>
                    <w:rPr>
                      <w:rFonts w:hint="eastAsia" w:ascii="宋体" w:hAnsi="宋体" w:eastAsia="宋体" w:cs="宋体"/>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Ho=15mA6</w:t>
                  </w:r>
                </w:p>
              </w:tc>
              <w:tc>
                <w:tcPr>
                  <w:tcW w:w="468" w:type="pct"/>
                  <w:tcBorders>
                    <w:tl2br w:val="nil"/>
                    <w:tr2bl w:val="nil"/>
                  </w:tcBorders>
                  <w:shd w:val="clear" w:color="auto" w:fill="auto"/>
                  <w:noWrap w:val="0"/>
                  <w:vAlign w:val="center"/>
                </w:tcPr>
                <w:p w14:paraId="0AB7543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417" w:type="pct"/>
                  <w:tcBorders>
                    <w:tl2br w:val="nil"/>
                    <w:tr2bl w:val="nil"/>
                  </w:tcBorders>
                  <w:shd w:val="clear" w:color="auto" w:fill="auto"/>
                  <w:noWrap w:val="0"/>
                  <w:vAlign w:val="center"/>
                </w:tcPr>
                <w:p w14:paraId="49E4E444">
                  <w:pPr>
                    <w:keepNext w:val="0"/>
                    <w:keepLines w:val="0"/>
                    <w:widowControl/>
                    <w:suppressLineNumbers w:val="0"/>
                    <w:spacing w:before="0" w:beforeAutospacing="0" w:after="0" w:afterAutospacing="0"/>
                    <w:ind w:left="0" w:leftChars="0" w:right="0" w:rightChars="0"/>
                    <w:jc w:val="center"/>
                    <w:textAlignment w:val="center"/>
                    <w:rPr>
                      <w:rFonts w:hint="eastAsia"/>
                      <w:color w:val="auto"/>
                      <w:sz w:val="21"/>
                      <w:szCs w:val="21"/>
                      <w:highlight w:val="none"/>
                    </w:rPr>
                  </w:pPr>
                  <w:r>
                    <w:rPr>
                      <w:rFonts w:hint="eastAsia" w:ascii="Times New Roman" w:hAnsi="Times New Roman" w:eastAsia="宋体" w:cs="Times New Roman"/>
                      <w:color w:val="auto"/>
                      <w:kern w:val="2"/>
                      <w:sz w:val="21"/>
                      <w:szCs w:val="21"/>
                      <w:lang w:val="en-US" w:eastAsia="zh-CN" w:bidi="ar-SA"/>
                    </w:rPr>
                    <w:t>0</w:t>
                  </w:r>
                </w:p>
              </w:tc>
              <w:tc>
                <w:tcPr>
                  <w:tcW w:w="552" w:type="pct"/>
                  <w:tcBorders>
                    <w:tl2br w:val="nil"/>
                    <w:tr2bl w:val="nil"/>
                  </w:tcBorders>
                  <w:shd w:val="clear" w:color="auto" w:fill="auto"/>
                  <w:noWrap w:val="0"/>
                  <w:vAlign w:val="center"/>
                </w:tcPr>
                <w:p w14:paraId="1A4F54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268" w:type="pct"/>
                  <w:tcBorders>
                    <w:tl2br w:val="nil"/>
                    <w:tr2bl w:val="nil"/>
                  </w:tcBorders>
                  <w:noWrap w:val="0"/>
                  <w:vAlign w:val="center"/>
                </w:tcPr>
                <w:p w14:paraId="4A60F9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277" w:type="pct"/>
                  <w:tcBorders>
                    <w:tl2br w:val="nil"/>
                    <w:tr2bl w:val="nil"/>
                  </w:tcBorders>
                  <w:noWrap w:val="0"/>
                  <w:vAlign w:val="center"/>
                </w:tcPr>
                <w:p w14:paraId="670E4EA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79959E0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31CB9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5525D9B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6970836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冷却塔</w:t>
                  </w:r>
                </w:p>
              </w:tc>
              <w:tc>
                <w:tcPr>
                  <w:tcW w:w="1247" w:type="pct"/>
                  <w:tcBorders>
                    <w:tl2br w:val="nil"/>
                    <w:tr2bl w:val="nil"/>
                  </w:tcBorders>
                  <w:shd w:val="clear" w:color="auto" w:fill="auto"/>
                  <w:noWrap w:val="0"/>
                  <w:vAlign w:val="center"/>
                </w:tcPr>
                <w:p w14:paraId="737D51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20t/h</w:t>
                  </w:r>
                </w:p>
              </w:tc>
              <w:tc>
                <w:tcPr>
                  <w:tcW w:w="468" w:type="pct"/>
                  <w:tcBorders>
                    <w:tl2br w:val="nil"/>
                    <w:tr2bl w:val="nil"/>
                  </w:tcBorders>
                  <w:shd w:val="clear" w:color="auto" w:fill="auto"/>
                  <w:noWrap w:val="0"/>
                  <w:vAlign w:val="center"/>
                </w:tcPr>
                <w:p w14:paraId="37572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417" w:type="pct"/>
                  <w:tcBorders>
                    <w:tl2br w:val="nil"/>
                    <w:tr2bl w:val="nil"/>
                  </w:tcBorders>
                  <w:noWrap w:val="0"/>
                  <w:vAlign w:val="center"/>
                </w:tcPr>
                <w:p w14:paraId="5AC813F4">
                  <w:pPr>
                    <w:keepNext w:val="0"/>
                    <w:keepLines w:val="0"/>
                    <w:widowControl/>
                    <w:suppressLineNumbers w:val="0"/>
                    <w:adjustRightInd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pacing w:val="10"/>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552" w:type="pct"/>
                  <w:tcBorders>
                    <w:tl2br w:val="nil"/>
                    <w:tr2bl w:val="nil"/>
                  </w:tcBorders>
                  <w:shd w:val="clear" w:color="auto" w:fill="auto"/>
                  <w:noWrap w:val="0"/>
                  <w:vAlign w:val="center"/>
                </w:tcPr>
                <w:p w14:paraId="6AAE86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268" w:type="pct"/>
                  <w:tcBorders>
                    <w:tl2br w:val="nil"/>
                    <w:tr2bl w:val="nil"/>
                  </w:tcBorders>
                  <w:noWrap w:val="0"/>
                  <w:vAlign w:val="center"/>
                </w:tcPr>
                <w:p w14:paraId="6C68A33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277" w:type="pct"/>
                  <w:tcBorders>
                    <w:tl2br w:val="nil"/>
                    <w:tr2bl w:val="nil"/>
                  </w:tcBorders>
                  <w:noWrap w:val="0"/>
                  <w:vAlign w:val="center"/>
                </w:tcPr>
                <w:p w14:paraId="788030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04E9C7B9">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6C07FD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602B3AD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noWrap w:val="0"/>
                  <w:vAlign w:val="center"/>
                </w:tcPr>
                <w:p w14:paraId="1548071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sz w:val="21"/>
                      <w:szCs w:val="21"/>
                      <w:lang w:val="en-US" w:eastAsia="zh-CN"/>
                    </w:rPr>
                    <w:t>氩气</w:t>
                  </w:r>
                  <w:r>
                    <w:rPr>
                      <w:rFonts w:hint="eastAsia" w:ascii="Times New Roman" w:hAnsi="Times New Roman" w:cs="Times New Roman"/>
                      <w:color w:val="auto"/>
                      <w:sz w:val="21"/>
                      <w:szCs w:val="21"/>
                    </w:rPr>
                    <w:t>储罐</w:t>
                  </w:r>
                </w:p>
              </w:tc>
              <w:tc>
                <w:tcPr>
                  <w:tcW w:w="1247" w:type="pct"/>
                  <w:tcBorders>
                    <w:tl2br w:val="nil"/>
                    <w:tr2bl w:val="nil"/>
                  </w:tcBorders>
                  <w:noWrap w:val="0"/>
                  <w:vAlign w:val="center"/>
                </w:tcPr>
                <w:p w14:paraId="7F9024B5">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auto"/>
                      <w:kern w:val="2"/>
                      <w:sz w:val="21"/>
                      <w:szCs w:val="21"/>
                      <w:lang w:val="en-US" w:eastAsia="zh-CN" w:bidi="ar-SA"/>
                    </w:rPr>
                  </w:pPr>
                  <w:r>
                    <w:rPr>
                      <w:rFonts w:hint="eastAsia" w:cs="Times New Roman"/>
                      <w:color w:val="auto"/>
                      <w:sz w:val="21"/>
                      <w:szCs w:val="21"/>
                      <w:lang w:val="en-US" w:eastAsia="zh-CN"/>
                    </w:rPr>
                    <w:t>4</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p>
              </w:tc>
              <w:tc>
                <w:tcPr>
                  <w:tcW w:w="468" w:type="pct"/>
                  <w:tcBorders>
                    <w:tl2br w:val="nil"/>
                    <w:tr2bl w:val="nil"/>
                  </w:tcBorders>
                  <w:noWrap w:val="0"/>
                  <w:vAlign w:val="center"/>
                </w:tcPr>
                <w:p w14:paraId="08CBA43A">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kern w:val="2"/>
                      <w:sz w:val="21"/>
                      <w:szCs w:val="21"/>
                      <w:lang w:val="en-US" w:eastAsia="zh-CN" w:bidi="ar-SA"/>
                    </w:rPr>
                    <w:t>0</w:t>
                  </w:r>
                </w:p>
              </w:tc>
              <w:tc>
                <w:tcPr>
                  <w:tcW w:w="417" w:type="pct"/>
                  <w:tcBorders>
                    <w:tl2br w:val="nil"/>
                    <w:tr2bl w:val="nil"/>
                  </w:tcBorders>
                  <w:noWrap w:val="0"/>
                  <w:vAlign w:val="center"/>
                </w:tcPr>
                <w:p w14:paraId="78684AF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sz w:val="21"/>
                      <w:szCs w:val="21"/>
                    </w:rPr>
                    <w:t>1</w:t>
                  </w:r>
                </w:p>
              </w:tc>
              <w:tc>
                <w:tcPr>
                  <w:tcW w:w="552" w:type="pct"/>
                  <w:tcBorders>
                    <w:tl2br w:val="nil"/>
                    <w:tr2bl w:val="nil"/>
                  </w:tcBorders>
                  <w:noWrap w:val="0"/>
                  <w:vAlign w:val="center"/>
                </w:tcPr>
                <w:p w14:paraId="1887562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sz w:val="21"/>
                      <w:szCs w:val="21"/>
                    </w:rPr>
                    <w:t>1</w:t>
                  </w:r>
                </w:p>
              </w:tc>
              <w:tc>
                <w:tcPr>
                  <w:tcW w:w="268" w:type="pct"/>
                  <w:tcBorders>
                    <w:tl2br w:val="nil"/>
                    <w:tr2bl w:val="nil"/>
                  </w:tcBorders>
                  <w:noWrap w:val="0"/>
                  <w:vAlign w:val="center"/>
                </w:tcPr>
                <w:p w14:paraId="20B30F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765BFB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noWrap w:val="0"/>
                  <w:vAlign w:val="center"/>
                </w:tcPr>
                <w:p w14:paraId="2207D9BA">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7F7D3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38" w:type="pct"/>
                  <w:vMerge w:val="continue"/>
                  <w:tcBorders>
                    <w:tl2br w:val="nil"/>
                    <w:tr2bl w:val="nil"/>
                  </w:tcBorders>
                  <w:noWrap w:val="0"/>
                  <w:vAlign w:val="center"/>
                </w:tcPr>
                <w:p w14:paraId="7FDF6D5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noWrap w:val="0"/>
                  <w:vAlign w:val="center"/>
                </w:tcPr>
                <w:p w14:paraId="392B52A4">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冷却水池</w:t>
                  </w:r>
                </w:p>
              </w:tc>
              <w:tc>
                <w:tcPr>
                  <w:tcW w:w="1247" w:type="pct"/>
                  <w:tcBorders>
                    <w:tl2br w:val="nil"/>
                    <w:tr2bl w:val="nil"/>
                  </w:tcBorders>
                  <w:noWrap w:val="0"/>
                  <w:vAlign w:val="center"/>
                </w:tcPr>
                <w:p w14:paraId="7DFC0B8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36</w:t>
                  </w:r>
                  <w:r>
                    <w:rPr>
                      <w:rFonts w:hint="eastAsia" w:ascii="Times New Roman" w:hAnsi="Times New Roman" w:cs="Times New Roman"/>
                      <w:color w:val="auto"/>
                      <w:sz w:val="21"/>
                      <w:szCs w:val="21"/>
                      <w:lang w:val="en-US" w:eastAsia="zh-CN"/>
                    </w:rPr>
                    <w:t>m*</w:t>
                  </w:r>
                  <w:r>
                    <w:rPr>
                      <w:rFonts w:hint="eastAsia" w:cs="Times New Roman"/>
                      <w:color w:val="auto"/>
                      <w:sz w:val="21"/>
                      <w:szCs w:val="21"/>
                      <w:lang w:val="en-US" w:eastAsia="zh-CN"/>
                    </w:rPr>
                    <w:t>16</w:t>
                  </w:r>
                  <w:r>
                    <w:rPr>
                      <w:rFonts w:hint="eastAsia" w:ascii="Times New Roman" w:hAnsi="Times New Roman" w:cs="Times New Roman"/>
                      <w:color w:val="auto"/>
                      <w:sz w:val="21"/>
                      <w:szCs w:val="21"/>
                      <w:lang w:val="en-US" w:eastAsia="zh-CN"/>
                    </w:rPr>
                    <w:t>m*</w:t>
                  </w:r>
                  <w:r>
                    <w:rPr>
                      <w:rFonts w:hint="eastAsia" w:cs="Times New Roman"/>
                      <w:color w:val="auto"/>
                      <w:sz w:val="21"/>
                      <w:szCs w:val="21"/>
                      <w:lang w:val="en-US" w:eastAsia="zh-CN"/>
                    </w:rPr>
                    <w:t>3.6</w:t>
                  </w:r>
                  <w:r>
                    <w:rPr>
                      <w:rFonts w:hint="eastAsia" w:ascii="Times New Roman" w:hAnsi="Times New Roman" w:cs="Times New Roman"/>
                      <w:color w:val="auto"/>
                      <w:sz w:val="21"/>
                      <w:szCs w:val="21"/>
                      <w:lang w:val="en-US" w:eastAsia="zh-CN"/>
                    </w:rPr>
                    <w:t>m</w:t>
                  </w:r>
                </w:p>
              </w:tc>
              <w:tc>
                <w:tcPr>
                  <w:tcW w:w="468" w:type="pct"/>
                  <w:tcBorders>
                    <w:tl2br w:val="nil"/>
                    <w:tr2bl w:val="nil"/>
                  </w:tcBorders>
                  <w:noWrap w:val="0"/>
                  <w:vAlign w:val="center"/>
                </w:tcPr>
                <w:p w14:paraId="38F1C279">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kern w:val="2"/>
                      <w:sz w:val="21"/>
                      <w:szCs w:val="21"/>
                      <w:lang w:val="en-US" w:eastAsia="zh-CN" w:bidi="ar-SA"/>
                    </w:rPr>
                    <w:t>1</w:t>
                  </w:r>
                </w:p>
              </w:tc>
              <w:tc>
                <w:tcPr>
                  <w:tcW w:w="417" w:type="pct"/>
                  <w:tcBorders>
                    <w:tl2br w:val="nil"/>
                    <w:tr2bl w:val="nil"/>
                  </w:tcBorders>
                  <w:noWrap w:val="0"/>
                  <w:vAlign w:val="center"/>
                </w:tcPr>
                <w:p w14:paraId="3EF11E26">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kern w:val="2"/>
                      <w:sz w:val="21"/>
                      <w:szCs w:val="21"/>
                      <w:lang w:val="en-US" w:eastAsia="zh-CN" w:bidi="ar-SA"/>
                    </w:rPr>
                    <w:t>1</w:t>
                  </w:r>
                </w:p>
              </w:tc>
              <w:tc>
                <w:tcPr>
                  <w:tcW w:w="552" w:type="pct"/>
                  <w:tcBorders>
                    <w:tl2br w:val="nil"/>
                    <w:tr2bl w:val="nil"/>
                  </w:tcBorders>
                  <w:noWrap w:val="0"/>
                  <w:vAlign w:val="center"/>
                </w:tcPr>
                <w:p w14:paraId="21F852CE">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kern w:val="2"/>
                      <w:sz w:val="21"/>
                      <w:szCs w:val="21"/>
                      <w:lang w:val="en-US" w:eastAsia="zh-CN" w:bidi="ar-SA"/>
                    </w:rPr>
                    <w:t>1</w:t>
                  </w:r>
                </w:p>
              </w:tc>
              <w:tc>
                <w:tcPr>
                  <w:tcW w:w="268" w:type="pct"/>
                  <w:tcBorders>
                    <w:tl2br w:val="nil"/>
                    <w:tr2bl w:val="nil"/>
                  </w:tcBorders>
                  <w:noWrap w:val="0"/>
                  <w:vAlign w:val="center"/>
                </w:tcPr>
                <w:p w14:paraId="28F43AB0">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48377655">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75" w:type="pct"/>
                  <w:tcBorders>
                    <w:tl2br w:val="nil"/>
                    <w:tr2bl w:val="nil"/>
                  </w:tcBorders>
                  <w:noWrap w:val="0"/>
                  <w:vAlign w:val="center"/>
                </w:tcPr>
                <w:p w14:paraId="68736E57">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14:paraId="51BD4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restart"/>
                  <w:tcBorders>
                    <w:tl2br w:val="nil"/>
                    <w:tr2bl w:val="nil"/>
                  </w:tcBorders>
                  <w:noWrap w:val="0"/>
                  <w:vAlign w:val="center"/>
                </w:tcPr>
                <w:p w14:paraId="19AD894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环保设备</w:t>
                  </w:r>
                </w:p>
                <w:p w14:paraId="3F6AD3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p>
              </w:tc>
              <w:tc>
                <w:tcPr>
                  <w:tcW w:w="655" w:type="pct"/>
                  <w:tcBorders>
                    <w:tl2br w:val="nil"/>
                    <w:tr2bl w:val="nil"/>
                  </w:tcBorders>
                  <w:noWrap w:val="0"/>
                  <w:vAlign w:val="center"/>
                </w:tcPr>
                <w:p w14:paraId="7B3F034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化粪池</w:t>
                  </w:r>
                </w:p>
              </w:tc>
              <w:tc>
                <w:tcPr>
                  <w:tcW w:w="1247" w:type="pct"/>
                  <w:tcBorders>
                    <w:tl2br w:val="nil"/>
                    <w:tr2bl w:val="nil"/>
                  </w:tcBorders>
                  <w:noWrap w:val="0"/>
                  <w:vAlign w:val="center"/>
                </w:tcPr>
                <w:p w14:paraId="343C402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468" w:type="pct"/>
                  <w:tcBorders>
                    <w:tl2br w:val="nil"/>
                    <w:tr2bl w:val="nil"/>
                  </w:tcBorders>
                  <w:noWrap w:val="0"/>
                  <w:vAlign w:val="center"/>
                </w:tcPr>
                <w:p w14:paraId="048093AB">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kern w:val="2"/>
                      <w:sz w:val="21"/>
                      <w:szCs w:val="21"/>
                      <w:lang w:val="en-US" w:eastAsia="zh-CN" w:bidi="ar-SA"/>
                    </w:rPr>
                    <w:t>1</w:t>
                  </w:r>
                </w:p>
              </w:tc>
              <w:tc>
                <w:tcPr>
                  <w:tcW w:w="417" w:type="pct"/>
                  <w:tcBorders>
                    <w:tl2br w:val="nil"/>
                    <w:tr2bl w:val="nil"/>
                  </w:tcBorders>
                  <w:noWrap w:val="0"/>
                  <w:vAlign w:val="center"/>
                </w:tcPr>
                <w:p w14:paraId="1F2D8F7F">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sz w:val="21"/>
                      <w:szCs w:val="21"/>
                    </w:rPr>
                    <w:t>1</w:t>
                  </w:r>
                </w:p>
              </w:tc>
              <w:tc>
                <w:tcPr>
                  <w:tcW w:w="552" w:type="pct"/>
                  <w:tcBorders>
                    <w:tl2br w:val="nil"/>
                    <w:tr2bl w:val="nil"/>
                  </w:tcBorders>
                  <w:noWrap w:val="0"/>
                  <w:vAlign w:val="center"/>
                </w:tcPr>
                <w:p w14:paraId="53B88C7D">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cs="Times New Roman"/>
                      <w:bCs/>
                      <w:color w:val="auto"/>
                      <w:spacing w:val="10"/>
                      <w:kern w:val="2"/>
                      <w:sz w:val="21"/>
                      <w:szCs w:val="21"/>
                      <w:lang w:val="en-US" w:eastAsia="zh-CN" w:bidi="ar-SA"/>
                    </w:rPr>
                  </w:pPr>
                  <w:r>
                    <w:rPr>
                      <w:rFonts w:hint="eastAsia" w:ascii="Times New Roman" w:hAnsi="Times New Roman" w:cs="Times New Roman"/>
                      <w:bCs/>
                      <w:color w:val="auto"/>
                      <w:spacing w:val="10"/>
                      <w:sz w:val="21"/>
                      <w:szCs w:val="21"/>
                    </w:rPr>
                    <w:t>1</w:t>
                  </w:r>
                </w:p>
              </w:tc>
              <w:tc>
                <w:tcPr>
                  <w:tcW w:w="268" w:type="pct"/>
                  <w:tcBorders>
                    <w:tl2br w:val="nil"/>
                    <w:tr2bl w:val="nil"/>
                  </w:tcBorders>
                  <w:noWrap w:val="0"/>
                  <w:vAlign w:val="center"/>
                </w:tcPr>
                <w:p w14:paraId="02581A8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277" w:type="pct"/>
                  <w:tcBorders>
                    <w:tl2br w:val="nil"/>
                    <w:tr2bl w:val="nil"/>
                  </w:tcBorders>
                  <w:noWrap w:val="0"/>
                  <w:vAlign w:val="center"/>
                </w:tcPr>
                <w:p w14:paraId="076345F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975" w:type="pct"/>
                  <w:tcBorders>
                    <w:tl2br w:val="nil"/>
                    <w:tr2bl w:val="nil"/>
                  </w:tcBorders>
                  <w:noWrap w:val="0"/>
                  <w:vAlign w:val="center"/>
                </w:tcPr>
                <w:p w14:paraId="3528617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原有，用于处理生活污水</w:t>
                  </w:r>
                </w:p>
              </w:tc>
            </w:tr>
            <w:tr w14:paraId="5C69BE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0FC0CBF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5F9F3AC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bidi="ar"/>
                    </w:rPr>
                    <w:t>布袋除尘器+</w:t>
                  </w:r>
                  <w:r>
                    <w:rPr>
                      <w:rFonts w:hint="eastAsia" w:ascii="Times New Roman" w:hAnsi="Times New Roman" w:cs="Times New Roman"/>
                      <w:color w:val="auto"/>
                      <w:kern w:val="0"/>
                      <w:szCs w:val="21"/>
                      <w:lang w:val="en-US" w:eastAsia="zh-CN" w:bidi="ar"/>
                    </w:rPr>
                    <w:t>15m高</w:t>
                  </w:r>
                  <w:r>
                    <w:rPr>
                      <w:rFonts w:hint="eastAsia" w:ascii="Times New Roman" w:hAnsi="Times New Roman" w:cs="Times New Roman"/>
                      <w:color w:val="auto"/>
                      <w:kern w:val="0"/>
                      <w:szCs w:val="21"/>
                      <w:lang w:bidi="ar"/>
                    </w:rPr>
                    <w:t>排气筒1#</w:t>
                  </w:r>
                </w:p>
              </w:tc>
              <w:tc>
                <w:tcPr>
                  <w:tcW w:w="1247" w:type="pct"/>
                  <w:tcBorders>
                    <w:tl2br w:val="nil"/>
                    <w:tr2bl w:val="nil"/>
                  </w:tcBorders>
                  <w:shd w:val="clear" w:color="auto" w:fill="auto"/>
                  <w:noWrap w:val="0"/>
                  <w:vAlign w:val="center"/>
                </w:tcPr>
                <w:p w14:paraId="4AEFF1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变频风机，</w:t>
                  </w:r>
                  <w:r>
                    <w:rPr>
                      <w:rFonts w:hint="eastAsia" w:ascii="Times New Roman" w:hAnsi="Times New Roman" w:cs="Times New Roman"/>
                      <w:color w:val="auto"/>
                      <w:szCs w:val="21"/>
                    </w:rPr>
                    <w:t>风量</w:t>
                  </w:r>
                  <w:r>
                    <w:rPr>
                      <w:rFonts w:hint="eastAsia" w:cs="Times New Roman"/>
                      <w:color w:val="auto"/>
                      <w:szCs w:val="21"/>
                      <w:lang w:val="en-US" w:eastAsia="zh-CN"/>
                    </w:rPr>
                    <w:t>300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cs="Times New Roman"/>
                      <w:color w:val="auto"/>
                      <w:szCs w:val="21"/>
                      <w:lang w:val="en-US" w:eastAsia="zh-CN"/>
                    </w:rPr>
                    <w:t>~50000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468" w:type="pct"/>
                  <w:tcBorders>
                    <w:tl2br w:val="nil"/>
                    <w:tr2bl w:val="nil"/>
                  </w:tcBorders>
                  <w:shd w:val="clear" w:color="auto" w:fill="auto"/>
                  <w:noWrap w:val="0"/>
                  <w:vAlign w:val="center"/>
                </w:tcPr>
                <w:p w14:paraId="30CBF1F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17" w:type="pct"/>
                  <w:tcBorders>
                    <w:tl2br w:val="nil"/>
                    <w:tr2bl w:val="nil"/>
                  </w:tcBorders>
                  <w:noWrap w:val="0"/>
                  <w:vAlign w:val="center"/>
                </w:tcPr>
                <w:p w14:paraId="5C74903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552" w:type="pct"/>
                  <w:tcBorders>
                    <w:tl2br w:val="nil"/>
                    <w:tr2bl w:val="nil"/>
                  </w:tcBorders>
                  <w:noWrap w:val="0"/>
                  <w:vAlign w:val="center"/>
                </w:tcPr>
                <w:p w14:paraId="378DB6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268" w:type="pct"/>
                  <w:tcBorders>
                    <w:tl2br w:val="nil"/>
                    <w:tr2bl w:val="nil"/>
                  </w:tcBorders>
                  <w:noWrap w:val="0"/>
                  <w:vAlign w:val="center"/>
                </w:tcPr>
                <w:p w14:paraId="31F3A2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noWrap w:val="0"/>
                  <w:vAlign w:val="center"/>
                </w:tcPr>
                <w:p w14:paraId="2D850C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shd w:val="clear" w:color="auto" w:fill="auto"/>
                  <w:noWrap w:val="0"/>
                  <w:vAlign w:val="center"/>
                </w:tcPr>
                <w:p w14:paraId="146E9D03">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原有，</w:t>
                  </w:r>
                  <w:r>
                    <w:rPr>
                      <w:rFonts w:hint="eastAsia" w:ascii="Times New Roman" w:hAnsi="Times New Roman" w:cs="Times New Roman"/>
                      <w:color w:val="auto"/>
                      <w:sz w:val="21"/>
                      <w:szCs w:val="21"/>
                    </w:rPr>
                    <w:t>用于处理</w:t>
                  </w:r>
                  <w:r>
                    <w:rPr>
                      <w:rFonts w:hint="eastAsia" w:cs="Times New Roman"/>
                      <w:color w:val="auto"/>
                      <w:sz w:val="21"/>
                      <w:szCs w:val="21"/>
                      <w:lang w:val="en-US" w:eastAsia="zh-CN"/>
                    </w:rPr>
                    <w:t>中频炉和钢包精炼炉</w:t>
                  </w:r>
                  <w:r>
                    <w:rPr>
                      <w:rFonts w:hint="eastAsia" w:ascii="Times New Roman" w:hAnsi="Times New Roman" w:cs="Times New Roman"/>
                      <w:color w:val="auto"/>
                      <w:sz w:val="21"/>
                      <w:szCs w:val="21"/>
                      <w:lang w:val="en-US" w:eastAsia="zh-CN"/>
                    </w:rPr>
                    <w:t>产生的烟尘</w:t>
                  </w:r>
                </w:p>
              </w:tc>
            </w:tr>
            <w:tr w14:paraId="447C6B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34" w:hRule="atLeast"/>
              </w:trPr>
              <w:tc>
                <w:tcPr>
                  <w:tcW w:w="138" w:type="pct"/>
                  <w:vMerge w:val="continue"/>
                  <w:tcBorders>
                    <w:tl2br w:val="nil"/>
                    <w:tr2bl w:val="nil"/>
                  </w:tcBorders>
                  <w:noWrap w:val="0"/>
                  <w:vAlign w:val="center"/>
                </w:tcPr>
                <w:p w14:paraId="54A7CB5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c>
                <w:tcPr>
                  <w:tcW w:w="655" w:type="pct"/>
                  <w:tcBorders>
                    <w:tl2br w:val="nil"/>
                    <w:tr2bl w:val="nil"/>
                  </w:tcBorders>
                  <w:shd w:val="clear" w:color="auto" w:fill="auto"/>
                  <w:noWrap w:val="0"/>
                  <w:vAlign w:val="center"/>
                </w:tcPr>
                <w:p w14:paraId="0B7944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hAnsi="宋体"/>
                      <w:color w:val="auto"/>
                      <w:szCs w:val="21"/>
                      <w:highlight w:val="none"/>
                      <w:lang w:val="en-US" w:eastAsia="zh-CN"/>
                    </w:rPr>
                    <w:t>油雾净化装置</w:t>
                  </w:r>
                </w:p>
              </w:tc>
              <w:tc>
                <w:tcPr>
                  <w:tcW w:w="1247" w:type="pct"/>
                  <w:tcBorders>
                    <w:tl2br w:val="nil"/>
                    <w:tr2bl w:val="nil"/>
                  </w:tcBorders>
                  <w:shd w:val="clear" w:color="auto" w:fill="auto"/>
                  <w:noWrap w:val="0"/>
                  <w:vAlign w:val="center"/>
                </w:tcPr>
                <w:p w14:paraId="6E6DF0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风机风量200</w:t>
                  </w:r>
                  <w:r>
                    <w:rPr>
                      <w:rFonts w:hint="default" w:ascii="Times New Roman" w:hAnsi="Times New Roman" w:cs="Times New Roman"/>
                      <w:color w:val="auto"/>
                      <w:szCs w:val="21"/>
                    </w:rPr>
                    <w:t>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468" w:type="pct"/>
                  <w:tcBorders>
                    <w:tl2br w:val="nil"/>
                    <w:tr2bl w:val="nil"/>
                  </w:tcBorders>
                  <w:shd w:val="clear" w:color="auto" w:fill="auto"/>
                  <w:noWrap w:val="0"/>
                  <w:vAlign w:val="center"/>
                </w:tcPr>
                <w:p w14:paraId="2FC9E471">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417" w:type="pct"/>
                  <w:tcBorders>
                    <w:tl2br w:val="nil"/>
                    <w:tr2bl w:val="nil"/>
                  </w:tcBorders>
                  <w:noWrap w:val="0"/>
                  <w:vAlign w:val="center"/>
                </w:tcPr>
                <w:p w14:paraId="3F422B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552" w:type="pct"/>
                  <w:tcBorders>
                    <w:tl2br w:val="nil"/>
                    <w:tr2bl w:val="nil"/>
                  </w:tcBorders>
                  <w:noWrap w:val="0"/>
                  <w:vAlign w:val="center"/>
                </w:tcPr>
                <w:p w14:paraId="67DB6D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268" w:type="pct"/>
                  <w:tcBorders>
                    <w:tl2br w:val="nil"/>
                    <w:tr2bl w:val="nil"/>
                  </w:tcBorders>
                  <w:noWrap w:val="0"/>
                  <w:vAlign w:val="center"/>
                </w:tcPr>
                <w:p w14:paraId="0489C4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277" w:type="pct"/>
                  <w:tcBorders>
                    <w:tl2br w:val="nil"/>
                    <w:tr2bl w:val="nil"/>
                  </w:tcBorders>
                  <w:noWrap w:val="0"/>
                  <w:vAlign w:val="center"/>
                </w:tcPr>
                <w:p w14:paraId="47D82C7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shd w:val="clear" w:color="auto" w:fill="auto"/>
                  <w:noWrap w:val="0"/>
                  <w:vAlign w:val="center"/>
                </w:tcPr>
                <w:p w14:paraId="502FACB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原有，</w:t>
                  </w:r>
                  <w:r>
                    <w:rPr>
                      <w:rFonts w:hint="eastAsia" w:ascii="Times New Roman" w:hAnsi="Times New Roman" w:cs="Times New Roman"/>
                      <w:color w:val="auto"/>
                      <w:sz w:val="21"/>
                      <w:szCs w:val="21"/>
                    </w:rPr>
                    <w:t>用于处理</w:t>
                  </w:r>
                  <w:r>
                    <w:rPr>
                      <w:rFonts w:hint="eastAsia" w:cs="Times New Roman"/>
                      <w:color w:val="auto"/>
                      <w:sz w:val="21"/>
                      <w:szCs w:val="21"/>
                      <w:lang w:val="en-US" w:eastAsia="zh-CN"/>
                    </w:rPr>
                    <w:t>打磨、精加工过程中</w:t>
                  </w:r>
                  <w:r>
                    <w:rPr>
                      <w:rFonts w:hint="eastAsia" w:ascii="Times New Roman" w:hAnsi="Times New Roman" w:cs="Times New Roman"/>
                      <w:color w:val="auto"/>
                      <w:sz w:val="21"/>
                      <w:szCs w:val="21"/>
                      <w:lang w:val="en-US" w:eastAsia="zh-CN"/>
                    </w:rPr>
                    <w:t>产生的</w:t>
                  </w:r>
                  <w:r>
                    <w:rPr>
                      <w:rFonts w:hint="eastAsia" w:cs="Times New Roman"/>
                      <w:color w:val="auto"/>
                      <w:sz w:val="21"/>
                      <w:szCs w:val="21"/>
                      <w:lang w:val="en-US" w:eastAsia="zh-CN"/>
                    </w:rPr>
                    <w:t>有机废气</w:t>
                  </w:r>
                </w:p>
              </w:tc>
            </w:tr>
            <w:tr w14:paraId="601C1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Borders>
                    <w:tl2br w:val="nil"/>
                    <w:tr2bl w:val="nil"/>
                  </w:tcBorders>
                  <w:noWrap w:val="0"/>
                  <w:vAlign w:val="center"/>
                </w:tcPr>
                <w:p w14:paraId="23EA3A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655" w:type="pct"/>
                  <w:tcBorders>
                    <w:tl2br w:val="nil"/>
                    <w:tr2bl w:val="nil"/>
                  </w:tcBorders>
                  <w:shd w:val="clear" w:color="auto" w:fill="auto"/>
                  <w:noWrap w:val="0"/>
                  <w:vAlign w:val="center"/>
                </w:tcPr>
                <w:p w14:paraId="3EED08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0"/>
                      <w:szCs w:val="21"/>
                      <w:lang w:bidi="ar"/>
                    </w:rPr>
                    <w:t>布袋除尘器</w:t>
                  </w:r>
                  <w:r>
                    <w:rPr>
                      <w:rFonts w:hint="eastAsia" w:cs="Times New Roman"/>
                      <w:color w:val="auto"/>
                      <w:kern w:val="0"/>
                      <w:szCs w:val="21"/>
                      <w:lang w:eastAsia="zh-CN" w:bidi="ar"/>
                    </w:rPr>
                    <w:t>（</w:t>
                  </w:r>
                  <w:r>
                    <w:rPr>
                      <w:rFonts w:hint="eastAsia" w:cs="Times New Roman"/>
                      <w:color w:val="auto"/>
                      <w:kern w:val="0"/>
                      <w:szCs w:val="21"/>
                      <w:lang w:val="en-US" w:eastAsia="zh-CN" w:bidi="ar"/>
                    </w:rPr>
                    <w:t>喷石灰粉</w:t>
                  </w:r>
                  <w:r>
                    <w:rPr>
                      <w:rFonts w:hint="eastAsia" w:cs="Times New Roman"/>
                      <w:color w:val="auto"/>
                      <w:kern w:val="0"/>
                      <w:szCs w:val="21"/>
                      <w:lang w:eastAsia="zh-CN" w:bidi="ar"/>
                    </w:rPr>
                    <w:t>）</w:t>
                  </w:r>
                  <w:r>
                    <w:rPr>
                      <w:rFonts w:hint="eastAsia" w:ascii="Times New Roman" w:hAnsi="Times New Roman" w:cs="Times New Roman"/>
                      <w:color w:val="auto"/>
                      <w:kern w:val="0"/>
                      <w:szCs w:val="21"/>
                      <w:lang w:bidi="ar"/>
                    </w:rPr>
                    <w:t>+</w:t>
                  </w:r>
                  <w:r>
                    <w:rPr>
                      <w:rFonts w:hint="eastAsia" w:ascii="Times New Roman" w:hAnsi="Times New Roman" w:cs="Times New Roman"/>
                      <w:color w:val="auto"/>
                      <w:kern w:val="0"/>
                      <w:szCs w:val="21"/>
                      <w:lang w:val="en-US" w:eastAsia="zh-CN" w:bidi="ar"/>
                    </w:rPr>
                    <w:t>15m高</w:t>
                  </w:r>
                  <w:r>
                    <w:rPr>
                      <w:rFonts w:hint="eastAsia" w:ascii="Times New Roman" w:hAnsi="Times New Roman" w:cs="Times New Roman"/>
                      <w:color w:val="auto"/>
                      <w:kern w:val="0"/>
                      <w:szCs w:val="21"/>
                      <w:lang w:bidi="ar"/>
                    </w:rPr>
                    <w:t>排气筒</w:t>
                  </w:r>
                  <w:r>
                    <w:rPr>
                      <w:rFonts w:hint="eastAsia" w:cs="Times New Roman"/>
                      <w:color w:val="auto"/>
                      <w:kern w:val="0"/>
                      <w:szCs w:val="21"/>
                      <w:lang w:val="en-US" w:eastAsia="zh-CN" w:bidi="ar"/>
                    </w:rPr>
                    <w:t>2</w:t>
                  </w:r>
                  <w:r>
                    <w:rPr>
                      <w:rFonts w:hint="eastAsia" w:ascii="Times New Roman" w:hAnsi="Times New Roman" w:cs="Times New Roman"/>
                      <w:color w:val="auto"/>
                      <w:kern w:val="0"/>
                      <w:szCs w:val="21"/>
                      <w:lang w:bidi="ar"/>
                    </w:rPr>
                    <w:t>#</w:t>
                  </w:r>
                </w:p>
              </w:tc>
              <w:tc>
                <w:tcPr>
                  <w:tcW w:w="1247" w:type="pct"/>
                  <w:tcBorders>
                    <w:tl2br w:val="nil"/>
                    <w:tr2bl w:val="nil"/>
                  </w:tcBorders>
                  <w:shd w:val="clear" w:color="auto" w:fill="auto"/>
                  <w:noWrap w:val="0"/>
                  <w:vAlign w:val="center"/>
                </w:tcPr>
                <w:p w14:paraId="653ADE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变频风机，风量</w:t>
                  </w:r>
                  <w:r>
                    <w:rPr>
                      <w:rFonts w:hint="eastAsia" w:cs="Times New Roman"/>
                      <w:color w:val="auto"/>
                      <w:szCs w:val="21"/>
                      <w:lang w:val="en-US" w:eastAsia="zh-CN"/>
                    </w:rPr>
                    <w:t>30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cs="Times New Roman"/>
                      <w:color w:val="auto"/>
                      <w:szCs w:val="21"/>
                      <w:lang w:val="en-US" w:eastAsia="zh-CN"/>
                    </w:rPr>
                    <w:t>9</w:t>
                  </w:r>
                  <w:r>
                    <w:rPr>
                      <w:rFonts w:hint="default" w:ascii="Times New Roman" w:hAnsi="Times New Roman" w:cs="Times New Roman"/>
                      <w:color w:val="auto"/>
                      <w:szCs w:val="21"/>
                    </w:rPr>
                    <w:t>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ascii="Times New Roman" w:hAnsi="Times New Roman" w:cs="Times New Roman"/>
                      <w:color w:val="auto"/>
                      <w:szCs w:val="21"/>
                    </w:rPr>
                    <w:t>（本次取</w:t>
                  </w:r>
                  <w:r>
                    <w:rPr>
                      <w:rFonts w:hint="eastAsia" w:cs="Times New Roman"/>
                      <w:color w:val="auto"/>
                      <w:szCs w:val="21"/>
                      <w:lang w:val="en-US" w:eastAsia="zh-CN"/>
                    </w:rPr>
                    <w:t>6</w:t>
                  </w:r>
                  <w:r>
                    <w:rPr>
                      <w:rFonts w:hint="eastAsia" w:ascii="Times New Roman" w:hAnsi="Times New Roman" w:cs="Times New Roman"/>
                      <w:color w:val="auto"/>
                      <w:szCs w:val="21"/>
                      <w:lang w:val="en-US" w:eastAsia="zh-CN"/>
                    </w:rPr>
                    <w:t>0</w:t>
                  </w:r>
                  <w:r>
                    <w:rPr>
                      <w:rFonts w:hint="eastAsia" w:ascii="Times New Roman" w:hAnsi="Times New Roman" w:cs="Times New Roman"/>
                      <w:color w:val="auto"/>
                      <w:szCs w:val="21"/>
                    </w:rPr>
                    <w:t>00</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ascii="Times New Roman" w:hAnsi="Times New Roman" w:cs="Times New Roman"/>
                      <w:color w:val="auto"/>
                      <w:szCs w:val="21"/>
                    </w:rPr>
                    <w:t>）</w:t>
                  </w:r>
                </w:p>
              </w:tc>
              <w:tc>
                <w:tcPr>
                  <w:tcW w:w="468" w:type="pct"/>
                  <w:tcBorders>
                    <w:tl2br w:val="nil"/>
                    <w:tr2bl w:val="nil"/>
                  </w:tcBorders>
                  <w:shd w:val="clear" w:color="auto" w:fill="auto"/>
                  <w:noWrap w:val="0"/>
                  <w:vAlign w:val="center"/>
                </w:tcPr>
                <w:p w14:paraId="2DDB86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tcBorders>
                    <w:tl2br w:val="nil"/>
                    <w:tr2bl w:val="nil"/>
                  </w:tcBorders>
                  <w:shd w:val="clear" w:color="auto" w:fill="auto"/>
                  <w:noWrap w:val="0"/>
                  <w:vAlign w:val="center"/>
                </w:tcPr>
                <w:p w14:paraId="5A1B4F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552" w:type="pct"/>
                  <w:tcBorders>
                    <w:tl2br w:val="nil"/>
                    <w:tr2bl w:val="nil"/>
                  </w:tcBorders>
                  <w:shd w:val="clear" w:color="auto" w:fill="auto"/>
                  <w:noWrap w:val="0"/>
                  <w:vAlign w:val="center"/>
                </w:tcPr>
                <w:p w14:paraId="4FD5400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68" w:type="pct"/>
                  <w:tcBorders>
                    <w:tl2br w:val="nil"/>
                    <w:tr2bl w:val="nil"/>
                  </w:tcBorders>
                  <w:noWrap w:val="0"/>
                  <w:vAlign w:val="center"/>
                </w:tcPr>
                <w:p w14:paraId="06A0F1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277" w:type="pct"/>
                  <w:tcBorders>
                    <w:tl2br w:val="nil"/>
                    <w:tr2bl w:val="nil"/>
                  </w:tcBorders>
                  <w:noWrap w:val="0"/>
                  <w:vAlign w:val="center"/>
                </w:tcPr>
                <w:p w14:paraId="42774B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u w:val="single"/>
                    </w:rPr>
                  </w:pPr>
                  <w:r>
                    <w:rPr>
                      <w:rFonts w:hint="eastAsia" w:ascii="Times New Roman" w:hAnsi="Times New Roman" w:cs="Times New Roman"/>
                      <w:color w:val="auto"/>
                      <w:sz w:val="21"/>
                      <w:szCs w:val="21"/>
                      <w:lang w:val="en-US" w:eastAsia="zh-CN"/>
                    </w:rPr>
                    <w:t>国产</w:t>
                  </w:r>
                </w:p>
              </w:tc>
              <w:tc>
                <w:tcPr>
                  <w:tcW w:w="975" w:type="pct"/>
                  <w:tcBorders>
                    <w:tl2br w:val="nil"/>
                    <w:tr2bl w:val="nil"/>
                  </w:tcBorders>
                  <w:shd w:val="clear" w:color="auto" w:fill="auto"/>
                  <w:noWrap w:val="0"/>
                  <w:vAlign w:val="center"/>
                </w:tcPr>
                <w:p w14:paraId="3C0124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新增，用于处理</w:t>
                  </w:r>
                  <w:r>
                    <w:rPr>
                      <w:rFonts w:hint="eastAsia" w:cs="Times New Roman"/>
                      <w:color w:val="auto"/>
                      <w:sz w:val="21"/>
                      <w:szCs w:val="21"/>
                      <w:lang w:val="en-US" w:eastAsia="zh-CN"/>
                    </w:rPr>
                    <w:t>电渣重熔</w:t>
                  </w:r>
                  <w:r>
                    <w:rPr>
                      <w:rFonts w:hint="eastAsia" w:ascii="Times New Roman" w:hAnsi="Times New Roman" w:eastAsia="宋体" w:cs="Times New Roman"/>
                      <w:color w:val="auto"/>
                      <w:sz w:val="21"/>
                      <w:szCs w:val="21"/>
                      <w:lang w:val="en-US" w:eastAsia="zh-CN"/>
                    </w:rPr>
                    <w:t>过程中产生的</w:t>
                  </w:r>
                  <w:r>
                    <w:rPr>
                      <w:rFonts w:hint="eastAsia" w:cs="Times New Roman"/>
                      <w:color w:val="auto"/>
                      <w:sz w:val="21"/>
                      <w:szCs w:val="21"/>
                      <w:lang w:val="en-US" w:eastAsia="zh-CN"/>
                    </w:rPr>
                    <w:t>烟尘</w:t>
                  </w:r>
                </w:p>
              </w:tc>
            </w:tr>
            <w:tr w14:paraId="66DB8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8" w:type="pct"/>
                  <w:vMerge w:val="continue"/>
                </w:tcPr>
                <w:p w14:paraId="5DD2066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p>
              </w:tc>
              <w:tc>
                <w:tcPr>
                  <w:tcW w:w="0" w:type="auto"/>
                  <w:shd w:val="clear" w:color="auto" w:fill="auto"/>
                  <w:vAlign w:val="center"/>
                </w:tcPr>
                <w:p w14:paraId="03ABE3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低氮燃烧装置+15m高排气筒3#</w:t>
                  </w:r>
                </w:p>
              </w:tc>
              <w:tc>
                <w:tcPr>
                  <w:tcW w:w="1247" w:type="pct"/>
                  <w:shd w:val="clear" w:color="auto" w:fill="auto"/>
                  <w:vAlign w:val="center"/>
                </w:tcPr>
                <w:p w14:paraId="4029E5B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风机风量60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468" w:type="pct"/>
                  <w:shd w:val="clear" w:color="auto" w:fill="auto"/>
                  <w:vAlign w:val="center"/>
                </w:tcPr>
                <w:p w14:paraId="19091B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417" w:type="pct"/>
                  <w:shd w:val="clear" w:color="auto" w:fill="auto"/>
                  <w:vAlign w:val="center"/>
                </w:tcPr>
                <w:p w14:paraId="2C997E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w:t>
                  </w:r>
                </w:p>
              </w:tc>
              <w:tc>
                <w:tcPr>
                  <w:tcW w:w="0" w:type="auto"/>
                  <w:shd w:val="clear" w:color="auto" w:fill="auto"/>
                  <w:vAlign w:val="center"/>
                </w:tcPr>
                <w:p w14:paraId="4225ED7D">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0" w:type="auto"/>
                  <w:vAlign w:val="center"/>
                </w:tcPr>
                <w:p w14:paraId="0EEA29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0" w:type="auto"/>
                  <w:vAlign w:val="center"/>
                </w:tcPr>
                <w:p w14:paraId="0DBE73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u w:val="single"/>
                    </w:rPr>
                  </w:pPr>
                  <w:r>
                    <w:rPr>
                      <w:rFonts w:hint="eastAsia" w:ascii="Times New Roman" w:hAnsi="Times New Roman" w:cs="Times New Roman"/>
                      <w:color w:val="auto"/>
                      <w:sz w:val="21"/>
                      <w:szCs w:val="21"/>
                      <w:lang w:val="en-US" w:eastAsia="zh-CN"/>
                    </w:rPr>
                    <w:t>国产</w:t>
                  </w:r>
                </w:p>
              </w:tc>
              <w:tc>
                <w:tcPr>
                  <w:tcW w:w="0" w:type="auto"/>
                  <w:shd w:val="clear" w:color="auto" w:fill="auto"/>
                  <w:vAlign w:val="center"/>
                </w:tcPr>
                <w:p w14:paraId="59A214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新增，用于排放天然气燃烧废气</w:t>
                  </w:r>
                </w:p>
              </w:tc>
            </w:tr>
          </w:tbl>
          <w:p w14:paraId="37AC28FE">
            <w:pPr>
              <w:pStyle w:val="58"/>
              <w:keepNext w:val="0"/>
              <w:keepLines w:val="0"/>
              <w:numPr>
                <w:ilvl w:val="0"/>
                <w:numId w:val="0"/>
              </w:numPr>
              <w:suppressLineNumbers w:val="0"/>
              <w:spacing w:before="0" w:beforeAutospacing="0" w:after="0" w:afterAutospacing="0"/>
              <w:ind w:left="0" w:right="0"/>
              <w:jc w:val="left"/>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备注：</w:t>
            </w:r>
            <w:r>
              <w:rPr>
                <w:rFonts w:hint="eastAsia" w:cs="Times New Roman"/>
                <w:color w:val="auto"/>
                <w:sz w:val="21"/>
                <w:szCs w:val="21"/>
                <w:highlight w:val="none"/>
                <w:lang w:val="en-US" w:eastAsia="zh-CN"/>
              </w:rPr>
              <w:t>①</w:t>
            </w:r>
            <w:r>
              <w:rPr>
                <w:rFonts w:hint="eastAsia" w:ascii="Times New Roman" w:hAnsi="Times New Roman" w:cs="Times New Roman"/>
                <w:color w:val="auto"/>
                <w:sz w:val="21"/>
                <w:szCs w:val="21"/>
                <w:highlight w:val="none"/>
                <w:lang w:val="en-US" w:eastAsia="zh-CN"/>
              </w:rPr>
              <w:t>变化量=技改后数量-技改前实际数量。</w:t>
            </w:r>
          </w:p>
          <w:p w14:paraId="55EC01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eastAsia="宋体"/>
                <w:color w:val="auto"/>
                <w:lang w:val="en-US" w:eastAsia="zh-CN"/>
              </w:rPr>
            </w:pPr>
            <w:r>
              <w:rPr>
                <w:rFonts w:hint="eastAsia"/>
                <w:b/>
                <w:bCs/>
                <w:color w:val="auto"/>
                <w:lang w:val="en-US" w:eastAsia="zh-CN"/>
              </w:rPr>
              <w:t>②</w:t>
            </w:r>
            <w:r>
              <w:rPr>
                <w:rFonts w:hint="eastAsia" w:ascii="Times New Roman" w:hAnsi="Times New Roman" w:cs="Times New Roman"/>
                <w:b/>
                <w:color w:val="auto"/>
                <w:sz w:val="21"/>
                <w:szCs w:val="21"/>
                <w:lang w:val="en-US" w:eastAsia="zh-CN"/>
              </w:rPr>
              <w:t>主要生产设备与产能匹配性分析：</w:t>
            </w:r>
          </w:p>
          <w:p w14:paraId="0E77EE19">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80" w:lineRule="exact"/>
              <w:ind w:left="0" w:right="0"/>
              <w:jc w:val="center"/>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表2.1-4-2  电渣重熔设备产能匹配性分析</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71"/>
              <w:gridCol w:w="1266"/>
              <w:gridCol w:w="1132"/>
              <w:gridCol w:w="1199"/>
              <w:gridCol w:w="1218"/>
              <w:gridCol w:w="1199"/>
              <w:gridCol w:w="1200"/>
            </w:tblGrid>
            <w:tr w14:paraId="5CAFB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1" w:hRule="exact"/>
                <w:jc w:val="center"/>
              </w:trPr>
              <w:tc>
                <w:tcPr>
                  <w:tcW w:w="698" w:type="pct"/>
                  <w:tcBorders>
                    <w:tl2br w:val="nil"/>
                    <w:tr2bl w:val="nil"/>
                  </w:tcBorders>
                  <w:noWrap w:val="0"/>
                  <w:vAlign w:val="center"/>
                </w:tcPr>
                <w:p w14:paraId="42CB50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设备名称</w:t>
                  </w:r>
                </w:p>
              </w:tc>
              <w:tc>
                <w:tcPr>
                  <w:tcW w:w="755" w:type="pct"/>
                  <w:tcBorders>
                    <w:tl2br w:val="nil"/>
                    <w:tr2bl w:val="nil"/>
                  </w:tcBorders>
                  <w:noWrap w:val="0"/>
                  <w:vAlign w:val="center"/>
                </w:tcPr>
                <w:p w14:paraId="3A2493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规格型号（t）</w:t>
                  </w:r>
                </w:p>
              </w:tc>
              <w:tc>
                <w:tcPr>
                  <w:tcW w:w="675" w:type="pct"/>
                  <w:tcBorders>
                    <w:tl2br w:val="nil"/>
                    <w:tr2bl w:val="nil"/>
                  </w:tcBorders>
                  <w:noWrap w:val="0"/>
                  <w:vAlign w:val="center"/>
                </w:tcPr>
                <w:p w14:paraId="072A23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数量（台/套）</w:t>
                  </w:r>
                </w:p>
              </w:tc>
              <w:tc>
                <w:tcPr>
                  <w:tcW w:w="715" w:type="pct"/>
                  <w:tcBorders>
                    <w:tl2br w:val="nil"/>
                    <w:tr2bl w:val="nil"/>
                  </w:tcBorders>
                  <w:noWrap w:val="0"/>
                  <w:vAlign w:val="center"/>
                </w:tcPr>
                <w:p w14:paraId="091B57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每批次加工时间（h）</w:t>
                  </w:r>
                </w:p>
              </w:tc>
              <w:tc>
                <w:tcPr>
                  <w:tcW w:w="725" w:type="pct"/>
                  <w:tcBorders>
                    <w:tl2br w:val="nil"/>
                    <w:tr2bl w:val="nil"/>
                  </w:tcBorders>
                  <w:noWrap w:val="0"/>
                  <w:vAlign w:val="center"/>
                </w:tcPr>
                <w:p w14:paraId="121206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工作时间（h/a）</w:t>
                  </w:r>
                </w:p>
              </w:tc>
              <w:tc>
                <w:tcPr>
                  <w:tcW w:w="715" w:type="pct"/>
                  <w:tcBorders>
                    <w:tl2br w:val="nil"/>
                    <w:tr2bl w:val="nil"/>
                  </w:tcBorders>
                  <w:shd w:val="clear" w:color="auto" w:fill="auto"/>
                  <w:noWrap w:val="0"/>
                  <w:vAlign w:val="center"/>
                </w:tcPr>
                <w:p w14:paraId="1EE877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金属加工能力（t/a）</w:t>
                  </w:r>
                </w:p>
              </w:tc>
              <w:tc>
                <w:tcPr>
                  <w:tcW w:w="715" w:type="pct"/>
                  <w:tcBorders>
                    <w:tl2br w:val="nil"/>
                    <w:tr2bl w:val="nil"/>
                  </w:tcBorders>
                  <w:shd w:val="clear" w:color="auto" w:fill="auto"/>
                  <w:noWrap w:val="0"/>
                  <w:vAlign w:val="center"/>
                </w:tcPr>
                <w:p w14:paraId="7FAD2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核算生产能力（t/a）</w:t>
                  </w:r>
                </w:p>
              </w:tc>
            </w:tr>
            <w:tr w14:paraId="0C90B2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98" w:type="pct"/>
                  <w:vMerge w:val="restart"/>
                  <w:tcBorders>
                    <w:tl2br w:val="nil"/>
                    <w:tr2bl w:val="nil"/>
                  </w:tcBorders>
                  <w:noWrap w:val="0"/>
                  <w:vAlign w:val="center"/>
                </w:tcPr>
                <w:p w14:paraId="79D19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电渣炉</w:t>
                  </w:r>
                </w:p>
              </w:tc>
              <w:tc>
                <w:tcPr>
                  <w:tcW w:w="755" w:type="pct"/>
                  <w:tcBorders>
                    <w:tl2br w:val="nil"/>
                    <w:tr2bl w:val="nil"/>
                  </w:tcBorders>
                  <w:shd w:val="clear" w:color="auto" w:fill="auto"/>
                  <w:noWrap w:val="0"/>
                  <w:vAlign w:val="center"/>
                </w:tcPr>
                <w:p w14:paraId="1AD9B7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675" w:type="pct"/>
                  <w:tcBorders>
                    <w:tl2br w:val="nil"/>
                    <w:tr2bl w:val="nil"/>
                  </w:tcBorders>
                  <w:shd w:val="clear" w:color="auto" w:fill="auto"/>
                  <w:noWrap w:val="0"/>
                  <w:vAlign w:val="center"/>
                </w:tcPr>
                <w:p w14:paraId="12B5BC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15" w:type="pct"/>
                  <w:tcBorders>
                    <w:tl2br w:val="nil"/>
                    <w:tr2bl w:val="nil"/>
                  </w:tcBorders>
                  <w:shd w:val="clear" w:color="auto" w:fill="auto"/>
                  <w:noWrap w:val="0"/>
                  <w:vAlign w:val="center"/>
                </w:tcPr>
                <w:p w14:paraId="3BA0B8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725" w:type="pct"/>
                  <w:tcBorders>
                    <w:tl2br w:val="nil"/>
                    <w:tr2bl w:val="nil"/>
                  </w:tcBorders>
                  <w:shd w:val="clear" w:color="auto" w:fill="auto"/>
                  <w:noWrap w:val="0"/>
                  <w:vAlign w:val="center"/>
                </w:tcPr>
                <w:p w14:paraId="449A3F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715" w:type="pct"/>
                  <w:tcBorders>
                    <w:tl2br w:val="nil"/>
                    <w:tr2bl w:val="nil"/>
                  </w:tcBorders>
                  <w:shd w:val="clear" w:color="auto" w:fill="auto"/>
                  <w:noWrap w:val="0"/>
                  <w:vAlign w:val="center"/>
                </w:tcPr>
                <w:p w14:paraId="12D84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2400</w:t>
                  </w:r>
                </w:p>
              </w:tc>
              <w:tc>
                <w:tcPr>
                  <w:tcW w:w="715" w:type="pct"/>
                  <w:tcBorders>
                    <w:tl2br w:val="nil"/>
                    <w:tr2bl w:val="nil"/>
                  </w:tcBorders>
                  <w:shd w:val="clear" w:color="auto" w:fill="auto"/>
                  <w:noWrap w:val="0"/>
                  <w:vAlign w:val="center"/>
                </w:tcPr>
                <w:p w14:paraId="115C1E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2200</w:t>
                  </w:r>
                </w:p>
              </w:tc>
            </w:tr>
            <w:tr w14:paraId="3EE85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98" w:type="pct"/>
                  <w:vMerge w:val="continue"/>
                  <w:tcBorders>
                    <w:tl2br w:val="nil"/>
                    <w:tr2bl w:val="nil"/>
                  </w:tcBorders>
                  <w:noWrap w:val="0"/>
                  <w:vAlign w:val="center"/>
                </w:tcPr>
                <w:p w14:paraId="03BBC5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p>
              </w:tc>
              <w:tc>
                <w:tcPr>
                  <w:tcW w:w="755" w:type="pct"/>
                  <w:tcBorders>
                    <w:tl2br w:val="nil"/>
                    <w:tr2bl w:val="nil"/>
                  </w:tcBorders>
                  <w:shd w:val="clear" w:color="auto" w:fill="auto"/>
                  <w:noWrap w:val="0"/>
                  <w:vAlign w:val="center"/>
                </w:tcPr>
                <w:p w14:paraId="195452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75" w:type="pct"/>
                  <w:tcBorders>
                    <w:tl2br w:val="nil"/>
                    <w:tr2bl w:val="nil"/>
                  </w:tcBorders>
                  <w:shd w:val="clear" w:color="auto" w:fill="auto"/>
                  <w:noWrap w:val="0"/>
                  <w:vAlign w:val="center"/>
                </w:tcPr>
                <w:p w14:paraId="053262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15" w:type="pct"/>
                  <w:tcBorders>
                    <w:tl2br w:val="nil"/>
                    <w:tr2bl w:val="nil"/>
                  </w:tcBorders>
                  <w:shd w:val="clear" w:color="auto" w:fill="auto"/>
                  <w:noWrap w:val="0"/>
                  <w:vAlign w:val="center"/>
                </w:tcPr>
                <w:p w14:paraId="756AD5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725" w:type="pct"/>
                  <w:tcBorders>
                    <w:tl2br w:val="nil"/>
                    <w:tr2bl w:val="nil"/>
                  </w:tcBorders>
                  <w:shd w:val="clear" w:color="auto" w:fill="auto"/>
                  <w:noWrap w:val="0"/>
                  <w:vAlign w:val="center"/>
                </w:tcPr>
                <w:p w14:paraId="192C9B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715" w:type="pct"/>
                  <w:tcBorders>
                    <w:tl2br w:val="nil"/>
                    <w:tr2bl w:val="nil"/>
                  </w:tcBorders>
                  <w:shd w:val="clear" w:color="auto" w:fill="auto"/>
                  <w:noWrap w:val="0"/>
                  <w:vAlign w:val="center"/>
                </w:tcPr>
                <w:p w14:paraId="4AB1CA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2880</w:t>
                  </w:r>
                </w:p>
              </w:tc>
              <w:tc>
                <w:tcPr>
                  <w:tcW w:w="715" w:type="pct"/>
                  <w:tcBorders>
                    <w:tl2br w:val="nil"/>
                    <w:tr2bl w:val="nil"/>
                  </w:tcBorders>
                  <w:shd w:val="clear" w:color="auto" w:fill="auto"/>
                  <w:noWrap w:val="0"/>
                  <w:vAlign w:val="center"/>
                </w:tcPr>
                <w:p w14:paraId="3D9176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2700</w:t>
                  </w:r>
                </w:p>
              </w:tc>
            </w:tr>
            <w:tr w14:paraId="1D48A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98" w:type="pct"/>
                  <w:vMerge w:val="continue"/>
                  <w:tcBorders>
                    <w:tl2br w:val="nil"/>
                    <w:tr2bl w:val="nil"/>
                  </w:tcBorders>
                  <w:noWrap w:val="0"/>
                  <w:vAlign w:val="center"/>
                </w:tcPr>
                <w:p w14:paraId="3CB4223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p>
              </w:tc>
              <w:tc>
                <w:tcPr>
                  <w:tcW w:w="755" w:type="pct"/>
                  <w:tcBorders>
                    <w:tl2br w:val="nil"/>
                    <w:tr2bl w:val="nil"/>
                  </w:tcBorders>
                  <w:shd w:val="clear" w:color="auto" w:fill="auto"/>
                  <w:noWrap w:val="0"/>
                  <w:vAlign w:val="center"/>
                </w:tcPr>
                <w:p w14:paraId="39A168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675" w:type="pct"/>
                  <w:tcBorders>
                    <w:tl2br w:val="nil"/>
                    <w:tr2bl w:val="nil"/>
                  </w:tcBorders>
                  <w:shd w:val="clear" w:color="auto" w:fill="auto"/>
                  <w:noWrap w:val="0"/>
                  <w:vAlign w:val="center"/>
                </w:tcPr>
                <w:p w14:paraId="4E5037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15" w:type="pct"/>
                  <w:tcBorders>
                    <w:tl2br w:val="nil"/>
                    <w:tr2bl w:val="nil"/>
                  </w:tcBorders>
                  <w:shd w:val="clear" w:color="auto" w:fill="auto"/>
                  <w:noWrap w:val="0"/>
                  <w:vAlign w:val="center"/>
                </w:tcPr>
                <w:p w14:paraId="20802C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725" w:type="pct"/>
                  <w:tcBorders>
                    <w:tl2br w:val="nil"/>
                    <w:tr2bl w:val="nil"/>
                  </w:tcBorders>
                  <w:shd w:val="clear" w:color="auto" w:fill="auto"/>
                  <w:noWrap w:val="0"/>
                  <w:vAlign w:val="center"/>
                </w:tcPr>
                <w:p w14:paraId="36CE9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715" w:type="pct"/>
                  <w:tcBorders>
                    <w:tl2br w:val="nil"/>
                    <w:tr2bl w:val="nil"/>
                  </w:tcBorders>
                  <w:shd w:val="clear" w:color="auto" w:fill="auto"/>
                  <w:noWrap w:val="0"/>
                  <w:vAlign w:val="center"/>
                </w:tcPr>
                <w:p w14:paraId="0DCE1D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3200</w:t>
                  </w:r>
                </w:p>
              </w:tc>
              <w:tc>
                <w:tcPr>
                  <w:tcW w:w="715" w:type="pct"/>
                  <w:tcBorders>
                    <w:tl2br w:val="nil"/>
                    <w:tr2bl w:val="nil"/>
                  </w:tcBorders>
                  <w:shd w:val="clear" w:color="auto" w:fill="auto"/>
                  <w:noWrap w:val="0"/>
                  <w:vAlign w:val="center"/>
                </w:tcPr>
                <w:p w14:paraId="096855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3000</w:t>
                  </w:r>
                </w:p>
              </w:tc>
            </w:tr>
            <w:tr w14:paraId="4D8CD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98" w:type="pct"/>
                  <w:vMerge w:val="continue"/>
                  <w:tcBorders>
                    <w:tl2br w:val="nil"/>
                    <w:tr2bl w:val="nil"/>
                  </w:tcBorders>
                  <w:noWrap w:val="0"/>
                  <w:vAlign w:val="center"/>
                </w:tcPr>
                <w:p w14:paraId="5563C1E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p>
              </w:tc>
              <w:tc>
                <w:tcPr>
                  <w:tcW w:w="755" w:type="pct"/>
                  <w:tcBorders>
                    <w:tl2br w:val="nil"/>
                    <w:tr2bl w:val="nil"/>
                  </w:tcBorders>
                  <w:shd w:val="clear" w:color="auto" w:fill="auto"/>
                  <w:noWrap w:val="0"/>
                  <w:vAlign w:val="center"/>
                </w:tcPr>
                <w:p w14:paraId="348404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675" w:type="pct"/>
                  <w:tcBorders>
                    <w:tl2br w:val="nil"/>
                    <w:tr2bl w:val="nil"/>
                  </w:tcBorders>
                  <w:shd w:val="clear" w:color="auto" w:fill="auto"/>
                  <w:noWrap w:val="0"/>
                  <w:vAlign w:val="center"/>
                </w:tcPr>
                <w:p w14:paraId="67513F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15" w:type="pct"/>
                  <w:tcBorders>
                    <w:tl2br w:val="nil"/>
                    <w:tr2bl w:val="nil"/>
                  </w:tcBorders>
                  <w:shd w:val="clear" w:color="auto" w:fill="auto"/>
                  <w:noWrap w:val="0"/>
                  <w:vAlign w:val="center"/>
                </w:tcPr>
                <w:p w14:paraId="1D1208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725" w:type="pct"/>
                  <w:tcBorders>
                    <w:tl2br w:val="nil"/>
                    <w:tr2bl w:val="nil"/>
                  </w:tcBorders>
                  <w:shd w:val="clear" w:color="auto" w:fill="auto"/>
                  <w:noWrap w:val="0"/>
                  <w:vAlign w:val="center"/>
                </w:tcPr>
                <w:p w14:paraId="0F55CB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715" w:type="pct"/>
                  <w:tcBorders>
                    <w:tl2br w:val="nil"/>
                    <w:tr2bl w:val="nil"/>
                  </w:tcBorders>
                  <w:shd w:val="clear" w:color="auto" w:fill="auto"/>
                  <w:noWrap w:val="0"/>
                  <w:vAlign w:val="center"/>
                </w:tcPr>
                <w:p w14:paraId="074CDC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3600</w:t>
                  </w:r>
                </w:p>
              </w:tc>
              <w:tc>
                <w:tcPr>
                  <w:tcW w:w="715" w:type="pct"/>
                  <w:tcBorders>
                    <w:tl2br w:val="nil"/>
                    <w:tr2bl w:val="nil"/>
                  </w:tcBorders>
                  <w:shd w:val="clear" w:color="auto" w:fill="auto"/>
                  <w:noWrap w:val="0"/>
                  <w:vAlign w:val="center"/>
                </w:tcPr>
                <w:p w14:paraId="4B491A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3300</w:t>
                  </w:r>
                </w:p>
              </w:tc>
            </w:tr>
            <w:tr w14:paraId="1A577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98" w:type="pct"/>
                  <w:vMerge w:val="continue"/>
                  <w:tcBorders>
                    <w:tl2br w:val="nil"/>
                    <w:tr2bl w:val="nil"/>
                  </w:tcBorders>
                  <w:noWrap w:val="0"/>
                  <w:vAlign w:val="center"/>
                </w:tcPr>
                <w:p w14:paraId="26A8FF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p>
              </w:tc>
              <w:tc>
                <w:tcPr>
                  <w:tcW w:w="755" w:type="pct"/>
                  <w:tcBorders>
                    <w:tl2br w:val="nil"/>
                    <w:tr2bl w:val="nil"/>
                  </w:tcBorders>
                  <w:shd w:val="clear" w:color="auto" w:fill="auto"/>
                  <w:noWrap w:val="0"/>
                  <w:vAlign w:val="center"/>
                </w:tcPr>
                <w:p w14:paraId="4E6E7C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675" w:type="pct"/>
                  <w:tcBorders>
                    <w:tl2br w:val="nil"/>
                    <w:tr2bl w:val="nil"/>
                  </w:tcBorders>
                  <w:shd w:val="clear" w:color="auto" w:fill="auto"/>
                  <w:noWrap w:val="0"/>
                  <w:vAlign w:val="center"/>
                </w:tcPr>
                <w:p w14:paraId="695C16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715" w:type="pct"/>
                  <w:tcBorders>
                    <w:tl2br w:val="nil"/>
                    <w:tr2bl w:val="nil"/>
                  </w:tcBorders>
                  <w:shd w:val="clear" w:color="auto" w:fill="auto"/>
                  <w:noWrap w:val="0"/>
                  <w:vAlign w:val="center"/>
                </w:tcPr>
                <w:p w14:paraId="563153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725" w:type="pct"/>
                  <w:tcBorders>
                    <w:tl2br w:val="nil"/>
                    <w:tr2bl w:val="nil"/>
                  </w:tcBorders>
                  <w:shd w:val="clear" w:color="auto" w:fill="auto"/>
                  <w:noWrap w:val="0"/>
                  <w:vAlign w:val="center"/>
                </w:tcPr>
                <w:p w14:paraId="56EE4E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4800</w:t>
                  </w:r>
                </w:p>
              </w:tc>
              <w:tc>
                <w:tcPr>
                  <w:tcW w:w="715" w:type="pct"/>
                  <w:tcBorders>
                    <w:tl2br w:val="nil"/>
                    <w:tr2bl w:val="nil"/>
                  </w:tcBorders>
                  <w:shd w:val="clear" w:color="auto" w:fill="auto"/>
                  <w:noWrap w:val="0"/>
                  <w:vAlign w:val="center"/>
                </w:tcPr>
                <w:p w14:paraId="109817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4000</w:t>
                  </w:r>
                </w:p>
              </w:tc>
              <w:tc>
                <w:tcPr>
                  <w:tcW w:w="715" w:type="pct"/>
                  <w:tcBorders>
                    <w:tl2br w:val="nil"/>
                    <w:tr2bl w:val="nil"/>
                  </w:tcBorders>
                  <w:shd w:val="clear" w:color="auto" w:fill="auto"/>
                  <w:noWrap w:val="0"/>
                  <w:vAlign w:val="center"/>
                </w:tcPr>
                <w:p w14:paraId="69F87B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3800</w:t>
                  </w:r>
                </w:p>
              </w:tc>
            </w:tr>
            <w:tr w14:paraId="3AA7E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3569" w:type="pct"/>
                  <w:gridSpan w:val="5"/>
                  <w:tcBorders>
                    <w:tl2br w:val="nil"/>
                    <w:tr2bl w:val="nil"/>
                  </w:tcBorders>
                  <w:noWrap w:val="0"/>
                  <w:vAlign w:val="center"/>
                </w:tcPr>
                <w:p w14:paraId="0E53E336">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合计</w:t>
                  </w:r>
                </w:p>
              </w:tc>
              <w:tc>
                <w:tcPr>
                  <w:tcW w:w="715" w:type="pct"/>
                  <w:tcBorders>
                    <w:tl2br w:val="nil"/>
                    <w:tr2bl w:val="nil"/>
                  </w:tcBorders>
                  <w:shd w:val="clear" w:color="auto" w:fill="auto"/>
                  <w:noWrap w:val="0"/>
                  <w:vAlign w:val="center"/>
                </w:tcPr>
                <w:p w14:paraId="787FD4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16080</w:t>
                  </w:r>
                </w:p>
              </w:tc>
              <w:tc>
                <w:tcPr>
                  <w:tcW w:w="715" w:type="pct"/>
                  <w:tcBorders>
                    <w:tl2br w:val="nil"/>
                    <w:tr2bl w:val="nil"/>
                  </w:tcBorders>
                  <w:shd w:val="clear" w:color="auto" w:fill="auto"/>
                  <w:noWrap w:val="0"/>
                  <w:vAlign w:val="center"/>
                </w:tcPr>
                <w:p w14:paraId="40419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15000</w:t>
                  </w:r>
                </w:p>
              </w:tc>
            </w:tr>
          </w:tbl>
          <w:p w14:paraId="31B13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cs="Times New Roman"/>
                <w:b w:val="0"/>
                <w:bCs/>
                <w:color w:val="auto"/>
                <w:sz w:val="24"/>
                <w:szCs w:val="24"/>
                <w:highlight w:val="none"/>
                <w:lang w:val="en-US" w:eastAsia="zh-CN"/>
              </w:rPr>
              <w:t>由上表可见，电渣重熔设备生产能力能够满足电渣重熔加工产能（15000t/a）设计能力。</w:t>
            </w:r>
          </w:p>
          <w:p w14:paraId="28D49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cs="Times New Roman"/>
                <w:b/>
                <w:color w:val="auto"/>
                <w:sz w:val="24"/>
                <w:szCs w:val="24"/>
                <w:highlight w:val="none"/>
              </w:rPr>
              <w:t>5.主要原辅材料的种类</w:t>
            </w:r>
            <w:r>
              <w:rPr>
                <w:rFonts w:hint="eastAsia" w:cs="Times New Roman"/>
                <w:b/>
                <w:color w:val="auto"/>
                <w:sz w:val="24"/>
                <w:szCs w:val="24"/>
                <w:highlight w:val="none"/>
                <w:lang w:eastAsia="zh-CN"/>
              </w:rPr>
              <w:t>、</w:t>
            </w:r>
            <w:r>
              <w:rPr>
                <w:rFonts w:hint="eastAsia" w:cs="Times New Roman"/>
                <w:b/>
                <w:color w:val="auto"/>
                <w:sz w:val="24"/>
                <w:szCs w:val="24"/>
                <w:highlight w:val="none"/>
                <w:lang w:val="en-US" w:eastAsia="zh-CN"/>
              </w:rPr>
              <w:t>用量及理化性质</w:t>
            </w:r>
          </w:p>
          <w:p w14:paraId="7E89C66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本项目主要原辅材料见表2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1BFB6BF4">
            <w:pPr>
              <w:keepNext w:val="0"/>
              <w:keepLines w:val="0"/>
              <w:suppressLineNumbers w:val="0"/>
              <w:spacing w:before="0" w:beforeAutospacing="0" w:after="0" w:afterAutospacing="0"/>
              <w:ind w:left="0" w:right="0" w:firstLine="482" w:firstLineChars="200"/>
              <w:jc w:val="center"/>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涉及商业机密，不予公示。</w:t>
            </w:r>
          </w:p>
          <w:p w14:paraId="1CFD2D86">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0BDC4C6">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399F6EBA">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4162247E">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14E53D04">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3D5D366C">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22588A4E">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0F24193">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6C63A65B">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4A704D31">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62B0D965">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2AB15F3C">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3755F46A">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69E46828">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61E9777E">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17CAB4E7">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06A534C9">
            <w:pPr>
              <w:pStyle w:val="58"/>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表2</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rPr>
              <w:t>项目所用原辅材料理化性质一览表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65"/>
              <w:gridCol w:w="5222"/>
              <w:gridCol w:w="693"/>
              <w:gridCol w:w="1505"/>
            </w:tblGrid>
            <w:tr w14:paraId="0EB1F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575" w:type="pct"/>
                  <w:noWrap w:val="0"/>
                  <w:vAlign w:val="center"/>
                </w:tcPr>
                <w:p w14:paraId="61FF217D">
                  <w:pPr>
                    <w:pStyle w:val="89"/>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3112" w:type="pct"/>
                  <w:noWrap w:val="0"/>
                  <w:vAlign w:val="center"/>
                </w:tcPr>
                <w:p w14:paraId="5DB541DD">
                  <w:pPr>
                    <w:pStyle w:val="89"/>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理化性质</w:t>
                  </w:r>
                </w:p>
              </w:tc>
              <w:tc>
                <w:tcPr>
                  <w:tcW w:w="413" w:type="pct"/>
                  <w:noWrap w:val="0"/>
                  <w:vAlign w:val="center"/>
                </w:tcPr>
                <w:p w14:paraId="2954B34F">
                  <w:pPr>
                    <w:pStyle w:val="89"/>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燃烧爆炸性</w:t>
                  </w:r>
                </w:p>
              </w:tc>
              <w:tc>
                <w:tcPr>
                  <w:tcW w:w="897" w:type="pct"/>
                  <w:noWrap w:val="0"/>
                  <w:vAlign w:val="center"/>
                </w:tcPr>
                <w:p w14:paraId="1B74FFA5">
                  <w:pPr>
                    <w:pStyle w:val="89"/>
                    <w:keepNext w:val="0"/>
                    <w:keepLines w:val="0"/>
                    <w:suppressLineNumbers w:val="0"/>
                    <w:spacing w:before="0" w:beforeAutospacing="0" w:after="0" w:afterAutospacing="0"/>
                    <w:ind w:left="0" w:right="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毒理毒性</w:t>
                  </w:r>
                </w:p>
              </w:tc>
            </w:tr>
            <w:tr w14:paraId="636EB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575" w:type="pct"/>
                  <w:shd w:val="clear" w:color="auto" w:fill="auto"/>
                  <w:noWrap w:val="0"/>
                  <w:vAlign w:val="center"/>
                </w:tcPr>
                <w:p w14:paraId="74AD33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氟化钙</w:t>
                  </w:r>
                  <w:r>
                    <w:rPr>
                      <w:rFonts w:hint="default" w:ascii="Times New Roman" w:hAnsi="Times New Roman" w:eastAsia="宋体" w:cs="Times New Roman"/>
                      <w:color w:val="auto"/>
                    </w:rPr>
                    <w:t>CaF</w:t>
                  </w:r>
                  <w:r>
                    <w:rPr>
                      <w:rFonts w:hint="default" w:ascii="Times New Roman" w:hAnsi="Times New Roman" w:eastAsia="宋体" w:cs="Times New Roman"/>
                      <w:color w:val="auto"/>
                      <w:vertAlign w:val="subscript"/>
                    </w:rPr>
                    <w:t>2</w:t>
                  </w:r>
                </w:p>
              </w:tc>
              <w:tc>
                <w:tcPr>
                  <w:tcW w:w="3112" w:type="pct"/>
                  <w:shd w:val="clear" w:color="auto" w:fill="auto"/>
                  <w:noWrap w:val="0"/>
                  <w:vAlign w:val="center"/>
                </w:tcPr>
                <w:p w14:paraId="31BCA47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白色粉末或晶体。</w:t>
                  </w:r>
                  <w:r>
                    <w:rPr>
                      <w:rFonts w:hint="eastAsia" w:ascii="Times New Roman" w:hAnsi="Times New Roman" w:cs="Times New Roman"/>
                      <w:color w:val="auto"/>
                      <w:sz w:val="21"/>
                      <w:szCs w:val="21"/>
                      <w:lang w:val="en-US" w:eastAsia="zh-CN"/>
                    </w:rPr>
                    <w:t>相对</w:t>
                  </w:r>
                  <w:r>
                    <w:rPr>
                      <w:rFonts w:hint="eastAsia" w:ascii="Times New Roman" w:hAnsi="Times New Roman" w:cs="Times New Roman"/>
                      <w:color w:val="auto"/>
                      <w:sz w:val="21"/>
                      <w:szCs w:val="21"/>
                    </w:rPr>
                    <w:t>密度</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水=1</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3.18</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熔点1360</w:t>
                  </w:r>
                  <w:r>
                    <w:rPr>
                      <w:rFonts w:hint="eastAsia" w:ascii="Times New Roman" w:hAnsi="Times New Roman" w:cs="Times New Roman"/>
                      <w:color w:val="auto"/>
                      <w:sz w:val="21"/>
                      <w:szCs w:val="21"/>
                    </w:rPr>
                    <w:t>℃。不溶于水，溶于氰化钾、浓酸。</w:t>
                  </w:r>
                  <w:r>
                    <w:rPr>
                      <w:rFonts w:hint="eastAsia" w:ascii="Times New Roman" w:hAnsi="Times New Roman" w:cs="Times New Roman"/>
                      <w:color w:val="auto"/>
                      <w:szCs w:val="21"/>
                      <w:lang w:val="en-US" w:eastAsia="zh-CN"/>
                    </w:rPr>
                    <w:t>主要用于</w:t>
                  </w:r>
                  <w:r>
                    <w:rPr>
                      <w:rFonts w:hint="eastAsia" w:ascii="Times New Roman" w:hAnsi="Times New Roman" w:cs="Times New Roman"/>
                      <w:color w:val="auto"/>
                      <w:szCs w:val="21"/>
                    </w:rPr>
                    <w:t>制氢氟酸、氟、氟化物，也用于制陶器、搪瓷，并用作冶金助熔剂等。</w:t>
                  </w:r>
                </w:p>
              </w:tc>
              <w:tc>
                <w:tcPr>
                  <w:tcW w:w="413" w:type="pct"/>
                  <w:shd w:val="clear" w:color="auto" w:fill="auto"/>
                  <w:noWrap w:val="0"/>
                  <w:vAlign w:val="center"/>
                </w:tcPr>
                <w:p w14:paraId="337C3ABF">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不</w:t>
                  </w:r>
                  <w:r>
                    <w:rPr>
                      <w:rFonts w:hint="eastAsia" w:ascii="Times New Roman" w:hAnsi="Times New Roman" w:cs="Times New Roman"/>
                      <w:color w:val="auto"/>
                      <w:sz w:val="21"/>
                      <w:szCs w:val="21"/>
                    </w:rPr>
                    <w:t>燃</w:t>
                  </w:r>
                </w:p>
              </w:tc>
              <w:tc>
                <w:tcPr>
                  <w:tcW w:w="897" w:type="pct"/>
                  <w:shd w:val="clear" w:color="auto" w:fill="auto"/>
                  <w:noWrap w:val="0"/>
                  <w:vAlign w:val="center"/>
                </w:tcPr>
                <w:p w14:paraId="72D38DD3">
                  <w:pPr>
                    <w:keepNext w:val="0"/>
                    <w:keepLines w:val="0"/>
                    <w:suppressLineNumbers w:val="0"/>
                    <w:snapToGrid w:val="0"/>
                    <w:spacing w:before="0" w:beforeAutospacing="0" w:after="0" w:afterAutospacing="0"/>
                    <w:ind w:left="0" w:right="0"/>
                    <w:jc w:val="left"/>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LD</w:t>
                  </w:r>
                  <w:r>
                    <w:rPr>
                      <w:rFonts w:hint="eastAsia" w:ascii="Times New Roman" w:hAnsi="Times New Roman" w:cs="Times New Roman"/>
                      <w:color w:val="auto"/>
                      <w:sz w:val="21"/>
                      <w:szCs w:val="21"/>
                      <w:vertAlign w:val="subscript"/>
                    </w:rPr>
                    <w:t>50</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4250</w:t>
                  </w:r>
                  <w:r>
                    <w:rPr>
                      <w:rFonts w:hint="eastAsia" w:ascii="Times New Roman" w:hAnsi="Times New Roman" w:cs="Times New Roman"/>
                      <w:color w:val="auto"/>
                      <w:sz w:val="21"/>
                      <w:szCs w:val="21"/>
                    </w:rPr>
                    <w:t>mg/kg</w:t>
                  </w:r>
                </w:p>
                <w:p w14:paraId="686BBE93">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大鼠，经口</w:t>
                  </w:r>
                  <w:r>
                    <w:rPr>
                      <w:rFonts w:hint="eastAsia" w:ascii="Times New Roman" w:hAnsi="Times New Roman" w:cs="Times New Roman"/>
                      <w:color w:val="auto"/>
                      <w:sz w:val="21"/>
                      <w:szCs w:val="21"/>
                      <w:lang w:eastAsia="zh-CN"/>
                    </w:rPr>
                    <w:t>）</w:t>
                  </w:r>
                </w:p>
              </w:tc>
            </w:tr>
            <w:tr w14:paraId="09CB5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5" w:type="pct"/>
                  <w:noWrap w:val="0"/>
                  <w:vAlign w:val="center"/>
                </w:tcPr>
                <w:p w14:paraId="4215AD37">
                  <w:pPr>
                    <w:pStyle w:val="2"/>
                    <w:keepNext w:val="0"/>
                    <w:keepLines w:val="0"/>
                    <w:suppressLineNumbers w:val="0"/>
                    <w:spacing w:beforeAutospacing="0" w:afterAutospacing="0"/>
                    <w:ind w:left="0" w:right="113" w:rightChars="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铝矾土</w:t>
                  </w:r>
                </w:p>
              </w:tc>
              <w:tc>
                <w:tcPr>
                  <w:tcW w:w="3112" w:type="pct"/>
                  <w:noWrap w:val="0"/>
                  <w:vAlign w:val="center"/>
                </w:tcPr>
                <w:p w14:paraId="350E9907">
                  <w:pPr>
                    <w:keepNext w:val="0"/>
                    <w:keepLines w:val="0"/>
                    <w:suppressLineNumbers w:val="0"/>
                    <w:spacing w:before="0" w:beforeAutospacing="0" w:after="0" w:afterAutospacing="0"/>
                    <w:ind w:left="0" w:right="0"/>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颜色以白色或灰白色为主，因含铁元素可能呈现褐黄或浅红色；密度为3.45</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4.0g/cm³，硬度1-3（莫氏硬度），质地脆而不透明‌。在高温下化学性质稳定，不溶于水，但可溶于强酸（如硫酸）和强碱（如氢氧化钠溶液）‌。耐火度≥1700℃，可长期耐受1500℃以上高温环境；其低导热性（导热系数0.2</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1.0W/m·K）赋予优异热隔离性能，延缓热量传递‌。</w:t>
                  </w:r>
                </w:p>
              </w:tc>
              <w:tc>
                <w:tcPr>
                  <w:tcW w:w="413" w:type="pct"/>
                  <w:noWrap w:val="0"/>
                  <w:vAlign w:val="center"/>
                </w:tcPr>
                <w:p w14:paraId="0EB5390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rPr>
                    <w:t>不燃</w:t>
                  </w:r>
                </w:p>
              </w:tc>
              <w:tc>
                <w:tcPr>
                  <w:tcW w:w="897" w:type="pct"/>
                  <w:noWrap w:val="0"/>
                  <w:vAlign w:val="center"/>
                </w:tcPr>
                <w:p w14:paraId="695BC61D">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未见相关资料</w:t>
                  </w:r>
                </w:p>
              </w:tc>
            </w:tr>
            <w:tr w14:paraId="11937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5" w:type="pct"/>
                  <w:noWrap w:val="0"/>
                  <w:vAlign w:val="center"/>
                </w:tcPr>
                <w:p w14:paraId="709E598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氧化铝</w:t>
                  </w:r>
                  <w:r>
                    <w:rPr>
                      <w:rFonts w:hint="default" w:ascii="Times New Roman" w:hAnsi="Times New Roman" w:cs="Times New Roman"/>
                      <w:i w:val="0"/>
                      <w:iCs w:val="0"/>
                      <w:color w:val="auto"/>
                      <w:kern w:val="2"/>
                      <w:sz w:val="21"/>
                      <w:szCs w:val="21"/>
                      <w:u w:val="none"/>
                      <w:lang w:val="en-US" w:eastAsia="zh-CN" w:bidi="ar-SA"/>
                    </w:rPr>
                    <w:t>A</w:t>
                  </w:r>
                  <w:r>
                    <w:rPr>
                      <w:rFonts w:hint="default" w:ascii="Times New Roman" w:hAnsi="Times New Roman" w:eastAsia="宋体" w:cs="Times New Roman"/>
                      <w:i w:val="0"/>
                      <w:iCs w:val="0"/>
                      <w:color w:val="auto"/>
                      <w:kern w:val="2"/>
                      <w:sz w:val="21"/>
                      <w:szCs w:val="21"/>
                      <w:u w:val="none"/>
                      <w:lang w:val="en-US" w:eastAsia="zh-CN" w:bidi="ar-SA"/>
                    </w:rPr>
                    <w:t>l</w:t>
                  </w:r>
                  <w:r>
                    <w:rPr>
                      <w:rFonts w:hint="default" w:ascii="Times New Roman" w:hAnsi="Times New Roman" w:eastAsia="宋体" w:cs="Times New Roman"/>
                      <w:i w:val="0"/>
                      <w:iCs w:val="0"/>
                      <w:color w:val="auto"/>
                      <w:kern w:val="2"/>
                      <w:sz w:val="21"/>
                      <w:szCs w:val="21"/>
                      <w:u w:val="none"/>
                      <w:vertAlign w:val="subscript"/>
                      <w:lang w:val="en-US" w:eastAsia="zh-CN" w:bidi="ar-SA"/>
                    </w:rPr>
                    <w:t>2</w:t>
                  </w:r>
                  <w:r>
                    <w:rPr>
                      <w:rFonts w:hint="default" w:ascii="Times New Roman" w:hAnsi="Times New Roman" w:eastAsia="宋体" w:cs="Times New Roman"/>
                      <w:i w:val="0"/>
                      <w:iCs w:val="0"/>
                      <w:color w:val="auto"/>
                      <w:kern w:val="2"/>
                      <w:sz w:val="21"/>
                      <w:szCs w:val="21"/>
                      <w:u w:val="none"/>
                      <w:lang w:val="en-US" w:eastAsia="zh-CN" w:bidi="ar-SA"/>
                    </w:rPr>
                    <w:t>O</w:t>
                  </w:r>
                  <w:r>
                    <w:rPr>
                      <w:rFonts w:hint="default" w:ascii="Times New Roman" w:hAnsi="Times New Roman" w:eastAsia="宋体" w:cs="Times New Roman"/>
                      <w:i w:val="0"/>
                      <w:iCs w:val="0"/>
                      <w:color w:val="auto"/>
                      <w:kern w:val="2"/>
                      <w:sz w:val="21"/>
                      <w:szCs w:val="21"/>
                      <w:u w:val="none"/>
                      <w:vertAlign w:val="subscript"/>
                      <w:lang w:val="en-US" w:eastAsia="zh-CN" w:bidi="ar-SA"/>
                    </w:rPr>
                    <w:t>3</w:t>
                  </w:r>
                </w:p>
              </w:tc>
              <w:tc>
                <w:tcPr>
                  <w:tcW w:w="3112" w:type="pct"/>
                  <w:noWrap w:val="0"/>
                  <w:vAlign w:val="center"/>
                </w:tcPr>
                <w:p w14:paraId="2C647F64">
                  <w:pPr>
                    <w:keepNext w:val="0"/>
                    <w:keepLines w:val="0"/>
                    <w:suppressLineNumbers w:val="0"/>
                    <w:spacing w:before="0" w:beforeAutospacing="0" w:after="0" w:afterAutospacing="0"/>
                    <w:ind w:left="0" w:right="0"/>
                    <w:jc w:val="left"/>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难溶于水的白色固体，无臭、无味、质极硬，易吸潮而不潮解（灼烧过的不吸湿）。氧化铝是典型的两性氧化物，能溶于无机酸和碱性溶液中，几乎不溶于水及非极性有机溶剂</w:t>
                  </w:r>
                  <w:r>
                    <w:rPr>
                      <w:rFonts w:hint="eastAsia" w:cs="Times New Roman"/>
                      <w:color w:val="auto"/>
                      <w:kern w:val="2"/>
                      <w:sz w:val="21"/>
                      <w:szCs w:val="21"/>
                      <w:lang w:val="en-US" w:eastAsia="zh-CN" w:bidi="ar-SA"/>
                    </w:rPr>
                    <w:t>。熔点2054℃，沸点2980℃。</w:t>
                  </w:r>
                </w:p>
              </w:tc>
              <w:tc>
                <w:tcPr>
                  <w:tcW w:w="413" w:type="pct"/>
                  <w:noWrap w:val="0"/>
                  <w:vAlign w:val="center"/>
                </w:tcPr>
                <w:p w14:paraId="23553D2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不燃</w:t>
                  </w:r>
                </w:p>
              </w:tc>
              <w:tc>
                <w:tcPr>
                  <w:tcW w:w="897" w:type="pct"/>
                  <w:noWrap w:val="0"/>
                  <w:vAlign w:val="center"/>
                </w:tcPr>
                <w:p w14:paraId="1F2D45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r>
            <w:tr w14:paraId="40AB8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5" w:type="pct"/>
                  <w:noWrap w:val="0"/>
                  <w:vAlign w:val="center"/>
                </w:tcPr>
                <w:p w14:paraId="7F848C1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二氧化碳</w:t>
                  </w:r>
                </w:p>
              </w:tc>
              <w:tc>
                <w:tcPr>
                  <w:tcW w:w="3112" w:type="pct"/>
                  <w:noWrap w:val="0"/>
                  <w:vAlign w:val="center"/>
                </w:tcPr>
                <w:p w14:paraId="4D3D859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常温常压下是一种无色无味或无色无臭而其水溶液略有酸味的气体，也是一种常见的温室气体，还是空气的组分之一（占大气总体积的0.03%</w:t>
                  </w:r>
                  <w:r>
                    <w:rPr>
                      <w:rFonts w:hint="eastAsia" w:cs="Times New Roman"/>
                      <w:color w:val="auto"/>
                      <w:szCs w:val="21"/>
                      <w:lang w:eastAsia="zh-CN"/>
                    </w:rPr>
                    <w:t>～</w:t>
                  </w:r>
                  <w:r>
                    <w:rPr>
                      <w:rFonts w:hint="default" w:ascii="Times New Roman" w:hAnsi="Times New Roman" w:cs="Times New Roman"/>
                      <w:color w:val="auto"/>
                      <w:szCs w:val="21"/>
                    </w:rPr>
                    <w:t>0.04%）。二氧化碳的沸点为-78.5℃（101.3kPa），熔点为-56.6℃，密度比空气密度大（标准条件下），可溶于水。</w:t>
                  </w:r>
                </w:p>
              </w:tc>
              <w:tc>
                <w:tcPr>
                  <w:tcW w:w="413" w:type="pct"/>
                  <w:noWrap w:val="0"/>
                  <w:vAlign w:val="center"/>
                </w:tcPr>
                <w:p w14:paraId="0FF36821">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不燃</w:t>
                  </w:r>
                </w:p>
              </w:tc>
              <w:tc>
                <w:tcPr>
                  <w:tcW w:w="897" w:type="pct"/>
                  <w:noWrap w:val="0"/>
                  <w:vAlign w:val="center"/>
                </w:tcPr>
                <w:p w14:paraId="4E948759">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bl>
          <w:p w14:paraId="366CB69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6</w:t>
            </w:r>
            <w:r>
              <w:rPr>
                <w:rFonts w:hint="default" w:ascii="Times New Roman" w:hAnsi="Times New Roman" w:cs="Times New Roman"/>
                <w:b/>
                <w:color w:val="auto"/>
                <w:sz w:val="24"/>
                <w:szCs w:val="24"/>
                <w:highlight w:val="none"/>
              </w:rPr>
              <w:t>.劳动定员及工作制度</w:t>
            </w:r>
          </w:p>
          <w:p w14:paraId="4C29300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color w:val="auto"/>
                <w:sz w:val="24"/>
                <w:szCs w:val="24"/>
                <w:highlight w:val="none"/>
                <w:lang w:eastAsia="zh-CN"/>
              </w:rPr>
            </w:pPr>
            <w:r>
              <w:rPr>
                <w:rFonts w:hint="eastAsia" w:ascii="Times New Roman" w:hAnsi="Times New Roman" w:cs="Times New Roman"/>
                <w:bCs/>
                <w:color w:val="auto"/>
                <w:sz w:val="24"/>
                <w:szCs w:val="24"/>
                <w:highlight w:val="none"/>
                <w:lang w:val="en-US" w:eastAsia="zh-CN"/>
              </w:rPr>
              <w:t>全厂</w:t>
            </w:r>
            <w:r>
              <w:rPr>
                <w:rFonts w:hint="default" w:ascii="Times New Roman" w:hAnsi="Times New Roman" w:cs="Times New Roman"/>
                <w:bCs/>
                <w:color w:val="auto"/>
                <w:sz w:val="24"/>
                <w:szCs w:val="24"/>
                <w:highlight w:val="none"/>
              </w:rPr>
              <w:t>员工</w:t>
            </w:r>
            <w:r>
              <w:rPr>
                <w:rFonts w:hint="eastAsia" w:cs="Times New Roman"/>
                <w:bCs/>
                <w:color w:val="auto"/>
                <w:sz w:val="24"/>
                <w:szCs w:val="24"/>
                <w:highlight w:val="none"/>
                <w:lang w:val="en-US" w:eastAsia="zh-CN"/>
              </w:rPr>
              <w:t>80</w:t>
            </w:r>
            <w:r>
              <w:rPr>
                <w:rFonts w:hint="default" w:ascii="Times New Roman" w:hAnsi="Times New Roman" w:cs="Times New Roman"/>
                <w:bCs/>
                <w:color w:val="auto"/>
                <w:sz w:val="24"/>
                <w:szCs w:val="24"/>
                <w:highlight w:val="none"/>
              </w:rPr>
              <w:t>人，</w:t>
            </w:r>
            <w:r>
              <w:rPr>
                <w:rFonts w:hint="eastAsia" w:ascii="Times New Roman" w:hAnsi="Times New Roman" w:cs="Times New Roman"/>
                <w:bCs/>
                <w:color w:val="auto"/>
                <w:sz w:val="24"/>
                <w:szCs w:val="24"/>
                <w:highlight w:val="none"/>
                <w:lang w:val="en-US" w:eastAsia="zh-CN"/>
              </w:rPr>
              <w:t>本次不新增员工，在原有员工中进行调配。</w:t>
            </w:r>
            <w:r>
              <w:rPr>
                <w:rFonts w:hint="default" w:ascii="Times New Roman" w:hAnsi="Times New Roman" w:cs="Times New Roman"/>
                <w:bCs/>
                <w:color w:val="auto"/>
                <w:sz w:val="24"/>
                <w:szCs w:val="24"/>
                <w:highlight w:val="none"/>
              </w:rPr>
              <w:t>年工作日300天，</w:t>
            </w:r>
            <w:r>
              <w:rPr>
                <w:rFonts w:hint="eastAsia" w:ascii="Times New Roman" w:hAnsi="Times New Roman" w:cs="Times New Roman"/>
                <w:bCs/>
                <w:color w:val="auto"/>
                <w:sz w:val="24"/>
                <w:szCs w:val="24"/>
                <w:highlight w:val="none"/>
                <w:lang w:val="en-US" w:eastAsia="zh-CN"/>
              </w:rPr>
              <w:t>两班制，</w:t>
            </w:r>
            <w:r>
              <w:rPr>
                <w:rFonts w:hint="default" w:ascii="Times New Roman" w:hAnsi="Times New Roman" w:cs="Times New Roman"/>
                <w:bCs/>
                <w:color w:val="auto"/>
                <w:sz w:val="24"/>
                <w:szCs w:val="24"/>
                <w:highlight w:val="none"/>
              </w:rPr>
              <w:t>每</w:t>
            </w:r>
            <w:r>
              <w:rPr>
                <w:rFonts w:hint="eastAsia" w:ascii="Times New Roman" w:hAnsi="Times New Roman" w:cs="Times New Roman"/>
                <w:bCs/>
                <w:color w:val="auto"/>
                <w:sz w:val="24"/>
                <w:szCs w:val="24"/>
                <w:highlight w:val="none"/>
                <w:lang w:val="en-US" w:eastAsia="zh-CN"/>
              </w:rPr>
              <w:t>班8</w:t>
            </w:r>
            <w:r>
              <w:rPr>
                <w:rFonts w:hint="default" w:ascii="Times New Roman" w:hAnsi="Times New Roman" w:cs="Times New Roman"/>
                <w:bCs/>
                <w:color w:val="auto"/>
                <w:sz w:val="24"/>
                <w:szCs w:val="24"/>
                <w:highlight w:val="none"/>
              </w:rPr>
              <w:t>小时，年生产</w:t>
            </w:r>
            <w:r>
              <w:rPr>
                <w:rFonts w:hint="eastAsia" w:ascii="Times New Roman" w:hAnsi="Times New Roman" w:cs="Times New Roman"/>
                <w:bCs/>
                <w:color w:val="auto"/>
                <w:sz w:val="24"/>
                <w:szCs w:val="24"/>
                <w:highlight w:val="none"/>
                <w:lang w:val="en-US" w:eastAsia="zh-CN"/>
              </w:rPr>
              <w:t>48</w:t>
            </w:r>
            <w:r>
              <w:rPr>
                <w:rFonts w:hint="default" w:ascii="Times New Roman" w:hAnsi="Times New Roman" w:cs="Times New Roman"/>
                <w:bCs/>
                <w:color w:val="auto"/>
                <w:sz w:val="24"/>
                <w:szCs w:val="24"/>
                <w:highlight w:val="none"/>
              </w:rPr>
              <w:t>00小时。</w:t>
            </w:r>
            <w:r>
              <w:rPr>
                <w:rFonts w:hint="eastAsia" w:ascii="Times New Roman" w:hAnsi="Times New Roman" w:cs="Times New Roman"/>
                <w:bCs/>
                <w:color w:val="auto"/>
                <w:sz w:val="24"/>
                <w:szCs w:val="24"/>
                <w:highlight w:val="none"/>
                <w:lang w:eastAsia="zh-CN"/>
              </w:rPr>
              <w:t>厂内</w:t>
            </w:r>
            <w:r>
              <w:rPr>
                <w:rFonts w:hint="eastAsia" w:cs="Times New Roman"/>
                <w:bCs/>
                <w:color w:val="auto"/>
                <w:sz w:val="24"/>
                <w:szCs w:val="24"/>
                <w:highlight w:val="none"/>
                <w:lang w:val="en-US" w:eastAsia="zh-CN"/>
              </w:rPr>
              <w:t>不设</w:t>
            </w:r>
            <w:r>
              <w:rPr>
                <w:rFonts w:hint="eastAsia" w:ascii="Times New Roman" w:hAnsi="Times New Roman" w:cs="Times New Roman"/>
                <w:bCs/>
                <w:color w:val="auto"/>
                <w:sz w:val="24"/>
                <w:szCs w:val="24"/>
                <w:highlight w:val="none"/>
                <w:lang w:val="en-US" w:eastAsia="zh-CN"/>
              </w:rPr>
              <w:t>食堂</w:t>
            </w:r>
            <w:r>
              <w:rPr>
                <w:rFonts w:hint="eastAsia" w:cs="Times New Roman"/>
                <w:bCs/>
                <w:color w:val="auto"/>
                <w:sz w:val="24"/>
                <w:szCs w:val="24"/>
                <w:highlight w:val="none"/>
                <w:lang w:val="en-US" w:eastAsia="zh-CN"/>
              </w:rPr>
              <w:t>、</w:t>
            </w:r>
            <w:r>
              <w:rPr>
                <w:rFonts w:hint="eastAsia" w:ascii="Times New Roman" w:hAnsi="Times New Roman" w:cs="Times New Roman"/>
                <w:bCs/>
                <w:color w:val="auto"/>
                <w:sz w:val="24"/>
                <w:szCs w:val="24"/>
                <w:highlight w:val="none"/>
                <w:lang w:eastAsia="zh-CN"/>
              </w:rPr>
              <w:t>浴室、宿舍。</w:t>
            </w:r>
          </w:p>
          <w:p w14:paraId="38556C15">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lang w:val="en-US" w:eastAsia="zh-CN"/>
              </w:rPr>
              <w:t>7</w:t>
            </w:r>
            <w:r>
              <w:rPr>
                <w:rFonts w:hint="default" w:ascii="Times New Roman" w:hAnsi="Times New Roman" w:cs="Times New Roman"/>
                <w:b/>
                <w:color w:val="auto"/>
                <w:sz w:val="24"/>
                <w:szCs w:val="24"/>
                <w:highlight w:val="none"/>
              </w:rPr>
              <w:t>.项目周边概况和厂区平面布置情况</w:t>
            </w:r>
          </w:p>
          <w:p w14:paraId="4E5F67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（1）项目周边概况</w:t>
            </w:r>
          </w:p>
          <w:p w14:paraId="3E903C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本项目位于</w:t>
            </w:r>
            <w:r>
              <w:rPr>
                <w:rFonts w:hint="eastAsia" w:ascii="Times New Roman" w:hAnsi="Times New Roman" w:cs="Times New Roman"/>
                <w:color w:val="auto"/>
                <w:sz w:val="24"/>
                <w:lang w:val="en-US" w:eastAsia="zh-CN"/>
              </w:rPr>
              <w:t>常州市金坛区</w:t>
            </w:r>
            <w:r>
              <w:rPr>
                <w:rFonts w:hint="eastAsia" w:cs="Times New Roman"/>
                <w:color w:val="auto"/>
                <w:sz w:val="24"/>
                <w:lang w:val="en-US" w:eastAsia="zh-CN"/>
              </w:rPr>
              <w:t>洮西工业集中区中路1号</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东侧为</w:t>
            </w:r>
            <w:r>
              <w:rPr>
                <w:rFonts w:hint="eastAsia" w:cs="Times New Roman"/>
                <w:bCs/>
                <w:color w:val="auto"/>
                <w:sz w:val="24"/>
                <w:szCs w:val="24"/>
                <w:highlight w:val="none"/>
                <w:lang w:val="en-US" w:eastAsia="zh-CN"/>
              </w:rPr>
              <w:t>江苏宏伟机械科技有限公司</w:t>
            </w:r>
            <w:r>
              <w:rPr>
                <w:rFonts w:hint="default" w:ascii="Times New Roman" w:hAnsi="Times New Roman" w:cs="Times New Roman"/>
                <w:bCs/>
                <w:color w:val="auto"/>
                <w:sz w:val="24"/>
                <w:szCs w:val="24"/>
                <w:highlight w:val="none"/>
              </w:rPr>
              <w:t>；南侧为</w:t>
            </w:r>
            <w:r>
              <w:rPr>
                <w:rFonts w:hint="eastAsia" w:cs="Times New Roman"/>
                <w:bCs/>
                <w:color w:val="auto"/>
                <w:sz w:val="24"/>
                <w:szCs w:val="24"/>
                <w:highlight w:val="none"/>
                <w:lang w:val="en-US" w:eastAsia="zh-CN"/>
              </w:rPr>
              <w:t>金坛区金豪特钢有限公司</w:t>
            </w:r>
            <w:r>
              <w:rPr>
                <w:rFonts w:hint="default" w:ascii="Times New Roman" w:hAnsi="Times New Roman" w:cs="Times New Roman"/>
                <w:bCs/>
                <w:color w:val="auto"/>
                <w:sz w:val="24"/>
                <w:szCs w:val="24"/>
                <w:highlight w:val="none"/>
              </w:rPr>
              <w:t>；西侧为</w:t>
            </w:r>
            <w:r>
              <w:rPr>
                <w:rFonts w:hint="eastAsia" w:cs="Times New Roman"/>
                <w:bCs/>
                <w:color w:val="auto"/>
                <w:sz w:val="24"/>
                <w:szCs w:val="24"/>
                <w:highlight w:val="none"/>
                <w:lang w:val="en-US" w:eastAsia="zh-CN"/>
              </w:rPr>
              <w:t>江苏铭鼎新材料有限公司、常州飞宇轴承有限公司</w:t>
            </w:r>
            <w:r>
              <w:rPr>
                <w:rFonts w:hint="default" w:ascii="Times New Roman" w:hAnsi="Times New Roman" w:cs="Times New Roman"/>
                <w:bCs/>
                <w:color w:val="auto"/>
                <w:sz w:val="24"/>
                <w:szCs w:val="24"/>
                <w:highlight w:val="none"/>
              </w:rPr>
              <w:t>；北侧为</w:t>
            </w:r>
            <w:r>
              <w:rPr>
                <w:rFonts w:hint="eastAsia" w:cs="Times New Roman"/>
                <w:bCs/>
                <w:color w:val="auto"/>
                <w:sz w:val="24"/>
                <w:szCs w:val="24"/>
                <w:highlight w:val="none"/>
                <w:lang w:val="en-US" w:eastAsia="zh-CN"/>
              </w:rPr>
              <w:t>中路</w:t>
            </w:r>
            <w:r>
              <w:rPr>
                <w:rFonts w:hint="eastAsia" w:ascii="Times New Roman" w:hAnsi="Times New Roman" w:cs="Times New Roman"/>
                <w:bCs/>
                <w:color w:val="auto"/>
                <w:sz w:val="24"/>
                <w:szCs w:val="24"/>
                <w:highlight w:val="none"/>
                <w:lang w:val="en-US" w:eastAsia="zh-CN"/>
              </w:rPr>
              <w:t>，隔路为</w:t>
            </w:r>
            <w:r>
              <w:rPr>
                <w:rFonts w:hint="eastAsia" w:cs="Times New Roman"/>
                <w:bCs/>
                <w:color w:val="auto"/>
                <w:sz w:val="24"/>
                <w:szCs w:val="24"/>
                <w:highlight w:val="none"/>
                <w:lang w:val="en-US" w:eastAsia="zh-CN"/>
              </w:rPr>
              <w:t>华硕实业有限公司</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lang w:val="en-US" w:eastAsia="zh-CN"/>
              </w:rPr>
              <w:t>项目</w:t>
            </w:r>
            <w:r>
              <w:rPr>
                <w:rFonts w:hint="eastAsia" w:ascii="Times New Roman" w:hAnsi="Times New Roman" w:cs="Times New Roman"/>
                <w:color w:val="auto"/>
                <w:sz w:val="24"/>
                <w:szCs w:val="24"/>
                <w:lang w:val="en-US" w:eastAsia="zh-CN"/>
              </w:rPr>
              <w:t>500m范围内环境</w:t>
            </w:r>
            <w:r>
              <w:rPr>
                <w:rFonts w:hint="default" w:ascii="Times New Roman" w:hAnsi="Times New Roman" w:cs="Times New Roman"/>
                <w:color w:val="auto"/>
                <w:sz w:val="24"/>
                <w:szCs w:val="24"/>
                <w:lang w:val="en-US" w:eastAsia="zh-CN"/>
              </w:rPr>
              <w:t>敏感点</w:t>
            </w:r>
            <w:r>
              <w:rPr>
                <w:rFonts w:hint="eastAsia" w:ascii="Times New Roman" w:hAnsi="Times New Roman" w:cs="Times New Roman"/>
                <w:color w:val="auto"/>
                <w:sz w:val="24"/>
                <w:szCs w:val="24"/>
                <w:lang w:val="en-US" w:eastAsia="zh-CN"/>
              </w:rPr>
              <w:t>为</w:t>
            </w:r>
            <w:r>
              <w:rPr>
                <w:rFonts w:hint="eastAsia" w:cs="Times New Roman"/>
                <w:color w:val="auto"/>
                <w:sz w:val="24"/>
                <w:szCs w:val="24"/>
                <w:lang w:val="en-US" w:eastAsia="zh-CN"/>
              </w:rPr>
              <w:t>白米塘（N，203m）、河庄村（NW，455m）、新河村（SW，355m）、学士沟村（SW，250m）、五厘亩（S，255m）、下杨庄（SE，330m）</w:t>
            </w:r>
            <w:r>
              <w:rPr>
                <w:rFonts w:hint="eastAsia" w:ascii="Times New Roman" w:hAnsi="Times New Roman" w:cs="Times New Roman"/>
                <w:color w:val="auto"/>
                <w:sz w:val="24"/>
                <w:szCs w:val="24"/>
                <w:lang w:val="en-US" w:eastAsia="zh-CN"/>
              </w:rPr>
              <w:t>；经核实，无规划环境敏感目标。</w:t>
            </w:r>
            <w:r>
              <w:rPr>
                <w:rFonts w:hint="default" w:ascii="Times New Roman" w:hAnsi="Times New Roman" w:cs="Times New Roman"/>
                <w:bCs/>
                <w:color w:val="auto"/>
                <w:sz w:val="24"/>
                <w:szCs w:val="24"/>
                <w:highlight w:val="none"/>
              </w:rPr>
              <w:t>项目周围500米环境概况详见附图2。</w:t>
            </w:r>
          </w:p>
          <w:p w14:paraId="0D461E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（2）厂区平面布局</w:t>
            </w:r>
          </w:p>
          <w:p w14:paraId="0796F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厂区呈南北向，由</w:t>
            </w:r>
            <w:r>
              <w:rPr>
                <w:rFonts w:hint="eastAsia" w:cs="Times New Roman"/>
                <w:bCs/>
                <w:color w:val="auto"/>
                <w:sz w:val="24"/>
                <w:szCs w:val="24"/>
                <w:highlight w:val="none"/>
                <w:lang w:val="en-US" w:eastAsia="zh-CN"/>
              </w:rPr>
              <w:t>北</w:t>
            </w:r>
            <w:r>
              <w:rPr>
                <w:rFonts w:hint="eastAsia" w:ascii="Times New Roman" w:hAnsi="Times New Roman" w:cs="Times New Roman"/>
                <w:bCs/>
                <w:color w:val="auto"/>
                <w:sz w:val="24"/>
                <w:szCs w:val="24"/>
                <w:highlight w:val="none"/>
                <w:lang w:val="en-US" w:eastAsia="zh-CN"/>
              </w:rPr>
              <w:t>至</w:t>
            </w:r>
            <w:r>
              <w:rPr>
                <w:rFonts w:hint="eastAsia" w:cs="Times New Roman"/>
                <w:bCs/>
                <w:color w:val="auto"/>
                <w:sz w:val="24"/>
                <w:szCs w:val="24"/>
                <w:highlight w:val="none"/>
                <w:lang w:val="en-US" w:eastAsia="zh-CN"/>
              </w:rPr>
              <w:t>南</w:t>
            </w:r>
            <w:r>
              <w:rPr>
                <w:rFonts w:hint="eastAsia" w:ascii="Times New Roman" w:hAnsi="Times New Roman" w:cs="Times New Roman"/>
                <w:bCs/>
                <w:color w:val="auto"/>
                <w:sz w:val="24"/>
                <w:szCs w:val="24"/>
                <w:highlight w:val="none"/>
                <w:lang w:val="en-US" w:eastAsia="zh-CN"/>
              </w:rPr>
              <w:t>依次为</w:t>
            </w:r>
            <w:r>
              <w:rPr>
                <w:rFonts w:hint="eastAsia" w:cs="Times New Roman"/>
                <w:bCs/>
                <w:color w:val="auto"/>
                <w:sz w:val="24"/>
                <w:szCs w:val="24"/>
                <w:highlight w:val="none"/>
                <w:lang w:val="en-US" w:eastAsia="zh-CN"/>
              </w:rPr>
              <w:t>辅房</w:t>
            </w:r>
            <w:r>
              <w:rPr>
                <w:rFonts w:hint="eastAsia" w:ascii="Times New Roman" w:hAnsi="Times New Roman" w:cs="Times New Roman"/>
                <w:bCs/>
                <w:color w:val="auto"/>
                <w:sz w:val="24"/>
                <w:szCs w:val="24"/>
                <w:highlight w:val="none"/>
                <w:lang w:val="en-US" w:eastAsia="zh-CN"/>
              </w:rPr>
              <w:t>、</w:t>
            </w:r>
            <w:r>
              <w:rPr>
                <w:rFonts w:hint="eastAsia" w:cs="Times New Roman"/>
                <w:bCs/>
                <w:color w:val="auto"/>
                <w:sz w:val="24"/>
                <w:szCs w:val="24"/>
                <w:highlight w:val="none"/>
                <w:lang w:val="en-US" w:eastAsia="zh-CN"/>
              </w:rPr>
              <w:t>车间二、车间一</w:t>
            </w:r>
            <w:r>
              <w:rPr>
                <w:rFonts w:hint="eastAsia" w:ascii="Times New Roman" w:hAnsi="Times New Roman" w:cs="Times New Roman"/>
                <w:bCs/>
                <w:color w:val="auto"/>
                <w:sz w:val="24"/>
                <w:szCs w:val="24"/>
                <w:highlight w:val="none"/>
                <w:lang w:val="en-US" w:eastAsia="zh-CN"/>
              </w:rPr>
              <w:t>、车间</w:t>
            </w:r>
            <w:r>
              <w:rPr>
                <w:rFonts w:hint="eastAsia" w:cs="Times New Roman"/>
                <w:bCs/>
                <w:color w:val="auto"/>
                <w:sz w:val="24"/>
                <w:szCs w:val="24"/>
                <w:highlight w:val="none"/>
                <w:lang w:val="en-US" w:eastAsia="zh-CN"/>
              </w:rPr>
              <w:t>三</w:t>
            </w:r>
            <w:r>
              <w:rPr>
                <w:rFonts w:hint="eastAsia" w:ascii="Times New Roman" w:hAnsi="Times New Roman" w:cs="Times New Roman"/>
                <w:bCs/>
                <w:color w:val="auto"/>
                <w:sz w:val="24"/>
                <w:szCs w:val="24"/>
                <w:highlight w:val="none"/>
                <w:lang w:val="en-US" w:eastAsia="zh-CN"/>
              </w:rPr>
              <w:t>。车间一主要用于</w:t>
            </w:r>
            <w:r>
              <w:rPr>
                <w:rFonts w:hint="eastAsia" w:cs="Times New Roman"/>
                <w:bCs/>
                <w:color w:val="auto"/>
                <w:sz w:val="24"/>
                <w:szCs w:val="24"/>
                <w:highlight w:val="none"/>
                <w:lang w:val="en-US" w:eastAsia="zh-CN"/>
              </w:rPr>
              <w:t>原有</w:t>
            </w:r>
            <w:r>
              <w:rPr>
                <w:rFonts w:hint="eastAsia" w:cs="Times New Roman"/>
                <w:color w:val="auto"/>
                <w:sz w:val="24"/>
                <w:szCs w:val="24"/>
                <w:lang w:val="en-US" w:eastAsia="zh-CN"/>
              </w:rPr>
              <w:t>熔化、精炼、精铸、加热</w:t>
            </w:r>
            <w:r>
              <w:rPr>
                <w:rFonts w:hint="eastAsia" w:ascii="Times New Roman" w:hAnsi="Times New Roman" w:cs="Times New Roman"/>
                <w:bCs/>
                <w:color w:val="auto"/>
                <w:sz w:val="24"/>
                <w:szCs w:val="24"/>
                <w:highlight w:val="none"/>
                <w:lang w:val="en-US" w:eastAsia="zh-CN"/>
              </w:rPr>
              <w:t>，车间二主要用于</w:t>
            </w:r>
            <w:r>
              <w:rPr>
                <w:rFonts w:hint="eastAsia" w:cs="Times New Roman"/>
                <w:bCs/>
                <w:color w:val="auto"/>
                <w:sz w:val="24"/>
                <w:szCs w:val="24"/>
                <w:highlight w:val="none"/>
                <w:lang w:val="en-US" w:eastAsia="zh-CN"/>
              </w:rPr>
              <w:t>本次技改电渣重熔</w:t>
            </w:r>
            <w:r>
              <w:rPr>
                <w:rFonts w:hint="eastAsia" w:ascii="Times New Roman" w:hAnsi="Times New Roman" w:cs="Times New Roman"/>
                <w:bCs/>
                <w:color w:val="auto"/>
                <w:sz w:val="24"/>
                <w:szCs w:val="24"/>
                <w:highlight w:val="none"/>
                <w:lang w:val="en-US" w:eastAsia="zh-CN"/>
              </w:rPr>
              <w:t>、去冒口，车间三主要用于原有加热炉升温、锻压成型、退火、锻件质检、打磨、精加工、检验、包装。</w:t>
            </w:r>
            <w:r>
              <w:rPr>
                <w:rFonts w:hint="eastAsia" w:ascii="Times New Roman" w:hAnsi="Times New Roman" w:eastAsia="宋体" w:cs="Times New Roman"/>
                <w:snapToGrid w:val="0"/>
                <w:color w:val="auto"/>
                <w:kern w:val="0"/>
                <w:sz w:val="24"/>
                <w:szCs w:val="24"/>
              </w:rPr>
              <w:t>项目厂区平面布置图</w:t>
            </w:r>
            <w:r>
              <w:rPr>
                <w:rFonts w:hint="default" w:ascii="Times New Roman" w:hAnsi="Times New Roman" w:eastAsia="宋体" w:cs="Times New Roman"/>
                <w:snapToGrid w:val="0"/>
                <w:color w:val="auto"/>
                <w:kern w:val="0"/>
                <w:sz w:val="24"/>
                <w:szCs w:val="24"/>
              </w:rPr>
              <w:t>见附图3</w:t>
            </w:r>
            <w:r>
              <w:rPr>
                <w:rFonts w:hint="default" w:ascii="Times New Roman" w:hAnsi="Times New Roman" w:cs="Times New Roman"/>
                <w:bCs/>
                <w:color w:val="auto"/>
                <w:sz w:val="24"/>
                <w:szCs w:val="24"/>
                <w:highlight w:val="none"/>
              </w:rPr>
              <w:t>。</w:t>
            </w:r>
          </w:p>
          <w:p w14:paraId="09707F5D">
            <w:pPr>
              <w:keepNext w:val="0"/>
              <w:keepLines w:val="0"/>
              <w:numPr>
                <w:ilvl w:val="0"/>
                <w:numId w:val="6"/>
              </w:numPr>
              <w:suppressLineNumbers w:val="0"/>
              <w:spacing w:before="0" w:beforeAutospacing="0" w:after="0" w:afterAutospacing="0" w:line="360" w:lineRule="auto"/>
              <w:ind w:left="0" w:right="0" w:firstLine="482" w:firstLineChars="200"/>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水平衡</w:t>
            </w:r>
          </w:p>
          <w:p w14:paraId="0B6119E2">
            <w:pPr>
              <w:pStyle w:val="2"/>
              <w:keepNext w:val="0"/>
              <w:keepLines w:val="0"/>
              <w:suppressLineNumbers w:val="0"/>
              <w:spacing w:beforeAutospacing="0" w:afterAutospacing="0"/>
              <w:ind w:left="0"/>
              <w:jc w:val="center"/>
              <w:rPr>
                <w:rFonts w:hint="default"/>
                <w:color w:val="auto"/>
              </w:rPr>
            </w:pPr>
            <w:r>
              <w:rPr>
                <w:rFonts w:hint="default"/>
                <w:color w:val="auto"/>
              </w:rPr>
              <w:drawing>
                <wp:inline distT="0" distB="0" distL="114300" distR="114300">
                  <wp:extent cx="5057775" cy="40195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057775" cy="4019550"/>
                          </a:xfrm>
                          <a:prstGeom prst="rect">
                            <a:avLst/>
                          </a:prstGeom>
                          <a:noFill/>
                          <a:ln>
                            <a:noFill/>
                          </a:ln>
                        </pic:spPr>
                      </pic:pic>
                    </a:graphicData>
                  </a:graphic>
                </wp:inline>
              </w:drawing>
            </w:r>
          </w:p>
          <w:p w14:paraId="0F7875C6">
            <w:pPr>
              <w:pStyle w:val="2"/>
              <w:keepNext w:val="0"/>
              <w:keepLines w:val="0"/>
              <w:suppressLineNumbers w:val="0"/>
              <w:spacing w:beforeAutospacing="0" w:afterAutospacing="0"/>
              <w:ind w:lef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图2-</w:t>
            </w:r>
            <w:r>
              <w:rPr>
                <w:rFonts w:hint="eastAsia" w:cs="Times New Roman"/>
                <w:b/>
                <w:bCs/>
                <w:color w:val="auto"/>
                <w:sz w:val="24"/>
                <w:szCs w:val="24"/>
                <w:lang w:val="en-US" w:eastAsia="zh-CN"/>
              </w:rPr>
              <w:t>2</w:t>
            </w:r>
            <w:r>
              <w:rPr>
                <w:rFonts w:hint="eastAsia" w:ascii="Times New Roman" w:hAnsi="Times New Roman" w:cs="Times New Roman"/>
                <w:b/>
                <w:bCs/>
                <w:color w:val="auto"/>
                <w:sz w:val="24"/>
                <w:szCs w:val="24"/>
                <w:lang w:val="en-US" w:eastAsia="zh-CN"/>
              </w:rPr>
              <w:t xml:space="preserve"> 本项目建成后全厂水平衡图（单位：t/a）</w:t>
            </w:r>
          </w:p>
          <w:p w14:paraId="6392DF61">
            <w:pPr>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cs="Times New Roman"/>
                <w:b/>
                <w:color w:val="auto"/>
                <w:sz w:val="24"/>
                <w:szCs w:val="24"/>
                <w:highlight w:val="none"/>
                <w:lang w:val="en-US" w:eastAsia="zh-CN"/>
              </w:rPr>
            </w:pPr>
            <w:r>
              <w:rPr>
                <w:rFonts w:hint="eastAsia" w:ascii="Times New Roman" w:hAnsi="Times New Roman" w:cs="Times New Roman"/>
                <w:b/>
                <w:color w:val="auto"/>
                <w:sz w:val="24"/>
                <w:szCs w:val="24"/>
                <w:highlight w:val="none"/>
                <w:lang w:val="en-US" w:eastAsia="zh-CN"/>
              </w:rPr>
              <w:t>特征因子平衡</w:t>
            </w:r>
          </w:p>
          <w:p w14:paraId="2BBE9E3B">
            <w:pPr>
              <w:keepNext w:val="0"/>
              <w:keepLines w:val="0"/>
              <w:suppressLineNumbers w:val="0"/>
              <w:spacing w:before="0" w:beforeAutospacing="0" w:after="0" w:afterAutospacing="0"/>
              <w:ind w:left="0" w:right="0" w:firstLine="482" w:firstLineChars="200"/>
              <w:jc w:val="center"/>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涉及商业机密，不予公示。</w:t>
            </w:r>
          </w:p>
          <w:p w14:paraId="20621D4D">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2" w:firstLineChars="200"/>
              <w:textAlignment w:val="auto"/>
              <w:rPr>
                <w:rFonts w:hint="default"/>
                <w:b/>
                <w:bCs/>
                <w:color w:val="auto"/>
                <w:sz w:val="21"/>
                <w:szCs w:val="21"/>
                <w:lang w:val="en-US" w:eastAsia="zh-CN"/>
              </w:rPr>
            </w:pPr>
          </w:p>
        </w:tc>
      </w:tr>
      <w:tr w14:paraId="2FA33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7" w:hRule="atLeast"/>
          <w:jc w:val="center"/>
        </w:trPr>
        <w:tc>
          <w:tcPr>
            <w:tcW w:w="379" w:type="dxa"/>
            <w:noWrap w:val="0"/>
            <w:vAlign w:val="center"/>
          </w:tcPr>
          <w:p w14:paraId="1850AC97">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工艺流程和产排污环节</w:t>
            </w:r>
          </w:p>
        </w:tc>
        <w:tc>
          <w:tcPr>
            <w:tcW w:w="8605" w:type="dxa"/>
            <w:noWrap w:val="0"/>
            <w:vAlign w:val="top"/>
          </w:tcPr>
          <w:p w14:paraId="63B86B80">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textAlignment w:val="auto"/>
              <w:rPr>
                <w:rFonts w:hint="eastAsia"/>
                <w:b/>
                <w:bCs/>
                <w:color w:val="auto"/>
                <w:sz w:val="24"/>
                <w:szCs w:val="24"/>
              </w:rPr>
            </w:pPr>
            <w:r>
              <w:rPr>
                <w:rFonts w:hint="eastAsia"/>
                <w:b/>
                <w:bCs/>
                <w:color w:val="auto"/>
                <w:sz w:val="24"/>
                <w:szCs w:val="24"/>
              </w:rPr>
              <w:t>工艺流程简述及产污环节分析：</w:t>
            </w:r>
          </w:p>
          <w:p w14:paraId="7FC512C9">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项目年产各种机械配件43500吨。本次技改项目不改变产品方案，为提高市场竞争力，提高产品质量，对15000吨/年产品新增了电渣重熔工段，其他工艺流程与原环评一致，具体生产工艺见下图：</w:t>
            </w:r>
          </w:p>
          <w:p w14:paraId="122763BF">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46CD36E3">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3E9887CA">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2A5866E5">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cs="Times New Roman"/>
                <w:color w:val="auto"/>
                <w:sz w:val="24"/>
                <w:szCs w:val="24"/>
                <w:highlight w:val="none"/>
                <w:lang w:val="en-US" w:eastAsia="zh-CN"/>
              </w:rPr>
            </w:pPr>
          </w:p>
          <w:p w14:paraId="7A6948A0">
            <w:pPr>
              <w:keepNext w:val="0"/>
              <w:keepLines w:val="0"/>
              <w:suppressLineNumbers w:val="0"/>
              <w:spacing w:before="0" w:beforeAutospacing="0" w:after="0" w:afterAutospacing="0"/>
              <w:ind w:left="0" w:right="0" w:firstLine="480" w:firstLineChars="200"/>
              <w:jc w:val="center"/>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 xml:space="preserve"> </w:t>
            </w:r>
          </w:p>
          <w:p w14:paraId="50AF7184">
            <w:pPr>
              <w:keepNext w:val="0"/>
              <w:keepLines w:val="0"/>
              <w:suppressLineNumbers w:val="0"/>
              <w:spacing w:before="0" w:beforeAutospacing="0" w:after="0" w:afterAutospacing="0"/>
              <w:ind w:left="0" w:right="0" w:firstLine="482" w:firstLineChars="200"/>
              <w:jc w:val="center"/>
              <w:rPr>
                <w:rFonts w:hint="default" w:ascii="Times New Roman" w:hAnsi="Times New Roman" w:cs="Times New Roman"/>
                <w:b/>
                <w:color w:val="auto"/>
                <w:sz w:val="24"/>
                <w:szCs w:val="24"/>
                <w:highlight w:val="none"/>
              </w:rPr>
            </w:pPr>
            <w:r>
              <w:rPr>
                <w:rFonts w:hint="eastAsia" w:cs="Times New Roman"/>
                <w:b/>
                <w:color w:val="auto"/>
                <w:sz w:val="24"/>
                <w:szCs w:val="24"/>
                <w:highlight w:val="none"/>
                <w:lang w:val="en-US" w:eastAsia="zh-CN"/>
              </w:rPr>
              <w:t>涉及商业机密，不予公示。</w:t>
            </w:r>
          </w:p>
          <w:p w14:paraId="69CBF9D4">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325C4EAD">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459DD78E">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4E3ED420">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0F95C920">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0FCF235B">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6C3623D2">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4409272B">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67BCAF1A">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368E3201">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32B766E9">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4701B37E">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6554CD13">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479ECB46">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20456F48">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1B89DB21">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26945CBA">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1DF8E1E4">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41395CAC">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6EF77CAA">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3069EFD0">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24E5DA6A">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1E9DB98B">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1BCDE57B">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0578E2F1">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21438ADE">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p w14:paraId="58A222ED">
            <w:pPr>
              <w:pStyle w:val="3"/>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sz w:val="24"/>
                <w:szCs w:val="24"/>
                <w:lang w:val="en-US" w:eastAsia="zh-CN"/>
              </w:rPr>
            </w:pPr>
          </w:p>
        </w:tc>
      </w:tr>
      <w:tr w14:paraId="184410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1" w:hRule="atLeast"/>
          <w:jc w:val="center"/>
        </w:trPr>
        <w:tc>
          <w:tcPr>
            <w:tcW w:w="379" w:type="dxa"/>
            <w:noWrap w:val="0"/>
            <w:vAlign w:val="center"/>
          </w:tcPr>
          <w:p w14:paraId="4D4654D0">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工艺流程和产排污环节</w:t>
            </w:r>
          </w:p>
        </w:tc>
        <w:tc>
          <w:tcPr>
            <w:tcW w:w="8605" w:type="dxa"/>
            <w:noWrap w:val="0"/>
            <w:vAlign w:val="top"/>
          </w:tcPr>
          <w:p w14:paraId="76828A22">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2.1-10</w:t>
            </w:r>
            <w:r>
              <w:rPr>
                <w:rFonts w:hint="default" w:ascii="Times New Roman" w:hAnsi="Times New Roman" w:eastAsia="宋体" w:cs="Times New Roman"/>
                <w:b/>
                <w:color w:val="auto"/>
                <w:sz w:val="24"/>
              </w:rPr>
              <w:t xml:space="preserve">  本项目产污环节及污染因子一览表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81"/>
              <w:gridCol w:w="585"/>
              <w:gridCol w:w="1342"/>
              <w:gridCol w:w="1435"/>
              <w:gridCol w:w="4435"/>
            </w:tblGrid>
            <w:tr w14:paraId="7404F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9" w:hRule="exact"/>
                <w:tblHeader/>
                <w:jc w:val="center"/>
              </w:trPr>
              <w:tc>
                <w:tcPr>
                  <w:tcW w:w="696" w:type="pct"/>
                  <w:gridSpan w:val="2"/>
                  <w:noWrap w:val="0"/>
                  <w:vAlign w:val="center"/>
                </w:tcPr>
                <w:p w14:paraId="7306901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污染类型</w:t>
                  </w:r>
                </w:p>
              </w:tc>
              <w:tc>
                <w:tcPr>
                  <w:tcW w:w="801" w:type="pct"/>
                  <w:noWrap w:val="0"/>
                  <w:vAlign w:val="center"/>
                </w:tcPr>
                <w:p w14:paraId="7325235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产污编号</w:t>
                  </w:r>
                </w:p>
              </w:tc>
              <w:tc>
                <w:tcPr>
                  <w:tcW w:w="856" w:type="pct"/>
                  <w:noWrap w:val="0"/>
                  <w:vAlign w:val="center"/>
                </w:tcPr>
                <w:p w14:paraId="54D4CF6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产污环节</w:t>
                  </w:r>
                </w:p>
              </w:tc>
              <w:tc>
                <w:tcPr>
                  <w:tcW w:w="2646" w:type="pct"/>
                  <w:noWrap w:val="0"/>
                  <w:vAlign w:val="center"/>
                </w:tcPr>
                <w:p w14:paraId="2C6D765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主要污染因子</w:t>
                  </w:r>
                </w:p>
              </w:tc>
            </w:tr>
            <w:tr w14:paraId="7A92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restart"/>
                  <w:noWrap w:val="0"/>
                  <w:vAlign w:val="center"/>
                </w:tcPr>
                <w:p w14:paraId="471E753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348" w:type="pct"/>
                  <w:vMerge w:val="restart"/>
                  <w:noWrap w:val="0"/>
                  <w:vAlign w:val="center"/>
                </w:tcPr>
                <w:p w14:paraId="4B77A75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原有已建工段</w:t>
                  </w:r>
                </w:p>
              </w:tc>
              <w:tc>
                <w:tcPr>
                  <w:tcW w:w="801" w:type="pct"/>
                  <w:noWrap w:val="0"/>
                  <w:vAlign w:val="center"/>
                </w:tcPr>
                <w:p w14:paraId="29CBAB5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G1</w:t>
                  </w:r>
                </w:p>
              </w:tc>
              <w:tc>
                <w:tcPr>
                  <w:tcW w:w="856" w:type="pct"/>
                  <w:noWrap w:val="0"/>
                  <w:vAlign w:val="center"/>
                </w:tcPr>
                <w:p w14:paraId="7A51AB2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熔化</w:t>
                  </w:r>
                </w:p>
              </w:tc>
              <w:tc>
                <w:tcPr>
                  <w:tcW w:w="2646" w:type="pct"/>
                  <w:noWrap w:val="0"/>
                  <w:vAlign w:val="center"/>
                </w:tcPr>
                <w:p w14:paraId="02CAA2C3">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颗粒物</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镍及其化合物、铬及其化合物</w:t>
                  </w:r>
                </w:p>
              </w:tc>
            </w:tr>
            <w:tr w14:paraId="3921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3302A89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4CB955B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6E92195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G2</w:t>
                  </w:r>
                </w:p>
              </w:tc>
              <w:tc>
                <w:tcPr>
                  <w:tcW w:w="856" w:type="pct"/>
                  <w:noWrap w:val="0"/>
                  <w:vAlign w:val="center"/>
                </w:tcPr>
                <w:p w14:paraId="6CD248B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钢包精炼炉</w:t>
                  </w:r>
                </w:p>
              </w:tc>
              <w:tc>
                <w:tcPr>
                  <w:tcW w:w="2646" w:type="pct"/>
                  <w:noWrap w:val="0"/>
                  <w:vAlign w:val="center"/>
                </w:tcPr>
                <w:p w14:paraId="0F7E1EB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镍及其化合物、铬及其化合物</w:t>
                  </w:r>
                </w:p>
              </w:tc>
            </w:tr>
            <w:tr w14:paraId="2ED6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95012A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0A61D73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1346D68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G3</w:t>
                  </w:r>
                </w:p>
              </w:tc>
              <w:tc>
                <w:tcPr>
                  <w:tcW w:w="856" w:type="pct"/>
                  <w:noWrap w:val="0"/>
                  <w:vAlign w:val="center"/>
                </w:tcPr>
                <w:p w14:paraId="451BA72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精铸</w:t>
                  </w:r>
                </w:p>
              </w:tc>
              <w:tc>
                <w:tcPr>
                  <w:tcW w:w="2646" w:type="pct"/>
                  <w:noWrap w:val="0"/>
                  <w:vAlign w:val="center"/>
                </w:tcPr>
                <w:p w14:paraId="2F12A28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p>
              </w:tc>
            </w:tr>
            <w:tr w14:paraId="5656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5734CAF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restart"/>
                  <w:noWrap w:val="0"/>
                  <w:vAlign w:val="center"/>
                </w:tcPr>
                <w:p w14:paraId="1AD6082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本次技改新增</w:t>
                  </w:r>
                </w:p>
              </w:tc>
              <w:tc>
                <w:tcPr>
                  <w:tcW w:w="801" w:type="pct"/>
                  <w:noWrap w:val="0"/>
                  <w:vAlign w:val="center"/>
                </w:tcPr>
                <w:p w14:paraId="242F2DD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G4</w:t>
                  </w:r>
                </w:p>
              </w:tc>
              <w:tc>
                <w:tcPr>
                  <w:tcW w:w="856" w:type="pct"/>
                  <w:noWrap w:val="0"/>
                  <w:vAlign w:val="center"/>
                </w:tcPr>
                <w:p w14:paraId="1376C4B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焊接</w:t>
                  </w:r>
                </w:p>
              </w:tc>
              <w:tc>
                <w:tcPr>
                  <w:tcW w:w="2646" w:type="pct"/>
                  <w:noWrap w:val="0"/>
                  <w:vAlign w:val="center"/>
                </w:tcPr>
                <w:p w14:paraId="0644CB4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颗粒物</w:t>
                  </w:r>
                </w:p>
              </w:tc>
            </w:tr>
            <w:tr w14:paraId="6647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26B43F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05BE87C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noWrap w:val="0"/>
                  <w:vAlign w:val="center"/>
                </w:tcPr>
                <w:p w14:paraId="3B31525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0"/>
                      <w:sz w:val="21"/>
                      <w:szCs w:val="21"/>
                    </w:rPr>
                  </w:pPr>
                  <w:r>
                    <w:rPr>
                      <w:rFonts w:hint="eastAsia" w:ascii="Times New Roman" w:hAnsi="Times New Roman" w:eastAsia="宋体" w:cs="Times New Roman"/>
                      <w:b/>
                      <w:bCs/>
                      <w:color w:val="auto"/>
                      <w:kern w:val="0"/>
                      <w:sz w:val="21"/>
                      <w:szCs w:val="21"/>
                      <w:lang w:val="en-US" w:eastAsia="zh-CN"/>
                    </w:rPr>
                    <w:t>G</w:t>
                  </w:r>
                  <w:r>
                    <w:rPr>
                      <w:rFonts w:hint="default" w:ascii="Times New Roman" w:hAnsi="Times New Roman" w:eastAsia="宋体" w:cs="Times New Roman"/>
                      <w:b/>
                      <w:bCs/>
                      <w:color w:val="auto"/>
                      <w:kern w:val="0"/>
                      <w:sz w:val="21"/>
                      <w:szCs w:val="21"/>
                    </w:rPr>
                    <w:t>5</w:t>
                  </w:r>
                </w:p>
              </w:tc>
              <w:tc>
                <w:tcPr>
                  <w:tcW w:w="856" w:type="pct"/>
                  <w:noWrap w:val="0"/>
                  <w:vAlign w:val="center"/>
                </w:tcPr>
                <w:p w14:paraId="6B37835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化渣</w:t>
                  </w:r>
                </w:p>
              </w:tc>
              <w:tc>
                <w:tcPr>
                  <w:tcW w:w="2646" w:type="pct"/>
                  <w:noWrap w:val="0"/>
                  <w:vAlign w:val="center"/>
                </w:tcPr>
                <w:p w14:paraId="38EFC0F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颗粒物、氟化物</w:t>
                  </w:r>
                </w:p>
              </w:tc>
            </w:tr>
            <w:tr w14:paraId="0D25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5EB0385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5FC7180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noWrap w:val="0"/>
                  <w:vAlign w:val="center"/>
                </w:tcPr>
                <w:p w14:paraId="6B55173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G6</w:t>
                  </w:r>
                </w:p>
              </w:tc>
              <w:tc>
                <w:tcPr>
                  <w:tcW w:w="856" w:type="pct"/>
                  <w:noWrap w:val="0"/>
                  <w:vAlign w:val="center"/>
                </w:tcPr>
                <w:p w14:paraId="5B54215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电渣重熔</w:t>
                  </w:r>
                </w:p>
              </w:tc>
              <w:tc>
                <w:tcPr>
                  <w:tcW w:w="2646" w:type="pct"/>
                  <w:noWrap w:val="0"/>
                  <w:vAlign w:val="center"/>
                </w:tcPr>
                <w:p w14:paraId="0444B73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eastAsia="zh-CN"/>
                    </w:rPr>
                    <w:t>颗粒物</w:t>
                  </w: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镍及其化合物、铬及其化合物、氟化物</w:t>
                  </w:r>
                </w:p>
              </w:tc>
            </w:tr>
            <w:tr w14:paraId="0945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42B3F1E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restart"/>
                  <w:noWrap w:val="0"/>
                  <w:vAlign w:val="center"/>
                </w:tcPr>
                <w:p w14:paraId="78523BB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原有在建工段</w:t>
                  </w:r>
                </w:p>
              </w:tc>
              <w:tc>
                <w:tcPr>
                  <w:tcW w:w="801" w:type="pct"/>
                  <w:noWrap w:val="0"/>
                  <w:vAlign w:val="center"/>
                </w:tcPr>
                <w:p w14:paraId="6F45B9B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G7</w:t>
                  </w:r>
                </w:p>
              </w:tc>
              <w:tc>
                <w:tcPr>
                  <w:tcW w:w="856" w:type="pct"/>
                  <w:noWrap w:val="0"/>
                  <w:vAlign w:val="center"/>
                </w:tcPr>
                <w:p w14:paraId="26344EE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加热炉升温</w:t>
                  </w:r>
                </w:p>
              </w:tc>
              <w:tc>
                <w:tcPr>
                  <w:tcW w:w="2646" w:type="pct"/>
                  <w:noWrap w:val="0"/>
                  <w:vAlign w:val="center"/>
                </w:tcPr>
                <w:p w14:paraId="64714B6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颗粒物、</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w:t>
                  </w:r>
                </w:p>
              </w:tc>
            </w:tr>
            <w:tr w14:paraId="0805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3FB1986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6F2E87A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5CEC6E3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G8</w:t>
                  </w:r>
                </w:p>
              </w:tc>
              <w:tc>
                <w:tcPr>
                  <w:tcW w:w="856" w:type="pct"/>
                  <w:noWrap w:val="0"/>
                  <w:vAlign w:val="center"/>
                </w:tcPr>
                <w:p w14:paraId="465B6B5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打磨</w:t>
                  </w:r>
                </w:p>
              </w:tc>
              <w:tc>
                <w:tcPr>
                  <w:tcW w:w="2646" w:type="pct"/>
                  <w:noWrap w:val="0"/>
                  <w:vAlign w:val="center"/>
                </w:tcPr>
                <w:p w14:paraId="4E58F50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p>
              </w:tc>
            </w:tr>
            <w:tr w14:paraId="2950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6FFFBAF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4150844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0FDF3E2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G9</w:t>
                  </w:r>
                </w:p>
              </w:tc>
              <w:tc>
                <w:tcPr>
                  <w:tcW w:w="856" w:type="pct"/>
                  <w:noWrap w:val="0"/>
                  <w:vAlign w:val="center"/>
                </w:tcPr>
                <w:p w14:paraId="431DD70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精加工</w:t>
                  </w:r>
                </w:p>
              </w:tc>
              <w:tc>
                <w:tcPr>
                  <w:tcW w:w="2646" w:type="pct"/>
                  <w:noWrap w:val="0"/>
                  <w:vAlign w:val="center"/>
                </w:tcPr>
                <w:p w14:paraId="4EBCCDD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p>
              </w:tc>
            </w:tr>
            <w:tr w14:paraId="001C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restart"/>
                  <w:noWrap w:val="0"/>
                  <w:vAlign w:val="center"/>
                </w:tcPr>
                <w:p w14:paraId="6975AA3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348" w:type="pct"/>
                  <w:vMerge w:val="restart"/>
                  <w:noWrap w:val="0"/>
                  <w:vAlign w:val="center"/>
                </w:tcPr>
                <w:p w14:paraId="0F9E398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原有已建工段</w:t>
                  </w:r>
                </w:p>
              </w:tc>
              <w:tc>
                <w:tcPr>
                  <w:tcW w:w="801" w:type="pct"/>
                  <w:noWrap w:val="0"/>
                  <w:vAlign w:val="center"/>
                </w:tcPr>
                <w:p w14:paraId="0E5F4DA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S1</w:t>
                  </w:r>
                </w:p>
              </w:tc>
              <w:tc>
                <w:tcPr>
                  <w:tcW w:w="856" w:type="pct"/>
                  <w:shd w:val="clear" w:color="auto" w:fill="auto"/>
                  <w:noWrap w:val="0"/>
                  <w:vAlign w:val="center"/>
                </w:tcPr>
                <w:p w14:paraId="07BC260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熔化</w:t>
                  </w:r>
                </w:p>
              </w:tc>
              <w:tc>
                <w:tcPr>
                  <w:tcW w:w="2646" w:type="pct"/>
                  <w:noWrap w:val="0"/>
                  <w:vAlign w:val="center"/>
                </w:tcPr>
                <w:p w14:paraId="13652CE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废炉渣</w:t>
                  </w:r>
                </w:p>
              </w:tc>
            </w:tr>
            <w:tr w14:paraId="5696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718BCF7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2F1C6A5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385D8F3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S2</w:t>
                  </w:r>
                </w:p>
              </w:tc>
              <w:tc>
                <w:tcPr>
                  <w:tcW w:w="856" w:type="pct"/>
                  <w:shd w:val="clear" w:color="auto" w:fill="auto"/>
                  <w:noWrap w:val="0"/>
                  <w:vAlign w:val="center"/>
                </w:tcPr>
                <w:p w14:paraId="0634F74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钢包精炼炉</w:t>
                  </w:r>
                </w:p>
              </w:tc>
              <w:tc>
                <w:tcPr>
                  <w:tcW w:w="2646" w:type="pct"/>
                  <w:noWrap w:val="0"/>
                  <w:vAlign w:val="center"/>
                </w:tcPr>
                <w:p w14:paraId="4C21F92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废炉渣</w:t>
                  </w:r>
                </w:p>
              </w:tc>
            </w:tr>
            <w:tr w14:paraId="6A61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21E01E8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7DD8917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6DEDB0A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S3</w:t>
                  </w:r>
                </w:p>
              </w:tc>
              <w:tc>
                <w:tcPr>
                  <w:tcW w:w="856" w:type="pct"/>
                  <w:shd w:val="clear" w:color="auto" w:fill="auto"/>
                  <w:noWrap w:val="0"/>
                  <w:vAlign w:val="center"/>
                </w:tcPr>
                <w:p w14:paraId="31DB27E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真空精炼炉</w:t>
                  </w:r>
                </w:p>
              </w:tc>
              <w:tc>
                <w:tcPr>
                  <w:tcW w:w="2646" w:type="pct"/>
                  <w:noWrap w:val="0"/>
                  <w:vAlign w:val="center"/>
                </w:tcPr>
                <w:p w14:paraId="53E7B4B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废炉渣</w:t>
                  </w:r>
                </w:p>
              </w:tc>
            </w:tr>
            <w:tr w14:paraId="2E3A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396F147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12846CD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176484D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S4</w:t>
                  </w:r>
                </w:p>
              </w:tc>
              <w:tc>
                <w:tcPr>
                  <w:tcW w:w="856" w:type="pct"/>
                  <w:vMerge w:val="restart"/>
                  <w:shd w:val="clear" w:color="auto" w:fill="auto"/>
                  <w:noWrap w:val="0"/>
                  <w:vAlign w:val="center"/>
                </w:tcPr>
                <w:p w14:paraId="0736A165">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精铸</w:t>
                  </w:r>
                </w:p>
              </w:tc>
              <w:tc>
                <w:tcPr>
                  <w:tcW w:w="2646" w:type="pct"/>
                  <w:shd w:val="clear" w:color="auto" w:fill="auto"/>
                  <w:noWrap w:val="0"/>
                  <w:vAlign w:val="center"/>
                </w:tcPr>
                <w:p w14:paraId="734ED53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废石英砂</w:t>
                  </w:r>
                </w:p>
              </w:tc>
            </w:tr>
            <w:tr w14:paraId="0C57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BC0814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229E95D3">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70FBBCC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S</w:t>
                  </w:r>
                  <w:r>
                    <w:rPr>
                      <w:rFonts w:hint="eastAsia" w:ascii="Times New Roman" w:hAnsi="Times New Roman" w:eastAsia="宋体" w:cs="Times New Roman"/>
                      <w:color w:val="auto"/>
                      <w:kern w:val="0"/>
                      <w:sz w:val="21"/>
                      <w:szCs w:val="21"/>
                      <w:lang w:val="en-US" w:eastAsia="zh-CN"/>
                    </w:rPr>
                    <w:t>5</w:t>
                  </w:r>
                </w:p>
              </w:tc>
              <w:tc>
                <w:tcPr>
                  <w:tcW w:w="856" w:type="pct"/>
                  <w:vMerge w:val="continue"/>
                  <w:shd w:val="clear" w:color="auto" w:fill="auto"/>
                  <w:noWrap w:val="0"/>
                  <w:vAlign w:val="center"/>
                </w:tcPr>
                <w:p w14:paraId="4994370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p>
              </w:tc>
              <w:tc>
                <w:tcPr>
                  <w:tcW w:w="2646" w:type="pct"/>
                  <w:noWrap w:val="0"/>
                  <w:vAlign w:val="center"/>
                </w:tcPr>
                <w:p w14:paraId="52E71F89">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废稻壳灰</w:t>
                  </w:r>
                </w:p>
              </w:tc>
            </w:tr>
            <w:tr w14:paraId="1FF9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35BD807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02CFFFD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noWrap w:val="0"/>
                  <w:vAlign w:val="center"/>
                </w:tcPr>
                <w:p w14:paraId="3A8471D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S</w:t>
                  </w:r>
                  <w:r>
                    <w:rPr>
                      <w:rFonts w:hint="eastAsia" w:ascii="Times New Roman" w:hAnsi="Times New Roman" w:eastAsia="宋体" w:cs="Times New Roman"/>
                      <w:color w:val="auto"/>
                      <w:kern w:val="0"/>
                      <w:sz w:val="21"/>
                      <w:szCs w:val="21"/>
                      <w:lang w:val="en-US" w:eastAsia="zh-CN"/>
                    </w:rPr>
                    <w:t>6</w:t>
                  </w:r>
                </w:p>
              </w:tc>
              <w:tc>
                <w:tcPr>
                  <w:tcW w:w="856" w:type="pct"/>
                  <w:vMerge w:val="continue"/>
                  <w:noWrap w:val="0"/>
                  <w:vAlign w:val="center"/>
                </w:tcPr>
                <w:p w14:paraId="155B764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p>
              </w:tc>
              <w:tc>
                <w:tcPr>
                  <w:tcW w:w="2646" w:type="pct"/>
                  <w:noWrap w:val="0"/>
                  <w:vAlign w:val="center"/>
                </w:tcPr>
                <w:p w14:paraId="62DAE481">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浇冒口</w:t>
                  </w:r>
                </w:p>
              </w:tc>
            </w:tr>
            <w:tr w14:paraId="7410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13D7C4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restart"/>
                  <w:noWrap w:val="0"/>
                  <w:vAlign w:val="center"/>
                </w:tcPr>
                <w:p w14:paraId="46A445A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本次技改新增</w:t>
                  </w:r>
                </w:p>
              </w:tc>
              <w:tc>
                <w:tcPr>
                  <w:tcW w:w="801" w:type="pct"/>
                  <w:shd w:val="clear" w:color="auto" w:fill="auto"/>
                  <w:noWrap w:val="0"/>
                  <w:vAlign w:val="center"/>
                </w:tcPr>
                <w:p w14:paraId="4ED111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S7</w:t>
                  </w:r>
                </w:p>
              </w:tc>
              <w:tc>
                <w:tcPr>
                  <w:tcW w:w="856" w:type="pct"/>
                  <w:noWrap w:val="0"/>
                  <w:vAlign w:val="center"/>
                </w:tcPr>
                <w:p w14:paraId="3985462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焊接</w:t>
                  </w:r>
                </w:p>
              </w:tc>
              <w:tc>
                <w:tcPr>
                  <w:tcW w:w="2646" w:type="pct"/>
                  <w:noWrap w:val="0"/>
                  <w:vAlign w:val="center"/>
                </w:tcPr>
                <w:p w14:paraId="254E7EF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焊渣</w:t>
                  </w:r>
                </w:p>
              </w:tc>
            </w:tr>
            <w:tr w14:paraId="11C3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6B5360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0AFC70C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shd w:val="clear" w:color="auto" w:fill="auto"/>
                  <w:noWrap w:val="0"/>
                  <w:vAlign w:val="center"/>
                </w:tcPr>
                <w:p w14:paraId="51844C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S8</w:t>
                  </w:r>
                </w:p>
              </w:tc>
              <w:tc>
                <w:tcPr>
                  <w:tcW w:w="856" w:type="pct"/>
                  <w:noWrap w:val="0"/>
                  <w:vAlign w:val="center"/>
                </w:tcPr>
                <w:p w14:paraId="62898CD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化渣</w:t>
                  </w:r>
                </w:p>
              </w:tc>
              <w:tc>
                <w:tcPr>
                  <w:tcW w:w="2646" w:type="pct"/>
                  <w:noWrap w:val="0"/>
                  <w:vAlign w:val="center"/>
                </w:tcPr>
                <w:p w14:paraId="2B8E8808">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废渣料</w:t>
                  </w:r>
                </w:p>
              </w:tc>
            </w:tr>
            <w:tr w14:paraId="2743C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4B4AE73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5ACB5A0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shd w:val="clear" w:color="auto" w:fill="auto"/>
                  <w:noWrap w:val="0"/>
                  <w:vAlign w:val="center"/>
                </w:tcPr>
                <w:p w14:paraId="39BC5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S9</w:t>
                  </w:r>
                </w:p>
              </w:tc>
              <w:tc>
                <w:tcPr>
                  <w:tcW w:w="856" w:type="pct"/>
                  <w:vMerge w:val="restart"/>
                  <w:noWrap w:val="0"/>
                  <w:vAlign w:val="center"/>
                </w:tcPr>
                <w:p w14:paraId="73FC47B9">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电渣重熔</w:t>
                  </w:r>
                </w:p>
              </w:tc>
              <w:tc>
                <w:tcPr>
                  <w:tcW w:w="2646" w:type="pct"/>
                  <w:noWrap w:val="0"/>
                  <w:vAlign w:val="center"/>
                </w:tcPr>
                <w:p w14:paraId="345988B3">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废炉渣</w:t>
                  </w:r>
                </w:p>
              </w:tc>
            </w:tr>
            <w:tr w14:paraId="6529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53122DC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7708A2F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shd w:val="clear" w:color="auto" w:fill="auto"/>
                  <w:noWrap w:val="0"/>
                  <w:vAlign w:val="center"/>
                </w:tcPr>
                <w:p w14:paraId="703A00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S10</w:t>
                  </w:r>
                </w:p>
              </w:tc>
              <w:tc>
                <w:tcPr>
                  <w:tcW w:w="856" w:type="pct"/>
                  <w:vMerge w:val="continue"/>
                  <w:noWrap w:val="0"/>
                  <w:vAlign w:val="center"/>
                </w:tcPr>
                <w:p w14:paraId="3AAC970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bCs/>
                      <w:color w:val="auto"/>
                      <w:kern w:val="2"/>
                      <w:sz w:val="21"/>
                      <w:szCs w:val="21"/>
                      <w:lang w:val="en-US" w:eastAsia="zh-CN" w:bidi="ar-SA"/>
                    </w:rPr>
                  </w:pPr>
                </w:p>
              </w:tc>
              <w:tc>
                <w:tcPr>
                  <w:tcW w:w="2646" w:type="pct"/>
                  <w:noWrap w:val="0"/>
                  <w:vAlign w:val="center"/>
                </w:tcPr>
                <w:p w14:paraId="3EA7720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废假电极</w:t>
                  </w:r>
                </w:p>
              </w:tc>
            </w:tr>
            <w:tr w14:paraId="0214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3B997D5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1D609F5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shd w:val="clear" w:color="auto" w:fill="auto"/>
                  <w:noWrap w:val="0"/>
                  <w:vAlign w:val="center"/>
                </w:tcPr>
                <w:p w14:paraId="4029EC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S11</w:t>
                  </w:r>
                </w:p>
              </w:tc>
              <w:tc>
                <w:tcPr>
                  <w:tcW w:w="856" w:type="pct"/>
                  <w:vMerge w:val="continue"/>
                  <w:noWrap w:val="0"/>
                  <w:vAlign w:val="center"/>
                </w:tcPr>
                <w:p w14:paraId="111812FD">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b/>
                      <w:bCs/>
                      <w:color w:val="auto"/>
                      <w:sz w:val="21"/>
                      <w:szCs w:val="21"/>
                      <w:lang w:val="en-US" w:eastAsia="zh-CN"/>
                    </w:rPr>
                  </w:pPr>
                </w:p>
              </w:tc>
              <w:tc>
                <w:tcPr>
                  <w:tcW w:w="2646" w:type="pct"/>
                  <w:noWrap w:val="0"/>
                  <w:vAlign w:val="center"/>
                </w:tcPr>
                <w:p w14:paraId="05EBD0B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废渣</w:t>
                  </w:r>
                </w:p>
              </w:tc>
            </w:tr>
            <w:tr w14:paraId="2F47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49E4B7A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7CC8F82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shd w:val="clear" w:color="auto" w:fill="auto"/>
                  <w:noWrap w:val="0"/>
                  <w:vAlign w:val="center"/>
                </w:tcPr>
                <w:p w14:paraId="03FABC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S12</w:t>
                  </w:r>
                </w:p>
              </w:tc>
              <w:tc>
                <w:tcPr>
                  <w:tcW w:w="856" w:type="pct"/>
                  <w:vMerge w:val="restart"/>
                  <w:noWrap w:val="0"/>
                  <w:vAlign w:val="center"/>
                </w:tcPr>
                <w:p w14:paraId="50B0819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去冒口</w:t>
                  </w:r>
                </w:p>
              </w:tc>
              <w:tc>
                <w:tcPr>
                  <w:tcW w:w="2646" w:type="pct"/>
                  <w:noWrap w:val="0"/>
                  <w:vAlign w:val="center"/>
                </w:tcPr>
                <w:p w14:paraId="3C6818C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浇冒口</w:t>
                  </w:r>
                </w:p>
              </w:tc>
            </w:tr>
            <w:tr w14:paraId="1054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613A9EB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3ED59D8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801" w:type="pct"/>
                  <w:shd w:val="clear" w:color="auto" w:fill="auto"/>
                  <w:noWrap w:val="0"/>
                  <w:vAlign w:val="center"/>
                </w:tcPr>
                <w:p w14:paraId="1C98A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S13</w:t>
                  </w:r>
                </w:p>
              </w:tc>
              <w:tc>
                <w:tcPr>
                  <w:tcW w:w="856" w:type="pct"/>
                  <w:vMerge w:val="continue"/>
                  <w:noWrap w:val="0"/>
                  <w:vAlign w:val="center"/>
                </w:tcPr>
                <w:p w14:paraId="1D91531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rPr>
                  </w:pPr>
                </w:p>
              </w:tc>
              <w:tc>
                <w:tcPr>
                  <w:tcW w:w="2646" w:type="pct"/>
                  <w:noWrap w:val="0"/>
                  <w:vAlign w:val="center"/>
                </w:tcPr>
                <w:p w14:paraId="22F003A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废切削液</w:t>
                  </w:r>
                </w:p>
              </w:tc>
            </w:tr>
            <w:tr w14:paraId="7D20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5BA7EEDB">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restart"/>
                  <w:noWrap w:val="0"/>
                  <w:vAlign w:val="center"/>
                </w:tcPr>
                <w:p w14:paraId="02AD138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原有在建工段</w:t>
                  </w:r>
                </w:p>
              </w:tc>
              <w:tc>
                <w:tcPr>
                  <w:tcW w:w="801" w:type="pct"/>
                  <w:shd w:val="clear" w:color="auto" w:fill="auto"/>
                  <w:noWrap w:val="0"/>
                  <w:vAlign w:val="center"/>
                </w:tcPr>
                <w:p w14:paraId="56BCFF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S14</w:t>
                  </w:r>
                </w:p>
              </w:tc>
              <w:tc>
                <w:tcPr>
                  <w:tcW w:w="856" w:type="pct"/>
                  <w:noWrap w:val="0"/>
                  <w:vAlign w:val="center"/>
                </w:tcPr>
                <w:p w14:paraId="103A1F0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锻压成型</w:t>
                  </w:r>
                </w:p>
              </w:tc>
              <w:tc>
                <w:tcPr>
                  <w:tcW w:w="2646" w:type="pct"/>
                  <w:noWrap w:val="0"/>
                  <w:vAlign w:val="center"/>
                </w:tcPr>
                <w:p w14:paraId="5FF54BE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金属氧化皮</w:t>
                  </w:r>
                </w:p>
              </w:tc>
            </w:tr>
            <w:tr w14:paraId="7870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073E2C5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464CFF9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17E5C6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S15</w:t>
                  </w:r>
                </w:p>
              </w:tc>
              <w:tc>
                <w:tcPr>
                  <w:tcW w:w="856" w:type="pct"/>
                  <w:vMerge w:val="restart"/>
                  <w:noWrap w:val="0"/>
                  <w:vAlign w:val="center"/>
                </w:tcPr>
                <w:p w14:paraId="6244211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打磨</w:t>
                  </w:r>
                </w:p>
              </w:tc>
              <w:tc>
                <w:tcPr>
                  <w:tcW w:w="2646" w:type="pct"/>
                  <w:noWrap w:val="0"/>
                  <w:vAlign w:val="center"/>
                </w:tcPr>
                <w:p w14:paraId="43CB5B03">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废切削液</w:t>
                  </w:r>
                </w:p>
              </w:tc>
            </w:tr>
            <w:tr w14:paraId="6824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501D410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179C65E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2D2E6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S16</w:t>
                  </w:r>
                </w:p>
              </w:tc>
              <w:tc>
                <w:tcPr>
                  <w:tcW w:w="856" w:type="pct"/>
                  <w:vMerge w:val="continue"/>
                  <w:noWrap w:val="0"/>
                  <w:vAlign w:val="center"/>
                </w:tcPr>
                <w:p w14:paraId="5D86461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p>
              </w:tc>
              <w:tc>
                <w:tcPr>
                  <w:tcW w:w="2646" w:type="pct"/>
                  <w:noWrap w:val="0"/>
                  <w:vAlign w:val="center"/>
                </w:tcPr>
                <w:p w14:paraId="63C2B978">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磨削泥</w:t>
                  </w:r>
                </w:p>
              </w:tc>
            </w:tr>
            <w:tr w14:paraId="07FF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63E862C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730F26A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71D14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S17</w:t>
                  </w:r>
                </w:p>
              </w:tc>
              <w:tc>
                <w:tcPr>
                  <w:tcW w:w="856" w:type="pct"/>
                  <w:vMerge w:val="restart"/>
                  <w:noWrap w:val="0"/>
                  <w:vAlign w:val="center"/>
                </w:tcPr>
                <w:p w14:paraId="0332972D">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精加工</w:t>
                  </w:r>
                </w:p>
              </w:tc>
              <w:tc>
                <w:tcPr>
                  <w:tcW w:w="2646" w:type="pct"/>
                  <w:noWrap w:val="0"/>
                  <w:vAlign w:val="center"/>
                </w:tcPr>
                <w:p w14:paraId="61B21E3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废乳化油</w:t>
                  </w:r>
                </w:p>
              </w:tc>
            </w:tr>
            <w:tr w14:paraId="0D08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4B876FB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0C276AC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0BD6D5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S18</w:t>
                  </w:r>
                </w:p>
              </w:tc>
              <w:tc>
                <w:tcPr>
                  <w:tcW w:w="856" w:type="pct"/>
                  <w:vMerge w:val="continue"/>
                  <w:noWrap w:val="0"/>
                  <w:vAlign w:val="center"/>
                </w:tcPr>
                <w:p w14:paraId="45DE16E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2646" w:type="pct"/>
                  <w:noWrap w:val="0"/>
                  <w:vAlign w:val="center"/>
                </w:tcPr>
                <w:p w14:paraId="3D215BF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废边角料</w:t>
                  </w:r>
                </w:p>
              </w:tc>
            </w:tr>
            <w:tr w14:paraId="22D7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49BEEB5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6E13387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5A33D8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S19</w:t>
                  </w:r>
                </w:p>
              </w:tc>
              <w:tc>
                <w:tcPr>
                  <w:tcW w:w="856" w:type="pct"/>
                  <w:noWrap w:val="0"/>
                  <w:vAlign w:val="center"/>
                </w:tcPr>
                <w:p w14:paraId="14552C9C">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w:t>
                  </w:r>
                </w:p>
              </w:tc>
              <w:tc>
                <w:tcPr>
                  <w:tcW w:w="2646" w:type="pct"/>
                  <w:noWrap w:val="0"/>
                  <w:vAlign w:val="center"/>
                </w:tcPr>
                <w:p w14:paraId="1A27EB0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不合格品</w:t>
                  </w:r>
                </w:p>
              </w:tc>
            </w:tr>
            <w:tr w14:paraId="3414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5F19DD9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vMerge w:val="continue"/>
                  <w:noWrap w:val="0"/>
                  <w:vAlign w:val="center"/>
                </w:tcPr>
                <w:p w14:paraId="16365CC3">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801" w:type="pct"/>
                  <w:shd w:val="clear" w:color="auto" w:fill="auto"/>
                  <w:noWrap w:val="0"/>
                  <w:vAlign w:val="center"/>
                </w:tcPr>
                <w:p w14:paraId="5D5CA4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S20</w:t>
                  </w:r>
                </w:p>
              </w:tc>
              <w:tc>
                <w:tcPr>
                  <w:tcW w:w="856" w:type="pct"/>
                  <w:noWrap w:val="0"/>
                  <w:vAlign w:val="center"/>
                </w:tcPr>
                <w:p w14:paraId="64D7956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包装入库</w:t>
                  </w:r>
                </w:p>
              </w:tc>
              <w:tc>
                <w:tcPr>
                  <w:tcW w:w="2646" w:type="pct"/>
                  <w:noWrap w:val="0"/>
                  <w:vAlign w:val="center"/>
                </w:tcPr>
                <w:p w14:paraId="4CA621E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废包装袋</w:t>
                  </w:r>
                </w:p>
              </w:tc>
            </w:tr>
            <w:tr w14:paraId="55B6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895F0D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noWrap w:val="0"/>
                  <w:vAlign w:val="center"/>
                </w:tcPr>
                <w:p w14:paraId="17B54F0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801" w:type="pct"/>
                  <w:shd w:val="clear" w:color="auto" w:fill="auto"/>
                  <w:noWrap w:val="0"/>
                  <w:vAlign w:val="center"/>
                </w:tcPr>
                <w:p w14:paraId="009CA4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rPr>
                    <w:t>/</w:t>
                  </w:r>
                </w:p>
              </w:tc>
              <w:tc>
                <w:tcPr>
                  <w:tcW w:w="856" w:type="pct"/>
                  <w:noWrap w:val="0"/>
                  <w:vAlign w:val="center"/>
                </w:tcPr>
                <w:p w14:paraId="590869D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原料拆包</w:t>
                  </w:r>
                </w:p>
              </w:tc>
              <w:tc>
                <w:tcPr>
                  <w:tcW w:w="2646" w:type="pct"/>
                  <w:noWrap w:val="0"/>
                  <w:vAlign w:val="center"/>
                </w:tcPr>
                <w:p w14:paraId="47CA4C7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废包装桶</w:t>
                  </w:r>
                </w:p>
              </w:tc>
            </w:tr>
            <w:tr w14:paraId="2FB1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78587DA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noWrap w:val="0"/>
                  <w:vAlign w:val="center"/>
                </w:tcPr>
                <w:p w14:paraId="058C4439">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801" w:type="pct"/>
                  <w:shd w:val="clear" w:color="auto" w:fill="auto"/>
                  <w:noWrap w:val="0"/>
                  <w:vAlign w:val="center"/>
                </w:tcPr>
                <w:p w14:paraId="7FE015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rPr>
                    <w:t>/</w:t>
                  </w:r>
                </w:p>
              </w:tc>
              <w:tc>
                <w:tcPr>
                  <w:tcW w:w="856" w:type="pct"/>
                  <w:vMerge w:val="restart"/>
                  <w:noWrap w:val="0"/>
                  <w:vAlign w:val="center"/>
                </w:tcPr>
                <w:p w14:paraId="4A0409B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日常维护保养</w:t>
                  </w:r>
                </w:p>
              </w:tc>
              <w:tc>
                <w:tcPr>
                  <w:tcW w:w="2646" w:type="pct"/>
                  <w:noWrap w:val="0"/>
                  <w:vAlign w:val="center"/>
                </w:tcPr>
                <w:p w14:paraId="7D649E7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w:t>
                  </w:r>
                  <w:r>
                    <w:rPr>
                      <w:rFonts w:hint="eastAsia" w:ascii="Times New Roman" w:hAnsi="Times New Roman" w:eastAsia="宋体" w:cs="Times New Roman"/>
                      <w:color w:val="auto"/>
                      <w:sz w:val="21"/>
                      <w:szCs w:val="21"/>
                      <w:lang w:val="en-US" w:eastAsia="zh-CN"/>
                    </w:rPr>
                    <w:t>润滑油</w:t>
                  </w:r>
                </w:p>
              </w:tc>
            </w:tr>
            <w:tr w14:paraId="4967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2FF4CEC0">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shd w:val="clear" w:color="auto" w:fill="auto"/>
                  <w:noWrap w:val="0"/>
                  <w:vAlign w:val="center"/>
                </w:tcPr>
                <w:p w14:paraId="3FF3223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w:t>
                  </w:r>
                </w:p>
              </w:tc>
              <w:tc>
                <w:tcPr>
                  <w:tcW w:w="801" w:type="pct"/>
                  <w:shd w:val="clear" w:color="auto" w:fill="auto"/>
                  <w:noWrap w:val="0"/>
                  <w:vAlign w:val="center"/>
                </w:tcPr>
                <w:p w14:paraId="1BB8FD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color w:val="auto"/>
                      <w:kern w:val="0"/>
                      <w:sz w:val="21"/>
                      <w:szCs w:val="21"/>
                      <w:lang w:val="en-US" w:eastAsia="zh-CN"/>
                    </w:rPr>
                    <w:t>/</w:t>
                  </w:r>
                </w:p>
              </w:tc>
              <w:tc>
                <w:tcPr>
                  <w:tcW w:w="856" w:type="pct"/>
                  <w:vMerge w:val="continue"/>
                  <w:noWrap w:val="0"/>
                  <w:vAlign w:val="center"/>
                </w:tcPr>
                <w:p w14:paraId="1AE25B25">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p>
              </w:tc>
              <w:tc>
                <w:tcPr>
                  <w:tcW w:w="2646" w:type="pct"/>
                  <w:noWrap w:val="0"/>
                  <w:vAlign w:val="center"/>
                </w:tcPr>
                <w:p w14:paraId="449C7DB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废耐火材料</w:t>
                  </w:r>
                </w:p>
              </w:tc>
            </w:tr>
            <w:tr w14:paraId="1A46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354FC7AA">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noWrap w:val="0"/>
                  <w:vAlign w:val="center"/>
                </w:tcPr>
                <w:p w14:paraId="05CE5E1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801" w:type="pct"/>
                  <w:noWrap w:val="0"/>
                  <w:vAlign w:val="center"/>
                </w:tcPr>
                <w:p w14:paraId="47291A1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56" w:type="pct"/>
                  <w:vMerge w:val="restart"/>
                  <w:noWrap w:val="0"/>
                  <w:vAlign w:val="center"/>
                </w:tcPr>
                <w:p w14:paraId="12C13DC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废气处理</w:t>
                  </w:r>
                </w:p>
              </w:tc>
              <w:tc>
                <w:tcPr>
                  <w:tcW w:w="2646" w:type="pct"/>
                  <w:noWrap w:val="0"/>
                  <w:vAlign w:val="center"/>
                </w:tcPr>
                <w:p w14:paraId="2AF3A60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布袋除尘器收尘</w:t>
                  </w:r>
                </w:p>
              </w:tc>
            </w:tr>
            <w:tr w14:paraId="5739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14A887B6">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noWrap w:val="0"/>
                  <w:vAlign w:val="center"/>
                </w:tcPr>
                <w:p w14:paraId="0460AF6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801" w:type="pct"/>
                  <w:noWrap w:val="0"/>
                  <w:vAlign w:val="center"/>
                </w:tcPr>
                <w:p w14:paraId="72A5262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56" w:type="pct"/>
                  <w:vMerge w:val="continue"/>
                  <w:noWrap w:val="0"/>
                  <w:vAlign w:val="center"/>
                </w:tcPr>
                <w:p w14:paraId="3E2E0AF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p>
              </w:tc>
              <w:tc>
                <w:tcPr>
                  <w:tcW w:w="2646" w:type="pct"/>
                  <w:noWrap w:val="0"/>
                  <w:vAlign w:val="center"/>
                </w:tcPr>
                <w:p w14:paraId="5A8525C2">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r>
            <w:tr w14:paraId="08176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exact"/>
                <w:jc w:val="center"/>
              </w:trPr>
              <w:tc>
                <w:tcPr>
                  <w:tcW w:w="347" w:type="pct"/>
                  <w:vMerge w:val="continue"/>
                  <w:noWrap w:val="0"/>
                  <w:vAlign w:val="center"/>
                </w:tcPr>
                <w:p w14:paraId="4A0337A2">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348" w:type="pct"/>
                  <w:noWrap w:val="0"/>
                  <w:vAlign w:val="center"/>
                </w:tcPr>
                <w:p w14:paraId="0A7F32F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w:t>
                  </w:r>
                </w:p>
              </w:tc>
              <w:tc>
                <w:tcPr>
                  <w:tcW w:w="801" w:type="pct"/>
                  <w:noWrap w:val="0"/>
                  <w:vAlign w:val="center"/>
                </w:tcPr>
                <w:p w14:paraId="1C1DF20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t>
                  </w:r>
                </w:p>
              </w:tc>
              <w:tc>
                <w:tcPr>
                  <w:tcW w:w="856" w:type="pct"/>
                  <w:vMerge w:val="continue"/>
                  <w:noWrap w:val="0"/>
                  <w:vAlign w:val="center"/>
                </w:tcPr>
                <w:p w14:paraId="0FD81CCF">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eastAsia="zh-CN"/>
                    </w:rPr>
                  </w:pPr>
                </w:p>
              </w:tc>
              <w:tc>
                <w:tcPr>
                  <w:tcW w:w="2646" w:type="pct"/>
                  <w:noWrap w:val="0"/>
                  <w:vAlign w:val="center"/>
                </w:tcPr>
                <w:p w14:paraId="13F6D111">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废滤筒</w:t>
                  </w:r>
                </w:p>
              </w:tc>
            </w:tr>
          </w:tbl>
          <w:p w14:paraId="1961BF49">
            <w:pPr>
              <w:keepNext w:val="0"/>
              <w:keepLines w:val="0"/>
              <w:suppressLineNumbers w:val="0"/>
              <w:spacing w:before="0" w:beforeAutospacing="0" w:after="0" w:afterAutospacing="0" w:line="360" w:lineRule="auto"/>
              <w:ind w:left="0" w:right="0" w:firstLine="420" w:firstLineChars="200"/>
              <w:rPr>
                <w:rFonts w:hint="default" w:ascii="Times New Roman" w:hAnsi="Times New Roman" w:eastAsia="宋体" w:cs="Times New Roman"/>
                <w:color w:val="auto"/>
                <w:lang w:val="en-US" w:eastAsia="zh-CN"/>
              </w:rPr>
            </w:pPr>
          </w:p>
        </w:tc>
      </w:tr>
      <w:tr w14:paraId="1117C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79" w:type="dxa"/>
            <w:noWrap w:val="0"/>
            <w:vAlign w:val="center"/>
          </w:tcPr>
          <w:p w14:paraId="31C38FC6">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605" w:type="dxa"/>
            <w:noWrap w:val="0"/>
            <w:vAlign w:val="top"/>
          </w:tcPr>
          <w:p w14:paraId="767B7E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0" w:right="0"/>
              <w:textAlignment w:val="auto"/>
              <w:rPr>
                <w:rFonts w:hint="eastAsia"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1、原有项目概况</w:t>
            </w:r>
          </w:p>
          <w:p w14:paraId="6621356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cs="Times New Roman"/>
                <w:color w:val="auto"/>
                <w:sz w:val="24"/>
                <w:szCs w:val="24"/>
                <w:highlight w:val="none"/>
                <w:lang w:eastAsia="zh-CN"/>
              </w:rPr>
            </w:pPr>
            <w:r>
              <w:rPr>
                <w:rFonts w:hint="eastAsia" w:cs="Times New Roman"/>
                <w:color w:val="auto"/>
                <w:sz w:val="24"/>
                <w:szCs w:val="24"/>
                <w:highlight w:val="none"/>
                <w:lang w:eastAsia="zh-CN"/>
              </w:rPr>
              <w:t>常州市昌帆金属科技有限公司</w:t>
            </w:r>
            <w:r>
              <w:rPr>
                <w:rFonts w:hint="eastAsia" w:hAnsi="宋体"/>
                <w:color w:val="auto"/>
                <w:sz w:val="24"/>
                <w:highlight w:val="none"/>
                <w:lang w:val="en-US" w:eastAsia="zh-CN"/>
              </w:rPr>
              <w:t>于2022年通过司法拍卖取得</w:t>
            </w:r>
            <w:r>
              <w:rPr>
                <w:rFonts w:hint="eastAsia" w:hAnsi="宋体"/>
                <w:color w:val="auto"/>
                <w:sz w:val="24"/>
                <w:highlight w:val="none"/>
              </w:rPr>
              <w:t>常州金坛鑫豪特种机械配件有限公司</w:t>
            </w:r>
            <w:r>
              <w:rPr>
                <w:rFonts w:hint="eastAsia" w:hAnsi="宋体"/>
                <w:color w:val="auto"/>
                <w:sz w:val="24"/>
                <w:highlight w:val="none"/>
                <w:lang w:eastAsia="zh-CN"/>
              </w:rPr>
              <w:t>（</w:t>
            </w:r>
            <w:r>
              <w:rPr>
                <w:rFonts w:hint="eastAsia" w:hAnsi="宋体"/>
                <w:color w:val="auto"/>
                <w:sz w:val="24"/>
                <w:highlight w:val="none"/>
                <w:lang w:val="en-US" w:eastAsia="zh-CN"/>
              </w:rPr>
              <w:t>以下简称“鑫豪机械”</w:t>
            </w:r>
            <w:r>
              <w:rPr>
                <w:rFonts w:hint="eastAsia" w:hAnsi="宋体"/>
                <w:color w:val="auto"/>
                <w:sz w:val="24"/>
                <w:highlight w:val="none"/>
                <w:lang w:eastAsia="zh-CN"/>
              </w:rPr>
              <w:t>）</w:t>
            </w:r>
            <w:r>
              <w:rPr>
                <w:rFonts w:hint="eastAsia" w:hAnsi="宋体"/>
                <w:color w:val="auto"/>
                <w:sz w:val="24"/>
                <w:highlight w:val="none"/>
                <w:lang w:val="en-US" w:eastAsia="zh-CN"/>
              </w:rPr>
              <w:t>的全部资产。鑫豪机械</w:t>
            </w:r>
            <w:r>
              <w:rPr>
                <w:rFonts w:hint="eastAsia" w:hAnsi="宋体"/>
                <w:color w:val="auto"/>
                <w:sz w:val="24"/>
                <w:highlight w:val="none"/>
              </w:rPr>
              <w:t>“扩建高合金铸件、锻件项目”</w:t>
            </w:r>
            <w:r>
              <w:rPr>
                <w:rFonts w:hint="eastAsia" w:hAnsi="宋体"/>
                <w:color w:val="auto"/>
                <w:sz w:val="24"/>
                <w:highlight w:val="none"/>
                <w:lang w:eastAsia="zh-CN"/>
              </w:rPr>
              <w:t>（</w:t>
            </w:r>
            <w:r>
              <w:rPr>
                <w:rFonts w:hint="eastAsia" w:hAnsi="宋体"/>
                <w:color w:val="auto"/>
                <w:sz w:val="24"/>
                <w:highlight w:val="none"/>
                <w:lang w:val="en-US" w:eastAsia="zh-CN"/>
              </w:rPr>
              <w:t>铸造产能35000吨/年</w:t>
            </w:r>
            <w:r>
              <w:rPr>
                <w:rFonts w:hint="eastAsia" w:hAnsi="宋体"/>
                <w:color w:val="auto"/>
                <w:sz w:val="24"/>
                <w:highlight w:val="none"/>
                <w:lang w:eastAsia="zh-CN"/>
              </w:rPr>
              <w:t>）</w:t>
            </w:r>
            <w:r>
              <w:rPr>
                <w:rFonts w:hint="eastAsia" w:hAnsi="宋体"/>
                <w:color w:val="auto"/>
                <w:sz w:val="24"/>
                <w:highlight w:val="none"/>
              </w:rPr>
              <w:t>于2010年5月31日取得</w:t>
            </w:r>
            <w:r>
              <w:rPr>
                <w:rFonts w:hint="eastAsia" w:hAnsi="宋体"/>
                <w:color w:val="auto"/>
                <w:sz w:val="24"/>
                <w:highlight w:val="none"/>
                <w:lang w:eastAsia="zh-CN"/>
              </w:rPr>
              <w:t>了</w:t>
            </w:r>
            <w:r>
              <w:rPr>
                <w:rFonts w:hint="eastAsia" w:hAnsi="宋体"/>
                <w:color w:val="auto"/>
                <w:sz w:val="24"/>
                <w:highlight w:val="none"/>
                <w:lang w:val="en-US" w:eastAsia="zh-CN"/>
              </w:rPr>
              <w:t>金坛市环境保护局批复</w:t>
            </w:r>
            <w:r>
              <w:rPr>
                <w:rFonts w:hint="eastAsia" w:hAnsi="宋体"/>
                <w:color w:val="auto"/>
                <w:sz w:val="24"/>
                <w:highlight w:val="none"/>
              </w:rPr>
              <w:t>（坛环审</w:t>
            </w:r>
            <w:r>
              <w:rPr>
                <w:rFonts w:hint="eastAsia" w:ascii="宋体" w:hAnsi="宋体" w:eastAsia="宋体" w:cs="宋体"/>
                <w:color w:val="auto"/>
                <w:sz w:val="24"/>
                <w:highlight w:val="none"/>
              </w:rPr>
              <w:t>〔</w:t>
            </w:r>
            <w:r>
              <w:rPr>
                <w:rFonts w:hint="eastAsia" w:hAnsi="宋体"/>
                <w:color w:val="auto"/>
                <w:sz w:val="24"/>
                <w:highlight w:val="none"/>
              </w:rPr>
              <w:t>2010</w:t>
            </w:r>
            <w:r>
              <w:rPr>
                <w:rFonts w:hint="eastAsia" w:ascii="宋体" w:hAnsi="宋体" w:eastAsia="宋体" w:cs="宋体"/>
                <w:color w:val="auto"/>
                <w:sz w:val="24"/>
                <w:highlight w:val="none"/>
              </w:rPr>
              <w:t>〕</w:t>
            </w:r>
            <w:r>
              <w:rPr>
                <w:rFonts w:hint="eastAsia" w:hAnsi="宋体"/>
                <w:color w:val="auto"/>
                <w:sz w:val="24"/>
                <w:highlight w:val="none"/>
              </w:rPr>
              <w:t>107号）</w:t>
            </w:r>
            <w:r>
              <w:rPr>
                <w:rFonts w:hint="eastAsia" w:hAnsi="宋体"/>
                <w:color w:val="auto"/>
                <w:sz w:val="24"/>
                <w:highlight w:val="none"/>
                <w:lang w:eastAsia="zh-CN"/>
              </w:rPr>
              <w:t>，</w:t>
            </w:r>
            <w:r>
              <w:rPr>
                <w:rFonts w:hint="eastAsia" w:hAnsi="宋体"/>
                <w:color w:val="auto"/>
                <w:sz w:val="24"/>
                <w:highlight w:val="none"/>
                <w:lang w:val="en-US" w:eastAsia="zh-CN"/>
              </w:rPr>
              <w:t>于</w:t>
            </w:r>
            <w:r>
              <w:rPr>
                <w:rFonts w:hint="eastAsia" w:hAnsi="宋体"/>
                <w:color w:val="auto"/>
                <w:sz w:val="24"/>
                <w:highlight w:val="none"/>
              </w:rPr>
              <w:t>2010年12月30日</w:t>
            </w:r>
            <w:r>
              <w:rPr>
                <w:rFonts w:hint="eastAsia" w:hAnsi="宋体"/>
                <w:color w:val="auto"/>
                <w:sz w:val="24"/>
                <w:highlight w:val="none"/>
                <w:lang w:val="en-US" w:eastAsia="zh-CN"/>
              </w:rPr>
              <w:t>通过了金坛市环境保护局环境保护竣工验收（</w:t>
            </w:r>
            <w:r>
              <w:rPr>
                <w:rFonts w:hint="eastAsia" w:hAnsi="宋体"/>
                <w:color w:val="auto"/>
                <w:sz w:val="24"/>
                <w:highlight w:val="none"/>
              </w:rPr>
              <w:t>坛环验</w:t>
            </w:r>
            <w:r>
              <w:rPr>
                <w:rFonts w:hint="eastAsia" w:ascii="宋体" w:hAnsi="宋体" w:eastAsia="宋体" w:cs="宋体"/>
                <w:color w:val="auto"/>
                <w:sz w:val="24"/>
                <w:highlight w:val="none"/>
              </w:rPr>
              <w:t>〔</w:t>
            </w:r>
            <w:r>
              <w:rPr>
                <w:rFonts w:hint="eastAsia" w:hAnsi="宋体"/>
                <w:color w:val="auto"/>
                <w:sz w:val="24"/>
                <w:highlight w:val="none"/>
              </w:rPr>
              <w:t>2010</w:t>
            </w:r>
            <w:r>
              <w:rPr>
                <w:rFonts w:hint="eastAsia" w:ascii="宋体" w:hAnsi="宋体" w:eastAsia="宋体" w:cs="宋体"/>
                <w:color w:val="auto"/>
                <w:sz w:val="24"/>
                <w:highlight w:val="none"/>
              </w:rPr>
              <w:t>〕</w:t>
            </w:r>
            <w:r>
              <w:rPr>
                <w:rFonts w:hint="eastAsia" w:hAnsi="宋体"/>
                <w:color w:val="auto"/>
                <w:sz w:val="24"/>
                <w:highlight w:val="none"/>
              </w:rPr>
              <w:t>30号</w:t>
            </w:r>
            <w:r>
              <w:rPr>
                <w:rFonts w:hint="eastAsia" w:hAnsi="宋体"/>
                <w:color w:val="auto"/>
                <w:sz w:val="24"/>
                <w:highlight w:val="none"/>
                <w:lang w:val="en-US" w:eastAsia="zh-CN"/>
              </w:rPr>
              <w:t>）</w:t>
            </w:r>
            <w:r>
              <w:rPr>
                <w:rFonts w:hint="eastAsia" w:hAnsi="宋体"/>
                <w:color w:val="auto"/>
                <w:sz w:val="24"/>
                <w:highlight w:val="none"/>
              </w:rPr>
              <w:t>。2021年8月30日</w:t>
            </w:r>
            <w:r>
              <w:rPr>
                <w:rFonts w:hint="eastAsia" w:hAnsi="宋体"/>
                <w:color w:val="auto"/>
                <w:sz w:val="24"/>
                <w:highlight w:val="none"/>
                <w:lang w:val="en-US" w:eastAsia="zh-CN"/>
              </w:rPr>
              <w:t>昌帆金属</w:t>
            </w:r>
            <w:r>
              <w:rPr>
                <w:rFonts w:hint="eastAsia" w:hAnsi="宋体"/>
                <w:color w:val="auto"/>
                <w:sz w:val="24"/>
                <w:highlight w:val="none"/>
              </w:rPr>
              <w:t>取得</w:t>
            </w:r>
            <w:r>
              <w:rPr>
                <w:rFonts w:hint="eastAsia" w:hAnsi="宋体"/>
                <w:color w:val="auto"/>
                <w:sz w:val="24"/>
                <w:highlight w:val="none"/>
                <w:lang w:eastAsia="zh-CN"/>
              </w:rPr>
              <w:t>了</w:t>
            </w:r>
            <w:r>
              <w:rPr>
                <w:rFonts w:hint="eastAsia" w:hAnsi="宋体"/>
                <w:color w:val="auto"/>
                <w:sz w:val="24"/>
                <w:highlight w:val="none"/>
                <w:lang w:val="en-US" w:eastAsia="zh-CN"/>
              </w:rPr>
              <w:t>常州市金坛生态环境局</w:t>
            </w:r>
            <w:r>
              <w:rPr>
                <w:rFonts w:hint="eastAsia" w:hAnsi="宋体"/>
                <w:color w:val="auto"/>
                <w:sz w:val="24"/>
                <w:highlight w:val="none"/>
              </w:rPr>
              <w:t>《关于常州金坛鑫豪特种机械配件有限公司建设项目主体变更为常州昌帆金属科技有限公司的申请》的复函，明确项目仅建设主体由“常州金坛鑫豪特种机械配件有限公司”变更为“常州市昌帆金属科技有限公司”</w:t>
            </w:r>
            <w:r>
              <w:rPr>
                <w:rFonts w:hint="eastAsia" w:hAnsi="宋体"/>
                <w:color w:val="auto"/>
                <w:sz w:val="24"/>
                <w:highlight w:val="none"/>
                <w:lang w:eastAsia="zh-CN"/>
              </w:rPr>
              <w:t>，</w:t>
            </w:r>
            <w:r>
              <w:rPr>
                <w:rFonts w:hint="eastAsia" w:hAnsi="宋体"/>
                <w:color w:val="auto"/>
                <w:sz w:val="24"/>
                <w:highlight w:val="none"/>
              </w:rPr>
              <w:t>在项目的性质、规模、地点、采用的生产工艺、防止污染、防止生态破坏措施等均未发生变动的前提下，无需重新报批建设项目的环境影响评价文件。</w:t>
            </w:r>
          </w:p>
          <w:p w14:paraId="4ADE7B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hAnsi="宋体" w:eastAsia="宋体"/>
                <w:color w:val="auto"/>
                <w:sz w:val="24"/>
                <w:highlight w:val="none"/>
                <w:lang w:val="en-US" w:eastAsia="zh-CN"/>
              </w:rPr>
            </w:pPr>
            <w:r>
              <w:rPr>
                <w:rFonts w:hint="eastAsia" w:hAnsi="宋体"/>
                <w:color w:val="auto"/>
                <w:sz w:val="24"/>
                <w:highlight w:val="none"/>
                <w:lang w:val="en-US" w:eastAsia="zh-CN"/>
              </w:rPr>
              <w:t>“新建年产各种机械配件43500吨项目”于2024年1月17日取得了常州市生态环境局批复（常金环审</w:t>
            </w:r>
            <w:r>
              <w:rPr>
                <w:rFonts w:hint="eastAsia" w:ascii="宋体" w:hAnsi="宋体" w:eastAsia="宋体" w:cs="宋体"/>
                <w:color w:val="auto"/>
                <w:sz w:val="24"/>
                <w:highlight w:val="none"/>
              </w:rPr>
              <w:t>〔</w:t>
            </w:r>
            <w:r>
              <w:rPr>
                <w:rFonts w:hint="eastAsia" w:hAnsi="宋体"/>
                <w:color w:val="auto"/>
                <w:sz w:val="24"/>
                <w:highlight w:val="none"/>
              </w:rPr>
              <w:t>20</w:t>
            </w:r>
            <w:r>
              <w:rPr>
                <w:rFonts w:hint="eastAsia" w:hAnsi="宋体"/>
                <w:color w:val="auto"/>
                <w:sz w:val="24"/>
                <w:highlight w:val="none"/>
                <w:lang w:val="en-US" w:eastAsia="zh-CN"/>
              </w:rPr>
              <w:t>24</w:t>
            </w:r>
            <w:r>
              <w:rPr>
                <w:rFonts w:hint="eastAsia" w:ascii="宋体" w:hAnsi="宋体" w:eastAsia="宋体" w:cs="宋体"/>
                <w:color w:val="auto"/>
                <w:sz w:val="24"/>
                <w:highlight w:val="none"/>
              </w:rPr>
              <w:t>〕</w:t>
            </w:r>
            <w:r>
              <w:rPr>
                <w:rFonts w:hint="eastAsia" w:hAnsi="宋体"/>
                <w:color w:val="auto"/>
                <w:sz w:val="24"/>
                <w:highlight w:val="none"/>
                <w:lang w:val="en-US" w:eastAsia="zh-CN"/>
              </w:rPr>
              <w:t>10号），该项目正在建设中，计划与本次技改项目一同投产。</w:t>
            </w:r>
          </w:p>
          <w:p w14:paraId="5A327E1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rPr>
              <w:t>公司于</w:t>
            </w:r>
            <w:r>
              <w:rPr>
                <w:rFonts w:hint="eastAsia" w:cs="Times New Roman"/>
                <w:color w:val="auto"/>
                <w:sz w:val="24"/>
                <w:szCs w:val="24"/>
                <w:lang w:eastAsia="zh-CN"/>
              </w:rPr>
              <w:t>2022年9月8日</w:t>
            </w:r>
            <w:r>
              <w:rPr>
                <w:rFonts w:hint="eastAsia" w:ascii="Times New Roman" w:hAnsi="Times New Roman" w:cs="Times New Roman"/>
                <w:color w:val="auto"/>
                <w:sz w:val="24"/>
                <w:szCs w:val="24"/>
                <w:lang w:val="en-US" w:eastAsia="zh-CN"/>
              </w:rPr>
              <w:t>首次</w:t>
            </w:r>
            <w:r>
              <w:rPr>
                <w:rFonts w:hint="eastAsia" w:ascii="Times New Roman" w:hAnsi="Times New Roman" w:cs="Times New Roman"/>
                <w:color w:val="auto"/>
                <w:sz w:val="24"/>
                <w:szCs w:val="24"/>
              </w:rPr>
              <w:t>取得《</w:t>
            </w:r>
            <w:r>
              <w:rPr>
                <w:rFonts w:hint="eastAsia" w:ascii="Times New Roman" w:hAnsi="Times New Roman" w:cs="Times New Roman"/>
                <w:color w:val="auto"/>
                <w:sz w:val="24"/>
                <w:szCs w:val="24"/>
                <w:lang w:val="en-US" w:eastAsia="zh-CN"/>
              </w:rPr>
              <w:t>排污许可证</w:t>
            </w:r>
            <w:r>
              <w:rPr>
                <w:rFonts w:hint="eastAsia" w:ascii="Times New Roman" w:hAnsi="Times New Roman" w:cs="Times New Roman"/>
                <w:color w:val="auto"/>
                <w:sz w:val="24"/>
                <w:szCs w:val="24"/>
              </w:rPr>
              <w:t>》（编号91320413MA1YNBQW2B001</w:t>
            </w:r>
            <w:r>
              <w:rPr>
                <w:rFonts w:hint="eastAsia" w:cs="Times New Roman"/>
                <w:color w:val="auto"/>
                <w:sz w:val="24"/>
                <w:szCs w:val="24"/>
                <w:lang w:val="en-US" w:eastAsia="zh-CN"/>
              </w:rPr>
              <w:t>Q</w:t>
            </w:r>
            <w:r>
              <w:rPr>
                <w:rFonts w:hint="eastAsia" w:ascii="Times New Roman" w:hAnsi="Times New Roman" w:cs="Times New Roman"/>
                <w:color w:val="auto"/>
                <w:sz w:val="24"/>
                <w:szCs w:val="24"/>
              </w:rPr>
              <w:t>），</w:t>
            </w:r>
            <w:r>
              <w:rPr>
                <w:rFonts w:hint="default" w:ascii="Times New Roman" w:hAnsi="Times New Roman" w:cs="Times New Roman"/>
                <w:color w:val="auto"/>
                <w:spacing w:val="10"/>
                <w:sz w:val="24"/>
                <w:szCs w:val="24"/>
                <w:lang w:bidi="ar"/>
              </w:rPr>
              <w:t>有效期限为20</w:t>
            </w:r>
            <w:r>
              <w:rPr>
                <w:rFonts w:hint="eastAsia" w:ascii="Times New Roman" w:hAnsi="Times New Roman" w:cs="Times New Roman"/>
                <w:color w:val="auto"/>
                <w:spacing w:val="10"/>
                <w:sz w:val="24"/>
                <w:szCs w:val="24"/>
                <w:lang w:val="en-US" w:eastAsia="zh-CN" w:bidi="ar"/>
              </w:rPr>
              <w:t>2</w:t>
            </w:r>
            <w:r>
              <w:rPr>
                <w:rFonts w:hint="eastAsia" w:cs="Times New Roman"/>
                <w:color w:val="auto"/>
                <w:spacing w:val="10"/>
                <w:sz w:val="24"/>
                <w:szCs w:val="24"/>
                <w:lang w:val="en-US" w:eastAsia="zh-CN" w:bidi="ar"/>
              </w:rPr>
              <w:t>2</w:t>
            </w:r>
            <w:r>
              <w:rPr>
                <w:rFonts w:hint="default" w:ascii="Times New Roman" w:hAnsi="Times New Roman" w:cs="Times New Roman"/>
                <w:color w:val="auto"/>
                <w:spacing w:val="10"/>
                <w:sz w:val="24"/>
                <w:szCs w:val="24"/>
                <w:lang w:bidi="ar"/>
              </w:rPr>
              <w:t>年</w:t>
            </w:r>
            <w:r>
              <w:rPr>
                <w:rFonts w:hint="eastAsia"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rPr>
              <w:t>月</w:t>
            </w:r>
            <w:r>
              <w:rPr>
                <w:rFonts w:hint="eastAsia" w:cs="Times New Roman"/>
                <w:color w:val="auto"/>
                <w:sz w:val="24"/>
                <w:szCs w:val="24"/>
                <w:lang w:val="en-US" w:eastAsia="zh-CN"/>
              </w:rPr>
              <w:t>8</w:t>
            </w:r>
            <w:r>
              <w:rPr>
                <w:rFonts w:hint="eastAsia" w:ascii="Times New Roman" w:hAnsi="Times New Roman" w:cs="Times New Roman"/>
                <w:color w:val="auto"/>
                <w:sz w:val="24"/>
                <w:szCs w:val="24"/>
              </w:rPr>
              <w:t>日</w:t>
            </w:r>
            <w:r>
              <w:rPr>
                <w:rFonts w:hint="default" w:ascii="Times New Roman" w:hAnsi="Times New Roman" w:cs="Times New Roman"/>
                <w:color w:val="auto"/>
                <w:spacing w:val="10"/>
                <w:sz w:val="24"/>
                <w:szCs w:val="24"/>
                <w:lang w:bidi="ar"/>
              </w:rPr>
              <w:t>至20</w:t>
            </w:r>
            <w:r>
              <w:rPr>
                <w:rFonts w:hint="eastAsia" w:ascii="Times New Roman" w:hAnsi="Times New Roman" w:cs="Times New Roman"/>
                <w:color w:val="auto"/>
                <w:spacing w:val="10"/>
                <w:sz w:val="24"/>
                <w:szCs w:val="24"/>
                <w:lang w:val="en-US" w:eastAsia="zh-CN" w:bidi="ar"/>
              </w:rPr>
              <w:t>27</w:t>
            </w:r>
            <w:r>
              <w:rPr>
                <w:rFonts w:hint="default" w:ascii="Times New Roman" w:hAnsi="Times New Roman" w:cs="Times New Roman"/>
                <w:color w:val="auto"/>
                <w:spacing w:val="10"/>
                <w:sz w:val="24"/>
                <w:szCs w:val="24"/>
                <w:lang w:bidi="ar"/>
              </w:rPr>
              <w:t>年</w:t>
            </w:r>
            <w:r>
              <w:rPr>
                <w:rFonts w:hint="eastAsia" w:ascii="Times New Roman" w:hAnsi="Times New Roman" w:cs="Times New Roman"/>
                <w:color w:val="auto"/>
                <w:spacing w:val="10"/>
                <w:sz w:val="24"/>
                <w:szCs w:val="24"/>
                <w:lang w:val="en-US" w:eastAsia="zh-CN" w:bidi="ar"/>
              </w:rPr>
              <w:t>9</w:t>
            </w:r>
            <w:r>
              <w:rPr>
                <w:rFonts w:hint="default" w:ascii="Times New Roman" w:hAnsi="Times New Roman" w:cs="Times New Roman"/>
                <w:color w:val="auto"/>
                <w:spacing w:val="10"/>
                <w:sz w:val="24"/>
                <w:szCs w:val="24"/>
                <w:lang w:bidi="ar"/>
              </w:rPr>
              <w:t>月</w:t>
            </w:r>
            <w:r>
              <w:rPr>
                <w:rFonts w:hint="eastAsia" w:ascii="Times New Roman" w:hAnsi="Times New Roman" w:cs="Times New Roman"/>
                <w:color w:val="auto"/>
                <w:spacing w:val="10"/>
                <w:sz w:val="24"/>
                <w:szCs w:val="24"/>
                <w:lang w:val="en-US" w:eastAsia="zh-CN" w:bidi="ar"/>
              </w:rPr>
              <w:t>7</w:t>
            </w:r>
            <w:r>
              <w:rPr>
                <w:rFonts w:hint="default" w:ascii="Times New Roman" w:hAnsi="Times New Roman" w:cs="Times New Roman"/>
                <w:color w:val="auto"/>
                <w:spacing w:val="10"/>
                <w:sz w:val="24"/>
                <w:szCs w:val="24"/>
                <w:lang w:bidi="ar"/>
              </w:rPr>
              <w:t>日</w:t>
            </w:r>
            <w:r>
              <w:rPr>
                <w:rFonts w:hint="eastAsia" w:ascii="Times New Roman" w:hAnsi="Times New Roman" w:cs="Times New Roman"/>
                <w:color w:val="auto"/>
                <w:spacing w:val="10"/>
                <w:sz w:val="24"/>
                <w:szCs w:val="24"/>
                <w:lang w:eastAsia="zh-CN" w:bidi="ar"/>
              </w:rPr>
              <w:t>；</w:t>
            </w:r>
            <w:r>
              <w:rPr>
                <w:rFonts w:hint="eastAsia" w:cs="Times New Roman"/>
                <w:color w:val="auto"/>
                <w:sz w:val="24"/>
                <w:szCs w:val="24"/>
                <w:lang w:val="en-US" w:eastAsia="zh-CN"/>
              </w:rPr>
              <w:t>2023年10月20日重新申领了</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排污许可证</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证书编号不变</w:t>
            </w:r>
            <w:r>
              <w:rPr>
                <w:rFonts w:hint="default" w:ascii="Times New Roman" w:hAnsi="Times New Roman" w:cs="Times New Roman"/>
                <w:color w:val="auto"/>
                <w:spacing w:val="10"/>
                <w:sz w:val="24"/>
                <w:szCs w:val="24"/>
                <w:lang w:bidi="ar"/>
              </w:rPr>
              <w:t>，有效期限为20</w:t>
            </w:r>
            <w:r>
              <w:rPr>
                <w:rFonts w:hint="eastAsia" w:ascii="Times New Roman" w:hAnsi="Times New Roman" w:cs="Times New Roman"/>
                <w:color w:val="auto"/>
                <w:spacing w:val="10"/>
                <w:sz w:val="24"/>
                <w:szCs w:val="24"/>
                <w:lang w:val="en-US" w:eastAsia="zh-CN" w:bidi="ar"/>
              </w:rPr>
              <w:t>23</w:t>
            </w:r>
            <w:r>
              <w:rPr>
                <w:rFonts w:hint="default" w:ascii="Times New Roman" w:hAnsi="Times New Roman" w:cs="Times New Roman"/>
                <w:color w:val="auto"/>
                <w:spacing w:val="10"/>
                <w:sz w:val="24"/>
                <w:szCs w:val="24"/>
                <w:lang w:bidi="ar"/>
              </w:rPr>
              <w:t>年</w:t>
            </w:r>
            <w:r>
              <w:rPr>
                <w:rFonts w:hint="eastAsia" w:cs="Times New Roman"/>
                <w:color w:val="auto"/>
                <w:spacing w:val="10"/>
                <w:sz w:val="24"/>
                <w:szCs w:val="24"/>
                <w:lang w:val="en-US" w:eastAsia="zh-CN" w:bidi="ar"/>
              </w:rPr>
              <w:t>10</w:t>
            </w:r>
            <w:r>
              <w:rPr>
                <w:rFonts w:hint="default" w:ascii="Times New Roman" w:hAnsi="Times New Roman" w:cs="Times New Roman"/>
                <w:color w:val="auto"/>
                <w:spacing w:val="10"/>
                <w:sz w:val="24"/>
                <w:szCs w:val="24"/>
                <w:lang w:bidi="ar"/>
              </w:rPr>
              <w:t>月2</w:t>
            </w:r>
            <w:r>
              <w:rPr>
                <w:rFonts w:hint="eastAsia" w:cs="Times New Roman"/>
                <w:color w:val="auto"/>
                <w:spacing w:val="10"/>
                <w:sz w:val="24"/>
                <w:szCs w:val="24"/>
                <w:lang w:val="en-US" w:eastAsia="zh-CN" w:bidi="ar"/>
              </w:rPr>
              <w:t>0</w:t>
            </w:r>
            <w:r>
              <w:rPr>
                <w:rFonts w:hint="default" w:ascii="Times New Roman" w:hAnsi="Times New Roman" w:cs="Times New Roman"/>
                <w:color w:val="auto"/>
                <w:spacing w:val="10"/>
                <w:sz w:val="24"/>
                <w:szCs w:val="24"/>
                <w:lang w:bidi="ar"/>
              </w:rPr>
              <w:t>日至202</w:t>
            </w:r>
            <w:r>
              <w:rPr>
                <w:rFonts w:hint="eastAsia" w:ascii="Times New Roman" w:hAnsi="Times New Roman" w:cs="Times New Roman"/>
                <w:color w:val="auto"/>
                <w:spacing w:val="10"/>
                <w:sz w:val="24"/>
                <w:szCs w:val="24"/>
                <w:lang w:val="en-US" w:eastAsia="zh-CN" w:bidi="ar"/>
              </w:rPr>
              <w:t>8</w:t>
            </w:r>
            <w:r>
              <w:rPr>
                <w:rFonts w:hint="default" w:ascii="Times New Roman" w:hAnsi="Times New Roman" w:cs="Times New Roman"/>
                <w:color w:val="auto"/>
                <w:spacing w:val="10"/>
                <w:sz w:val="24"/>
                <w:szCs w:val="24"/>
                <w:lang w:bidi="ar"/>
              </w:rPr>
              <w:t>年</w:t>
            </w:r>
            <w:r>
              <w:rPr>
                <w:rFonts w:hint="eastAsia" w:cs="Times New Roman"/>
                <w:color w:val="auto"/>
                <w:spacing w:val="10"/>
                <w:sz w:val="24"/>
                <w:szCs w:val="24"/>
                <w:lang w:val="en-US" w:eastAsia="zh-CN" w:bidi="ar"/>
              </w:rPr>
              <w:t>10</w:t>
            </w:r>
            <w:r>
              <w:rPr>
                <w:rFonts w:hint="default" w:ascii="Times New Roman" w:hAnsi="Times New Roman" w:cs="Times New Roman"/>
                <w:color w:val="auto"/>
                <w:spacing w:val="10"/>
                <w:sz w:val="24"/>
                <w:szCs w:val="24"/>
                <w:lang w:bidi="ar"/>
              </w:rPr>
              <w:t>月</w:t>
            </w:r>
            <w:r>
              <w:rPr>
                <w:rFonts w:hint="eastAsia" w:ascii="Times New Roman" w:hAnsi="Times New Roman" w:cs="Times New Roman"/>
                <w:color w:val="auto"/>
                <w:spacing w:val="10"/>
                <w:sz w:val="24"/>
                <w:szCs w:val="24"/>
                <w:lang w:val="en-US" w:eastAsia="zh-CN" w:bidi="ar"/>
              </w:rPr>
              <w:t>1</w:t>
            </w:r>
            <w:r>
              <w:rPr>
                <w:rFonts w:hint="eastAsia" w:cs="Times New Roman"/>
                <w:color w:val="auto"/>
                <w:spacing w:val="10"/>
                <w:sz w:val="24"/>
                <w:szCs w:val="24"/>
                <w:lang w:val="en-US" w:eastAsia="zh-CN" w:bidi="ar"/>
              </w:rPr>
              <w:t>9</w:t>
            </w:r>
            <w:r>
              <w:rPr>
                <w:rFonts w:hint="default" w:ascii="Times New Roman" w:hAnsi="Times New Roman" w:cs="Times New Roman"/>
                <w:color w:val="auto"/>
                <w:spacing w:val="10"/>
                <w:sz w:val="24"/>
                <w:szCs w:val="24"/>
                <w:lang w:bidi="ar"/>
              </w:rPr>
              <w:t>日。</w:t>
            </w:r>
          </w:p>
          <w:p w14:paraId="3DE6336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rPr>
            </w:pPr>
            <w:r>
              <w:rPr>
                <w:rFonts w:hint="eastAsia" w:cs="Times New Roman"/>
                <w:color w:val="auto"/>
                <w:sz w:val="24"/>
                <w:szCs w:val="24"/>
                <w:highlight w:val="none"/>
                <w:lang w:eastAsia="zh-CN"/>
              </w:rPr>
              <w:t>常州市昌帆金属科技有限公司</w:t>
            </w:r>
            <w:r>
              <w:rPr>
                <w:rFonts w:hint="eastAsia" w:ascii="Times New Roman" w:hAnsi="Times New Roman" w:cs="Times New Roman"/>
                <w:color w:val="auto"/>
                <w:sz w:val="24"/>
                <w:szCs w:val="24"/>
                <w:lang w:eastAsia="zh-CN"/>
              </w:rPr>
              <w:t>生产期间，</w:t>
            </w:r>
            <w:r>
              <w:rPr>
                <w:rFonts w:hint="default" w:ascii="Times New Roman" w:hAnsi="Times New Roman" w:cs="Times New Roman"/>
                <w:color w:val="auto"/>
                <w:kern w:val="0"/>
                <w:sz w:val="24"/>
                <w:szCs w:val="24"/>
                <w:lang w:bidi="ar"/>
              </w:rPr>
              <w:t>没有产生过扰民纠纷，未有过环保投诉。</w:t>
            </w:r>
          </w:p>
          <w:p w14:paraId="1769864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原有项目环保手续情况见表</w:t>
            </w:r>
            <w:r>
              <w:rPr>
                <w:rFonts w:hint="eastAsia" w:ascii="Times New Roman" w:hAnsi="Times New Roman" w:cs="Times New Roman"/>
                <w:color w:val="auto"/>
                <w:sz w:val="24"/>
                <w:szCs w:val="24"/>
                <w:lang w:val="en-US" w:eastAsia="zh-CN"/>
              </w:rPr>
              <w:t>2.2-1</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rPr>
              <w:t>原有</w:t>
            </w:r>
            <w:r>
              <w:rPr>
                <w:rFonts w:hint="default" w:ascii="Times New Roman" w:hAnsi="Times New Roman" w:cs="Times New Roman"/>
                <w:color w:val="auto"/>
                <w:sz w:val="24"/>
                <w:szCs w:val="24"/>
              </w:rPr>
              <w:t>项目生产规模及产品方案见表</w:t>
            </w:r>
            <w:r>
              <w:rPr>
                <w:rFonts w:hint="eastAsia" w:ascii="Times New Roman" w:hAnsi="Times New Roman" w:cs="Times New Roman"/>
                <w:color w:val="auto"/>
                <w:sz w:val="24"/>
                <w:szCs w:val="24"/>
                <w:lang w:val="en-US" w:eastAsia="zh-CN"/>
              </w:rPr>
              <w:t>2.2-2</w:t>
            </w:r>
            <w:r>
              <w:rPr>
                <w:rFonts w:hint="default" w:ascii="Times New Roman" w:hAnsi="Times New Roman" w:cs="Times New Roman"/>
                <w:color w:val="auto"/>
                <w:sz w:val="24"/>
                <w:szCs w:val="24"/>
              </w:rPr>
              <w:t>。</w:t>
            </w:r>
          </w:p>
          <w:p w14:paraId="6A1ACB78">
            <w:pPr>
              <w:keepNext w:val="0"/>
              <w:keepLines w:val="0"/>
              <w:suppressLineNumbers w:val="0"/>
              <w:spacing w:before="0" w:beforeAutospacing="0" w:after="0" w:afterAutospacing="0" w:line="360" w:lineRule="atLeast"/>
              <w:ind w:left="0" w:right="0"/>
              <w:jc w:val="center"/>
              <w:rPr>
                <w:rFonts w:hint="default" w:ascii="Times New Roman" w:hAnsi="Times New Roman" w:cs="Times New Roman"/>
                <w:b/>
                <w:color w:val="auto"/>
                <w:sz w:val="24"/>
                <w:szCs w:val="24"/>
                <w:lang w:bidi="ar"/>
              </w:rPr>
            </w:pPr>
            <w:r>
              <w:rPr>
                <w:rFonts w:hint="default" w:ascii="Times New Roman" w:hAnsi="Times New Roman" w:cs="Times New Roman"/>
                <w:b/>
                <w:color w:val="auto"/>
                <w:sz w:val="24"/>
                <w:szCs w:val="24"/>
                <w:lang w:bidi="ar"/>
              </w:rPr>
              <w:t>表</w:t>
            </w:r>
            <w:r>
              <w:rPr>
                <w:rFonts w:hint="eastAsia" w:ascii="Times New Roman" w:hAnsi="Times New Roman" w:cs="Times New Roman"/>
                <w:b/>
                <w:color w:val="auto"/>
                <w:sz w:val="24"/>
                <w:szCs w:val="24"/>
                <w:lang w:val="en-US" w:eastAsia="zh-CN" w:bidi="ar"/>
              </w:rPr>
              <w:t>2.2-1</w:t>
            </w:r>
            <w:r>
              <w:rPr>
                <w:rFonts w:hint="default" w:ascii="Times New Roman" w:hAnsi="Times New Roman" w:cs="Times New Roman"/>
                <w:b/>
                <w:color w:val="auto"/>
                <w:sz w:val="24"/>
                <w:szCs w:val="24"/>
                <w:lang w:bidi="ar"/>
              </w:rPr>
              <w:t xml:space="preserve"> 原有项目环保手续执行情况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746"/>
              <w:gridCol w:w="2800"/>
              <w:gridCol w:w="2402"/>
              <w:gridCol w:w="1437"/>
            </w:tblGrid>
            <w:tr w14:paraId="05C882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1" w:type="pct"/>
                  <w:noWrap w:val="0"/>
                  <w:vAlign w:val="center"/>
                </w:tcPr>
                <w:p w14:paraId="6B53E9F4">
                  <w:pPr>
                    <w:pStyle w:val="89"/>
                    <w:keepNext w:val="0"/>
                    <w:keepLines w:val="0"/>
                    <w:suppressLineNumbers w:val="0"/>
                    <w:spacing w:before="0" w:beforeAutospacing="0" w:after="0" w:afterAutospacing="0"/>
                    <w:ind w:left="0" w:right="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项目名称</w:t>
                  </w:r>
                </w:p>
              </w:tc>
              <w:tc>
                <w:tcPr>
                  <w:tcW w:w="1669" w:type="pct"/>
                  <w:noWrap w:val="0"/>
                  <w:vAlign w:val="center"/>
                </w:tcPr>
                <w:p w14:paraId="3272CFF8">
                  <w:pPr>
                    <w:pStyle w:val="89"/>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环评情况</w:t>
                  </w:r>
                </w:p>
              </w:tc>
              <w:tc>
                <w:tcPr>
                  <w:tcW w:w="1432" w:type="pct"/>
                  <w:noWrap w:val="0"/>
                  <w:vAlign w:val="center"/>
                </w:tcPr>
                <w:p w14:paraId="4C18CE67">
                  <w:pPr>
                    <w:pStyle w:val="89"/>
                    <w:keepNext w:val="0"/>
                    <w:keepLines w:val="0"/>
                    <w:suppressLineNumbers w:val="0"/>
                    <w:spacing w:before="0" w:beforeAutospacing="0" w:after="0" w:afterAutospacing="0"/>
                    <w:ind w:left="0" w:right="0"/>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验收</w:t>
                  </w:r>
                  <w:r>
                    <w:rPr>
                      <w:rFonts w:hint="eastAsia" w:ascii="Times New Roman" w:hAnsi="Times New Roman" w:cs="Times New Roman"/>
                      <w:b/>
                      <w:bCs/>
                      <w:color w:val="auto"/>
                      <w:sz w:val="21"/>
                      <w:szCs w:val="21"/>
                      <w:lang w:val="en-US" w:eastAsia="zh-CN"/>
                    </w:rPr>
                    <w:t>情况</w:t>
                  </w:r>
                </w:p>
              </w:tc>
              <w:tc>
                <w:tcPr>
                  <w:tcW w:w="856" w:type="pct"/>
                  <w:noWrap w:val="0"/>
                  <w:vAlign w:val="center"/>
                </w:tcPr>
                <w:p w14:paraId="73108EB0">
                  <w:pPr>
                    <w:pStyle w:val="89"/>
                    <w:keepNext w:val="0"/>
                    <w:keepLines w:val="0"/>
                    <w:suppressLineNumbers w:val="0"/>
                    <w:spacing w:before="0" w:beforeAutospacing="0" w:after="0" w:afterAutospacing="0"/>
                    <w:ind w:left="0" w:right="0"/>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建设情况</w:t>
                  </w:r>
                </w:p>
              </w:tc>
            </w:tr>
            <w:tr w14:paraId="56E5F3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1" w:type="pct"/>
                  <w:noWrap w:val="0"/>
                  <w:vAlign w:val="center"/>
                </w:tcPr>
                <w:p w14:paraId="1F014DA1">
                  <w:pPr>
                    <w:pStyle w:val="89"/>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eastAsia="宋体" w:cs="Times New Roman"/>
                      <w:b w:val="0"/>
                      <w:bCs/>
                      <w:color w:val="auto"/>
                      <w:kern w:val="2"/>
                      <w:sz w:val="21"/>
                      <w:szCs w:val="21"/>
                      <w:highlight w:val="none"/>
                      <w:lang w:val="en-US" w:eastAsia="zh-CN" w:bidi="ar-SA"/>
                    </w:rPr>
                    <w:t>扩建高合金铸件、锻件项目</w:t>
                  </w:r>
                </w:p>
              </w:tc>
              <w:tc>
                <w:tcPr>
                  <w:tcW w:w="1669" w:type="pct"/>
                  <w:noWrap w:val="0"/>
                  <w:vAlign w:val="center"/>
                </w:tcPr>
                <w:p w14:paraId="2817BFC9">
                  <w:pPr>
                    <w:pStyle w:val="89"/>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rPr>
                  </w:pPr>
                  <w:r>
                    <w:rPr>
                      <w:rFonts w:hint="eastAsia" w:hAnsi="宋体"/>
                      <w:color w:val="auto"/>
                      <w:sz w:val="21"/>
                      <w:szCs w:val="21"/>
                      <w:highlight w:val="none"/>
                    </w:rPr>
                    <w:t>2010年5月31日取得</w:t>
                  </w:r>
                  <w:r>
                    <w:rPr>
                      <w:rFonts w:hint="eastAsia" w:hAnsi="宋体"/>
                      <w:color w:val="auto"/>
                      <w:sz w:val="21"/>
                      <w:szCs w:val="21"/>
                      <w:highlight w:val="none"/>
                      <w:lang w:eastAsia="zh-CN"/>
                    </w:rPr>
                    <w:t>了</w:t>
                  </w:r>
                  <w:r>
                    <w:rPr>
                      <w:rFonts w:hint="eastAsia" w:hAnsi="宋体"/>
                      <w:color w:val="auto"/>
                      <w:sz w:val="21"/>
                      <w:szCs w:val="21"/>
                      <w:highlight w:val="none"/>
                      <w:lang w:val="en-US" w:eastAsia="zh-CN"/>
                    </w:rPr>
                    <w:t>金坛市环境保护局批复</w:t>
                  </w:r>
                  <w:r>
                    <w:rPr>
                      <w:rFonts w:hint="eastAsia" w:hAnsi="宋体"/>
                      <w:color w:val="auto"/>
                      <w:sz w:val="21"/>
                      <w:szCs w:val="21"/>
                      <w:highlight w:val="none"/>
                    </w:rPr>
                    <w:t>（坛环审</w:t>
                  </w:r>
                  <w:r>
                    <w:rPr>
                      <w:rFonts w:hint="eastAsia" w:ascii="宋体" w:hAnsi="宋体" w:eastAsia="宋体" w:cs="宋体"/>
                      <w:color w:val="auto"/>
                      <w:sz w:val="21"/>
                      <w:szCs w:val="21"/>
                      <w:highlight w:val="none"/>
                    </w:rPr>
                    <w:t>〔</w:t>
                  </w:r>
                  <w:r>
                    <w:rPr>
                      <w:rFonts w:hint="eastAsia" w:hAnsi="宋体"/>
                      <w:color w:val="auto"/>
                      <w:sz w:val="21"/>
                      <w:szCs w:val="21"/>
                      <w:highlight w:val="none"/>
                    </w:rPr>
                    <w:t>2010</w:t>
                  </w:r>
                  <w:r>
                    <w:rPr>
                      <w:rFonts w:hint="eastAsia" w:ascii="宋体" w:hAnsi="宋体" w:eastAsia="宋体" w:cs="宋体"/>
                      <w:color w:val="auto"/>
                      <w:sz w:val="21"/>
                      <w:szCs w:val="21"/>
                      <w:highlight w:val="none"/>
                    </w:rPr>
                    <w:t>〕</w:t>
                  </w:r>
                  <w:r>
                    <w:rPr>
                      <w:rFonts w:hint="eastAsia" w:hAnsi="宋体"/>
                      <w:color w:val="auto"/>
                      <w:sz w:val="21"/>
                      <w:szCs w:val="21"/>
                      <w:highlight w:val="none"/>
                    </w:rPr>
                    <w:t>107号）</w:t>
                  </w:r>
                </w:p>
              </w:tc>
              <w:tc>
                <w:tcPr>
                  <w:tcW w:w="1432" w:type="pct"/>
                  <w:noWrap w:val="0"/>
                  <w:vAlign w:val="center"/>
                </w:tcPr>
                <w:p w14:paraId="7E1EBC7E">
                  <w:pPr>
                    <w:pStyle w:val="89"/>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rPr>
                  </w:pPr>
                  <w:r>
                    <w:rPr>
                      <w:rFonts w:hint="eastAsia" w:hAnsi="宋体"/>
                      <w:color w:val="auto"/>
                      <w:sz w:val="21"/>
                      <w:szCs w:val="21"/>
                      <w:highlight w:val="none"/>
                    </w:rPr>
                    <w:t>2010年12月30日</w:t>
                  </w:r>
                  <w:r>
                    <w:rPr>
                      <w:rFonts w:hint="eastAsia" w:hAnsi="宋体"/>
                      <w:color w:val="auto"/>
                      <w:sz w:val="21"/>
                      <w:szCs w:val="21"/>
                      <w:highlight w:val="none"/>
                      <w:lang w:val="en-US" w:eastAsia="zh-CN"/>
                    </w:rPr>
                    <w:t>通过了金坛市环境保护局环境保护竣工验收（</w:t>
                  </w:r>
                  <w:r>
                    <w:rPr>
                      <w:rFonts w:hint="eastAsia" w:hAnsi="宋体"/>
                      <w:color w:val="auto"/>
                      <w:sz w:val="21"/>
                      <w:szCs w:val="21"/>
                      <w:highlight w:val="none"/>
                    </w:rPr>
                    <w:t>坛环验</w:t>
                  </w:r>
                  <w:r>
                    <w:rPr>
                      <w:rFonts w:hint="eastAsia" w:ascii="宋体" w:hAnsi="宋体" w:eastAsia="宋体" w:cs="宋体"/>
                      <w:color w:val="auto"/>
                      <w:sz w:val="21"/>
                      <w:szCs w:val="21"/>
                      <w:highlight w:val="none"/>
                    </w:rPr>
                    <w:t>〔</w:t>
                  </w:r>
                  <w:r>
                    <w:rPr>
                      <w:rFonts w:hint="eastAsia" w:hAnsi="宋体"/>
                      <w:color w:val="auto"/>
                      <w:sz w:val="21"/>
                      <w:szCs w:val="21"/>
                      <w:highlight w:val="none"/>
                    </w:rPr>
                    <w:t>2010</w:t>
                  </w:r>
                  <w:r>
                    <w:rPr>
                      <w:rFonts w:hint="eastAsia" w:ascii="宋体" w:hAnsi="宋体" w:eastAsia="宋体" w:cs="宋体"/>
                      <w:color w:val="auto"/>
                      <w:sz w:val="21"/>
                      <w:szCs w:val="21"/>
                      <w:highlight w:val="none"/>
                    </w:rPr>
                    <w:t>〕</w:t>
                  </w:r>
                  <w:r>
                    <w:rPr>
                      <w:rFonts w:hint="eastAsia" w:hAnsi="宋体"/>
                      <w:color w:val="auto"/>
                      <w:sz w:val="21"/>
                      <w:szCs w:val="21"/>
                      <w:highlight w:val="none"/>
                    </w:rPr>
                    <w:t>30号</w:t>
                  </w:r>
                  <w:r>
                    <w:rPr>
                      <w:rFonts w:hint="eastAsia" w:hAnsi="宋体"/>
                      <w:color w:val="auto"/>
                      <w:sz w:val="21"/>
                      <w:szCs w:val="21"/>
                      <w:highlight w:val="none"/>
                      <w:lang w:val="en-US" w:eastAsia="zh-CN"/>
                    </w:rPr>
                    <w:t>）</w:t>
                  </w:r>
                </w:p>
              </w:tc>
              <w:tc>
                <w:tcPr>
                  <w:tcW w:w="856" w:type="pct"/>
                  <w:noWrap w:val="0"/>
                  <w:vAlign w:val="center"/>
                </w:tcPr>
                <w:p w14:paraId="10BD13F3">
                  <w:pPr>
                    <w:pStyle w:val="89"/>
                    <w:keepNext w:val="0"/>
                    <w:keepLines w:val="0"/>
                    <w:suppressLineNumbers w:val="0"/>
                    <w:spacing w:before="0" w:beforeAutospacing="0" w:after="0" w:afterAutospacing="0"/>
                    <w:ind w:left="0" w:right="0"/>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highlight w:val="none"/>
                      <w:lang w:val="en-US" w:eastAsia="zh-CN"/>
                    </w:rPr>
                    <w:t>正常生产</w:t>
                  </w:r>
                </w:p>
              </w:tc>
            </w:tr>
            <w:tr w14:paraId="50F74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41" w:type="pct"/>
                  <w:noWrap w:val="0"/>
                  <w:vAlign w:val="center"/>
                </w:tcPr>
                <w:p w14:paraId="139EB075">
                  <w:pPr>
                    <w:pStyle w:val="89"/>
                    <w:keepNext w:val="0"/>
                    <w:keepLines w:val="0"/>
                    <w:suppressLineNumbers w:val="0"/>
                    <w:spacing w:before="0" w:beforeAutospacing="0" w:after="0" w:afterAutospacing="0"/>
                    <w:ind w:left="0" w:right="0"/>
                    <w:rPr>
                      <w:rFonts w:hint="eastAsia" w:ascii="Times New Roman" w:hAnsi="Times New Roman" w:cs="Times New Roman"/>
                      <w:bCs/>
                      <w:color w:val="auto"/>
                      <w:sz w:val="21"/>
                      <w:szCs w:val="21"/>
                      <w:highlight w:val="none"/>
                      <w:lang w:val="en-US" w:eastAsia="zh-CN"/>
                    </w:rPr>
                  </w:pPr>
                  <w:r>
                    <w:rPr>
                      <w:rFonts w:hint="eastAsia" w:hAnsi="宋体"/>
                      <w:color w:val="auto"/>
                      <w:sz w:val="21"/>
                      <w:szCs w:val="21"/>
                      <w:highlight w:val="none"/>
                      <w:lang w:val="en-US" w:eastAsia="zh-CN"/>
                    </w:rPr>
                    <w:t>新建年产各种机械配件43500吨项目</w:t>
                  </w:r>
                </w:p>
              </w:tc>
              <w:tc>
                <w:tcPr>
                  <w:tcW w:w="1669" w:type="pct"/>
                  <w:noWrap w:val="0"/>
                  <w:vAlign w:val="center"/>
                </w:tcPr>
                <w:p w14:paraId="0B77674A">
                  <w:pPr>
                    <w:pStyle w:val="89"/>
                    <w:keepNext w:val="0"/>
                    <w:keepLines w:val="0"/>
                    <w:suppressLineNumbers w:val="0"/>
                    <w:spacing w:before="0" w:beforeAutospacing="0" w:after="0" w:afterAutospacing="0"/>
                    <w:ind w:left="0" w:right="0"/>
                    <w:rPr>
                      <w:rFonts w:hint="eastAsia" w:ascii="Times New Roman" w:hAnsi="Times New Roman" w:cs="Times New Roman"/>
                      <w:bCs/>
                      <w:color w:val="auto"/>
                      <w:sz w:val="21"/>
                      <w:szCs w:val="21"/>
                      <w:highlight w:val="none"/>
                      <w:lang w:val="en-US" w:eastAsia="zh-CN"/>
                    </w:rPr>
                  </w:pPr>
                  <w:r>
                    <w:rPr>
                      <w:rFonts w:hint="eastAsia" w:hAnsi="宋体"/>
                      <w:color w:val="auto"/>
                      <w:sz w:val="21"/>
                      <w:szCs w:val="21"/>
                      <w:highlight w:val="none"/>
                      <w:lang w:val="en-US" w:eastAsia="zh-CN"/>
                    </w:rPr>
                    <w:t>2024年1月17日取得了常州市生态环境局批复（常金环审</w:t>
                  </w:r>
                  <w:r>
                    <w:rPr>
                      <w:rFonts w:hint="eastAsia" w:ascii="宋体" w:hAnsi="宋体" w:eastAsia="宋体" w:cs="宋体"/>
                      <w:color w:val="auto"/>
                      <w:sz w:val="21"/>
                      <w:szCs w:val="21"/>
                      <w:highlight w:val="none"/>
                    </w:rPr>
                    <w:t>〔</w:t>
                  </w:r>
                  <w:r>
                    <w:rPr>
                      <w:rFonts w:hint="eastAsia" w:hAnsi="宋体"/>
                      <w:color w:val="auto"/>
                      <w:sz w:val="21"/>
                      <w:szCs w:val="21"/>
                      <w:highlight w:val="none"/>
                    </w:rPr>
                    <w:t>20</w:t>
                  </w:r>
                  <w:r>
                    <w:rPr>
                      <w:rFonts w:hint="eastAsia" w:hAnsi="宋体"/>
                      <w:color w:val="auto"/>
                      <w:sz w:val="21"/>
                      <w:szCs w:val="21"/>
                      <w:highlight w:val="none"/>
                      <w:lang w:val="en-US" w:eastAsia="zh-CN"/>
                    </w:rPr>
                    <w:t>24</w:t>
                  </w:r>
                  <w:r>
                    <w:rPr>
                      <w:rFonts w:hint="eastAsia" w:ascii="宋体" w:hAnsi="宋体" w:eastAsia="宋体" w:cs="宋体"/>
                      <w:color w:val="auto"/>
                      <w:sz w:val="21"/>
                      <w:szCs w:val="21"/>
                      <w:highlight w:val="none"/>
                    </w:rPr>
                    <w:t>〕</w:t>
                  </w:r>
                  <w:r>
                    <w:rPr>
                      <w:rFonts w:hint="eastAsia" w:hAnsi="宋体"/>
                      <w:color w:val="auto"/>
                      <w:sz w:val="21"/>
                      <w:szCs w:val="21"/>
                      <w:highlight w:val="none"/>
                      <w:lang w:val="en-US" w:eastAsia="zh-CN"/>
                    </w:rPr>
                    <w:t>10号）</w:t>
                  </w:r>
                </w:p>
              </w:tc>
              <w:tc>
                <w:tcPr>
                  <w:tcW w:w="1432" w:type="pct"/>
                  <w:noWrap w:val="0"/>
                  <w:vAlign w:val="center"/>
                </w:tcPr>
                <w:p w14:paraId="5B5F1BD8">
                  <w:pPr>
                    <w:pStyle w:val="89"/>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p>
              </w:tc>
              <w:tc>
                <w:tcPr>
                  <w:tcW w:w="856" w:type="pct"/>
                  <w:noWrap w:val="0"/>
                  <w:vAlign w:val="center"/>
                </w:tcPr>
                <w:p w14:paraId="659AB5CC">
                  <w:pPr>
                    <w:pStyle w:val="89"/>
                    <w:keepNext w:val="0"/>
                    <w:keepLines w:val="0"/>
                    <w:suppressLineNumbers w:val="0"/>
                    <w:spacing w:before="0" w:beforeAutospacing="0" w:after="0" w:afterAutospacing="0"/>
                    <w:ind w:left="0" w:right="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正在建设中，计划</w:t>
                  </w:r>
                  <w:r>
                    <w:rPr>
                      <w:rFonts w:hint="eastAsia" w:cs="Times New Roman"/>
                      <w:bCs/>
                      <w:color w:val="auto"/>
                      <w:sz w:val="21"/>
                      <w:szCs w:val="21"/>
                      <w:highlight w:val="none"/>
                      <w:lang w:val="en-US" w:eastAsia="zh-CN"/>
                    </w:rPr>
                    <w:t>与</w:t>
                  </w:r>
                  <w:r>
                    <w:rPr>
                      <w:rFonts w:hint="default" w:ascii="Times New Roman" w:hAnsi="Times New Roman" w:cs="Times New Roman"/>
                      <w:bCs/>
                      <w:color w:val="auto"/>
                      <w:sz w:val="21"/>
                      <w:szCs w:val="21"/>
                      <w:highlight w:val="none"/>
                      <w:lang w:val="en-US" w:eastAsia="zh-CN"/>
                    </w:rPr>
                    <w:t>本次技改项目一同投产</w:t>
                  </w:r>
                </w:p>
              </w:tc>
            </w:tr>
          </w:tbl>
          <w:p w14:paraId="2E278E0C">
            <w:pPr>
              <w:keepNext w:val="0"/>
              <w:keepLines w:val="0"/>
              <w:widowControl/>
              <w:suppressLineNumbers w:val="0"/>
              <w:spacing w:before="0" w:beforeAutospacing="0" w:after="0" w:afterAutospacing="0" w:line="240" w:lineRule="auto"/>
              <w:ind w:left="0" w:right="0"/>
              <w:jc w:val="center"/>
              <w:rPr>
                <w:rFonts w:hint="default" w:cs="Times New Roman"/>
                <w:b/>
                <w:bCs/>
                <w:color w:val="auto"/>
                <w:sz w:val="24"/>
                <w:szCs w:val="24"/>
                <w:lang w:val="en-US" w:eastAsia="zh-CN"/>
              </w:rPr>
            </w:pPr>
            <w:r>
              <w:rPr>
                <w:rFonts w:hint="eastAsia" w:cs="Times New Roman"/>
                <w:b/>
                <w:bCs/>
                <w:color w:val="auto"/>
                <w:sz w:val="24"/>
                <w:szCs w:val="24"/>
                <w:lang w:val="en-US" w:eastAsia="zh-CN"/>
              </w:rPr>
              <w:t xml:space="preserve"> </w:t>
            </w:r>
          </w:p>
          <w:p w14:paraId="74C4F6AA">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2.2-2</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rPr>
              <w:t>原有</w:t>
            </w:r>
            <w:r>
              <w:rPr>
                <w:rFonts w:hint="default" w:ascii="Times New Roman" w:hAnsi="Times New Roman" w:cs="Times New Roman"/>
                <w:b/>
                <w:bCs/>
                <w:color w:val="auto"/>
                <w:sz w:val="24"/>
                <w:szCs w:val="24"/>
              </w:rPr>
              <w:t>项目产品方案</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1"/>
              <w:gridCol w:w="1533"/>
              <w:gridCol w:w="929"/>
              <w:gridCol w:w="1402"/>
              <w:gridCol w:w="1340"/>
              <w:gridCol w:w="743"/>
              <w:gridCol w:w="1995"/>
            </w:tblGrid>
            <w:tr w14:paraId="0D9B9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29" w:hRule="atLeast"/>
                <w:jc w:val="center"/>
              </w:trPr>
              <w:tc>
                <w:tcPr>
                  <w:tcW w:w="263" w:type="pct"/>
                  <w:noWrap w:val="0"/>
                  <w:vAlign w:val="center"/>
                </w:tcPr>
                <w:p w14:paraId="36CC162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914" w:type="pct"/>
                  <w:noWrap w:val="0"/>
                  <w:vAlign w:val="center"/>
                </w:tcPr>
                <w:p w14:paraId="07DA226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产品名称</w:t>
                  </w:r>
                </w:p>
              </w:tc>
              <w:tc>
                <w:tcPr>
                  <w:tcW w:w="554" w:type="pct"/>
                  <w:noWrap w:val="0"/>
                  <w:vAlign w:val="center"/>
                </w:tcPr>
                <w:p w14:paraId="5A0A58E7">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规格（mm）</w:t>
                  </w:r>
                </w:p>
              </w:tc>
              <w:tc>
                <w:tcPr>
                  <w:tcW w:w="836" w:type="pct"/>
                  <w:shd w:val="clear" w:color="auto" w:fill="auto"/>
                  <w:noWrap w:val="0"/>
                  <w:vAlign w:val="center"/>
                </w:tcPr>
                <w:p w14:paraId="26B5340E">
                  <w:pPr>
                    <w:pStyle w:val="89"/>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cs="Times New Roman"/>
                      <w:b/>
                      <w:bCs/>
                      <w:color w:val="auto"/>
                      <w:sz w:val="21"/>
                      <w:szCs w:val="21"/>
                      <w:lang w:val="en-US" w:eastAsia="zh-CN"/>
                    </w:rPr>
                    <w:t>环评设计能力（吨/年）</w:t>
                  </w:r>
                </w:p>
              </w:tc>
              <w:tc>
                <w:tcPr>
                  <w:tcW w:w="799" w:type="pct"/>
                  <w:shd w:val="clear" w:color="auto" w:fill="auto"/>
                  <w:noWrap w:val="0"/>
                  <w:vAlign w:val="center"/>
                </w:tcPr>
                <w:p w14:paraId="7E8663BB">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 w:val="21"/>
                      <w:szCs w:val="21"/>
                    </w:rPr>
                    <w:t>实际</w:t>
                  </w:r>
                  <w:r>
                    <w:rPr>
                      <w:rFonts w:hint="eastAsia" w:ascii="Times New Roman" w:hAnsi="Times New Roman" w:cs="Times New Roman"/>
                      <w:b/>
                      <w:bCs/>
                      <w:color w:val="auto"/>
                      <w:sz w:val="21"/>
                      <w:szCs w:val="21"/>
                      <w:lang w:val="en-US" w:eastAsia="zh-CN"/>
                    </w:rPr>
                    <w:t>生产能力（吨/年）</w:t>
                  </w:r>
                </w:p>
              </w:tc>
              <w:tc>
                <w:tcPr>
                  <w:tcW w:w="443" w:type="pct"/>
                  <w:noWrap w:val="0"/>
                  <w:vAlign w:val="center"/>
                </w:tcPr>
                <w:p w14:paraId="6A15AFA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年运行时数</w:t>
                  </w:r>
                </w:p>
              </w:tc>
              <w:tc>
                <w:tcPr>
                  <w:tcW w:w="1189" w:type="pct"/>
                  <w:noWrap w:val="0"/>
                  <w:vAlign w:val="center"/>
                </w:tcPr>
                <w:p w14:paraId="355BC242">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备注</w:t>
                  </w:r>
                </w:p>
              </w:tc>
            </w:tr>
            <w:tr w14:paraId="10EC5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noWrap w:val="0"/>
                  <w:vAlign w:val="center"/>
                </w:tcPr>
                <w:p w14:paraId="15F88E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p>
              </w:tc>
              <w:tc>
                <w:tcPr>
                  <w:tcW w:w="914" w:type="pct"/>
                  <w:shd w:val="clear" w:color="auto" w:fill="auto"/>
                  <w:noWrap w:val="0"/>
                  <w:vAlign w:val="center"/>
                </w:tcPr>
                <w:p w14:paraId="5FDE9C7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高合金铸件</w:t>
                  </w:r>
                </w:p>
              </w:tc>
              <w:tc>
                <w:tcPr>
                  <w:tcW w:w="554" w:type="pct"/>
                  <w:shd w:val="clear" w:color="auto" w:fill="auto"/>
                  <w:noWrap w:val="0"/>
                  <w:vAlign w:val="center"/>
                </w:tcPr>
                <w:p w14:paraId="5A118F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836" w:type="pct"/>
                  <w:shd w:val="clear" w:color="auto" w:fill="auto"/>
                  <w:noWrap w:val="0"/>
                  <w:vAlign w:val="center"/>
                </w:tcPr>
                <w:p w14:paraId="10121D6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3.5万吨/年</w:t>
                  </w:r>
                </w:p>
              </w:tc>
              <w:tc>
                <w:tcPr>
                  <w:tcW w:w="799" w:type="pct"/>
                  <w:shd w:val="clear" w:color="auto" w:fill="auto"/>
                  <w:noWrap w:val="0"/>
                  <w:vAlign w:val="center"/>
                </w:tcPr>
                <w:p w14:paraId="7925A95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3.5万吨/年</w:t>
                  </w:r>
                </w:p>
              </w:tc>
              <w:tc>
                <w:tcPr>
                  <w:tcW w:w="443" w:type="pct"/>
                  <w:vMerge w:val="restart"/>
                  <w:noWrap w:val="0"/>
                  <w:vAlign w:val="center"/>
                </w:tcPr>
                <w:p w14:paraId="7D970FB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4800h</w:t>
                  </w:r>
                </w:p>
              </w:tc>
              <w:tc>
                <w:tcPr>
                  <w:tcW w:w="1189" w:type="pct"/>
                  <w:noWrap w:val="0"/>
                  <w:vAlign w:val="center"/>
                </w:tcPr>
                <w:p w14:paraId="79712B7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已建成，且正常运行</w:t>
                  </w:r>
                </w:p>
              </w:tc>
            </w:tr>
            <w:tr w14:paraId="3EB64F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noWrap w:val="0"/>
                  <w:vAlign w:val="center"/>
                </w:tcPr>
                <w:p w14:paraId="73F9AE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914" w:type="pct"/>
                  <w:shd w:val="clear" w:color="auto" w:fill="auto"/>
                  <w:noWrap w:val="0"/>
                  <w:vAlign w:val="center"/>
                </w:tcPr>
                <w:p w14:paraId="279EB14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高合金锻件</w:t>
                  </w:r>
                </w:p>
              </w:tc>
              <w:tc>
                <w:tcPr>
                  <w:tcW w:w="554" w:type="pct"/>
                  <w:shd w:val="clear" w:color="auto" w:fill="auto"/>
                  <w:noWrap w:val="0"/>
                  <w:vAlign w:val="center"/>
                </w:tcPr>
                <w:p w14:paraId="591D3D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w:t>
                  </w:r>
                </w:p>
              </w:tc>
              <w:tc>
                <w:tcPr>
                  <w:tcW w:w="836" w:type="pct"/>
                  <w:shd w:val="clear" w:color="auto" w:fill="auto"/>
                  <w:noWrap w:val="0"/>
                  <w:vAlign w:val="center"/>
                </w:tcPr>
                <w:p w14:paraId="4437736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10万件/年</w:t>
                  </w:r>
                </w:p>
              </w:tc>
              <w:tc>
                <w:tcPr>
                  <w:tcW w:w="799" w:type="pct"/>
                  <w:shd w:val="clear" w:color="auto" w:fill="auto"/>
                  <w:noWrap w:val="0"/>
                  <w:vAlign w:val="center"/>
                </w:tcPr>
                <w:p w14:paraId="20B81DA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eastAsia="宋体"/>
                      <w:color w:val="auto"/>
                      <w:highlight w:val="none"/>
                      <w:lang w:val="en-US" w:eastAsia="zh-CN"/>
                    </w:rPr>
                    <w:t>0</w:t>
                  </w:r>
                </w:p>
              </w:tc>
              <w:tc>
                <w:tcPr>
                  <w:tcW w:w="443" w:type="pct"/>
                  <w:vMerge w:val="continue"/>
                  <w:noWrap w:val="0"/>
                  <w:vAlign w:val="center"/>
                </w:tcPr>
                <w:p w14:paraId="7D0B546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1189" w:type="pct"/>
                  <w:noWrap w:val="0"/>
                  <w:vAlign w:val="center"/>
                </w:tcPr>
                <w:p w14:paraId="2AE60AC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未建设，今后也不再建设</w:t>
                  </w:r>
                </w:p>
              </w:tc>
            </w:tr>
            <w:tr w14:paraId="427AFC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noWrap w:val="0"/>
                  <w:vAlign w:val="center"/>
                </w:tcPr>
                <w:p w14:paraId="07EC9B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w:t>
                  </w:r>
                </w:p>
              </w:tc>
              <w:tc>
                <w:tcPr>
                  <w:tcW w:w="914" w:type="pct"/>
                  <w:shd w:val="clear" w:color="auto" w:fill="auto"/>
                  <w:noWrap w:val="0"/>
                  <w:vAlign w:val="center"/>
                </w:tcPr>
                <w:p w14:paraId="307651B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工程机械配件</w:t>
                  </w:r>
                </w:p>
              </w:tc>
              <w:tc>
                <w:tcPr>
                  <w:tcW w:w="554" w:type="pct"/>
                  <w:shd w:val="clear" w:color="auto" w:fill="auto"/>
                  <w:noWrap w:val="0"/>
                  <w:vAlign w:val="center"/>
                </w:tcPr>
                <w:p w14:paraId="1A6BE9B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300*58</w:t>
                  </w:r>
                </w:p>
              </w:tc>
              <w:tc>
                <w:tcPr>
                  <w:tcW w:w="836" w:type="pct"/>
                  <w:shd w:val="clear" w:color="auto" w:fill="auto"/>
                  <w:noWrap w:val="0"/>
                  <w:vAlign w:val="center"/>
                </w:tcPr>
                <w:p w14:paraId="609413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9600</w:t>
                  </w:r>
                  <w:r>
                    <w:rPr>
                      <w:rFonts w:hint="eastAsia" w:ascii="Times New Roman" w:hAnsi="Times New Roman" w:cs="Times New Roman"/>
                      <w:b w:val="0"/>
                      <w:bCs w:val="0"/>
                      <w:color w:val="auto"/>
                      <w:sz w:val="21"/>
                      <w:szCs w:val="21"/>
                      <w:lang w:val="en-US" w:eastAsia="zh-CN"/>
                    </w:rPr>
                    <w:t>吨/年</w:t>
                  </w:r>
                </w:p>
              </w:tc>
              <w:tc>
                <w:tcPr>
                  <w:tcW w:w="799" w:type="pct"/>
                  <w:shd w:val="clear" w:color="auto" w:fill="auto"/>
                  <w:noWrap w:val="0"/>
                  <w:vAlign w:val="center"/>
                </w:tcPr>
                <w:p w14:paraId="5036C6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9600</w:t>
                  </w:r>
                  <w:r>
                    <w:rPr>
                      <w:rFonts w:hint="eastAsia" w:ascii="Times New Roman" w:hAnsi="Times New Roman" w:cs="Times New Roman"/>
                      <w:b w:val="0"/>
                      <w:bCs w:val="0"/>
                      <w:color w:val="auto"/>
                      <w:sz w:val="21"/>
                      <w:szCs w:val="21"/>
                      <w:lang w:val="en-US" w:eastAsia="zh-CN"/>
                    </w:rPr>
                    <w:t>吨/年</w:t>
                  </w:r>
                </w:p>
              </w:tc>
              <w:tc>
                <w:tcPr>
                  <w:tcW w:w="443" w:type="pct"/>
                  <w:vMerge w:val="restart"/>
                  <w:noWrap w:val="0"/>
                  <w:vAlign w:val="center"/>
                </w:tcPr>
                <w:p w14:paraId="52A2538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48</w:t>
                  </w:r>
                  <w:r>
                    <w:rPr>
                      <w:rFonts w:hint="default" w:ascii="Times New Roman" w:hAnsi="Times New Roman" w:cs="Times New Roman"/>
                      <w:color w:val="auto"/>
                      <w:szCs w:val="21"/>
                    </w:rPr>
                    <w:t>00</w:t>
                  </w:r>
                  <w:r>
                    <w:rPr>
                      <w:rFonts w:hint="eastAsia" w:ascii="Times New Roman" w:hAnsi="Times New Roman" w:cs="Times New Roman"/>
                      <w:color w:val="auto"/>
                      <w:szCs w:val="21"/>
                    </w:rPr>
                    <w:t>h</w:t>
                  </w:r>
                </w:p>
              </w:tc>
              <w:tc>
                <w:tcPr>
                  <w:tcW w:w="1189" w:type="pct"/>
                  <w:vMerge w:val="restart"/>
                  <w:noWrap w:val="0"/>
                  <w:vAlign w:val="center"/>
                </w:tcPr>
                <w:p w14:paraId="70106B2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年产机械配件43500吨/年，正在建设中</w:t>
                  </w:r>
                </w:p>
              </w:tc>
            </w:tr>
            <w:tr w14:paraId="7365C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noWrap w:val="0"/>
                  <w:vAlign w:val="center"/>
                </w:tcPr>
                <w:p w14:paraId="292523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p>
              </w:tc>
              <w:tc>
                <w:tcPr>
                  <w:tcW w:w="914" w:type="pct"/>
                  <w:shd w:val="clear" w:color="auto" w:fill="auto"/>
                  <w:noWrap w:val="0"/>
                  <w:vAlign w:val="center"/>
                </w:tcPr>
                <w:p w14:paraId="73BB8B6F">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盾构机配件</w:t>
                  </w:r>
                </w:p>
              </w:tc>
              <w:tc>
                <w:tcPr>
                  <w:tcW w:w="554" w:type="pct"/>
                  <w:shd w:val="clear" w:color="auto" w:fill="auto"/>
                  <w:noWrap w:val="0"/>
                  <w:vAlign w:val="center"/>
                </w:tcPr>
                <w:p w14:paraId="63FFF5A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100*6.6</w:t>
                  </w:r>
                </w:p>
              </w:tc>
              <w:tc>
                <w:tcPr>
                  <w:tcW w:w="836" w:type="pct"/>
                  <w:shd w:val="clear" w:color="auto" w:fill="auto"/>
                  <w:noWrap w:val="0"/>
                  <w:vAlign w:val="center"/>
                </w:tcPr>
                <w:p w14:paraId="0A6061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5800</w:t>
                  </w:r>
                  <w:r>
                    <w:rPr>
                      <w:rFonts w:hint="eastAsia" w:ascii="Times New Roman" w:hAnsi="Times New Roman" w:cs="Times New Roman"/>
                      <w:b w:val="0"/>
                      <w:bCs w:val="0"/>
                      <w:color w:val="auto"/>
                      <w:sz w:val="21"/>
                      <w:szCs w:val="21"/>
                      <w:lang w:val="en-US" w:eastAsia="zh-CN"/>
                    </w:rPr>
                    <w:t>吨/年</w:t>
                  </w:r>
                </w:p>
              </w:tc>
              <w:tc>
                <w:tcPr>
                  <w:tcW w:w="799" w:type="pct"/>
                  <w:shd w:val="clear" w:color="auto" w:fill="auto"/>
                  <w:noWrap w:val="0"/>
                  <w:vAlign w:val="center"/>
                </w:tcPr>
                <w:p w14:paraId="03D8F9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5800</w:t>
                  </w:r>
                  <w:r>
                    <w:rPr>
                      <w:rFonts w:hint="eastAsia" w:ascii="Times New Roman" w:hAnsi="Times New Roman" w:cs="Times New Roman"/>
                      <w:b w:val="0"/>
                      <w:bCs w:val="0"/>
                      <w:color w:val="auto"/>
                      <w:sz w:val="21"/>
                      <w:szCs w:val="21"/>
                      <w:lang w:val="en-US" w:eastAsia="zh-CN"/>
                    </w:rPr>
                    <w:t>吨/年</w:t>
                  </w:r>
                </w:p>
              </w:tc>
              <w:tc>
                <w:tcPr>
                  <w:tcW w:w="443" w:type="pct"/>
                  <w:vMerge w:val="continue"/>
                  <w:noWrap w:val="0"/>
                  <w:vAlign w:val="center"/>
                </w:tcPr>
                <w:p w14:paraId="46A5D9B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189" w:type="pct"/>
                  <w:vMerge w:val="continue"/>
                  <w:noWrap w:val="0"/>
                  <w:vAlign w:val="center"/>
                </w:tcPr>
                <w:p w14:paraId="109D431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40D49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vAlign w:val="center"/>
                </w:tcPr>
                <w:p w14:paraId="1D27AF7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w:t>
                  </w:r>
                </w:p>
              </w:tc>
              <w:tc>
                <w:tcPr>
                  <w:tcW w:w="914" w:type="pct"/>
                  <w:shd w:val="clear" w:color="auto" w:fill="auto"/>
                  <w:vAlign w:val="center"/>
                </w:tcPr>
                <w:p w14:paraId="50F7BA69">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航空发动机配件</w:t>
                  </w:r>
                </w:p>
              </w:tc>
              <w:tc>
                <w:tcPr>
                  <w:tcW w:w="554" w:type="pct"/>
                  <w:shd w:val="clear" w:color="auto" w:fill="auto"/>
                  <w:vAlign w:val="center"/>
                </w:tcPr>
                <w:p w14:paraId="79873B6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300*6.5</w:t>
                  </w:r>
                </w:p>
              </w:tc>
              <w:tc>
                <w:tcPr>
                  <w:tcW w:w="836" w:type="pct"/>
                  <w:shd w:val="clear" w:color="auto" w:fill="auto"/>
                  <w:vAlign w:val="center"/>
                </w:tcPr>
                <w:p w14:paraId="05B8CC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10600</w:t>
                  </w:r>
                  <w:r>
                    <w:rPr>
                      <w:rFonts w:hint="eastAsia" w:ascii="Times New Roman" w:hAnsi="Times New Roman" w:cs="Times New Roman"/>
                      <w:b w:val="0"/>
                      <w:bCs w:val="0"/>
                      <w:color w:val="auto"/>
                      <w:sz w:val="21"/>
                      <w:szCs w:val="21"/>
                      <w:lang w:val="en-US" w:eastAsia="zh-CN"/>
                    </w:rPr>
                    <w:t>吨/年</w:t>
                  </w:r>
                </w:p>
              </w:tc>
              <w:tc>
                <w:tcPr>
                  <w:tcW w:w="799" w:type="pct"/>
                  <w:shd w:val="clear" w:color="auto" w:fill="auto"/>
                  <w:vAlign w:val="center"/>
                </w:tcPr>
                <w:p w14:paraId="75B8BC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10600</w:t>
                  </w:r>
                  <w:r>
                    <w:rPr>
                      <w:rFonts w:hint="eastAsia" w:ascii="Times New Roman" w:hAnsi="Times New Roman" w:cs="Times New Roman"/>
                      <w:b w:val="0"/>
                      <w:bCs w:val="0"/>
                      <w:color w:val="auto"/>
                      <w:sz w:val="21"/>
                      <w:szCs w:val="21"/>
                      <w:lang w:val="en-US" w:eastAsia="zh-CN"/>
                    </w:rPr>
                    <w:t>吨/年</w:t>
                  </w:r>
                </w:p>
              </w:tc>
              <w:tc>
                <w:tcPr>
                  <w:tcW w:w="443" w:type="pct"/>
                  <w:vMerge w:val="continue"/>
                  <w:vAlign w:val="center"/>
                </w:tcPr>
                <w:p w14:paraId="2874030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189" w:type="pct"/>
                  <w:vMerge w:val="continue"/>
                  <w:vAlign w:val="center"/>
                </w:tcPr>
                <w:p w14:paraId="33E4112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552E9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vAlign w:val="center"/>
                </w:tcPr>
                <w:p w14:paraId="43B3B1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914" w:type="pct"/>
                  <w:shd w:val="clear" w:color="auto" w:fill="auto"/>
                  <w:vAlign w:val="center"/>
                </w:tcPr>
                <w:p w14:paraId="0C6BC169">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液压油缸及配件</w:t>
                  </w:r>
                </w:p>
              </w:tc>
              <w:tc>
                <w:tcPr>
                  <w:tcW w:w="554" w:type="pct"/>
                  <w:shd w:val="clear" w:color="auto" w:fill="auto"/>
                  <w:vAlign w:val="center"/>
                </w:tcPr>
                <w:p w14:paraId="7EA14EE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150*8</w:t>
                  </w:r>
                </w:p>
              </w:tc>
              <w:tc>
                <w:tcPr>
                  <w:tcW w:w="836" w:type="pct"/>
                  <w:shd w:val="clear" w:color="auto" w:fill="auto"/>
                  <w:vAlign w:val="center"/>
                </w:tcPr>
                <w:p w14:paraId="3DD571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11500</w:t>
                  </w:r>
                  <w:r>
                    <w:rPr>
                      <w:rFonts w:hint="eastAsia" w:ascii="Times New Roman" w:hAnsi="Times New Roman" w:cs="Times New Roman"/>
                      <w:b w:val="0"/>
                      <w:bCs w:val="0"/>
                      <w:color w:val="auto"/>
                      <w:sz w:val="21"/>
                      <w:szCs w:val="21"/>
                      <w:lang w:val="en-US" w:eastAsia="zh-CN"/>
                    </w:rPr>
                    <w:t>吨/年</w:t>
                  </w:r>
                </w:p>
              </w:tc>
              <w:tc>
                <w:tcPr>
                  <w:tcW w:w="799" w:type="pct"/>
                  <w:shd w:val="clear" w:color="auto" w:fill="auto"/>
                  <w:vAlign w:val="center"/>
                </w:tcPr>
                <w:p w14:paraId="5E3DC4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11500</w:t>
                  </w:r>
                  <w:r>
                    <w:rPr>
                      <w:rFonts w:hint="eastAsia" w:ascii="Times New Roman" w:hAnsi="Times New Roman" w:cs="Times New Roman"/>
                      <w:b w:val="0"/>
                      <w:bCs w:val="0"/>
                      <w:color w:val="auto"/>
                      <w:sz w:val="21"/>
                      <w:szCs w:val="21"/>
                      <w:lang w:val="en-US" w:eastAsia="zh-CN"/>
                    </w:rPr>
                    <w:t>吨/年</w:t>
                  </w:r>
                </w:p>
              </w:tc>
              <w:tc>
                <w:tcPr>
                  <w:tcW w:w="443" w:type="pct"/>
                  <w:vMerge w:val="continue"/>
                  <w:vAlign w:val="center"/>
                </w:tcPr>
                <w:p w14:paraId="7AE0640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189" w:type="pct"/>
                  <w:vMerge w:val="continue"/>
                  <w:vAlign w:val="center"/>
                </w:tcPr>
                <w:p w14:paraId="2D551BA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2D80B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exact"/>
                <w:jc w:val="center"/>
              </w:trPr>
              <w:tc>
                <w:tcPr>
                  <w:tcW w:w="263" w:type="pct"/>
                  <w:shd w:val="clear" w:color="auto" w:fill="auto"/>
                  <w:vAlign w:val="center"/>
                </w:tcPr>
                <w:p w14:paraId="520AAAD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914" w:type="pct"/>
                  <w:shd w:val="clear" w:color="auto" w:fill="auto"/>
                  <w:vAlign w:val="center"/>
                </w:tcPr>
                <w:p w14:paraId="469E6866">
                  <w:pPr>
                    <w:keepNext w:val="0"/>
                    <w:keepLines w:val="0"/>
                    <w:suppressLineNumbers w:val="0"/>
                    <w:adjustRightInd w:val="0"/>
                    <w:snapToGrid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rPr>
                    <w:t>汽车零部件</w:t>
                  </w:r>
                </w:p>
              </w:tc>
              <w:tc>
                <w:tcPr>
                  <w:tcW w:w="554" w:type="pct"/>
                  <w:shd w:val="clear" w:color="auto" w:fill="auto"/>
                  <w:vAlign w:val="center"/>
                </w:tcPr>
                <w:p w14:paraId="433461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Cs w:val="21"/>
                      <w:highlight w:val="none"/>
                    </w:rPr>
                    <w:t>Φ</w:t>
                  </w:r>
                  <w:r>
                    <w:rPr>
                      <w:rFonts w:hint="eastAsia"/>
                      <w:color w:val="auto"/>
                      <w:szCs w:val="21"/>
                      <w:highlight w:val="none"/>
                    </w:rPr>
                    <w:t>200*8</w:t>
                  </w:r>
                </w:p>
              </w:tc>
              <w:tc>
                <w:tcPr>
                  <w:tcW w:w="836" w:type="pct"/>
                  <w:shd w:val="clear" w:color="auto" w:fill="auto"/>
                  <w:vAlign w:val="center"/>
                </w:tcPr>
                <w:p w14:paraId="555B7E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6000</w:t>
                  </w:r>
                  <w:r>
                    <w:rPr>
                      <w:rFonts w:hint="eastAsia" w:ascii="Times New Roman" w:hAnsi="Times New Roman" w:cs="Times New Roman"/>
                      <w:b w:val="0"/>
                      <w:bCs w:val="0"/>
                      <w:color w:val="auto"/>
                      <w:sz w:val="21"/>
                      <w:szCs w:val="21"/>
                      <w:lang w:val="en-US" w:eastAsia="zh-CN"/>
                    </w:rPr>
                    <w:t>吨/年</w:t>
                  </w:r>
                </w:p>
              </w:tc>
              <w:tc>
                <w:tcPr>
                  <w:tcW w:w="799" w:type="pct"/>
                  <w:shd w:val="clear" w:color="auto" w:fill="auto"/>
                  <w:vAlign w:val="center"/>
                </w:tcPr>
                <w:p w14:paraId="725C58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6000</w:t>
                  </w:r>
                  <w:r>
                    <w:rPr>
                      <w:rFonts w:hint="eastAsia" w:ascii="Times New Roman" w:hAnsi="Times New Roman" w:cs="Times New Roman"/>
                      <w:b w:val="0"/>
                      <w:bCs w:val="0"/>
                      <w:color w:val="auto"/>
                      <w:sz w:val="21"/>
                      <w:szCs w:val="21"/>
                      <w:lang w:val="en-US" w:eastAsia="zh-CN"/>
                    </w:rPr>
                    <w:t>吨/年</w:t>
                  </w:r>
                </w:p>
              </w:tc>
              <w:tc>
                <w:tcPr>
                  <w:tcW w:w="443" w:type="pct"/>
                  <w:vMerge w:val="continue"/>
                  <w:vAlign w:val="center"/>
                </w:tcPr>
                <w:p w14:paraId="7E1F97F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189" w:type="pct"/>
                  <w:vMerge w:val="continue"/>
                  <w:vAlign w:val="center"/>
                </w:tcPr>
                <w:p w14:paraId="6598573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bl>
          <w:p w14:paraId="3FA6D6B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422" w:firstLineChars="200"/>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备注：年产各种机械配件43500吨/年（正在建设中）建成后，现有已建成的（年产高合金铸件</w:t>
            </w:r>
            <w:r>
              <w:rPr>
                <w:rFonts w:hint="eastAsia"/>
                <w:b/>
                <w:bCs/>
                <w:color w:val="auto"/>
                <w:highlight w:val="none"/>
              </w:rPr>
              <w:t>3.5万吨/年</w:t>
            </w:r>
            <w:r>
              <w:rPr>
                <w:rFonts w:hint="eastAsia" w:cs="Times New Roman"/>
                <w:b/>
                <w:bCs/>
                <w:color w:val="auto"/>
                <w:sz w:val="21"/>
                <w:szCs w:val="21"/>
                <w:highlight w:val="none"/>
                <w:lang w:val="en-US" w:eastAsia="zh-CN"/>
              </w:rPr>
              <w:t>）产品作为原料厂内使用，不再作为产品外售。</w:t>
            </w:r>
          </w:p>
          <w:p w14:paraId="439A878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2、原有项目污染物产生、治理及排放情况</w:t>
            </w:r>
          </w:p>
          <w:p w14:paraId="3A0C4C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default"/>
                <w:color w:val="auto"/>
                <w:sz w:val="24"/>
                <w:szCs w:val="24"/>
                <w:lang w:val="en-US" w:eastAsia="zh-CN"/>
              </w:rPr>
            </w:pPr>
            <w:r>
              <w:rPr>
                <w:rFonts w:hint="eastAsia"/>
                <w:color w:val="auto"/>
                <w:sz w:val="24"/>
                <w:szCs w:val="24"/>
                <w:lang w:val="en-US" w:eastAsia="zh-CN"/>
              </w:rPr>
              <w:t>本次对已建成投产项目污染物产生、治理及排放情况进行回顾性分析。</w:t>
            </w:r>
          </w:p>
          <w:p w14:paraId="7C9F048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废气</w:t>
            </w:r>
          </w:p>
          <w:p w14:paraId="0774A5D8">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s="Times New Roman"/>
                <w:color w:val="auto"/>
                <w:sz w:val="24"/>
                <w:szCs w:val="24"/>
                <w:lang w:val="en-US" w:eastAsia="zh-CN"/>
              </w:rPr>
            </w:pPr>
            <w:r>
              <w:rPr>
                <w:rFonts w:hint="eastAsia" w:cs="Times New Roman"/>
                <w:color w:val="auto"/>
                <w:sz w:val="24"/>
                <w:szCs w:val="24"/>
                <w:lang w:val="en-US" w:eastAsia="zh-CN"/>
              </w:rPr>
              <w:t>原有项目中频炉和钢包精炼炉产生的烟尘经集气罩收集后进布袋除尘器进行处理，处理后尾气通过21m</w:t>
            </w:r>
            <w:r>
              <w:rPr>
                <w:rFonts w:hint="eastAsia" w:ascii="Times New Roman" w:hAnsi="Times New Roman" w:cs="Times New Roman"/>
                <w:color w:val="auto"/>
                <w:sz w:val="24"/>
                <w:szCs w:val="24"/>
                <w:lang w:val="en-US" w:eastAsia="zh-CN"/>
              </w:rPr>
              <w:t>高排气筒1#排放。切割烟尘和未被捕集的熔化烟尘、精炼烟尘在车间一内以无组织形式排放。</w:t>
            </w:r>
          </w:p>
          <w:p w14:paraId="0B47708B">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根据</w:t>
            </w:r>
            <w:r>
              <w:rPr>
                <w:rFonts w:hint="eastAsia" w:cs="Times New Roman"/>
                <w:color w:val="auto"/>
                <w:sz w:val="24"/>
                <w:lang w:val="en-US" w:eastAsia="zh-CN"/>
              </w:rPr>
              <w:t>特斯特（江苏）检测科技有限公司</w:t>
            </w:r>
            <w:r>
              <w:rPr>
                <w:rFonts w:hint="eastAsia" w:ascii="Times New Roman" w:hAnsi="Times New Roman" w:cs="Times New Roman"/>
                <w:color w:val="auto"/>
                <w:sz w:val="24"/>
              </w:rPr>
              <w:t>202</w:t>
            </w:r>
            <w:r>
              <w:rPr>
                <w:rFonts w:hint="eastAsia" w:cs="Times New Roman"/>
                <w:color w:val="auto"/>
                <w:sz w:val="24"/>
                <w:lang w:val="en-US" w:eastAsia="zh-CN"/>
              </w:rPr>
              <w:t>5</w:t>
            </w:r>
            <w:r>
              <w:rPr>
                <w:rFonts w:hint="eastAsia" w:ascii="Times New Roman" w:hAnsi="Times New Roman" w:cs="Times New Roman"/>
                <w:color w:val="auto"/>
                <w:sz w:val="24"/>
              </w:rPr>
              <w:t>年</w:t>
            </w:r>
            <w:r>
              <w:rPr>
                <w:rFonts w:hint="eastAsia" w:cs="Times New Roman"/>
                <w:color w:val="auto"/>
                <w:sz w:val="24"/>
                <w:lang w:val="en-US" w:eastAsia="zh-CN"/>
              </w:rPr>
              <w:t>5</w:t>
            </w:r>
            <w:r>
              <w:rPr>
                <w:rFonts w:hint="eastAsia" w:ascii="Times New Roman" w:hAnsi="Times New Roman" w:cs="Times New Roman"/>
                <w:color w:val="auto"/>
                <w:sz w:val="24"/>
              </w:rPr>
              <w:t>月</w:t>
            </w:r>
            <w:r>
              <w:rPr>
                <w:rFonts w:hint="eastAsia" w:cs="Times New Roman"/>
                <w:color w:val="auto"/>
                <w:sz w:val="24"/>
                <w:lang w:val="en-US" w:eastAsia="zh-CN"/>
              </w:rPr>
              <w:t>10</w:t>
            </w:r>
            <w:r>
              <w:rPr>
                <w:rFonts w:hint="eastAsia" w:ascii="Times New Roman" w:hAnsi="Times New Roman" w:cs="Times New Roman"/>
                <w:color w:val="auto"/>
                <w:sz w:val="24"/>
              </w:rPr>
              <w:t>日对排气筒的</w:t>
            </w:r>
            <w:r>
              <w:rPr>
                <w:rFonts w:hint="eastAsia" w:ascii="Times New Roman" w:hAnsi="Times New Roman" w:cs="Times New Roman"/>
                <w:color w:val="auto"/>
                <w:sz w:val="24"/>
                <w:lang w:val="en-US" w:eastAsia="zh-CN"/>
              </w:rPr>
              <w:t>例行</w:t>
            </w:r>
            <w:r>
              <w:rPr>
                <w:rFonts w:hint="eastAsia" w:ascii="Times New Roman" w:hAnsi="Times New Roman" w:cs="Times New Roman"/>
                <w:color w:val="auto"/>
                <w:sz w:val="24"/>
              </w:rPr>
              <w:t>监测数据（报告编号为：</w:t>
            </w:r>
            <w:r>
              <w:rPr>
                <w:rFonts w:hint="eastAsia" w:cs="Times New Roman"/>
                <w:color w:val="auto"/>
                <w:sz w:val="24"/>
                <w:lang w:val="en-US" w:eastAsia="zh-CN"/>
              </w:rPr>
              <w:t>TST202505072</w:t>
            </w:r>
            <w:r>
              <w:rPr>
                <w:rFonts w:hint="eastAsia" w:ascii="Times New Roman" w:hAnsi="Times New Roman" w:cs="Times New Roman"/>
                <w:color w:val="auto"/>
                <w:sz w:val="24"/>
              </w:rPr>
              <w:t>），原有项目大气污染物排放情况如下：</w:t>
            </w:r>
          </w:p>
          <w:p w14:paraId="1BDAE94A">
            <w:pPr>
              <w:pStyle w:val="8"/>
              <w:keepNext w:val="0"/>
              <w:keepLines w:val="0"/>
              <w:suppressLineNumbers w:val="0"/>
              <w:spacing w:before="0" w:beforeAutospacing="0" w:after="0" w:afterAutospacing="0"/>
              <w:ind w:left="0" w:right="0" w:firstLine="482"/>
              <w:jc w:val="center"/>
              <w:rPr>
                <w:rFonts w:hint="default" w:ascii="Times New Roman" w:hAnsi="Times New Roman" w:cs="Times New Roman"/>
                <w:b/>
                <w:bCs/>
                <w:color w:val="auto"/>
                <w:sz w:val="24"/>
              </w:rPr>
            </w:pPr>
            <w:r>
              <w:rPr>
                <w:rFonts w:hint="eastAsia" w:ascii="Times New Roman" w:hAnsi="Times New Roman" w:cs="Times New Roman"/>
                <w:b/>
                <w:bCs/>
                <w:color w:val="auto"/>
                <w:sz w:val="24"/>
              </w:rPr>
              <w:t>表2.2-3</w:t>
            </w:r>
            <w:r>
              <w:rPr>
                <w:rFonts w:hint="default" w:ascii="Times New Roman" w:hAnsi="Times New Roman" w:cs="Times New Roman"/>
                <w:b/>
                <w:bCs/>
                <w:color w:val="auto"/>
                <w:sz w:val="24"/>
              </w:rPr>
              <w:t xml:space="preserve">  </w:t>
            </w:r>
            <w:r>
              <w:rPr>
                <w:rFonts w:hint="eastAsia" w:ascii="Times New Roman" w:hAnsi="Times New Roman" w:cs="Times New Roman"/>
                <w:b/>
                <w:bCs/>
                <w:color w:val="auto"/>
                <w:sz w:val="24"/>
              </w:rPr>
              <w:t>原有项目大气污染物有组织排放状况</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40"/>
              <w:gridCol w:w="507"/>
              <w:gridCol w:w="490"/>
              <w:gridCol w:w="685"/>
              <w:gridCol w:w="477"/>
              <w:gridCol w:w="1086"/>
              <w:gridCol w:w="898"/>
              <w:gridCol w:w="1909"/>
              <w:gridCol w:w="812"/>
              <w:gridCol w:w="594"/>
              <w:gridCol w:w="490"/>
            </w:tblGrid>
            <w:tr w14:paraId="3B7BD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262" w:type="pct"/>
                  <w:vMerge w:val="restart"/>
                  <w:noWrap w:val="0"/>
                  <w:vAlign w:val="center"/>
                </w:tcPr>
                <w:p w14:paraId="019D5851">
                  <w:pPr>
                    <w:pStyle w:val="109"/>
                    <w:keepNext w:val="0"/>
                    <w:keepLines w:val="0"/>
                    <w:suppressLineNumbers w:val="0"/>
                    <w:spacing w:before="0" w:beforeAutospacing="0" w:after="0" w:afterAutospacing="0"/>
                    <w:ind w:left="0" w:right="0"/>
                    <w:rPr>
                      <w:rFonts w:hint="eastAsia" w:ascii="Times New Roman" w:hAnsi="Times New Roman" w:eastAsia="宋体" w:cs="Times New Roman"/>
                      <w:b/>
                      <w:color w:val="auto"/>
                      <w:szCs w:val="21"/>
                      <w:lang w:eastAsia="zh-CN"/>
                    </w:rPr>
                  </w:pPr>
                  <w:r>
                    <w:rPr>
                      <w:rFonts w:hint="eastAsia" w:ascii="Times New Roman" w:hAnsi="Times New Roman" w:cs="Times New Roman"/>
                      <w:b/>
                      <w:color w:val="auto"/>
                      <w:szCs w:val="21"/>
                    </w:rPr>
                    <w:t>工序</w:t>
                  </w:r>
                </w:p>
              </w:tc>
              <w:tc>
                <w:tcPr>
                  <w:tcW w:w="302" w:type="pct"/>
                  <w:vMerge w:val="restart"/>
                  <w:noWrap w:val="0"/>
                  <w:vAlign w:val="center"/>
                </w:tcPr>
                <w:p w14:paraId="096527F1">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排气筒</w:t>
                  </w:r>
                </w:p>
              </w:tc>
              <w:tc>
                <w:tcPr>
                  <w:tcW w:w="292" w:type="pct"/>
                  <w:vMerge w:val="restart"/>
                  <w:noWrap w:val="0"/>
                  <w:vAlign w:val="center"/>
                </w:tcPr>
                <w:p w14:paraId="30275623">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排气筒</w:t>
                  </w:r>
                  <w:r>
                    <w:rPr>
                      <w:rFonts w:hint="default" w:ascii="Times New Roman" w:hAnsi="Times New Roman" w:cs="Times New Roman"/>
                      <w:b/>
                      <w:color w:val="auto"/>
                      <w:szCs w:val="21"/>
                    </w:rPr>
                    <w:t>高度</w:t>
                  </w:r>
                  <w:r>
                    <w:rPr>
                      <w:rFonts w:hint="eastAsia" w:ascii="Times New Roman" w:hAnsi="Times New Roman" w:cs="Times New Roman"/>
                      <w:b/>
                      <w:color w:val="auto"/>
                      <w:szCs w:val="21"/>
                    </w:rPr>
                    <w:t>/</w:t>
                  </w:r>
                  <w:r>
                    <w:rPr>
                      <w:rFonts w:hint="default" w:ascii="Times New Roman" w:hAnsi="Times New Roman" w:cs="Times New Roman"/>
                      <w:b/>
                      <w:color w:val="auto"/>
                      <w:szCs w:val="21"/>
                    </w:rPr>
                    <w:t>m</w:t>
                  </w:r>
                </w:p>
              </w:tc>
              <w:tc>
                <w:tcPr>
                  <w:tcW w:w="408" w:type="pct"/>
                  <w:vMerge w:val="restart"/>
                  <w:noWrap w:val="0"/>
                  <w:vAlign w:val="center"/>
                </w:tcPr>
                <w:p w14:paraId="7E614373">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废气</w:t>
                  </w:r>
                  <w:r>
                    <w:rPr>
                      <w:rFonts w:hint="default" w:ascii="Times New Roman" w:hAnsi="Times New Roman" w:cs="Times New Roman"/>
                      <w:b/>
                      <w:color w:val="auto"/>
                      <w:szCs w:val="21"/>
                    </w:rPr>
                    <w:t>处理设施</w:t>
                  </w:r>
                </w:p>
              </w:tc>
              <w:tc>
                <w:tcPr>
                  <w:tcW w:w="284" w:type="pct"/>
                  <w:vMerge w:val="restart"/>
                  <w:noWrap w:val="0"/>
                  <w:vAlign w:val="center"/>
                </w:tcPr>
                <w:p w14:paraId="7A31393D">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污染物</w:t>
                  </w:r>
                </w:p>
              </w:tc>
              <w:tc>
                <w:tcPr>
                  <w:tcW w:w="1182" w:type="pct"/>
                  <w:gridSpan w:val="2"/>
                  <w:noWrap w:val="0"/>
                  <w:vAlign w:val="center"/>
                </w:tcPr>
                <w:p w14:paraId="72AED4AB">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监测结果</w:t>
                  </w:r>
                </w:p>
              </w:tc>
              <w:tc>
                <w:tcPr>
                  <w:tcW w:w="1137" w:type="pct"/>
                  <w:vMerge w:val="restart"/>
                  <w:noWrap w:val="0"/>
                  <w:vAlign w:val="center"/>
                </w:tcPr>
                <w:p w14:paraId="754F56DD">
                  <w:pPr>
                    <w:pStyle w:val="109"/>
                    <w:keepNext w:val="0"/>
                    <w:keepLines w:val="0"/>
                    <w:suppressLineNumbers w:val="0"/>
                    <w:spacing w:before="0" w:beforeAutospacing="0" w:after="0" w:afterAutospacing="0"/>
                    <w:ind w:left="0" w:right="0"/>
                    <w:rPr>
                      <w:rFonts w:hint="eastAsia" w:ascii="Times New Roman" w:hAnsi="Times New Roman" w:cs="Times New Roman"/>
                      <w:b/>
                      <w:color w:val="auto"/>
                      <w:szCs w:val="21"/>
                    </w:rPr>
                  </w:pPr>
                  <w:r>
                    <w:rPr>
                      <w:rFonts w:hint="eastAsia" w:ascii="Times New Roman" w:hAnsi="Times New Roman" w:cs="Times New Roman"/>
                      <w:b/>
                      <w:color w:val="auto"/>
                      <w:szCs w:val="21"/>
                    </w:rPr>
                    <w:t>执行</w:t>
                  </w:r>
                </w:p>
                <w:p w14:paraId="21AD1AAD">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default" w:ascii="Times New Roman" w:hAnsi="Times New Roman" w:cs="Times New Roman"/>
                      <w:b/>
                      <w:color w:val="auto"/>
                      <w:szCs w:val="21"/>
                    </w:rPr>
                    <w:t>标准</w:t>
                  </w:r>
                </w:p>
              </w:tc>
              <w:tc>
                <w:tcPr>
                  <w:tcW w:w="838" w:type="pct"/>
                  <w:gridSpan w:val="2"/>
                  <w:noWrap w:val="0"/>
                  <w:vAlign w:val="center"/>
                </w:tcPr>
                <w:p w14:paraId="6910A464">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标准</w:t>
                  </w:r>
                </w:p>
              </w:tc>
              <w:tc>
                <w:tcPr>
                  <w:tcW w:w="292" w:type="pct"/>
                  <w:vMerge w:val="restart"/>
                  <w:noWrap w:val="0"/>
                  <w:vAlign w:val="center"/>
                </w:tcPr>
                <w:p w14:paraId="0D396ECE">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评价结果</w:t>
                  </w:r>
                </w:p>
              </w:tc>
            </w:tr>
            <w:tr w14:paraId="5F634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trPr>
              <w:tc>
                <w:tcPr>
                  <w:tcW w:w="262" w:type="pct"/>
                  <w:vMerge w:val="continue"/>
                  <w:noWrap w:val="0"/>
                  <w:vAlign w:val="center"/>
                </w:tcPr>
                <w:p w14:paraId="4A382403">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302" w:type="pct"/>
                  <w:vMerge w:val="continue"/>
                  <w:noWrap w:val="0"/>
                  <w:vAlign w:val="center"/>
                </w:tcPr>
                <w:p w14:paraId="73501DBF">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292" w:type="pct"/>
                  <w:vMerge w:val="continue"/>
                  <w:noWrap w:val="0"/>
                  <w:vAlign w:val="center"/>
                </w:tcPr>
                <w:p w14:paraId="43CE186C">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408" w:type="pct"/>
                  <w:vMerge w:val="continue"/>
                  <w:noWrap w:val="0"/>
                  <w:vAlign w:val="center"/>
                </w:tcPr>
                <w:p w14:paraId="73FBC845">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284" w:type="pct"/>
                  <w:vMerge w:val="continue"/>
                  <w:noWrap w:val="0"/>
                  <w:vAlign w:val="center"/>
                </w:tcPr>
                <w:p w14:paraId="56A883F3">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647" w:type="pct"/>
                  <w:noWrap w:val="0"/>
                  <w:vAlign w:val="center"/>
                </w:tcPr>
                <w:p w14:paraId="0CBA6A73">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平均排放浓度</w:t>
                  </w:r>
                  <w:r>
                    <w:rPr>
                      <w:rFonts w:hint="default" w:ascii="Times New Roman" w:hAnsi="Times New Roman" w:cs="Times New Roman"/>
                      <w:b/>
                      <w:color w:val="auto"/>
                      <w:szCs w:val="21"/>
                    </w:rPr>
                    <w:t>mg/m</w:t>
                  </w:r>
                  <w:r>
                    <w:rPr>
                      <w:rFonts w:hint="default" w:ascii="Times New Roman" w:hAnsi="Times New Roman" w:cs="Times New Roman"/>
                      <w:b/>
                      <w:color w:val="auto"/>
                      <w:szCs w:val="21"/>
                      <w:vertAlign w:val="superscript"/>
                    </w:rPr>
                    <w:t>3</w:t>
                  </w:r>
                </w:p>
              </w:tc>
              <w:tc>
                <w:tcPr>
                  <w:tcW w:w="534" w:type="pct"/>
                  <w:noWrap w:val="0"/>
                  <w:vAlign w:val="center"/>
                </w:tcPr>
                <w:p w14:paraId="3D148372">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平均排放速率k</w:t>
                  </w:r>
                  <w:r>
                    <w:rPr>
                      <w:rFonts w:hint="default" w:ascii="Times New Roman" w:hAnsi="Times New Roman" w:cs="Times New Roman"/>
                      <w:b/>
                      <w:color w:val="auto"/>
                      <w:szCs w:val="21"/>
                    </w:rPr>
                    <w:t>g/h</w:t>
                  </w:r>
                </w:p>
              </w:tc>
              <w:tc>
                <w:tcPr>
                  <w:tcW w:w="1137" w:type="pct"/>
                  <w:vMerge w:val="continue"/>
                  <w:noWrap w:val="0"/>
                  <w:vAlign w:val="center"/>
                </w:tcPr>
                <w:p w14:paraId="01AB346D">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p>
              </w:tc>
              <w:tc>
                <w:tcPr>
                  <w:tcW w:w="484" w:type="pct"/>
                  <w:noWrap w:val="0"/>
                  <w:vAlign w:val="center"/>
                </w:tcPr>
                <w:p w14:paraId="154BFCC8">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排放浓度</w:t>
                  </w:r>
                  <w:r>
                    <w:rPr>
                      <w:rFonts w:hint="default" w:ascii="Times New Roman" w:hAnsi="Times New Roman" w:cs="Times New Roman"/>
                      <w:b/>
                      <w:color w:val="auto"/>
                      <w:szCs w:val="21"/>
                    </w:rPr>
                    <w:t>mg/m</w:t>
                  </w:r>
                  <w:r>
                    <w:rPr>
                      <w:rFonts w:hint="default" w:ascii="Times New Roman" w:hAnsi="Times New Roman" w:cs="Times New Roman"/>
                      <w:b/>
                      <w:color w:val="auto"/>
                      <w:szCs w:val="21"/>
                      <w:vertAlign w:val="superscript"/>
                    </w:rPr>
                    <w:t>3</w:t>
                  </w:r>
                </w:p>
              </w:tc>
              <w:tc>
                <w:tcPr>
                  <w:tcW w:w="354" w:type="pct"/>
                  <w:noWrap w:val="0"/>
                  <w:vAlign w:val="center"/>
                </w:tcPr>
                <w:p w14:paraId="7AF271DA">
                  <w:pPr>
                    <w:pStyle w:val="109"/>
                    <w:keepNext w:val="0"/>
                    <w:keepLines w:val="0"/>
                    <w:suppressLineNumbers w:val="0"/>
                    <w:spacing w:before="0" w:beforeAutospacing="0" w:after="0" w:afterAutospacing="0"/>
                    <w:ind w:left="0" w:right="0"/>
                    <w:rPr>
                      <w:rFonts w:hint="default" w:ascii="Times New Roman" w:hAnsi="Times New Roman" w:cs="Times New Roman"/>
                      <w:b/>
                      <w:color w:val="auto"/>
                      <w:szCs w:val="21"/>
                    </w:rPr>
                  </w:pPr>
                  <w:r>
                    <w:rPr>
                      <w:rFonts w:hint="eastAsia" w:ascii="Times New Roman" w:hAnsi="Times New Roman" w:cs="Times New Roman"/>
                      <w:b/>
                      <w:color w:val="auto"/>
                      <w:szCs w:val="21"/>
                    </w:rPr>
                    <w:t>排放速率k</w:t>
                  </w:r>
                  <w:r>
                    <w:rPr>
                      <w:rFonts w:hint="default" w:ascii="Times New Roman" w:hAnsi="Times New Roman" w:cs="Times New Roman"/>
                      <w:b/>
                      <w:color w:val="auto"/>
                      <w:szCs w:val="21"/>
                    </w:rPr>
                    <w:t>g/h</w:t>
                  </w:r>
                </w:p>
              </w:tc>
              <w:tc>
                <w:tcPr>
                  <w:tcW w:w="292" w:type="pct"/>
                  <w:vMerge w:val="continue"/>
                  <w:noWrap w:val="0"/>
                  <w:vAlign w:val="center"/>
                </w:tcPr>
                <w:p w14:paraId="62B6146D">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r>
            <w:tr w14:paraId="445E5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2" w:type="pct"/>
                  <w:noWrap w:val="0"/>
                  <w:vAlign w:val="center"/>
                </w:tcPr>
                <w:p w14:paraId="3F2ADE31">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熔化</w:t>
                  </w:r>
                  <w:r>
                    <w:rPr>
                      <w:rFonts w:hint="eastAsia" w:cs="Times New Roman"/>
                      <w:color w:val="auto"/>
                      <w:szCs w:val="21"/>
                      <w:lang w:val="en-US" w:eastAsia="zh-CN"/>
                    </w:rPr>
                    <w:t>、精炼</w:t>
                  </w:r>
                </w:p>
              </w:tc>
              <w:tc>
                <w:tcPr>
                  <w:tcW w:w="302" w:type="pct"/>
                  <w:noWrap w:val="0"/>
                  <w:vAlign w:val="center"/>
                </w:tcPr>
                <w:p w14:paraId="0778E13E">
                  <w:pPr>
                    <w:pStyle w:val="109"/>
                    <w:keepNext w:val="0"/>
                    <w:keepLines w:val="0"/>
                    <w:suppressLineNumbers w:val="0"/>
                    <w:spacing w:before="0" w:beforeAutospacing="0" w:after="0" w:afterAutospacing="0"/>
                    <w:ind w:left="0" w:right="0"/>
                    <w:rPr>
                      <w:rFonts w:hint="eastAsia" w:ascii="Times New Roman" w:hAnsi="Times New Roman" w:cs="Times New Roman"/>
                      <w:color w:val="auto"/>
                      <w:szCs w:val="21"/>
                    </w:rPr>
                  </w:pPr>
                  <w:r>
                    <w:rPr>
                      <w:rFonts w:hint="eastAsia" w:ascii="Times New Roman" w:hAnsi="Times New Roman" w:cs="Times New Roman"/>
                      <w:color w:val="auto"/>
                      <w:szCs w:val="21"/>
                    </w:rPr>
                    <w:t>排气筒</w:t>
                  </w:r>
                  <w:r>
                    <w:rPr>
                      <w:rFonts w:hint="default" w:ascii="Times New Roman" w:hAnsi="Times New Roman" w:cs="Times New Roman"/>
                      <w:color w:val="auto"/>
                      <w:szCs w:val="21"/>
                    </w:rPr>
                    <w:t>1</w:t>
                  </w:r>
                  <w:r>
                    <w:rPr>
                      <w:rFonts w:hint="eastAsia" w:ascii="Times New Roman" w:hAnsi="Times New Roman" w:cs="Times New Roman"/>
                      <w:color w:val="auto"/>
                      <w:szCs w:val="21"/>
                    </w:rPr>
                    <w:t>#</w:t>
                  </w:r>
                </w:p>
              </w:tc>
              <w:tc>
                <w:tcPr>
                  <w:tcW w:w="292" w:type="pct"/>
                  <w:noWrap w:val="0"/>
                  <w:vAlign w:val="center"/>
                </w:tcPr>
                <w:p w14:paraId="5F33A9C1">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w:t>
                  </w:r>
                </w:p>
              </w:tc>
              <w:tc>
                <w:tcPr>
                  <w:tcW w:w="408" w:type="pct"/>
                  <w:noWrap w:val="0"/>
                  <w:vAlign w:val="center"/>
                </w:tcPr>
                <w:p w14:paraId="528B3784">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eastAsia" w:ascii="Times New Roman" w:hAnsi="Times New Roman" w:cs="Times New Roman"/>
                      <w:color w:val="auto"/>
                      <w:szCs w:val="21"/>
                    </w:rPr>
                    <w:t>布袋除尘器</w:t>
                  </w:r>
                </w:p>
              </w:tc>
              <w:tc>
                <w:tcPr>
                  <w:tcW w:w="284" w:type="pct"/>
                  <w:noWrap w:val="0"/>
                  <w:vAlign w:val="center"/>
                </w:tcPr>
                <w:p w14:paraId="7502CFE3">
                  <w:pPr>
                    <w:pStyle w:val="109"/>
                    <w:keepNext w:val="0"/>
                    <w:keepLines w:val="0"/>
                    <w:suppressLineNumbers w:val="0"/>
                    <w:spacing w:before="0" w:beforeAutospacing="0" w:after="0" w:afterAutospacing="0"/>
                    <w:ind w:left="0" w:right="0"/>
                    <w:rPr>
                      <w:rFonts w:hint="eastAsia" w:ascii="Times New Roman" w:hAnsi="Times New Roman" w:cs="Times New Roman"/>
                      <w:color w:val="auto"/>
                      <w:szCs w:val="21"/>
                    </w:rPr>
                  </w:pPr>
                  <w:r>
                    <w:rPr>
                      <w:rFonts w:hint="eastAsia" w:ascii="Times New Roman" w:hAnsi="Times New Roman" w:cs="Times New Roman"/>
                      <w:color w:val="auto"/>
                      <w:szCs w:val="21"/>
                    </w:rPr>
                    <w:t>颗粒物</w:t>
                  </w:r>
                </w:p>
              </w:tc>
              <w:tc>
                <w:tcPr>
                  <w:tcW w:w="647" w:type="pct"/>
                  <w:noWrap w:val="0"/>
                  <w:vAlign w:val="center"/>
                </w:tcPr>
                <w:p w14:paraId="3FD80C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c>
                <w:tcPr>
                  <w:tcW w:w="534" w:type="pct"/>
                  <w:noWrap w:val="0"/>
                  <w:vAlign w:val="center"/>
                </w:tcPr>
                <w:p w14:paraId="60D6A310">
                  <w:pPr>
                    <w:pStyle w:val="109"/>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eastAsia" w:cs="Times New Roman"/>
                      <w:color w:val="auto"/>
                      <w:szCs w:val="21"/>
                      <w:lang w:val="en-US" w:eastAsia="zh-CN"/>
                    </w:rPr>
                    <w:t>2.61</w:t>
                  </w:r>
                  <w:r>
                    <w:rPr>
                      <w:rFonts w:hint="default" w:ascii="Times New Roman" w:hAnsi="Times New Roman" w:cs="Times New Roman"/>
                      <w:color w:val="auto"/>
                      <w:szCs w:val="21"/>
                    </w:rPr>
                    <w:t>*10</w:t>
                  </w:r>
                  <w:r>
                    <w:rPr>
                      <w:rFonts w:hint="default" w:ascii="Times New Roman" w:hAnsi="Times New Roman" w:cs="Times New Roman"/>
                      <w:color w:val="auto"/>
                      <w:szCs w:val="21"/>
                      <w:vertAlign w:val="superscript"/>
                    </w:rPr>
                    <w:t>-</w:t>
                  </w:r>
                  <w:r>
                    <w:rPr>
                      <w:rFonts w:hint="eastAsia" w:cs="Times New Roman"/>
                      <w:color w:val="auto"/>
                      <w:szCs w:val="21"/>
                      <w:vertAlign w:val="superscript"/>
                      <w:lang w:val="en-US" w:eastAsia="zh-CN"/>
                    </w:rPr>
                    <w:t>1</w:t>
                  </w:r>
                </w:p>
              </w:tc>
              <w:tc>
                <w:tcPr>
                  <w:tcW w:w="1137" w:type="pct"/>
                  <w:noWrap w:val="0"/>
                  <w:vAlign w:val="center"/>
                </w:tcPr>
                <w:p w14:paraId="1FADA9B1">
                  <w:pPr>
                    <w:pStyle w:val="109"/>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《铸造工业大气污染物排放标准》（GB39726-2020）</w:t>
                  </w:r>
                </w:p>
              </w:tc>
              <w:tc>
                <w:tcPr>
                  <w:tcW w:w="484" w:type="pct"/>
                  <w:noWrap w:val="0"/>
                  <w:vAlign w:val="center"/>
                </w:tcPr>
                <w:p w14:paraId="43DF0300">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30</w:t>
                  </w:r>
                </w:p>
              </w:tc>
              <w:tc>
                <w:tcPr>
                  <w:tcW w:w="354" w:type="pct"/>
                  <w:noWrap w:val="0"/>
                  <w:vAlign w:val="center"/>
                </w:tcPr>
                <w:p w14:paraId="24394FF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292" w:type="pct"/>
                  <w:noWrap w:val="0"/>
                  <w:vAlign w:val="center"/>
                </w:tcPr>
                <w:p w14:paraId="0C186D86">
                  <w:pPr>
                    <w:pStyle w:val="109"/>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eastAsia" w:ascii="Times New Roman" w:hAnsi="Times New Roman" w:cs="Times New Roman"/>
                      <w:color w:val="auto"/>
                      <w:szCs w:val="21"/>
                    </w:rPr>
                    <w:t>达标</w:t>
                  </w:r>
                </w:p>
              </w:tc>
            </w:tr>
          </w:tbl>
          <w:p w14:paraId="5A94D112">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由上表可见，项目排放的颗粒物浓度符合</w:t>
            </w:r>
            <w:r>
              <w:rPr>
                <w:rFonts w:hint="eastAsia" w:ascii="Times New Roman" w:hAnsi="Times New Roman" w:cs="Times New Roman"/>
                <w:bCs/>
                <w:color w:val="auto"/>
                <w:sz w:val="24"/>
                <w:szCs w:val="24"/>
                <w:highlight w:val="none"/>
                <w:lang w:val="en-US" w:eastAsia="zh-CN"/>
              </w:rPr>
              <w:t>《铸造工业大气污染物排放标准》（GB39726-2020）</w:t>
            </w:r>
            <w:r>
              <w:rPr>
                <w:rFonts w:hint="eastAsia" w:ascii="Times New Roman" w:hAnsi="Times New Roman" w:cs="Times New Roman"/>
                <w:color w:val="auto"/>
                <w:sz w:val="24"/>
                <w:szCs w:val="24"/>
                <w:lang w:val="en-US" w:eastAsia="zh-CN"/>
              </w:rPr>
              <w:t>。</w:t>
            </w:r>
          </w:p>
          <w:p w14:paraId="2243EF08">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存在问题：</w:t>
            </w:r>
          </w:p>
          <w:p w14:paraId="3DE0E767">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①原项目未考虑切割烟尘；</w:t>
            </w:r>
          </w:p>
          <w:p w14:paraId="1ADDBEB9">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rPr>
              <w:t>参照《排放源统计调查产排污核算方法和系数手册》</w:t>
            </w:r>
            <w:r>
              <w:rPr>
                <w:rFonts w:hint="eastAsia" w:ascii="Times New Roman" w:hAnsi="Times New Roman" w:cs="Times New Roman"/>
                <w:color w:val="auto"/>
                <w:sz w:val="24"/>
                <w:lang w:val="en-US" w:eastAsia="zh-CN"/>
              </w:rPr>
              <w:t>33</w:t>
            </w:r>
            <w:r>
              <w:rPr>
                <w:rFonts w:hint="eastAsia" w:ascii="Times New Roman" w:hAnsi="Times New Roman" w:cs="Times New Roman"/>
                <w:color w:val="auto"/>
                <w:sz w:val="24"/>
              </w:rPr>
              <w:t>金属制品业行业系数表</w:t>
            </w:r>
            <w:r>
              <w:rPr>
                <w:rFonts w:hint="eastAsia" w:ascii="Times New Roman" w:hAnsi="Times New Roman" w:cs="Times New Roman"/>
                <w:color w:val="auto"/>
                <w:sz w:val="24"/>
                <w:lang w:val="en-US" w:eastAsia="zh-CN"/>
              </w:rPr>
              <w:t>04下料钢板、铝板、铝合金板、其它金属材料氧/可燃气切割工序过程中颗粒物产污系数为1.5kg/t—原料，项目仅对浇铸冒口进行切割，加工量约</w:t>
            </w:r>
            <w:r>
              <w:rPr>
                <w:rFonts w:hint="eastAsia" w:cs="Times New Roman"/>
                <w:color w:val="auto"/>
                <w:sz w:val="24"/>
                <w:lang w:val="en-US" w:eastAsia="zh-CN"/>
              </w:rPr>
              <w:t>1</w:t>
            </w:r>
            <w:r>
              <w:rPr>
                <w:rFonts w:hint="eastAsia" w:ascii="Times New Roman" w:hAnsi="Times New Roman" w:cs="Times New Roman"/>
                <w:color w:val="auto"/>
                <w:sz w:val="24"/>
                <w:lang w:val="en-US" w:eastAsia="zh-CN"/>
              </w:rPr>
              <w:t>%，项目年产铸件</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5000t，则切割烟尘产生量为0.</w:t>
            </w:r>
            <w:r>
              <w:rPr>
                <w:rFonts w:hint="eastAsia" w:cs="Times New Roman"/>
                <w:color w:val="auto"/>
                <w:sz w:val="24"/>
                <w:lang w:val="en-US" w:eastAsia="zh-CN"/>
              </w:rPr>
              <w:t>525</w:t>
            </w:r>
            <w:r>
              <w:rPr>
                <w:rFonts w:hint="eastAsia" w:ascii="Times New Roman" w:hAnsi="Times New Roman" w:cs="Times New Roman"/>
                <w:color w:val="auto"/>
                <w:sz w:val="24"/>
                <w:lang w:val="en-US" w:eastAsia="zh-CN"/>
              </w:rPr>
              <w:t>t/a。本次技改项目</w:t>
            </w:r>
            <w:r>
              <w:rPr>
                <w:rFonts w:hint="eastAsia" w:ascii="Times New Roman" w:hAnsi="Times New Roman" w:cs="Times New Roman"/>
                <w:color w:val="auto"/>
                <w:sz w:val="24"/>
                <w:szCs w:val="24"/>
                <w:lang w:val="en-US" w:eastAsia="zh-CN"/>
              </w:rPr>
              <w:t>在去冒口区上方设置集气罩，产生的切割烟尘经集气罩收集进滤筒除尘器处理后无组织排放，收集效率为90%，去除效率为95%。</w:t>
            </w:r>
          </w:p>
          <w:p w14:paraId="0DAB7807">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②原有项目废钢、浇冒口熔化和精炼过程中产生的废气经集气罩收集后进布袋除尘器进行处理，收集效率约90%；原项目未考虑熔化烟尘、精炼烟尘中含有的特征污染因子（镍及其化合物、铬及其化合物）。</w:t>
            </w:r>
          </w:p>
          <w:p w14:paraId="5481E8B2">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本次为提高废气捕集率，改善车间生产环境，将集气罩改造为半密闭式集气罩，提高废气收集效率为95%；本次环评中对熔化烟尘、精炼烟尘中含有的镍及其化合物、铬及其化合物进行定量分析。</w:t>
            </w:r>
          </w:p>
          <w:p w14:paraId="291B15DB">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③</w:t>
            </w:r>
            <w:r>
              <w:rPr>
                <w:rFonts w:hint="eastAsia" w:ascii="Times New Roman" w:hAnsi="Times New Roman" w:cs="Times New Roman"/>
                <w:bCs/>
                <w:color w:val="auto"/>
                <w:sz w:val="24"/>
                <w:szCs w:val="24"/>
                <w:highlight w:val="none"/>
                <w:lang w:val="en-US" w:eastAsia="zh-CN"/>
              </w:rPr>
              <w:t>《铸造工业大气污染物排放标准》（GB39726-2020）于2020年12月8日发布，现有企业自2023年7月1日起执行；企业原有项目熔化、</w:t>
            </w:r>
            <w:r>
              <w:rPr>
                <w:rFonts w:hint="eastAsia" w:cs="Times New Roman"/>
                <w:bCs/>
                <w:color w:val="auto"/>
                <w:sz w:val="24"/>
                <w:szCs w:val="24"/>
                <w:highlight w:val="none"/>
                <w:lang w:val="en-US" w:eastAsia="zh-CN"/>
              </w:rPr>
              <w:t>精炼</w:t>
            </w:r>
            <w:r>
              <w:rPr>
                <w:rFonts w:hint="eastAsia" w:ascii="Times New Roman" w:hAnsi="Times New Roman" w:cs="Times New Roman"/>
                <w:bCs/>
                <w:color w:val="auto"/>
                <w:sz w:val="24"/>
                <w:szCs w:val="24"/>
                <w:highlight w:val="none"/>
                <w:lang w:val="en-US" w:eastAsia="zh-CN"/>
              </w:rPr>
              <w:t>过程中排放的颗粒物应按照最新环境管理要求，执行《铸造工业大气污染物排放标准》（GB39726-2020）中表1、表A.1相关限值要求</w:t>
            </w:r>
            <w:r>
              <w:rPr>
                <w:rFonts w:hint="eastAsia" w:cs="Times New Roman"/>
                <w:bCs/>
                <w:color w:val="auto"/>
                <w:sz w:val="24"/>
                <w:szCs w:val="24"/>
                <w:highlight w:val="none"/>
                <w:lang w:val="en-US" w:eastAsia="zh-CN"/>
              </w:rPr>
              <w:t>。</w:t>
            </w:r>
          </w:p>
          <w:p w14:paraId="15075027">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（2）废水</w:t>
            </w:r>
          </w:p>
          <w:p w14:paraId="49E30E1C">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rPr>
            </w:pPr>
            <w:r>
              <w:rPr>
                <w:rFonts w:hint="eastAsia" w:cs="Times New Roman"/>
                <w:b w:val="0"/>
                <w:bCs w:val="0"/>
                <w:color w:val="auto"/>
                <w:sz w:val="24"/>
                <w:szCs w:val="24"/>
                <w:lang w:val="en-US" w:eastAsia="zh-CN"/>
              </w:rPr>
              <w:t>原有项目中频炉和精炼炉</w:t>
            </w:r>
            <w:r>
              <w:rPr>
                <w:rFonts w:hint="eastAsia" w:ascii="Times New Roman" w:hAnsi="Times New Roman" w:cs="Times New Roman"/>
                <w:color w:val="auto"/>
                <w:sz w:val="24"/>
                <w:szCs w:val="24"/>
              </w:rPr>
              <w:t>冷却水循环使用</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不外排</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生活污水</w:t>
            </w:r>
            <w:r>
              <w:rPr>
                <w:rFonts w:hint="eastAsia" w:hAnsi="宋体"/>
                <w:color w:val="auto"/>
                <w:sz w:val="24"/>
                <w:highlight w:val="none"/>
              </w:rPr>
              <w:t>由当地村委会拉走集中处理</w:t>
            </w:r>
            <w:r>
              <w:rPr>
                <w:rFonts w:hint="eastAsia" w:ascii="Times New Roman" w:hAnsi="Times New Roman" w:cs="Times New Roman"/>
                <w:color w:val="auto"/>
                <w:sz w:val="24"/>
                <w:szCs w:val="24"/>
              </w:rPr>
              <w:t>。</w:t>
            </w:r>
          </w:p>
          <w:p w14:paraId="0E5CA84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w:t>
            </w:r>
            <w:r>
              <w:rPr>
                <w:rFonts w:hint="eastAsia" w:cs="Times New Roman"/>
                <w:color w:val="auto"/>
                <w:sz w:val="24"/>
                <w:lang w:val="en-US" w:eastAsia="zh-CN"/>
              </w:rPr>
              <w:t>特斯特（江苏）检测科技有限公司</w:t>
            </w:r>
            <w:r>
              <w:rPr>
                <w:rFonts w:hint="eastAsia" w:ascii="Times New Roman" w:hAnsi="Times New Roman" w:cs="Times New Roman"/>
                <w:color w:val="auto"/>
                <w:sz w:val="24"/>
                <w:szCs w:val="24"/>
                <w:lang w:val="en-US" w:eastAsia="zh-CN"/>
              </w:rPr>
              <w:t>202</w:t>
            </w:r>
            <w:r>
              <w:rPr>
                <w:rFonts w:hint="eastAsia" w:cs="Times New Roman"/>
                <w:color w:val="auto"/>
                <w:sz w:val="24"/>
                <w:szCs w:val="24"/>
                <w:lang w:val="en-US" w:eastAsia="zh-CN"/>
              </w:rPr>
              <w:t>3</w:t>
            </w:r>
            <w:r>
              <w:rPr>
                <w:rFonts w:hint="eastAsia" w:ascii="Times New Roman" w:hAnsi="Times New Roman" w:cs="Times New Roman"/>
                <w:color w:val="auto"/>
                <w:sz w:val="24"/>
                <w:szCs w:val="24"/>
                <w:lang w:val="en-US" w:eastAsia="zh-CN"/>
              </w:rPr>
              <w:t>年</w:t>
            </w:r>
            <w:r>
              <w:rPr>
                <w:rFonts w:hint="eastAsia" w:cs="Times New Roman"/>
                <w:color w:val="auto"/>
                <w:sz w:val="24"/>
                <w:szCs w:val="24"/>
                <w:lang w:val="en-US" w:eastAsia="zh-CN"/>
              </w:rPr>
              <w:t>12</w:t>
            </w:r>
            <w:r>
              <w:rPr>
                <w:rFonts w:hint="eastAsia" w:ascii="Times New Roman" w:hAnsi="Times New Roman" w:cs="Times New Roman"/>
                <w:color w:val="auto"/>
                <w:sz w:val="24"/>
                <w:szCs w:val="24"/>
                <w:lang w:val="en-US" w:eastAsia="zh-CN"/>
              </w:rPr>
              <w:t>月1日对厂区</w:t>
            </w:r>
            <w:r>
              <w:rPr>
                <w:rFonts w:hint="eastAsia" w:cs="Times New Roman"/>
                <w:color w:val="auto"/>
                <w:sz w:val="24"/>
                <w:szCs w:val="24"/>
                <w:lang w:val="en-US" w:eastAsia="zh-CN"/>
              </w:rPr>
              <w:t>生活污水的</w:t>
            </w:r>
            <w:r>
              <w:rPr>
                <w:rFonts w:hint="eastAsia" w:ascii="Times New Roman" w:hAnsi="Times New Roman" w:cs="Times New Roman"/>
                <w:color w:val="auto"/>
                <w:sz w:val="24"/>
                <w:szCs w:val="24"/>
                <w:lang w:val="en-US" w:eastAsia="zh-CN"/>
              </w:rPr>
              <w:t>监测数据</w:t>
            </w:r>
            <w:r>
              <w:rPr>
                <w:rFonts w:hint="eastAsia" w:cs="Times New Roman"/>
                <w:color w:val="auto"/>
                <w:sz w:val="24"/>
                <w:szCs w:val="24"/>
                <w:lang w:val="en-US" w:eastAsia="zh-CN"/>
              </w:rPr>
              <w:t>（</w:t>
            </w:r>
            <w:r>
              <w:rPr>
                <w:rFonts w:hint="eastAsia" w:ascii="Times New Roman" w:hAnsi="Times New Roman" w:cs="Times New Roman"/>
                <w:color w:val="auto"/>
                <w:sz w:val="24"/>
                <w:szCs w:val="24"/>
                <w:lang w:val="en-US" w:eastAsia="zh-CN"/>
              </w:rPr>
              <w:t>报告编号为：</w:t>
            </w:r>
            <w:r>
              <w:rPr>
                <w:rFonts w:hint="eastAsia" w:cs="Times New Roman"/>
                <w:color w:val="auto"/>
                <w:sz w:val="24"/>
                <w:szCs w:val="24"/>
                <w:lang w:val="en-US" w:eastAsia="zh-CN"/>
              </w:rPr>
              <w:t>TST202312007</w:t>
            </w:r>
            <w:r>
              <w:rPr>
                <w:rFonts w:hint="eastAsia" w:ascii="Times New Roman" w:hAnsi="Times New Roman" w:cs="Times New Roman"/>
                <w:color w:val="auto"/>
                <w:sz w:val="24"/>
                <w:szCs w:val="24"/>
                <w:lang w:val="en-US" w:eastAsia="zh-CN"/>
              </w:rPr>
              <w:t>），监测结果见下表：</w:t>
            </w:r>
          </w:p>
          <w:p w14:paraId="79A17C27">
            <w:pPr>
              <w:pStyle w:val="92"/>
              <w:keepNext w:val="0"/>
              <w:keepLines w:val="0"/>
              <w:suppressLineNumbers w:val="0"/>
              <w:spacing w:before="0" w:beforeAutospacing="0" w:after="0" w:afterAutospacing="0"/>
              <w:ind w:left="0" w:right="0"/>
              <w:rPr>
                <w:rFonts w:hint="eastAsia" w:cs="Times New Roman"/>
                <w:color w:val="auto"/>
                <w:sz w:val="24"/>
                <w:szCs w:val="24"/>
              </w:rPr>
            </w:pPr>
            <w:r>
              <w:rPr>
                <w:rFonts w:hint="eastAsia" w:cs="Times New Roman"/>
                <w:color w:val="auto"/>
                <w:sz w:val="24"/>
                <w:szCs w:val="24"/>
              </w:rPr>
              <w:t>表</w:t>
            </w:r>
            <w:r>
              <w:rPr>
                <w:rFonts w:hint="eastAsia" w:cs="Times New Roman"/>
                <w:color w:val="auto"/>
                <w:sz w:val="24"/>
                <w:szCs w:val="24"/>
                <w:lang w:val="en-US" w:eastAsia="zh-CN"/>
              </w:rPr>
              <w:t>2.2-4</w:t>
            </w:r>
            <w:r>
              <w:rPr>
                <w:rFonts w:hint="eastAsia" w:cs="Times New Roman"/>
                <w:color w:val="auto"/>
                <w:sz w:val="24"/>
                <w:szCs w:val="24"/>
              </w:rPr>
              <w:t xml:space="preserve"> 废水排放监测结果</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226"/>
              <w:gridCol w:w="1457"/>
              <w:gridCol w:w="1165"/>
              <w:gridCol w:w="1804"/>
              <w:gridCol w:w="1520"/>
              <w:gridCol w:w="1213"/>
            </w:tblGrid>
            <w:tr w14:paraId="4F17373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31" w:type="pct"/>
                  <w:noWrap w:val="0"/>
                  <w:vAlign w:val="center"/>
                </w:tcPr>
                <w:p w14:paraId="13BFB931">
                  <w:pPr>
                    <w:pStyle w:val="90"/>
                    <w:keepNext w:val="0"/>
                    <w:keepLines w:val="0"/>
                    <w:suppressLineNumbers w:val="0"/>
                    <w:spacing w:before="0" w:beforeAutospacing="0" w:after="0" w:afterAutospacing="0" w:line="240" w:lineRule="auto"/>
                    <w:ind w:left="0" w:right="0" w:firstLine="0" w:firstLineChars="0"/>
                    <w:jc w:val="center"/>
                    <w:rPr>
                      <w:rFonts w:hint="default"/>
                      <w:b/>
                      <w:bCs w:val="0"/>
                      <w:color w:val="auto"/>
                      <w:sz w:val="21"/>
                      <w:szCs w:val="21"/>
                    </w:rPr>
                  </w:pPr>
                  <w:r>
                    <w:rPr>
                      <w:rFonts w:hint="eastAsia"/>
                      <w:b/>
                      <w:bCs w:val="0"/>
                      <w:color w:val="auto"/>
                      <w:sz w:val="21"/>
                      <w:szCs w:val="21"/>
                    </w:rPr>
                    <w:t>监测点位</w:t>
                  </w:r>
                </w:p>
              </w:tc>
              <w:tc>
                <w:tcPr>
                  <w:tcW w:w="868" w:type="pct"/>
                  <w:noWrap w:val="0"/>
                  <w:vAlign w:val="center"/>
                </w:tcPr>
                <w:p w14:paraId="0C428A70">
                  <w:pPr>
                    <w:pStyle w:val="90"/>
                    <w:keepNext w:val="0"/>
                    <w:keepLines w:val="0"/>
                    <w:suppressLineNumbers w:val="0"/>
                    <w:spacing w:before="0" w:beforeAutospacing="0" w:after="0" w:afterAutospacing="0" w:line="240" w:lineRule="auto"/>
                    <w:ind w:left="0" w:right="0" w:firstLine="0" w:firstLineChars="0"/>
                    <w:jc w:val="center"/>
                    <w:rPr>
                      <w:rFonts w:hint="default"/>
                      <w:b/>
                      <w:bCs w:val="0"/>
                      <w:color w:val="auto"/>
                      <w:sz w:val="21"/>
                      <w:szCs w:val="21"/>
                    </w:rPr>
                  </w:pPr>
                  <w:r>
                    <w:rPr>
                      <w:rFonts w:hint="eastAsia"/>
                      <w:b/>
                      <w:bCs w:val="0"/>
                      <w:color w:val="auto"/>
                      <w:sz w:val="21"/>
                      <w:szCs w:val="21"/>
                    </w:rPr>
                    <w:t>监测项目</w:t>
                  </w:r>
                </w:p>
              </w:tc>
              <w:tc>
                <w:tcPr>
                  <w:tcW w:w="694" w:type="pct"/>
                  <w:noWrap w:val="0"/>
                  <w:vAlign w:val="center"/>
                </w:tcPr>
                <w:p w14:paraId="3EDAB6AE">
                  <w:pPr>
                    <w:pStyle w:val="90"/>
                    <w:keepNext w:val="0"/>
                    <w:keepLines w:val="0"/>
                    <w:suppressLineNumbers w:val="0"/>
                    <w:spacing w:before="0" w:beforeAutospacing="0" w:after="0" w:afterAutospacing="0" w:line="240" w:lineRule="auto"/>
                    <w:ind w:left="0" w:right="0" w:firstLine="0" w:firstLineChars="0"/>
                    <w:jc w:val="center"/>
                    <w:rPr>
                      <w:rFonts w:hint="default"/>
                      <w:b/>
                      <w:bCs w:val="0"/>
                      <w:color w:val="auto"/>
                      <w:sz w:val="21"/>
                      <w:szCs w:val="21"/>
                    </w:rPr>
                  </w:pPr>
                  <w:r>
                    <w:rPr>
                      <w:rFonts w:hint="eastAsia"/>
                      <w:b/>
                      <w:bCs w:val="0"/>
                      <w:color w:val="auto"/>
                      <w:sz w:val="21"/>
                      <w:szCs w:val="21"/>
                    </w:rPr>
                    <w:t>监测日期</w:t>
                  </w:r>
                </w:p>
              </w:tc>
              <w:tc>
                <w:tcPr>
                  <w:tcW w:w="1075" w:type="pct"/>
                  <w:tcBorders>
                    <w:right w:val="single" w:color="auto" w:sz="4" w:space="0"/>
                  </w:tcBorders>
                  <w:noWrap w:val="0"/>
                  <w:vAlign w:val="center"/>
                </w:tcPr>
                <w:p w14:paraId="1C950351">
                  <w:pPr>
                    <w:pStyle w:val="90"/>
                    <w:keepNext w:val="0"/>
                    <w:keepLines w:val="0"/>
                    <w:suppressLineNumbers w:val="0"/>
                    <w:spacing w:before="0" w:beforeAutospacing="0" w:after="0" w:afterAutospacing="0" w:line="240" w:lineRule="auto"/>
                    <w:ind w:left="0" w:right="0" w:firstLine="0" w:firstLineChars="0"/>
                    <w:jc w:val="center"/>
                    <w:rPr>
                      <w:rFonts w:hint="eastAsia" w:eastAsia="宋体"/>
                      <w:b/>
                      <w:bCs w:val="0"/>
                      <w:color w:val="auto"/>
                      <w:sz w:val="21"/>
                      <w:szCs w:val="21"/>
                      <w:lang w:eastAsia="zh-CN"/>
                    </w:rPr>
                  </w:pPr>
                  <w:r>
                    <w:rPr>
                      <w:rFonts w:hint="eastAsia"/>
                      <w:b/>
                      <w:bCs w:val="0"/>
                      <w:color w:val="auto"/>
                      <w:sz w:val="21"/>
                      <w:szCs w:val="21"/>
                    </w:rPr>
                    <w:t>监测结果</w:t>
                  </w:r>
                  <w:r>
                    <w:rPr>
                      <w:rFonts w:hint="eastAsia"/>
                      <w:b/>
                      <w:bCs w:val="0"/>
                      <w:color w:val="auto"/>
                      <w:sz w:val="21"/>
                      <w:szCs w:val="21"/>
                      <w:lang w:eastAsia="zh-CN"/>
                    </w:rPr>
                    <w:t>（</w:t>
                  </w:r>
                  <w:r>
                    <w:rPr>
                      <w:rFonts w:hint="eastAsia"/>
                      <w:b/>
                      <w:bCs w:val="0"/>
                      <w:color w:val="auto"/>
                      <w:sz w:val="21"/>
                      <w:szCs w:val="21"/>
                      <w:lang w:val="en-US" w:eastAsia="zh-CN"/>
                    </w:rPr>
                    <w:t>mg/L</w:t>
                  </w:r>
                  <w:r>
                    <w:rPr>
                      <w:rFonts w:hint="eastAsia"/>
                      <w:b/>
                      <w:bCs w:val="0"/>
                      <w:color w:val="auto"/>
                      <w:sz w:val="21"/>
                      <w:szCs w:val="21"/>
                      <w:lang w:eastAsia="zh-CN"/>
                    </w:rPr>
                    <w:t>）</w:t>
                  </w:r>
                </w:p>
              </w:tc>
              <w:tc>
                <w:tcPr>
                  <w:tcW w:w="906" w:type="pct"/>
                  <w:noWrap w:val="0"/>
                  <w:vAlign w:val="center"/>
                </w:tcPr>
                <w:p w14:paraId="5427797D">
                  <w:pPr>
                    <w:pStyle w:val="90"/>
                    <w:keepNext w:val="0"/>
                    <w:keepLines w:val="0"/>
                    <w:suppressLineNumbers w:val="0"/>
                    <w:spacing w:before="0" w:beforeAutospacing="0" w:after="0" w:afterAutospacing="0" w:line="240" w:lineRule="auto"/>
                    <w:ind w:left="0" w:right="0" w:firstLine="0" w:firstLineChars="0"/>
                    <w:jc w:val="center"/>
                    <w:rPr>
                      <w:rFonts w:hint="default"/>
                      <w:b/>
                      <w:bCs w:val="0"/>
                      <w:color w:val="auto"/>
                      <w:sz w:val="21"/>
                      <w:szCs w:val="21"/>
                    </w:rPr>
                  </w:pPr>
                  <w:r>
                    <w:rPr>
                      <w:rFonts w:hint="eastAsia"/>
                      <w:b/>
                      <w:bCs w:val="0"/>
                      <w:color w:val="auto"/>
                      <w:sz w:val="21"/>
                      <w:szCs w:val="21"/>
                    </w:rPr>
                    <w:t>限值</w:t>
                  </w:r>
                  <w:r>
                    <w:rPr>
                      <w:rFonts w:hint="eastAsia"/>
                      <w:b/>
                      <w:bCs w:val="0"/>
                      <w:color w:val="auto"/>
                      <w:sz w:val="21"/>
                      <w:szCs w:val="21"/>
                      <w:lang w:eastAsia="zh-CN"/>
                    </w:rPr>
                    <w:t>（</w:t>
                  </w:r>
                  <w:r>
                    <w:rPr>
                      <w:rFonts w:hint="eastAsia"/>
                      <w:b/>
                      <w:bCs w:val="0"/>
                      <w:color w:val="auto"/>
                      <w:sz w:val="21"/>
                      <w:szCs w:val="21"/>
                      <w:lang w:val="en-US" w:eastAsia="zh-CN"/>
                    </w:rPr>
                    <w:t>mg/L</w:t>
                  </w:r>
                  <w:r>
                    <w:rPr>
                      <w:rFonts w:hint="eastAsia"/>
                      <w:b/>
                      <w:bCs w:val="0"/>
                      <w:color w:val="auto"/>
                      <w:sz w:val="21"/>
                      <w:szCs w:val="21"/>
                      <w:lang w:eastAsia="zh-CN"/>
                    </w:rPr>
                    <w:t>）</w:t>
                  </w:r>
                </w:p>
              </w:tc>
              <w:tc>
                <w:tcPr>
                  <w:tcW w:w="723" w:type="pct"/>
                  <w:noWrap w:val="0"/>
                  <w:vAlign w:val="center"/>
                </w:tcPr>
                <w:p w14:paraId="215EFFBB">
                  <w:pPr>
                    <w:pStyle w:val="90"/>
                    <w:keepNext w:val="0"/>
                    <w:keepLines w:val="0"/>
                    <w:suppressLineNumbers w:val="0"/>
                    <w:spacing w:before="0" w:beforeAutospacing="0" w:after="0" w:afterAutospacing="0" w:line="240" w:lineRule="auto"/>
                    <w:ind w:left="0" w:right="0" w:firstLine="0" w:firstLineChars="0"/>
                    <w:jc w:val="center"/>
                    <w:rPr>
                      <w:rFonts w:hint="eastAsia"/>
                      <w:b/>
                      <w:bCs w:val="0"/>
                      <w:color w:val="auto"/>
                      <w:sz w:val="21"/>
                      <w:szCs w:val="21"/>
                    </w:rPr>
                  </w:pPr>
                  <w:r>
                    <w:rPr>
                      <w:rFonts w:hint="eastAsia"/>
                      <w:b/>
                      <w:bCs w:val="0"/>
                      <w:color w:val="auto"/>
                      <w:sz w:val="21"/>
                      <w:szCs w:val="21"/>
                    </w:rPr>
                    <w:t>是否达标</w:t>
                  </w:r>
                </w:p>
              </w:tc>
            </w:tr>
            <w:tr w14:paraId="6ADEAF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31" w:type="pct"/>
                  <w:vMerge w:val="restart"/>
                  <w:noWrap w:val="0"/>
                  <w:vAlign w:val="center"/>
                </w:tcPr>
                <w:p w14:paraId="0D661B23">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废（污）水</w:t>
                  </w:r>
                  <w:r>
                    <w:rPr>
                      <w:rFonts w:hint="eastAsia"/>
                      <w:color w:val="auto"/>
                      <w:sz w:val="21"/>
                      <w:szCs w:val="21"/>
                    </w:rPr>
                    <w:t>排口</w:t>
                  </w:r>
                </w:p>
              </w:tc>
              <w:tc>
                <w:tcPr>
                  <w:tcW w:w="868" w:type="pct"/>
                  <w:noWrap w:val="0"/>
                  <w:vAlign w:val="center"/>
                </w:tcPr>
                <w:p w14:paraId="164684D4">
                  <w:pPr>
                    <w:pStyle w:val="90"/>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pH值</w:t>
                  </w:r>
                </w:p>
              </w:tc>
              <w:tc>
                <w:tcPr>
                  <w:tcW w:w="694" w:type="pct"/>
                  <w:vMerge w:val="restart"/>
                  <w:noWrap w:val="0"/>
                  <w:vAlign w:val="center"/>
                </w:tcPr>
                <w:p w14:paraId="105E3BC3">
                  <w:pPr>
                    <w:pStyle w:val="90"/>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2</w:t>
                  </w:r>
                  <w:r>
                    <w:rPr>
                      <w:rFonts w:hint="default"/>
                      <w:color w:val="auto"/>
                      <w:sz w:val="21"/>
                      <w:szCs w:val="21"/>
                    </w:rPr>
                    <w:t>02</w:t>
                  </w:r>
                  <w:r>
                    <w:rPr>
                      <w:rFonts w:hint="eastAsia"/>
                      <w:color w:val="auto"/>
                      <w:sz w:val="21"/>
                      <w:szCs w:val="21"/>
                      <w:lang w:val="en-US" w:eastAsia="zh-CN"/>
                    </w:rPr>
                    <w:t>3.12.1</w:t>
                  </w:r>
                </w:p>
              </w:tc>
              <w:tc>
                <w:tcPr>
                  <w:tcW w:w="1075" w:type="pct"/>
                  <w:noWrap w:val="0"/>
                  <w:vAlign w:val="center"/>
                </w:tcPr>
                <w:p w14:paraId="4EFDBAD3">
                  <w:pPr>
                    <w:pStyle w:val="90"/>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7.2</w:t>
                  </w:r>
                </w:p>
              </w:tc>
              <w:tc>
                <w:tcPr>
                  <w:tcW w:w="906" w:type="pct"/>
                  <w:noWrap w:val="0"/>
                  <w:vAlign w:val="center"/>
                </w:tcPr>
                <w:p w14:paraId="71F6363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6~9</w:t>
                  </w:r>
                </w:p>
              </w:tc>
              <w:tc>
                <w:tcPr>
                  <w:tcW w:w="723" w:type="pct"/>
                  <w:noWrap w:val="0"/>
                  <w:vAlign w:val="center"/>
                </w:tcPr>
                <w:p w14:paraId="7211BBA5">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w:t>
                  </w:r>
                </w:p>
              </w:tc>
            </w:tr>
            <w:tr w14:paraId="235C08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31" w:type="pct"/>
                  <w:vMerge w:val="continue"/>
                  <w:noWrap w:val="0"/>
                  <w:vAlign w:val="center"/>
                </w:tcPr>
                <w:p w14:paraId="0CA933EC">
                  <w:pPr>
                    <w:pStyle w:val="90"/>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p>
              </w:tc>
              <w:tc>
                <w:tcPr>
                  <w:tcW w:w="868" w:type="pct"/>
                  <w:noWrap w:val="0"/>
                  <w:vAlign w:val="center"/>
                </w:tcPr>
                <w:p w14:paraId="05B653AF">
                  <w:pPr>
                    <w:pStyle w:val="90"/>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化学需氧量</w:t>
                  </w:r>
                </w:p>
              </w:tc>
              <w:tc>
                <w:tcPr>
                  <w:tcW w:w="694" w:type="pct"/>
                  <w:vMerge w:val="continue"/>
                  <w:noWrap w:val="0"/>
                  <w:vAlign w:val="center"/>
                </w:tcPr>
                <w:p w14:paraId="2FEA3C32">
                  <w:pPr>
                    <w:pStyle w:val="90"/>
                    <w:keepNext w:val="0"/>
                    <w:keepLines w:val="0"/>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1075" w:type="pct"/>
                  <w:noWrap w:val="0"/>
                  <w:vAlign w:val="center"/>
                </w:tcPr>
                <w:p w14:paraId="500FED8B">
                  <w:pPr>
                    <w:pStyle w:val="90"/>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14</w:t>
                  </w:r>
                </w:p>
              </w:tc>
              <w:tc>
                <w:tcPr>
                  <w:tcW w:w="906" w:type="pct"/>
                  <w:noWrap w:val="0"/>
                  <w:vAlign w:val="center"/>
                </w:tcPr>
                <w:p w14:paraId="4894817A">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450</w:t>
                  </w:r>
                </w:p>
              </w:tc>
              <w:tc>
                <w:tcPr>
                  <w:tcW w:w="723" w:type="pct"/>
                  <w:noWrap w:val="0"/>
                  <w:vAlign w:val="center"/>
                </w:tcPr>
                <w:p w14:paraId="309A6839">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达标</w:t>
                  </w:r>
                </w:p>
              </w:tc>
            </w:tr>
            <w:tr w14:paraId="115772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31" w:type="pct"/>
                  <w:vMerge w:val="continue"/>
                  <w:noWrap w:val="0"/>
                  <w:vAlign w:val="center"/>
                </w:tcPr>
                <w:p w14:paraId="6CD9BD02">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868" w:type="pct"/>
                  <w:noWrap w:val="0"/>
                  <w:vAlign w:val="center"/>
                </w:tcPr>
                <w:p w14:paraId="27CAFE3C">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悬浮物</w:t>
                  </w:r>
                </w:p>
              </w:tc>
              <w:tc>
                <w:tcPr>
                  <w:tcW w:w="694" w:type="pct"/>
                  <w:vMerge w:val="continue"/>
                  <w:noWrap w:val="0"/>
                  <w:vAlign w:val="center"/>
                </w:tcPr>
                <w:p w14:paraId="1648FD92">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75" w:type="pct"/>
                  <w:noWrap w:val="0"/>
                  <w:vAlign w:val="center"/>
                </w:tcPr>
                <w:p w14:paraId="0296297C">
                  <w:pPr>
                    <w:pStyle w:val="90"/>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22</w:t>
                  </w:r>
                </w:p>
              </w:tc>
              <w:tc>
                <w:tcPr>
                  <w:tcW w:w="906" w:type="pct"/>
                  <w:noWrap w:val="0"/>
                  <w:vAlign w:val="center"/>
                </w:tcPr>
                <w:p w14:paraId="5E142656">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350</w:t>
                  </w:r>
                </w:p>
              </w:tc>
              <w:tc>
                <w:tcPr>
                  <w:tcW w:w="723" w:type="pct"/>
                  <w:noWrap w:val="0"/>
                  <w:vAlign w:val="center"/>
                </w:tcPr>
                <w:p w14:paraId="14EEBC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达标</w:t>
                  </w:r>
                </w:p>
              </w:tc>
            </w:tr>
            <w:tr w14:paraId="53B47BC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31" w:type="pct"/>
                  <w:vMerge w:val="continue"/>
                  <w:noWrap w:val="0"/>
                  <w:vAlign w:val="center"/>
                </w:tcPr>
                <w:p w14:paraId="32D5266D">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868" w:type="pct"/>
                  <w:noWrap w:val="0"/>
                  <w:vAlign w:val="center"/>
                </w:tcPr>
                <w:p w14:paraId="51303FAA">
                  <w:pPr>
                    <w:pStyle w:val="90"/>
                    <w:keepNext w:val="0"/>
                    <w:keepLines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总氮</w:t>
                  </w:r>
                </w:p>
              </w:tc>
              <w:tc>
                <w:tcPr>
                  <w:tcW w:w="694" w:type="pct"/>
                  <w:vMerge w:val="continue"/>
                  <w:noWrap w:val="0"/>
                  <w:vAlign w:val="center"/>
                </w:tcPr>
                <w:p w14:paraId="44A4DE8E">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75" w:type="pct"/>
                  <w:noWrap w:val="0"/>
                  <w:vAlign w:val="center"/>
                </w:tcPr>
                <w:p w14:paraId="0EAF4A3B">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2.40</w:t>
                  </w:r>
                </w:p>
              </w:tc>
              <w:tc>
                <w:tcPr>
                  <w:tcW w:w="906" w:type="pct"/>
                  <w:noWrap w:val="0"/>
                  <w:vAlign w:val="center"/>
                </w:tcPr>
                <w:p w14:paraId="532D36D5">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8</w:t>
                  </w:r>
                </w:p>
              </w:tc>
              <w:tc>
                <w:tcPr>
                  <w:tcW w:w="723" w:type="pct"/>
                  <w:noWrap w:val="0"/>
                  <w:vAlign w:val="center"/>
                </w:tcPr>
                <w:p w14:paraId="4B2B7583">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达标</w:t>
                  </w:r>
                </w:p>
              </w:tc>
            </w:tr>
            <w:tr w14:paraId="5CE462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exact"/>
                <w:jc w:val="center"/>
              </w:trPr>
              <w:tc>
                <w:tcPr>
                  <w:tcW w:w="731" w:type="pct"/>
                  <w:vMerge w:val="continue"/>
                  <w:noWrap w:val="0"/>
                  <w:vAlign w:val="center"/>
                </w:tcPr>
                <w:p w14:paraId="1CEA201A">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868" w:type="pct"/>
                  <w:noWrap w:val="0"/>
                  <w:vAlign w:val="center"/>
                </w:tcPr>
                <w:p w14:paraId="66BC8B2B">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总磷</w:t>
                  </w:r>
                </w:p>
              </w:tc>
              <w:tc>
                <w:tcPr>
                  <w:tcW w:w="694" w:type="pct"/>
                  <w:vMerge w:val="continue"/>
                  <w:noWrap w:val="0"/>
                  <w:vAlign w:val="center"/>
                </w:tcPr>
                <w:p w14:paraId="51272FD4">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075" w:type="pct"/>
                  <w:noWrap w:val="0"/>
                  <w:vAlign w:val="center"/>
                </w:tcPr>
                <w:p w14:paraId="4B8CDFCE">
                  <w:pPr>
                    <w:pStyle w:val="90"/>
                    <w:keepNext w:val="0"/>
                    <w:keepLines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0.25</w:t>
                  </w:r>
                </w:p>
              </w:tc>
              <w:tc>
                <w:tcPr>
                  <w:tcW w:w="906" w:type="pct"/>
                  <w:noWrap w:val="0"/>
                  <w:vAlign w:val="center"/>
                </w:tcPr>
                <w:p w14:paraId="15080990">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4"/>
                      <w:lang w:val="en-US" w:eastAsia="zh-CN" w:bidi="ar-SA"/>
                    </w:rPr>
                  </w:pPr>
                  <w:r>
                    <w:rPr>
                      <w:rFonts w:hint="default" w:ascii="Times New Roman" w:hAnsi="Times New Roman" w:cs="Times New Roman"/>
                      <w:color w:val="auto"/>
                    </w:rPr>
                    <w:t>60</w:t>
                  </w:r>
                </w:p>
              </w:tc>
              <w:tc>
                <w:tcPr>
                  <w:tcW w:w="723" w:type="pct"/>
                  <w:noWrap w:val="0"/>
                  <w:vAlign w:val="center"/>
                </w:tcPr>
                <w:p w14:paraId="15079268">
                  <w:pPr>
                    <w:pStyle w:val="90"/>
                    <w:keepNext w:val="0"/>
                    <w:keepLines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达标</w:t>
                  </w:r>
                </w:p>
              </w:tc>
            </w:tr>
          </w:tbl>
          <w:p w14:paraId="11082D62">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（3）噪声</w:t>
            </w:r>
          </w:p>
          <w:p w14:paraId="4BF3C697">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原有项目噪声主要来自于生产设备及风机运行产生的噪声，通过厂区合理布局以及采取隔声、减振等措施，厂界噪声达标。</w:t>
            </w:r>
          </w:p>
          <w:p w14:paraId="68865F08">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rPr>
              <w:t>根据</w:t>
            </w:r>
            <w:r>
              <w:rPr>
                <w:rFonts w:hint="eastAsia"/>
                <w:color w:val="auto"/>
                <w:kern w:val="0"/>
                <w:sz w:val="24"/>
                <w:lang w:val="en-US" w:eastAsia="zh-CN"/>
              </w:rPr>
              <w:t>江苏云居检测技术</w:t>
            </w:r>
            <w:r>
              <w:rPr>
                <w:rFonts w:hint="default"/>
                <w:color w:val="auto"/>
                <w:kern w:val="0"/>
                <w:sz w:val="24"/>
              </w:rPr>
              <w:t>有限公司</w:t>
            </w:r>
            <w:r>
              <w:rPr>
                <w:rFonts w:hint="eastAsia" w:ascii="Times New Roman" w:hAnsi="Times New Roman" w:cs="Times New Roman"/>
                <w:color w:val="auto"/>
                <w:sz w:val="24"/>
              </w:rPr>
              <w:t>202</w:t>
            </w:r>
            <w:r>
              <w:rPr>
                <w:rFonts w:hint="eastAsia" w:cs="Times New Roman"/>
                <w:color w:val="auto"/>
                <w:sz w:val="24"/>
                <w:lang w:val="en-US" w:eastAsia="zh-CN"/>
              </w:rPr>
              <w:t>5</w:t>
            </w:r>
            <w:r>
              <w:rPr>
                <w:rFonts w:hint="eastAsia" w:ascii="Times New Roman" w:hAnsi="Times New Roman" w:cs="Times New Roman"/>
                <w:color w:val="auto"/>
                <w:sz w:val="24"/>
              </w:rPr>
              <w:t>年</w:t>
            </w:r>
            <w:r>
              <w:rPr>
                <w:rFonts w:hint="eastAsia" w:cs="Times New Roman"/>
                <w:color w:val="auto"/>
                <w:sz w:val="24"/>
                <w:lang w:val="en-US" w:eastAsia="zh-CN"/>
              </w:rPr>
              <w:t>6</w:t>
            </w:r>
            <w:r>
              <w:rPr>
                <w:rFonts w:hint="eastAsia" w:ascii="Times New Roman" w:hAnsi="Times New Roman" w:cs="Times New Roman"/>
                <w:color w:val="auto"/>
                <w:sz w:val="24"/>
              </w:rPr>
              <w:t>月的监测数据（报告编号为：</w:t>
            </w:r>
            <w:r>
              <w:rPr>
                <w:rFonts w:hint="eastAsia" w:cs="Times New Roman"/>
                <w:color w:val="auto"/>
                <w:sz w:val="24"/>
                <w:lang w:val="en-US" w:eastAsia="zh-CN"/>
              </w:rPr>
              <w:t>YJH25060901</w:t>
            </w:r>
            <w:r>
              <w:rPr>
                <w:rFonts w:hint="eastAsia" w:ascii="Times New Roman" w:hAnsi="Times New Roman" w:cs="Times New Roman"/>
                <w:color w:val="auto"/>
                <w:sz w:val="24"/>
              </w:rPr>
              <w:t>）</w:t>
            </w:r>
            <w:r>
              <w:rPr>
                <w:rFonts w:hint="eastAsia" w:ascii="Times New Roman" w:hAnsi="Times New Roman" w:cs="Times New Roman"/>
                <w:color w:val="auto"/>
                <w:sz w:val="24"/>
                <w:lang w:eastAsia="zh-CN"/>
              </w:rPr>
              <w:t>，</w:t>
            </w:r>
            <w:r>
              <w:rPr>
                <w:rFonts w:hint="eastAsia" w:cs="Times New Roman"/>
                <w:color w:val="auto"/>
                <w:sz w:val="24"/>
                <w:lang w:val="en-US" w:eastAsia="zh-CN"/>
              </w:rPr>
              <w:t>北</w:t>
            </w:r>
            <w:r>
              <w:rPr>
                <w:rFonts w:hint="eastAsia" w:ascii="Times New Roman" w:hAnsi="Times New Roman" w:cs="Times New Roman"/>
                <w:color w:val="auto"/>
                <w:sz w:val="24"/>
              </w:rPr>
              <w:t>厂界昼间、夜间噪声监测值厂界噪声达到《工业企业厂界环境噪声排放标准》（GB12348-2008）</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类标准。</w:t>
            </w:r>
          </w:p>
          <w:p w14:paraId="5A76942A">
            <w:pPr>
              <w:pStyle w:val="97"/>
              <w:keepNext w:val="0"/>
              <w:keepLines w:val="0"/>
              <w:suppressLineNumbers w:val="0"/>
              <w:spacing w:before="0" w:beforeAutospacing="0" w:after="0" w:afterAutospacing="0" w:line="240" w:lineRule="auto"/>
              <w:ind w:left="0" w:right="0" w:firstLine="500"/>
              <w:jc w:val="center"/>
              <w:rPr>
                <w:rFonts w:hint="default" w:ascii="Times New Roman" w:hAnsi="Times New Roman" w:cs="Times New Roman"/>
                <w:b/>
                <w:bCs/>
                <w:color w:val="auto"/>
                <w:sz w:val="24"/>
                <w:szCs w:val="24"/>
              </w:rPr>
            </w:pPr>
          </w:p>
          <w:p w14:paraId="68B75C1F">
            <w:pPr>
              <w:pStyle w:val="97"/>
              <w:keepNext w:val="0"/>
              <w:keepLines w:val="0"/>
              <w:suppressLineNumbers w:val="0"/>
              <w:spacing w:before="0" w:beforeAutospacing="0" w:after="0" w:afterAutospacing="0" w:line="240" w:lineRule="auto"/>
              <w:ind w:left="0" w:right="0" w:firstLine="50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w:t>
            </w:r>
            <w:r>
              <w:rPr>
                <w:rFonts w:hint="eastAsia" w:ascii="Times New Roman" w:hAnsi="Times New Roman" w:cs="Times New Roman"/>
                <w:b/>
                <w:bCs/>
                <w:color w:val="auto"/>
                <w:sz w:val="24"/>
                <w:szCs w:val="24"/>
                <w:lang w:val="en-US" w:eastAsia="zh-CN"/>
              </w:rPr>
              <w:t>2.2-5</w:t>
            </w:r>
            <w:r>
              <w:rPr>
                <w:rFonts w:hint="default" w:ascii="Times New Roman" w:hAnsi="Times New Roman" w:cs="Times New Roman"/>
                <w:b/>
                <w:bCs/>
                <w:color w:val="auto"/>
                <w:sz w:val="24"/>
                <w:szCs w:val="24"/>
              </w:rPr>
              <w:t xml:space="preserve">  各厂界环境噪声实测值一览表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516"/>
              <w:gridCol w:w="1244"/>
              <w:gridCol w:w="1471"/>
              <w:gridCol w:w="1177"/>
              <w:gridCol w:w="1291"/>
            </w:tblGrid>
            <w:tr w14:paraId="09EB1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noWrap w:val="0"/>
                  <w:vAlign w:val="center"/>
                </w:tcPr>
                <w:p w14:paraId="214D8E47">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监测点位编号</w:t>
                  </w:r>
                </w:p>
              </w:tc>
              <w:tc>
                <w:tcPr>
                  <w:tcW w:w="1646" w:type="pct"/>
                  <w:gridSpan w:val="2"/>
                  <w:noWrap w:val="0"/>
                  <w:vAlign w:val="center"/>
                </w:tcPr>
                <w:p w14:paraId="1A7256B6">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测量时段</w:t>
                  </w:r>
                </w:p>
              </w:tc>
              <w:tc>
                <w:tcPr>
                  <w:tcW w:w="877" w:type="pct"/>
                  <w:noWrap w:val="0"/>
                  <w:vAlign w:val="center"/>
                </w:tcPr>
                <w:p w14:paraId="02B11C24">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等效声级</w:t>
                  </w:r>
                </w:p>
              </w:tc>
              <w:tc>
                <w:tcPr>
                  <w:tcW w:w="702" w:type="pct"/>
                  <w:noWrap w:val="0"/>
                  <w:vAlign w:val="center"/>
                </w:tcPr>
                <w:p w14:paraId="5AE76C16">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评价标准</w:t>
                  </w:r>
                </w:p>
              </w:tc>
              <w:tc>
                <w:tcPr>
                  <w:tcW w:w="769" w:type="pct"/>
                  <w:noWrap w:val="0"/>
                  <w:vAlign w:val="center"/>
                </w:tcPr>
                <w:p w14:paraId="1D0D151A">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达标情况</w:t>
                  </w:r>
                </w:p>
              </w:tc>
            </w:tr>
            <w:tr w14:paraId="4B6C2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043CD8B8">
                  <w:pPr>
                    <w:pStyle w:val="61"/>
                    <w:keepNext w:val="0"/>
                    <w:keepLines w:val="0"/>
                    <w:suppressLineNumbers w:val="0"/>
                    <w:spacing w:before="0" w:beforeAutospacing="0" w:after="0" w:afterAutospacing="0"/>
                    <w:ind w:left="0" w:right="0"/>
                    <w:rPr>
                      <w:rFonts w:hint="default"/>
                      <w:color w:val="auto"/>
                    </w:rPr>
                  </w:pPr>
                  <w:r>
                    <w:rPr>
                      <w:rFonts w:hint="default"/>
                      <w:color w:val="auto"/>
                    </w:rPr>
                    <w:t>N1（东厂界）</w:t>
                  </w:r>
                </w:p>
              </w:tc>
              <w:tc>
                <w:tcPr>
                  <w:tcW w:w="904" w:type="pct"/>
                  <w:vMerge w:val="restart"/>
                  <w:noWrap w:val="0"/>
                  <w:vAlign w:val="center"/>
                </w:tcPr>
                <w:p w14:paraId="276CCB1E">
                  <w:pPr>
                    <w:pStyle w:val="61"/>
                    <w:keepNext w:val="0"/>
                    <w:keepLines w:val="0"/>
                    <w:suppressLineNumbers w:val="0"/>
                    <w:spacing w:before="0" w:beforeAutospacing="0" w:after="0" w:afterAutospacing="0"/>
                    <w:ind w:left="0" w:right="0"/>
                    <w:rPr>
                      <w:rFonts w:hint="default" w:eastAsia="宋体"/>
                      <w:color w:val="auto"/>
                      <w:lang w:val="en-US" w:eastAsia="zh-CN"/>
                    </w:rPr>
                  </w:pPr>
                  <w:r>
                    <w:rPr>
                      <w:rFonts w:hint="default"/>
                      <w:color w:val="auto"/>
                    </w:rPr>
                    <w:t>202</w:t>
                  </w:r>
                  <w:r>
                    <w:rPr>
                      <w:rFonts w:hint="eastAsia"/>
                      <w:color w:val="auto"/>
                      <w:lang w:val="en-US" w:eastAsia="zh-CN"/>
                    </w:rPr>
                    <w:t>5.6.11</w:t>
                  </w:r>
                </w:p>
              </w:tc>
              <w:tc>
                <w:tcPr>
                  <w:tcW w:w="742" w:type="pct"/>
                  <w:noWrap w:val="0"/>
                  <w:vAlign w:val="center"/>
                </w:tcPr>
                <w:p w14:paraId="774260CD">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1ECEE199">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55</w:t>
                  </w:r>
                </w:p>
              </w:tc>
              <w:tc>
                <w:tcPr>
                  <w:tcW w:w="702" w:type="pct"/>
                  <w:noWrap w:val="0"/>
                  <w:vAlign w:val="center"/>
                </w:tcPr>
                <w:p w14:paraId="5C1C743D">
                  <w:pPr>
                    <w:pStyle w:val="61"/>
                    <w:keepNext w:val="0"/>
                    <w:keepLines w:val="0"/>
                    <w:suppressLineNumbers w:val="0"/>
                    <w:spacing w:before="0" w:beforeAutospacing="0" w:after="0" w:afterAutospacing="0"/>
                    <w:ind w:left="0" w:right="0"/>
                    <w:rPr>
                      <w:rFonts w:hint="eastAsia"/>
                      <w:color w:val="auto"/>
                    </w:rPr>
                  </w:pPr>
                  <w:r>
                    <w:rPr>
                      <w:rFonts w:hint="default"/>
                      <w:color w:val="auto"/>
                    </w:rPr>
                    <w:t>6</w:t>
                  </w:r>
                  <w:r>
                    <w:rPr>
                      <w:rFonts w:hint="eastAsia"/>
                      <w:color w:val="auto"/>
                    </w:rPr>
                    <w:t>5</w:t>
                  </w:r>
                </w:p>
              </w:tc>
              <w:tc>
                <w:tcPr>
                  <w:tcW w:w="769" w:type="pct"/>
                  <w:noWrap w:val="0"/>
                  <w:vAlign w:val="top"/>
                </w:tcPr>
                <w:p w14:paraId="455C7F53">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70867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307D279B">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1FE9AEB4">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6E351EBB">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253C2660">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44</w:t>
                  </w:r>
                </w:p>
              </w:tc>
              <w:tc>
                <w:tcPr>
                  <w:tcW w:w="702" w:type="pct"/>
                  <w:noWrap w:val="0"/>
                  <w:vAlign w:val="center"/>
                </w:tcPr>
                <w:p w14:paraId="42D6B806">
                  <w:pPr>
                    <w:pStyle w:val="61"/>
                    <w:keepNext w:val="0"/>
                    <w:keepLines w:val="0"/>
                    <w:suppressLineNumbers w:val="0"/>
                    <w:spacing w:before="0" w:beforeAutospacing="0" w:after="0" w:afterAutospacing="0"/>
                    <w:ind w:left="0" w:right="0"/>
                    <w:rPr>
                      <w:rFonts w:hint="eastAsia"/>
                      <w:color w:val="auto"/>
                    </w:rPr>
                  </w:pPr>
                  <w:r>
                    <w:rPr>
                      <w:rFonts w:hint="default"/>
                      <w:color w:val="auto"/>
                    </w:rPr>
                    <w:t>5</w:t>
                  </w:r>
                  <w:r>
                    <w:rPr>
                      <w:rFonts w:hint="eastAsia"/>
                      <w:color w:val="auto"/>
                    </w:rPr>
                    <w:t>5</w:t>
                  </w:r>
                </w:p>
              </w:tc>
              <w:tc>
                <w:tcPr>
                  <w:tcW w:w="769" w:type="pct"/>
                  <w:noWrap w:val="0"/>
                  <w:vAlign w:val="top"/>
                </w:tcPr>
                <w:p w14:paraId="4E8A0F4C">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5CB626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33F2D794">
                  <w:pPr>
                    <w:pStyle w:val="61"/>
                    <w:keepNext w:val="0"/>
                    <w:keepLines w:val="0"/>
                    <w:suppressLineNumbers w:val="0"/>
                    <w:spacing w:before="0" w:beforeAutospacing="0" w:after="0" w:afterAutospacing="0"/>
                    <w:ind w:left="0" w:right="0"/>
                    <w:rPr>
                      <w:rFonts w:hint="default"/>
                      <w:color w:val="auto"/>
                    </w:rPr>
                  </w:pPr>
                </w:p>
              </w:tc>
              <w:tc>
                <w:tcPr>
                  <w:tcW w:w="904" w:type="pct"/>
                  <w:vMerge w:val="restart"/>
                  <w:noWrap w:val="0"/>
                  <w:vAlign w:val="center"/>
                </w:tcPr>
                <w:p w14:paraId="7C0CAAB9">
                  <w:pPr>
                    <w:pStyle w:val="61"/>
                    <w:keepNext w:val="0"/>
                    <w:keepLines w:val="0"/>
                    <w:suppressLineNumbers w:val="0"/>
                    <w:spacing w:before="0" w:beforeAutospacing="0" w:after="0" w:afterAutospacing="0"/>
                    <w:ind w:left="0" w:right="0"/>
                    <w:rPr>
                      <w:rFonts w:hint="default" w:eastAsia="宋体"/>
                      <w:color w:val="auto"/>
                      <w:lang w:val="en-US" w:eastAsia="zh-CN"/>
                    </w:rPr>
                  </w:pPr>
                  <w:r>
                    <w:rPr>
                      <w:rFonts w:hint="default"/>
                      <w:color w:val="auto"/>
                    </w:rPr>
                    <w:t>202</w:t>
                  </w:r>
                  <w:r>
                    <w:rPr>
                      <w:rFonts w:hint="eastAsia"/>
                      <w:color w:val="auto"/>
                      <w:lang w:val="en-US" w:eastAsia="zh-CN"/>
                    </w:rPr>
                    <w:t>5.6.12</w:t>
                  </w:r>
                </w:p>
              </w:tc>
              <w:tc>
                <w:tcPr>
                  <w:tcW w:w="742" w:type="pct"/>
                  <w:noWrap w:val="0"/>
                  <w:vAlign w:val="center"/>
                </w:tcPr>
                <w:p w14:paraId="61ECFFAB">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49B210B5">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54</w:t>
                  </w:r>
                </w:p>
              </w:tc>
              <w:tc>
                <w:tcPr>
                  <w:tcW w:w="702" w:type="pct"/>
                  <w:noWrap w:val="0"/>
                  <w:vAlign w:val="center"/>
                </w:tcPr>
                <w:p w14:paraId="5736A0EF">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73E07093">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0CD68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4DF8CD2D">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5DD475B7">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12C61D7A">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2B781230">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42</w:t>
                  </w:r>
                </w:p>
              </w:tc>
              <w:tc>
                <w:tcPr>
                  <w:tcW w:w="702" w:type="pct"/>
                  <w:noWrap w:val="0"/>
                  <w:vAlign w:val="center"/>
                </w:tcPr>
                <w:p w14:paraId="6AE38ED8">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628C96E2">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F423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29DE7E14">
                  <w:pPr>
                    <w:pStyle w:val="61"/>
                    <w:keepNext w:val="0"/>
                    <w:keepLines w:val="0"/>
                    <w:suppressLineNumbers w:val="0"/>
                    <w:spacing w:before="0" w:beforeAutospacing="0" w:after="0" w:afterAutospacing="0"/>
                    <w:ind w:left="0" w:right="0"/>
                    <w:rPr>
                      <w:rFonts w:hint="default"/>
                      <w:color w:val="auto"/>
                    </w:rPr>
                  </w:pPr>
                  <w:r>
                    <w:rPr>
                      <w:rFonts w:hint="default"/>
                      <w:color w:val="auto"/>
                    </w:rPr>
                    <w:t>N2（南厂界）</w:t>
                  </w:r>
                </w:p>
              </w:tc>
              <w:tc>
                <w:tcPr>
                  <w:tcW w:w="904" w:type="pct"/>
                  <w:vMerge w:val="restart"/>
                  <w:shd w:val="clear" w:color="auto" w:fill="auto"/>
                  <w:noWrap w:val="0"/>
                  <w:vAlign w:val="center"/>
                </w:tcPr>
                <w:p w14:paraId="3DADBFD3">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5.6.11</w:t>
                  </w:r>
                </w:p>
              </w:tc>
              <w:tc>
                <w:tcPr>
                  <w:tcW w:w="742" w:type="pct"/>
                  <w:noWrap w:val="0"/>
                  <w:vAlign w:val="center"/>
                </w:tcPr>
                <w:p w14:paraId="1B18B162">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shd w:val="clear" w:color="auto" w:fill="auto"/>
                  <w:noWrap w:val="0"/>
                  <w:vAlign w:val="center"/>
                </w:tcPr>
                <w:p w14:paraId="16D8C4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w:t>
                  </w:r>
                </w:p>
              </w:tc>
              <w:tc>
                <w:tcPr>
                  <w:tcW w:w="702" w:type="pct"/>
                  <w:noWrap w:val="0"/>
                  <w:vAlign w:val="center"/>
                </w:tcPr>
                <w:p w14:paraId="17398EAB">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333BA0AE">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7326D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1AAE59B2">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2CE31B1F">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174071DA">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shd w:val="clear" w:color="auto" w:fill="auto"/>
                  <w:noWrap w:val="0"/>
                  <w:vAlign w:val="center"/>
                </w:tcPr>
                <w:p w14:paraId="2278D5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40</w:t>
                  </w:r>
                </w:p>
              </w:tc>
              <w:tc>
                <w:tcPr>
                  <w:tcW w:w="702" w:type="pct"/>
                  <w:noWrap w:val="0"/>
                  <w:vAlign w:val="center"/>
                </w:tcPr>
                <w:p w14:paraId="10BD3845">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4186FE5F">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B2B4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315AA5CA">
                  <w:pPr>
                    <w:pStyle w:val="61"/>
                    <w:keepNext w:val="0"/>
                    <w:keepLines w:val="0"/>
                    <w:suppressLineNumbers w:val="0"/>
                    <w:spacing w:before="0" w:beforeAutospacing="0" w:after="0" w:afterAutospacing="0"/>
                    <w:ind w:left="0" w:right="0"/>
                    <w:rPr>
                      <w:rFonts w:hint="default"/>
                      <w:color w:val="auto"/>
                    </w:rPr>
                  </w:pPr>
                </w:p>
              </w:tc>
              <w:tc>
                <w:tcPr>
                  <w:tcW w:w="904" w:type="pct"/>
                  <w:vMerge w:val="restart"/>
                  <w:shd w:val="clear" w:color="auto" w:fill="auto"/>
                  <w:noWrap w:val="0"/>
                  <w:vAlign w:val="center"/>
                </w:tcPr>
                <w:p w14:paraId="64E45D37">
                  <w:pPr>
                    <w:pStyle w:val="6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1"/>
                      <w:lang w:val="en-US" w:eastAsia="zh-CN" w:bidi="ar-SA"/>
                    </w:rPr>
                  </w:pPr>
                  <w:r>
                    <w:rPr>
                      <w:rFonts w:hint="default"/>
                      <w:color w:val="auto"/>
                    </w:rPr>
                    <w:t>202</w:t>
                  </w:r>
                  <w:r>
                    <w:rPr>
                      <w:rFonts w:hint="eastAsia"/>
                      <w:color w:val="auto"/>
                      <w:lang w:val="en-US" w:eastAsia="zh-CN"/>
                    </w:rPr>
                    <w:t>5.6.12</w:t>
                  </w:r>
                </w:p>
              </w:tc>
              <w:tc>
                <w:tcPr>
                  <w:tcW w:w="742" w:type="pct"/>
                  <w:noWrap w:val="0"/>
                  <w:vAlign w:val="center"/>
                </w:tcPr>
                <w:p w14:paraId="0AC49E75">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20C9D42C">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56</w:t>
                  </w:r>
                </w:p>
              </w:tc>
              <w:tc>
                <w:tcPr>
                  <w:tcW w:w="702" w:type="pct"/>
                  <w:noWrap w:val="0"/>
                  <w:vAlign w:val="center"/>
                </w:tcPr>
                <w:p w14:paraId="12EA0249">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62F9673A">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486F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360BC6C5">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43688BCB">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090A6472">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59D5DF2A">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42</w:t>
                  </w:r>
                </w:p>
              </w:tc>
              <w:tc>
                <w:tcPr>
                  <w:tcW w:w="702" w:type="pct"/>
                  <w:noWrap w:val="0"/>
                  <w:vAlign w:val="center"/>
                </w:tcPr>
                <w:p w14:paraId="4732F0B1">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429761E4">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10E4E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3AE82EA3">
                  <w:pPr>
                    <w:pStyle w:val="61"/>
                    <w:keepNext w:val="0"/>
                    <w:keepLines w:val="0"/>
                    <w:suppressLineNumbers w:val="0"/>
                    <w:spacing w:before="0" w:beforeAutospacing="0" w:after="0" w:afterAutospacing="0"/>
                    <w:ind w:left="0" w:right="0"/>
                    <w:rPr>
                      <w:rFonts w:hint="default"/>
                      <w:color w:val="auto"/>
                    </w:rPr>
                  </w:pPr>
                  <w:r>
                    <w:rPr>
                      <w:rFonts w:hint="default"/>
                      <w:color w:val="auto"/>
                    </w:rPr>
                    <w:t>N3（西厂界）</w:t>
                  </w:r>
                </w:p>
              </w:tc>
              <w:tc>
                <w:tcPr>
                  <w:tcW w:w="904" w:type="pct"/>
                  <w:vMerge w:val="restart"/>
                  <w:noWrap w:val="0"/>
                  <w:vAlign w:val="center"/>
                </w:tcPr>
                <w:p w14:paraId="75C26324">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5.6.11</w:t>
                  </w:r>
                </w:p>
              </w:tc>
              <w:tc>
                <w:tcPr>
                  <w:tcW w:w="742" w:type="pct"/>
                  <w:noWrap w:val="0"/>
                  <w:vAlign w:val="center"/>
                </w:tcPr>
                <w:p w14:paraId="5D20D25B">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54CDC60A">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56</w:t>
                  </w:r>
                </w:p>
              </w:tc>
              <w:tc>
                <w:tcPr>
                  <w:tcW w:w="702" w:type="pct"/>
                  <w:noWrap w:val="0"/>
                  <w:vAlign w:val="center"/>
                </w:tcPr>
                <w:p w14:paraId="068F17E8">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4BEF61F3">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78BA7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4F3B2A61">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7A441584">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7404DC8B">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78604D3D">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44</w:t>
                  </w:r>
                </w:p>
              </w:tc>
              <w:tc>
                <w:tcPr>
                  <w:tcW w:w="702" w:type="pct"/>
                  <w:noWrap w:val="0"/>
                  <w:vAlign w:val="center"/>
                </w:tcPr>
                <w:p w14:paraId="15E921A1">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02610BA4">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1B8A3E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5A0B4367">
                  <w:pPr>
                    <w:pStyle w:val="61"/>
                    <w:keepNext w:val="0"/>
                    <w:keepLines w:val="0"/>
                    <w:suppressLineNumbers w:val="0"/>
                    <w:spacing w:before="0" w:beforeAutospacing="0" w:after="0" w:afterAutospacing="0"/>
                    <w:ind w:left="0" w:right="0"/>
                    <w:rPr>
                      <w:rFonts w:hint="default"/>
                      <w:color w:val="auto"/>
                    </w:rPr>
                  </w:pPr>
                </w:p>
              </w:tc>
              <w:tc>
                <w:tcPr>
                  <w:tcW w:w="904" w:type="pct"/>
                  <w:vMerge w:val="restart"/>
                  <w:noWrap w:val="0"/>
                  <w:vAlign w:val="center"/>
                </w:tcPr>
                <w:p w14:paraId="467DAEE6">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5.6.12</w:t>
                  </w:r>
                </w:p>
              </w:tc>
              <w:tc>
                <w:tcPr>
                  <w:tcW w:w="742" w:type="pct"/>
                  <w:noWrap w:val="0"/>
                  <w:vAlign w:val="center"/>
                </w:tcPr>
                <w:p w14:paraId="770F83C0">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2AC4CB1B">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59</w:t>
                  </w:r>
                </w:p>
              </w:tc>
              <w:tc>
                <w:tcPr>
                  <w:tcW w:w="702" w:type="pct"/>
                  <w:noWrap w:val="0"/>
                  <w:vAlign w:val="center"/>
                </w:tcPr>
                <w:p w14:paraId="7162E441">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79924ED9">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5474E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0BA9C1A8">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3550AABA">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246C3E39">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587A12FF">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42</w:t>
                  </w:r>
                </w:p>
              </w:tc>
              <w:tc>
                <w:tcPr>
                  <w:tcW w:w="702" w:type="pct"/>
                  <w:noWrap w:val="0"/>
                  <w:vAlign w:val="center"/>
                </w:tcPr>
                <w:p w14:paraId="1750DC88">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591E2920">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7B278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58C47BB8">
                  <w:pPr>
                    <w:pStyle w:val="61"/>
                    <w:keepNext w:val="0"/>
                    <w:keepLines w:val="0"/>
                    <w:suppressLineNumbers w:val="0"/>
                    <w:spacing w:before="0" w:beforeAutospacing="0" w:after="0" w:afterAutospacing="0"/>
                    <w:ind w:left="0" w:right="0"/>
                    <w:rPr>
                      <w:rFonts w:hint="default"/>
                      <w:color w:val="auto"/>
                    </w:rPr>
                  </w:pPr>
                  <w:r>
                    <w:rPr>
                      <w:rFonts w:hint="default"/>
                      <w:color w:val="auto"/>
                    </w:rPr>
                    <w:t>N4（北厂界）</w:t>
                  </w:r>
                </w:p>
              </w:tc>
              <w:tc>
                <w:tcPr>
                  <w:tcW w:w="904" w:type="pct"/>
                  <w:vMerge w:val="restart"/>
                  <w:noWrap w:val="0"/>
                  <w:vAlign w:val="center"/>
                </w:tcPr>
                <w:p w14:paraId="03298E24">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5.6.11</w:t>
                  </w:r>
                </w:p>
              </w:tc>
              <w:tc>
                <w:tcPr>
                  <w:tcW w:w="742" w:type="pct"/>
                  <w:noWrap w:val="0"/>
                  <w:vAlign w:val="center"/>
                </w:tcPr>
                <w:p w14:paraId="31154CFA">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04DE55F2">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57</w:t>
                  </w:r>
                </w:p>
              </w:tc>
              <w:tc>
                <w:tcPr>
                  <w:tcW w:w="702" w:type="pct"/>
                  <w:noWrap w:val="0"/>
                  <w:vAlign w:val="center"/>
                </w:tcPr>
                <w:p w14:paraId="74834AE7">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5880DAC2">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5095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23A889B4">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67B20EB6">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0C63EB4E">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3E291B2A">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44</w:t>
                  </w:r>
                </w:p>
              </w:tc>
              <w:tc>
                <w:tcPr>
                  <w:tcW w:w="702" w:type="pct"/>
                  <w:noWrap w:val="0"/>
                  <w:vAlign w:val="center"/>
                </w:tcPr>
                <w:p w14:paraId="6C56DB8E">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4189EE6F">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5618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2FE97587">
                  <w:pPr>
                    <w:pStyle w:val="61"/>
                    <w:keepNext w:val="0"/>
                    <w:keepLines w:val="0"/>
                    <w:suppressLineNumbers w:val="0"/>
                    <w:spacing w:before="0" w:beforeAutospacing="0" w:after="0" w:afterAutospacing="0"/>
                    <w:ind w:left="0" w:right="0"/>
                    <w:rPr>
                      <w:rFonts w:hint="default"/>
                      <w:color w:val="auto"/>
                    </w:rPr>
                  </w:pPr>
                </w:p>
              </w:tc>
              <w:tc>
                <w:tcPr>
                  <w:tcW w:w="904" w:type="pct"/>
                  <w:vMerge w:val="restart"/>
                  <w:noWrap w:val="0"/>
                  <w:vAlign w:val="center"/>
                </w:tcPr>
                <w:p w14:paraId="63694093">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5.6.12</w:t>
                  </w:r>
                </w:p>
              </w:tc>
              <w:tc>
                <w:tcPr>
                  <w:tcW w:w="742" w:type="pct"/>
                  <w:noWrap w:val="0"/>
                  <w:vAlign w:val="center"/>
                </w:tcPr>
                <w:p w14:paraId="3FC5B926">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0A9C4EFF">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55</w:t>
                  </w:r>
                </w:p>
              </w:tc>
              <w:tc>
                <w:tcPr>
                  <w:tcW w:w="702" w:type="pct"/>
                  <w:noWrap w:val="0"/>
                  <w:vAlign w:val="center"/>
                </w:tcPr>
                <w:p w14:paraId="25F907AD">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6886D436">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37F24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37BCB362">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0ACDF7F9">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490947A2">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3AB6A6C1">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47</w:t>
                  </w:r>
                </w:p>
              </w:tc>
              <w:tc>
                <w:tcPr>
                  <w:tcW w:w="702" w:type="pct"/>
                  <w:noWrap w:val="0"/>
                  <w:vAlign w:val="center"/>
                </w:tcPr>
                <w:p w14:paraId="0031912B">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4512B56C">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bl>
          <w:p w14:paraId="5CC7C7D4">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固废</w:t>
            </w:r>
          </w:p>
          <w:p w14:paraId="276CDF7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color w:val="auto"/>
                <w:sz w:val="24"/>
              </w:rPr>
            </w:pPr>
            <w:r>
              <w:rPr>
                <w:rFonts w:hint="eastAsia"/>
                <w:color w:val="auto"/>
                <w:sz w:val="24"/>
              </w:rPr>
              <w:t>原有项目已</w:t>
            </w:r>
            <w:r>
              <w:rPr>
                <w:rFonts w:hint="eastAsia"/>
                <w:color w:val="auto"/>
                <w:sz w:val="24"/>
                <w:lang w:val="en-US" w:eastAsia="zh-CN"/>
              </w:rPr>
              <w:t>设置</w:t>
            </w:r>
            <w:r>
              <w:rPr>
                <w:rFonts w:hint="eastAsia"/>
                <w:color w:val="auto"/>
                <w:sz w:val="24"/>
              </w:rPr>
              <w:t>1个一般固废堆场</w:t>
            </w:r>
            <w:r>
              <w:rPr>
                <w:rFonts w:hint="eastAsia"/>
                <w:color w:val="auto"/>
                <w:sz w:val="24"/>
                <w:lang w:val="en-US" w:eastAsia="zh-CN"/>
              </w:rPr>
              <w:t>100</w:t>
            </w:r>
            <w:r>
              <w:rPr>
                <w:rFonts w:hint="eastAsia"/>
                <w:color w:val="auto"/>
                <w:sz w:val="24"/>
              </w:rPr>
              <w:t>m</w:t>
            </w:r>
            <w:r>
              <w:rPr>
                <w:rFonts w:hint="eastAsia"/>
                <w:color w:val="auto"/>
                <w:sz w:val="24"/>
                <w:vertAlign w:val="superscript"/>
              </w:rPr>
              <w:t>2</w:t>
            </w:r>
            <w:r>
              <w:rPr>
                <w:rFonts w:hint="eastAsia"/>
                <w:color w:val="auto"/>
                <w:sz w:val="24"/>
              </w:rPr>
              <w:t>。一般固废堆场满足全厂一般固废的贮存。</w:t>
            </w:r>
            <w:r>
              <w:rPr>
                <w:rFonts w:hint="eastAsia"/>
                <w:color w:val="auto"/>
                <w:sz w:val="24"/>
                <w:szCs w:val="24"/>
                <w:lang w:eastAsia="zh-CN"/>
              </w:rPr>
              <w:t>一般工业固废暂存场所的设置按照《一般工业固体废物贮存和填埋污染控制标准》（GB18599-2020）要求进行建设</w:t>
            </w:r>
            <w:r>
              <w:rPr>
                <w:rFonts w:hint="default"/>
                <w:color w:val="auto"/>
                <w:sz w:val="24"/>
              </w:rPr>
              <w:t>。</w:t>
            </w:r>
          </w:p>
          <w:p w14:paraId="396E5859">
            <w:pPr>
              <w:pStyle w:val="9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80" w:firstLineChars="200"/>
              <w:jc w:val="both"/>
              <w:textAlignment w:val="auto"/>
              <w:rPr>
                <w:rFonts w:hint="eastAsia"/>
                <w:color w:val="auto"/>
                <w:sz w:val="24"/>
                <w:szCs w:val="24"/>
                <w:lang w:eastAsia="zh-CN"/>
              </w:rPr>
            </w:pPr>
            <w:r>
              <w:rPr>
                <w:rFonts w:hint="eastAsia"/>
                <w:color w:val="auto"/>
                <w:sz w:val="24"/>
                <w:szCs w:val="24"/>
                <w:lang w:val="en-US" w:eastAsia="zh-CN"/>
              </w:rPr>
              <w:t>原有项目在建</w:t>
            </w:r>
            <w:r>
              <w:rPr>
                <w:rFonts w:hint="eastAsia"/>
                <w:color w:val="auto"/>
                <w:sz w:val="24"/>
              </w:rPr>
              <w:t>1个</w:t>
            </w:r>
            <w:r>
              <w:rPr>
                <w:rFonts w:hint="eastAsia"/>
                <w:color w:val="auto"/>
                <w:sz w:val="24"/>
                <w:lang w:val="en-US" w:eastAsia="zh-CN"/>
              </w:rPr>
              <w:t>危险废物</w:t>
            </w:r>
            <w:r>
              <w:rPr>
                <w:rFonts w:hint="eastAsia"/>
                <w:color w:val="auto"/>
                <w:sz w:val="24"/>
              </w:rPr>
              <w:t>堆场</w:t>
            </w:r>
            <w:r>
              <w:rPr>
                <w:rFonts w:hint="eastAsia"/>
                <w:color w:val="auto"/>
                <w:sz w:val="24"/>
                <w:lang w:val="en-US" w:eastAsia="zh-CN"/>
              </w:rPr>
              <w:t>20</w:t>
            </w:r>
            <w:r>
              <w:rPr>
                <w:rFonts w:hint="eastAsia"/>
                <w:color w:val="auto"/>
                <w:sz w:val="24"/>
              </w:rPr>
              <w:t>m</w:t>
            </w:r>
            <w:r>
              <w:rPr>
                <w:rFonts w:hint="eastAsia"/>
                <w:color w:val="auto"/>
                <w:sz w:val="24"/>
                <w:vertAlign w:val="superscript"/>
              </w:rPr>
              <w:t>2</w:t>
            </w:r>
            <w:r>
              <w:rPr>
                <w:rFonts w:hint="eastAsia"/>
                <w:color w:val="auto"/>
                <w:lang w:eastAsia="zh-CN"/>
              </w:rPr>
              <w:t>。</w:t>
            </w:r>
            <w:r>
              <w:rPr>
                <w:rFonts w:hint="eastAsia"/>
                <w:color w:val="auto"/>
                <w:sz w:val="24"/>
                <w:szCs w:val="24"/>
                <w:lang w:eastAsia="zh-CN"/>
              </w:rPr>
              <w:t>危险废物堆场的设置按照《危险废物贮存污染控制标准》（GB18597-2023）要求进行设置。危险废物堆场做到防风、防晒、防雨、防漏、防渗、防腐，按照对危险废物交换和转移管理工作的有关要求，对危险废物进行安全包装，并在包装的明显位置附上危险废物标签，委托有资质的专业单位进行运输，避免运输过程中散落、泄露的可能性。</w:t>
            </w:r>
          </w:p>
          <w:p w14:paraId="4F006049">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color w:val="auto"/>
                <w:sz w:val="24"/>
              </w:rPr>
            </w:pPr>
            <w:r>
              <w:rPr>
                <w:rFonts w:hint="default"/>
                <w:color w:val="auto"/>
                <w:sz w:val="24"/>
              </w:rPr>
              <w:t>全厂固体废弃物全部</w:t>
            </w:r>
            <w:r>
              <w:rPr>
                <w:rFonts w:hint="eastAsia"/>
                <w:color w:val="auto"/>
                <w:sz w:val="24"/>
              </w:rPr>
              <w:t>“</w:t>
            </w:r>
            <w:r>
              <w:rPr>
                <w:rFonts w:hint="default"/>
                <w:color w:val="auto"/>
                <w:sz w:val="24"/>
              </w:rPr>
              <w:t>零</w:t>
            </w:r>
            <w:r>
              <w:rPr>
                <w:rFonts w:hint="eastAsia"/>
                <w:color w:val="auto"/>
                <w:sz w:val="24"/>
              </w:rPr>
              <w:t>”</w:t>
            </w:r>
            <w:r>
              <w:rPr>
                <w:rFonts w:hint="default"/>
                <w:color w:val="auto"/>
                <w:sz w:val="24"/>
              </w:rPr>
              <w:t>排放，控制率达到100%，不会造成二次污染。</w:t>
            </w:r>
          </w:p>
          <w:p w14:paraId="6EAEA7D2">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原有</w:t>
            </w:r>
            <w:r>
              <w:rPr>
                <w:rFonts w:hint="eastAsia" w:cs="Times New Roman"/>
                <w:color w:val="auto"/>
                <w:sz w:val="24"/>
                <w:lang w:val="en-US" w:eastAsia="zh-CN"/>
              </w:rPr>
              <w:t>已建成</w:t>
            </w:r>
            <w:r>
              <w:rPr>
                <w:rFonts w:hint="eastAsia" w:ascii="Times New Roman" w:hAnsi="Times New Roman" w:cs="Times New Roman"/>
                <w:color w:val="auto"/>
                <w:sz w:val="24"/>
              </w:rPr>
              <w:t>项目固废产生及处置情况见下表：</w:t>
            </w:r>
          </w:p>
          <w:p w14:paraId="664D9589">
            <w:pPr>
              <w:pStyle w:val="92"/>
              <w:keepNext w:val="0"/>
              <w:keepLines w:val="0"/>
              <w:suppressLineNumbers w:val="0"/>
              <w:spacing w:before="0" w:beforeAutospacing="0" w:after="0" w:afterAutospacing="0"/>
              <w:ind w:left="0" w:right="0"/>
              <w:rPr>
                <w:rFonts w:hint="eastAsia" w:eastAsia="宋体" w:cs="Times New Roman"/>
                <w:color w:val="auto"/>
                <w:sz w:val="24"/>
                <w:lang w:eastAsia="zh-CN"/>
              </w:rPr>
            </w:pPr>
            <w:r>
              <w:rPr>
                <w:rFonts w:hint="eastAsia" w:cs="Times New Roman"/>
                <w:color w:val="auto"/>
                <w:sz w:val="24"/>
              </w:rPr>
              <w:t>表2.2-</w:t>
            </w:r>
            <w:r>
              <w:rPr>
                <w:rFonts w:hint="eastAsia" w:cs="Times New Roman"/>
                <w:color w:val="auto"/>
                <w:sz w:val="24"/>
                <w:lang w:val="en-US" w:eastAsia="zh-CN"/>
              </w:rPr>
              <w:t>6</w:t>
            </w:r>
            <w:r>
              <w:rPr>
                <w:rFonts w:hint="eastAsia" w:cs="Times New Roman"/>
                <w:color w:val="auto"/>
                <w:sz w:val="24"/>
              </w:rPr>
              <w:t xml:space="preserve">  </w:t>
            </w:r>
            <w:r>
              <w:rPr>
                <w:rFonts w:hint="eastAsia" w:cs="Times New Roman"/>
                <w:color w:val="auto"/>
                <w:sz w:val="24"/>
                <w:lang w:val="en-US" w:eastAsia="zh-CN"/>
              </w:rPr>
              <w:t>原</w:t>
            </w:r>
            <w:r>
              <w:rPr>
                <w:rFonts w:hint="eastAsia" w:cs="Times New Roman"/>
                <w:color w:val="auto"/>
                <w:sz w:val="24"/>
              </w:rPr>
              <w:t>有项目固废产生及处置情况表</w:t>
            </w:r>
            <w:r>
              <w:rPr>
                <w:rFonts w:hint="eastAsia" w:cs="Times New Roman"/>
                <w:color w:val="auto"/>
                <w:sz w:val="24"/>
                <w:lang w:eastAsia="zh-CN"/>
              </w:rPr>
              <w:t>（</w:t>
            </w:r>
            <w:r>
              <w:rPr>
                <w:rFonts w:hint="eastAsia" w:cs="Times New Roman"/>
                <w:color w:val="auto"/>
                <w:sz w:val="24"/>
                <w:lang w:val="en-US" w:eastAsia="zh-CN"/>
              </w:rPr>
              <w:t>已建成</w:t>
            </w:r>
            <w:r>
              <w:rPr>
                <w:rFonts w:hint="eastAsia" w:cs="Times New Roman"/>
                <w:color w:val="auto"/>
                <w:sz w:val="24"/>
                <w:lang w:eastAsia="zh-CN"/>
              </w:rPr>
              <w:t>）</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06"/>
              <w:gridCol w:w="1363"/>
              <w:gridCol w:w="1341"/>
              <w:gridCol w:w="1145"/>
              <w:gridCol w:w="1049"/>
              <w:gridCol w:w="1767"/>
              <w:gridCol w:w="1212"/>
            </w:tblGrid>
            <w:tr w14:paraId="45EDA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noWrap w:val="0"/>
                  <w:vAlign w:val="center"/>
                </w:tcPr>
                <w:p w14:paraId="4C13FC04">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pacing w:val="-8"/>
                      <w:sz w:val="21"/>
                      <w:szCs w:val="21"/>
                    </w:rPr>
                  </w:pPr>
                  <w:r>
                    <w:rPr>
                      <w:rFonts w:hint="default" w:ascii="Times New Roman" w:hAnsi="Times New Roman" w:cs="Times New Roman"/>
                      <w:b/>
                      <w:color w:val="auto"/>
                      <w:spacing w:val="-8"/>
                      <w:sz w:val="21"/>
                      <w:szCs w:val="21"/>
                    </w:rPr>
                    <w:t>序号</w:t>
                  </w:r>
                </w:p>
              </w:tc>
              <w:tc>
                <w:tcPr>
                  <w:tcW w:w="812" w:type="pct"/>
                  <w:noWrap w:val="0"/>
                  <w:vAlign w:val="center"/>
                </w:tcPr>
                <w:p w14:paraId="2239072F">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固体废物名称</w:t>
                  </w:r>
                </w:p>
              </w:tc>
              <w:tc>
                <w:tcPr>
                  <w:tcW w:w="799" w:type="pct"/>
                  <w:noWrap w:val="0"/>
                  <w:vAlign w:val="center"/>
                </w:tcPr>
                <w:p w14:paraId="52EE6946">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产生工序</w:t>
                  </w:r>
                </w:p>
              </w:tc>
              <w:tc>
                <w:tcPr>
                  <w:tcW w:w="682" w:type="pct"/>
                  <w:noWrap w:val="0"/>
                  <w:vAlign w:val="center"/>
                </w:tcPr>
                <w:p w14:paraId="01AFB9FC">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属性</w:t>
                  </w:r>
                </w:p>
              </w:tc>
              <w:tc>
                <w:tcPr>
                  <w:tcW w:w="625" w:type="pct"/>
                  <w:noWrap w:val="0"/>
                  <w:vAlign w:val="center"/>
                </w:tcPr>
                <w:p w14:paraId="6BB95CBD">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实际</w:t>
                  </w:r>
                  <w:r>
                    <w:rPr>
                      <w:rFonts w:hint="default" w:ascii="Times New Roman" w:hAnsi="Times New Roman" w:cs="Times New Roman"/>
                      <w:b/>
                      <w:color w:val="auto"/>
                      <w:sz w:val="21"/>
                      <w:szCs w:val="21"/>
                    </w:rPr>
                    <w:t>产生量（t/a）</w:t>
                  </w:r>
                </w:p>
              </w:tc>
              <w:tc>
                <w:tcPr>
                  <w:tcW w:w="1053" w:type="pct"/>
                  <w:noWrap w:val="0"/>
                  <w:vAlign w:val="center"/>
                </w:tcPr>
                <w:p w14:paraId="59B0ADE2">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利用处置方式</w:t>
                  </w:r>
                </w:p>
              </w:tc>
              <w:tc>
                <w:tcPr>
                  <w:tcW w:w="722" w:type="pct"/>
                  <w:noWrap w:val="0"/>
                  <w:vAlign w:val="center"/>
                </w:tcPr>
                <w:p w14:paraId="11CE90E8">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利用处置单位</w:t>
                  </w:r>
                </w:p>
              </w:tc>
            </w:tr>
            <w:tr w14:paraId="09537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noWrap w:val="0"/>
                  <w:vAlign w:val="center"/>
                </w:tcPr>
                <w:p w14:paraId="4B11756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812" w:type="pct"/>
                  <w:noWrap w:val="0"/>
                  <w:vAlign w:val="center"/>
                </w:tcPr>
                <w:p w14:paraId="55DB41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废炉渣</w:t>
                  </w:r>
                </w:p>
              </w:tc>
              <w:tc>
                <w:tcPr>
                  <w:tcW w:w="799" w:type="pct"/>
                  <w:noWrap w:val="0"/>
                  <w:vAlign w:val="center"/>
                </w:tcPr>
                <w:p w14:paraId="678991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中频炉、钢包精炼炉、真空精炼炉</w:t>
                  </w:r>
                </w:p>
              </w:tc>
              <w:tc>
                <w:tcPr>
                  <w:tcW w:w="682" w:type="pct"/>
                  <w:noWrap w:val="0"/>
                  <w:vAlign w:val="center"/>
                </w:tcPr>
                <w:p w14:paraId="237FED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eastAsia" w:ascii="Times New Roman" w:hAnsi="Times New Roman" w:cs="Times New Roman"/>
                      <w:color w:val="auto"/>
                      <w:kern w:val="0"/>
                      <w:szCs w:val="21"/>
                      <w:lang w:bidi="ar"/>
                    </w:rPr>
                    <w:t>一般固废</w:t>
                  </w:r>
                </w:p>
              </w:tc>
              <w:tc>
                <w:tcPr>
                  <w:tcW w:w="625" w:type="pct"/>
                  <w:noWrap w:val="0"/>
                  <w:vAlign w:val="center"/>
                </w:tcPr>
                <w:p w14:paraId="64F893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350</w:t>
                  </w:r>
                </w:p>
              </w:tc>
              <w:tc>
                <w:tcPr>
                  <w:tcW w:w="1053" w:type="pct"/>
                  <w:noWrap w:val="0"/>
                  <w:vAlign w:val="center"/>
                </w:tcPr>
                <w:p w14:paraId="60999096">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外售后综合利用</w:t>
                  </w:r>
                </w:p>
              </w:tc>
              <w:tc>
                <w:tcPr>
                  <w:tcW w:w="722" w:type="pct"/>
                  <w:noWrap w:val="0"/>
                  <w:vAlign w:val="center"/>
                </w:tcPr>
                <w:p w14:paraId="7414E903">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相关单位</w:t>
                  </w:r>
                </w:p>
              </w:tc>
            </w:tr>
            <w:tr w14:paraId="0EC3B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noWrap w:val="0"/>
                  <w:vAlign w:val="center"/>
                </w:tcPr>
                <w:p w14:paraId="73EA21E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812" w:type="pct"/>
                  <w:noWrap w:val="0"/>
                  <w:vAlign w:val="center"/>
                </w:tcPr>
                <w:p w14:paraId="1D340901">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废石英砂</w:t>
                  </w:r>
                </w:p>
              </w:tc>
              <w:tc>
                <w:tcPr>
                  <w:tcW w:w="799" w:type="pct"/>
                  <w:noWrap w:val="0"/>
                  <w:vAlign w:val="center"/>
                </w:tcPr>
                <w:p w14:paraId="4BDEEA7D">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682" w:type="pct"/>
                  <w:noWrap w:val="0"/>
                  <w:vAlign w:val="center"/>
                </w:tcPr>
                <w:p w14:paraId="671897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625" w:type="pct"/>
                  <w:noWrap w:val="0"/>
                  <w:vAlign w:val="center"/>
                </w:tcPr>
                <w:p w14:paraId="0F5B41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120</w:t>
                  </w:r>
                </w:p>
              </w:tc>
              <w:tc>
                <w:tcPr>
                  <w:tcW w:w="1053" w:type="pct"/>
                  <w:noWrap w:val="0"/>
                  <w:vAlign w:val="center"/>
                </w:tcPr>
                <w:p w14:paraId="5AD3EF97">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委托专业单位处置</w:t>
                  </w:r>
                </w:p>
              </w:tc>
              <w:tc>
                <w:tcPr>
                  <w:tcW w:w="722" w:type="pct"/>
                  <w:noWrap w:val="0"/>
                  <w:vAlign w:val="center"/>
                </w:tcPr>
                <w:p w14:paraId="16397BC3">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相关单位</w:t>
                  </w:r>
                </w:p>
              </w:tc>
            </w:tr>
            <w:tr w14:paraId="0D05C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shd w:val="clear" w:color="auto" w:fill="auto"/>
                  <w:noWrap w:val="0"/>
                  <w:vAlign w:val="center"/>
                </w:tcPr>
                <w:p w14:paraId="38E10EA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3</w:t>
                  </w:r>
                </w:p>
              </w:tc>
              <w:tc>
                <w:tcPr>
                  <w:tcW w:w="812" w:type="pct"/>
                  <w:noWrap w:val="0"/>
                  <w:vAlign w:val="center"/>
                </w:tcPr>
                <w:p w14:paraId="6BDEECE6">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废稻壳灰</w:t>
                  </w:r>
                </w:p>
              </w:tc>
              <w:tc>
                <w:tcPr>
                  <w:tcW w:w="799" w:type="pct"/>
                  <w:noWrap w:val="0"/>
                  <w:vAlign w:val="center"/>
                </w:tcPr>
                <w:p w14:paraId="1533F366">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682" w:type="pct"/>
                  <w:noWrap w:val="0"/>
                  <w:vAlign w:val="center"/>
                </w:tcPr>
                <w:p w14:paraId="5E90FE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625" w:type="pct"/>
                  <w:noWrap w:val="0"/>
                  <w:vAlign w:val="center"/>
                </w:tcPr>
                <w:p w14:paraId="1E84A86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60</w:t>
                  </w:r>
                </w:p>
              </w:tc>
              <w:tc>
                <w:tcPr>
                  <w:tcW w:w="1053" w:type="pct"/>
                  <w:noWrap w:val="0"/>
                  <w:vAlign w:val="center"/>
                </w:tcPr>
                <w:p w14:paraId="0FC3B765">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委托专业单位处置</w:t>
                  </w:r>
                </w:p>
              </w:tc>
              <w:tc>
                <w:tcPr>
                  <w:tcW w:w="722" w:type="pct"/>
                  <w:noWrap w:val="0"/>
                  <w:vAlign w:val="center"/>
                </w:tcPr>
                <w:p w14:paraId="5445CB9F">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相关单位</w:t>
                  </w:r>
                </w:p>
              </w:tc>
            </w:tr>
            <w:tr w14:paraId="5B56D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shd w:val="clear" w:color="auto" w:fill="auto"/>
                  <w:noWrap w:val="0"/>
                  <w:vAlign w:val="center"/>
                </w:tcPr>
                <w:p w14:paraId="0EF77EF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w:t>
                  </w:r>
                </w:p>
              </w:tc>
              <w:tc>
                <w:tcPr>
                  <w:tcW w:w="812" w:type="pct"/>
                  <w:noWrap w:val="0"/>
                  <w:vAlign w:val="center"/>
                </w:tcPr>
                <w:p w14:paraId="7CEFA9B3">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浇冒口</w:t>
                  </w:r>
                </w:p>
              </w:tc>
              <w:tc>
                <w:tcPr>
                  <w:tcW w:w="799" w:type="pct"/>
                  <w:noWrap w:val="0"/>
                  <w:vAlign w:val="center"/>
                </w:tcPr>
                <w:p w14:paraId="11741F46">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682" w:type="pct"/>
                  <w:noWrap w:val="0"/>
                  <w:vAlign w:val="center"/>
                </w:tcPr>
                <w:p w14:paraId="786C55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625" w:type="pct"/>
                  <w:noWrap w:val="0"/>
                  <w:vAlign w:val="center"/>
                </w:tcPr>
                <w:p w14:paraId="592032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300</w:t>
                  </w:r>
                </w:p>
              </w:tc>
              <w:tc>
                <w:tcPr>
                  <w:tcW w:w="1053" w:type="pct"/>
                  <w:shd w:val="clear" w:color="auto" w:fill="auto"/>
                  <w:noWrap w:val="0"/>
                  <w:vAlign w:val="center"/>
                </w:tcPr>
                <w:p w14:paraId="5288D8F6">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回用于生产</w:t>
                  </w:r>
                </w:p>
              </w:tc>
              <w:tc>
                <w:tcPr>
                  <w:tcW w:w="722" w:type="pct"/>
                  <w:shd w:val="clear" w:color="auto" w:fill="auto"/>
                  <w:noWrap w:val="0"/>
                  <w:vAlign w:val="center"/>
                </w:tcPr>
                <w:p w14:paraId="7E1C70D4">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本单位</w:t>
                  </w:r>
                </w:p>
              </w:tc>
            </w:tr>
            <w:tr w14:paraId="3A044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shd w:val="clear" w:color="auto" w:fill="auto"/>
                  <w:noWrap w:val="0"/>
                  <w:vAlign w:val="center"/>
                </w:tcPr>
                <w:p w14:paraId="14D2AE2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w:t>
                  </w:r>
                </w:p>
              </w:tc>
              <w:tc>
                <w:tcPr>
                  <w:tcW w:w="812" w:type="pct"/>
                  <w:noWrap w:val="0"/>
                  <w:vAlign w:val="center"/>
                </w:tcPr>
                <w:p w14:paraId="17F7F8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金属烟尘（收集的粉尘）</w:t>
                  </w:r>
                </w:p>
              </w:tc>
              <w:tc>
                <w:tcPr>
                  <w:tcW w:w="799" w:type="pct"/>
                  <w:noWrap w:val="0"/>
                  <w:vAlign w:val="center"/>
                </w:tcPr>
                <w:p w14:paraId="6125F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熔化烟尘</w:t>
                  </w:r>
                  <w:r>
                    <w:rPr>
                      <w:rFonts w:hint="eastAsia" w:cs="Times New Roman"/>
                      <w:color w:val="auto"/>
                      <w:kern w:val="0"/>
                      <w:szCs w:val="21"/>
                      <w:lang w:val="en-US" w:eastAsia="zh-CN" w:bidi="ar"/>
                    </w:rPr>
                    <w:t>、精炼烟尘</w:t>
                  </w:r>
                  <w:r>
                    <w:rPr>
                      <w:rFonts w:hint="eastAsia" w:ascii="Times New Roman" w:hAnsi="Times New Roman" w:cs="Times New Roman"/>
                      <w:color w:val="auto"/>
                      <w:kern w:val="0"/>
                      <w:szCs w:val="21"/>
                      <w:lang w:val="en-US" w:eastAsia="zh-CN" w:bidi="ar"/>
                    </w:rPr>
                    <w:t>处理</w:t>
                  </w:r>
                </w:p>
              </w:tc>
              <w:tc>
                <w:tcPr>
                  <w:tcW w:w="682" w:type="pct"/>
                  <w:noWrap w:val="0"/>
                  <w:vAlign w:val="center"/>
                </w:tcPr>
                <w:p w14:paraId="50A955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eastAsia" w:ascii="Times New Roman" w:hAnsi="Times New Roman" w:cs="Times New Roman"/>
                      <w:color w:val="auto"/>
                      <w:kern w:val="0"/>
                      <w:szCs w:val="21"/>
                      <w:lang w:bidi="ar"/>
                    </w:rPr>
                    <w:t>一般固废</w:t>
                  </w:r>
                </w:p>
              </w:tc>
              <w:tc>
                <w:tcPr>
                  <w:tcW w:w="625" w:type="pct"/>
                  <w:noWrap w:val="0"/>
                  <w:vAlign w:val="center"/>
                </w:tcPr>
                <w:p w14:paraId="1156A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51.048</w:t>
                  </w:r>
                </w:p>
              </w:tc>
              <w:tc>
                <w:tcPr>
                  <w:tcW w:w="1053" w:type="pct"/>
                  <w:noWrap w:val="0"/>
                  <w:vAlign w:val="center"/>
                </w:tcPr>
                <w:p w14:paraId="6E711BAF">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外售后综合利用</w:t>
                  </w:r>
                </w:p>
              </w:tc>
              <w:tc>
                <w:tcPr>
                  <w:tcW w:w="722" w:type="pct"/>
                  <w:noWrap w:val="0"/>
                  <w:vAlign w:val="center"/>
                </w:tcPr>
                <w:p w14:paraId="52250876">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相关单位</w:t>
                  </w:r>
                </w:p>
              </w:tc>
            </w:tr>
            <w:tr w14:paraId="256DF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shd w:val="clear" w:color="auto" w:fill="auto"/>
                  <w:noWrap w:val="0"/>
                  <w:vAlign w:val="center"/>
                </w:tcPr>
                <w:p w14:paraId="11FFEC9C">
                  <w:pPr>
                    <w:keepNext w:val="0"/>
                    <w:keepLines w:val="0"/>
                    <w:suppressLineNumbers w:val="0"/>
                    <w:adjustRightInd w:val="0"/>
                    <w:snapToGrid w:val="0"/>
                    <w:spacing w:before="0" w:beforeAutospacing="0" w:after="0" w:afterAutospacing="0"/>
                    <w:ind w:left="0" w:leftChars="0" w:right="0" w:rightChars="0"/>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6</w:t>
                  </w:r>
                </w:p>
              </w:tc>
              <w:tc>
                <w:tcPr>
                  <w:tcW w:w="812" w:type="pct"/>
                  <w:noWrap w:val="0"/>
                  <w:vAlign w:val="center"/>
                </w:tcPr>
                <w:p w14:paraId="2A0D08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废包装材料</w:t>
                  </w:r>
                </w:p>
              </w:tc>
              <w:tc>
                <w:tcPr>
                  <w:tcW w:w="799" w:type="pct"/>
                  <w:noWrap w:val="0"/>
                  <w:vAlign w:val="center"/>
                </w:tcPr>
                <w:p w14:paraId="32420E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原料拆包</w:t>
                  </w:r>
                </w:p>
              </w:tc>
              <w:tc>
                <w:tcPr>
                  <w:tcW w:w="682" w:type="pct"/>
                  <w:noWrap w:val="0"/>
                  <w:vAlign w:val="center"/>
                </w:tcPr>
                <w:p w14:paraId="35ACE67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625" w:type="pct"/>
                  <w:noWrap w:val="0"/>
                  <w:vAlign w:val="center"/>
                </w:tcPr>
                <w:p w14:paraId="6D260499">
                  <w:pPr>
                    <w:keepNext w:val="0"/>
                    <w:keepLines w:val="0"/>
                    <w:widowControl/>
                    <w:suppressLineNumbers w:val="0"/>
                    <w:spacing w:before="0" w:beforeAutospacing="0" w:after="0" w:afterAutospacing="0"/>
                    <w:ind w:left="0" w:right="0"/>
                    <w:jc w:val="center"/>
                    <w:textAlignment w:val="center"/>
                    <w:rPr>
                      <w:rFonts w:hint="default" w:cs="Times New Roman"/>
                      <w:color w:val="auto"/>
                      <w:lang w:val="en-US" w:eastAsia="zh-CN"/>
                    </w:rPr>
                  </w:pPr>
                  <w:r>
                    <w:rPr>
                      <w:rFonts w:hint="eastAsia" w:cs="Times New Roman"/>
                      <w:color w:val="auto"/>
                      <w:lang w:val="en-US" w:eastAsia="zh-CN"/>
                    </w:rPr>
                    <w:t>0.9</w:t>
                  </w:r>
                </w:p>
              </w:tc>
              <w:tc>
                <w:tcPr>
                  <w:tcW w:w="1053" w:type="pct"/>
                  <w:shd w:val="clear" w:color="auto" w:fill="auto"/>
                  <w:noWrap w:val="0"/>
                  <w:vAlign w:val="center"/>
                </w:tcPr>
                <w:p w14:paraId="65F21B47">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外售后综合利用</w:t>
                  </w:r>
                </w:p>
              </w:tc>
              <w:tc>
                <w:tcPr>
                  <w:tcW w:w="722" w:type="pct"/>
                  <w:shd w:val="clear" w:color="auto" w:fill="auto"/>
                  <w:noWrap w:val="0"/>
                  <w:vAlign w:val="center"/>
                </w:tcPr>
                <w:p w14:paraId="31270519">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相关单位</w:t>
                  </w:r>
                </w:p>
              </w:tc>
            </w:tr>
            <w:tr w14:paraId="177545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02" w:type="pct"/>
                  <w:noWrap w:val="0"/>
                  <w:vAlign w:val="center"/>
                </w:tcPr>
                <w:p w14:paraId="1AA332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7</w:t>
                  </w:r>
                </w:p>
              </w:tc>
              <w:tc>
                <w:tcPr>
                  <w:tcW w:w="812" w:type="pct"/>
                  <w:noWrap w:val="0"/>
                  <w:vAlign w:val="center"/>
                </w:tcPr>
                <w:p w14:paraId="0E33F7F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生活垃圾</w:t>
                  </w:r>
                </w:p>
              </w:tc>
              <w:tc>
                <w:tcPr>
                  <w:tcW w:w="799" w:type="pct"/>
                  <w:noWrap w:val="0"/>
                  <w:vAlign w:val="center"/>
                </w:tcPr>
                <w:p w14:paraId="21DDD38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rPr>
                    <w:t>员工生活</w:t>
                  </w:r>
                </w:p>
              </w:tc>
              <w:tc>
                <w:tcPr>
                  <w:tcW w:w="682" w:type="pct"/>
                  <w:noWrap w:val="0"/>
                  <w:vAlign w:val="center"/>
                </w:tcPr>
                <w:p w14:paraId="4898013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rPr>
                    <w:t>/</w:t>
                  </w:r>
                </w:p>
              </w:tc>
              <w:tc>
                <w:tcPr>
                  <w:tcW w:w="625" w:type="pct"/>
                  <w:noWrap w:val="0"/>
                  <w:vAlign w:val="center"/>
                </w:tcPr>
                <w:p w14:paraId="3D0670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12</w:t>
                  </w:r>
                </w:p>
              </w:tc>
              <w:tc>
                <w:tcPr>
                  <w:tcW w:w="1053" w:type="pct"/>
                  <w:noWrap w:val="0"/>
                  <w:vAlign w:val="center"/>
                </w:tcPr>
                <w:p w14:paraId="6A97C26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环卫部门处理</w:t>
                  </w:r>
                </w:p>
              </w:tc>
              <w:tc>
                <w:tcPr>
                  <w:tcW w:w="722" w:type="pct"/>
                  <w:noWrap w:val="0"/>
                  <w:vAlign w:val="center"/>
                </w:tcPr>
                <w:p w14:paraId="7D35CA8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环卫部门</w:t>
                  </w:r>
                </w:p>
              </w:tc>
            </w:tr>
          </w:tbl>
          <w:p w14:paraId="12DC62A0">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原有</w:t>
            </w:r>
            <w:r>
              <w:rPr>
                <w:rFonts w:hint="eastAsia" w:ascii="Times New Roman" w:hAnsi="Times New Roman" w:cs="Times New Roman"/>
                <w:color w:val="auto"/>
                <w:sz w:val="24"/>
                <w:lang w:val="en-US" w:eastAsia="zh-CN"/>
              </w:rPr>
              <w:t>在建项目建成后</w:t>
            </w:r>
            <w:r>
              <w:rPr>
                <w:rFonts w:hint="eastAsia" w:ascii="Times New Roman" w:hAnsi="Times New Roman" w:cs="Times New Roman"/>
                <w:color w:val="auto"/>
                <w:sz w:val="24"/>
              </w:rPr>
              <w:t>固废产生及处置情况见下表：</w:t>
            </w:r>
          </w:p>
          <w:p w14:paraId="2E18DA43">
            <w:pPr>
              <w:pStyle w:val="92"/>
              <w:keepNext w:val="0"/>
              <w:keepLines w:val="0"/>
              <w:suppressLineNumbers w:val="0"/>
              <w:spacing w:before="0" w:beforeAutospacing="0" w:after="0" w:afterAutospacing="0"/>
              <w:ind w:left="0" w:right="0"/>
              <w:rPr>
                <w:rFonts w:hint="eastAsia" w:eastAsia="宋体" w:cs="Times New Roman"/>
                <w:color w:val="auto"/>
                <w:sz w:val="24"/>
                <w:lang w:eastAsia="zh-CN"/>
              </w:rPr>
            </w:pPr>
            <w:r>
              <w:rPr>
                <w:rFonts w:hint="eastAsia" w:cs="Times New Roman"/>
                <w:color w:val="auto"/>
                <w:sz w:val="24"/>
              </w:rPr>
              <w:t>表2.2-</w:t>
            </w:r>
            <w:r>
              <w:rPr>
                <w:rFonts w:hint="eastAsia" w:cs="Times New Roman"/>
                <w:color w:val="auto"/>
                <w:sz w:val="24"/>
                <w:lang w:val="en-US" w:eastAsia="zh-CN"/>
              </w:rPr>
              <w:t>7</w:t>
            </w:r>
            <w:r>
              <w:rPr>
                <w:rFonts w:hint="eastAsia" w:cs="Times New Roman"/>
                <w:color w:val="auto"/>
                <w:sz w:val="24"/>
              </w:rPr>
              <w:t xml:space="preserve">  </w:t>
            </w:r>
            <w:r>
              <w:rPr>
                <w:rFonts w:hint="eastAsia" w:cs="Times New Roman"/>
                <w:color w:val="auto"/>
                <w:sz w:val="24"/>
                <w:lang w:val="en-US" w:eastAsia="zh-CN"/>
              </w:rPr>
              <w:t>原</w:t>
            </w:r>
            <w:r>
              <w:rPr>
                <w:rFonts w:hint="eastAsia" w:cs="Times New Roman"/>
                <w:color w:val="auto"/>
                <w:sz w:val="24"/>
              </w:rPr>
              <w:t>有项目固废产生及处置情况表</w:t>
            </w:r>
            <w:r>
              <w:rPr>
                <w:rFonts w:hint="eastAsia" w:cs="Times New Roman"/>
                <w:color w:val="auto"/>
                <w:sz w:val="24"/>
                <w:lang w:eastAsia="zh-CN"/>
              </w:rPr>
              <w:t>（</w:t>
            </w:r>
            <w:r>
              <w:rPr>
                <w:rFonts w:hint="eastAsia" w:cs="Times New Roman"/>
                <w:color w:val="auto"/>
                <w:sz w:val="24"/>
                <w:lang w:val="en-US" w:eastAsia="zh-CN"/>
              </w:rPr>
              <w:t>在建项目建成后</w:t>
            </w:r>
            <w:r>
              <w:rPr>
                <w:rFonts w:hint="eastAsia" w:cs="Times New Roman"/>
                <w:color w:val="auto"/>
                <w:sz w:val="24"/>
                <w:lang w:eastAsia="zh-CN"/>
              </w:rPr>
              <w:t>）</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4"/>
              <w:gridCol w:w="1237"/>
              <w:gridCol w:w="1290"/>
              <w:gridCol w:w="876"/>
              <w:gridCol w:w="990"/>
              <w:gridCol w:w="923"/>
              <w:gridCol w:w="1762"/>
              <w:gridCol w:w="881"/>
            </w:tblGrid>
            <w:tr w14:paraId="694B3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noWrap w:val="0"/>
                  <w:vAlign w:val="center"/>
                </w:tcPr>
                <w:p w14:paraId="26AB8BAA">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pacing w:val="-8"/>
                      <w:sz w:val="21"/>
                      <w:szCs w:val="21"/>
                    </w:rPr>
                  </w:pPr>
                  <w:r>
                    <w:rPr>
                      <w:rFonts w:hint="default" w:ascii="Times New Roman" w:hAnsi="Times New Roman" w:cs="Times New Roman"/>
                      <w:b/>
                      <w:color w:val="auto"/>
                      <w:spacing w:val="-8"/>
                      <w:sz w:val="21"/>
                      <w:szCs w:val="21"/>
                    </w:rPr>
                    <w:t>序号</w:t>
                  </w:r>
                </w:p>
              </w:tc>
              <w:tc>
                <w:tcPr>
                  <w:tcW w:w="737" w:type="pct"/>
                  <w:noWrap w:val="0"/>
                  <w:vAlign w:val="center"/>
                </w:tcPr>
                <w:p w14:paraId="03010842">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固体废物名称</w:t>
                  </w:r>
                </w:p>
              </w:tc>
              <w:tc>
                <w:tcPr>
                  <w:tcW w:w="769" w:type="pct"/>
                  <w:noWrap w:val="0"/>
                  <w:vAlign w:val="center"/>
                </w:tcPr>
                <w:p w14:paraId="3A0B97C0">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产生工序</w:t>
                  </w:r>
                </w:p>
              </w:tc>
              <w:tc>
                <w:tcPr>
                  <w:tcW w:w="522" w:type="pct"/>
                  <w:noWrap w:val="0"/>
                  <w:vAlign w:val="center"/>
                </w:tcPr>
                <w:p w14:paraId="03339956">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属性</w:t>
                  </w:r>
                </w:p>
              </w:tc>
              <w:tc>
                <w:tcPr>
                  <w:tcW w:w="590" w:type="pct"/>
                  <w:noWrap w:val="0"/>
                  <w:vAlign w:val="center"/>
                </w:tcPr>
                <w:p w14:paraId="2AC322EA">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废物代码</w:t>
                  </w:r>
                </w:p>
              </w:tc>
              <w:tc>
                <w:tcPr>
                  <w:tcW w:w="550" w:type="pct"/>
                  <w:noWrap w:val="0"/>
                  <w:vAlign w:val="center"/>
                </w:tcPr>
                <w:p w14:paraId="16DB4934">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eastAsia" w:ascii="Times New Roman" w:hAnsi="Times New Roman" w:cs="Times New Roman"/>
                      <w:b/>
                      <w:color w:val="auto"/>
                      <w:sz w:val="21"/>
                      <w:szCs w:val="21"/>
                    </w:rPr>
                    <w:t>实际</w:t>
                  </w:r>
                  <w:r>
                    <w:rPr>
                      <w:rFonts w:hint="default" w:ascii="Times New Roman" w:hAnsi="Times New Roman" w:cs="Times New Roman"/>
                      <w:b/>
                      <w:color w:val="auto"/>
                      <w:sz w:val="21"/>
                      <w:szCs w:val="21"/>
                    </w:rPr>
                    <w:t>产生量（t/a）</w:t>
                  </w:r>
                </w:p>
              </w:tc>
              <w:tc>
                <w:tcPr>
                  <w:tcW w:w="1050" w:type="pct"/>
                  <w:noWrap w:val="0"/>
                  <w:vAlign w:val="center"/>
                </w:tcPr>
                <w:p w14:paraId="23ED23F5">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利用处置方式</w:t>
                  </w:r>
                </w:p>
              </w:tc>
              <w:tc>
                <w:tcPr>
                  <w:tcW w:w="525" w:type="pct"/>
                  <w:noWrap w:val="0"/>
                  <w:vAlign w:val="center"/>
                </w:tcPr>
                <w:p w14:paraId="21EA0F78">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利用处置单位</w:t>
                  </w:r>
                </w:p>
              </w:tc>
            </w:tr>
            <w:tr w14:paraId="20669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noWrap w:val="0"/>
                  <w:vAlign w:val="center"/>
                </w:tcPr>
                <w:p w14:paraId="758867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737" w:type="pct"/>
                  <w:noWrap w:val="0"/>
                  <w:vAlign w:val="center"/>
                </w:tcPr>
                <w:p w14:paraId="18B92A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废炉渣</w:t>
                  </w:r>
                </w:p>
              </w:tc>
              <w:tc>
                <w:tcPr>
                  <w:tcW w:w="769" w:type="pct"/>
                  <w:noWrap w:val="0"/>
                  <w:vAlign w:val="center"/>
                </w:tcPr>
                <w:p w14:paraId="52890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中频炉、钢包精炼炉、真空精炼炉</w:t>
                  </w:r>
                </w:p>
              </w:tc>
              <w:tc>
                <w:tcPr>
                  <w:tcW w:w="522" w:type="pct"/>
                  <w:noWrap w:val="0"/>
                  <w:vAlign w:val="center"/>
                </w:tcPr>
                <w:p w14:paraId="15147B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eastAsia" w:ascii="Times New Roman" w:hAnsi="Times New Roman" w:cs="Times New Roman"/>
                      <w:color w:val="auto"/>
                      <w:kern w:val="0"/>
                      <w:szCs w:val="21"/>
                      <w:lang w:bidi="ar"/>
                    </w:rPr>
                    <w:t>一般固废</w:t>
                  </w:r>
                </w:p>
              </w:tc>
              <w:tc>
                <w:tcPr>
                  <w:tcW w:w="590" w:type="pct"/>
                  <w:noWrap w:val="0"/>
                  <w:vAlign w:val="center"/>
                </w:tcPr>
                <w:p w14:paraId="4B593535">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w:t>
                  </w:r>
                </w:p>
              </w:tc>
              <w:tc>
                <w:tcPr>
                  <w:tcW w:w="550" w:type="pct"/>
                  <w:noWrap w:val="0"/>
                  <w:vAlign w:val="center"/>
                </w:tcPr>
                <w:p w14:paraId="036B0E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350</w:t>
                  </w:r>
                </w:p>
              </w:tc>
              <w:tc>
                <w:tcPr>
                  <w:tcW w:w="1050" w:type="pct"/>
                  <w:noWrap w:val="0"/>
                  <w:vAlign w:val="center"/>
                </w:tcPr>
                <w:p w14:paraId="40CED7AC">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外售后综合利用</w:t>
                  </w:r>
                </w:p>
              </w:tc>
              <w:tc>
                <w:tcPr>
                  <w:tcW w:w="525" w:type="pct"/>
                  <w:noWrap w:val="0"/>
                  <w:vAlign w:val="center"/>
                </w:tcPr>
                <w:p w14:paraId="7965E6D9">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相关单位</w:t>
                  </w:r>
                </w:p>
              </w:tc>
            </w:tr>
            <w:tr w14:paraId="332A3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noWrap w:val="0"/>
                  <w:vAlign w:val="center"/>
                </w:tcPr>
                <w:p w14:paraId="550A7115">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737" w:type="pct"/>
                  <w:noWrap w:val="0"/>
                  <w:vAlign w:val="center"/>
                </w:tcPr>
                <w:p w14:paraId="3F87A309">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废石英砂</w:t>
                  </w:r>
                </w:p>
              </w:tc>
              <w:tc>
                <w:tcPr>
                  <w:tcW w:w="769" w:type="pct"/>
                  <w:noWrap w:val="0"/>
                  <w:vAlign w:val="center"/>
                </w:tcPr>
                <w:p w14:paraId="31C9D9A4">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522" w:type="pct"/>
                  <w:noWrap w:val="0"/>
                  <w:vAlign w:val="center"/>
                </w:tcPr>
                <w:p w14:paraId="5C2CAE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590" w:type="pct"/>
                  <w:noWrap w:val="0"/>
                  <w:vAlign w:val="center"/>
                </w:tcPr>
                <w:p w14:paraId="5D02BF4D">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r>
                    <w:rPr>
                      <w:rFonts w:hint="eastAsia" w:cs="Times New Roman"/>
                      <w:color w:val="auto"/>
                      <w:kern w:val="0"/>
                      <w:szCs w:val="21"/>
                      <w:lang w:val="en-US" w:eastAsia="zh-CN" w:bidi="ar"/>
                    </w:rPr>
                    <w:t>/</w:t>
                  </w:r>
                </w:p>
              </w:tc>
              <w:tc>
                <w:tcPr>
                  <w:tcW w:w="550" w:type="pct"/>
                  <w:noWrap w:val="0"/>
                  <w:vAlign w:val="center"/>
                </w:tcPr>
                <w:p w14:paraId="165081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120</w:t>
                  </w:r>
                </w:p>
              </w:tc>
              <w:tc>
                <w:tcPr>
                  <w:tcW w:w="1050" w:type="pct"/>
                  <w:noWrap w:val="0"/>
                  <w:vAlign w:val="center"/>
                </w:tcPr>
                <w:p w14:paraId="568AD2E5">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委托专业单位处置</w:t>
                  </w:r>
                </w:p>
              </w:tc>
              <w:tc>
                <w:tcPr>
                  <w:tcW w:w="525" w:type="pct"/>
                  <w:noWrap w:val="0"/>
                  <w:vAlign w:val="center"/>
                </w:tcPr>
                <w:p w14:paraId="2B6C5E58">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相关单位</w:t>
                  </w:r>
                </w:p>
              </w:tc>
            </w:tr>
            <w:tr w14:paraId="087746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64A2731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3</w:t>
                  </w:r>
                </w:p>
              </w:tc>
              <w:tc>
                <w:tcPr>
                  <w:tcW w:w="737" w:type="pct"/>
                  <w:noWrap w:val="0"/>
                  <w:vAlign w:val="center"/>
                </w:tcPr>
                <w:p w14:paraId="54F7B067">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废稻壳灰</w:t>
                  </w:r>
                </w:p>
              </w:tc>
              <w:tc>
                <w:tcPr>
                  <w:tcW w:w="769" w:type="pct"/>
                  <w:noWrap w:val="0"/>
                  <w:vAlign w:val="center"/>
                </w:tcPr>
                <w:p w14:paraId="59539DAD">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522" w:type="pct"/>
                  <w:noWrap w:val="0"/>
                  <w:vAlign w:val="center"/>
                </w:tcPr>
                <w:p w14:paraId="3265F73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590" w:type="pct"/>
                  <w:noWrap w:val="0"/>
                  <w:vAlign w:val="center"/>
                </w:tcPr>
                <w:p w14:paraId="33DE72A8">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r>
                    <w:rPr>
                      <w:rFonts w:hint="eastAsia" w:cs="Times New Roman"/>
                      <w:color w:val="auto"/>
                      <w:kern w:val="0"/>
                      <w:szCs w:val="21"/>
                      <w:lang w:val="en-US" w:eastAsia="zh-CN" w:bidi="ar"/>
                    </w:rPr>
                    <w:t>/</w:t>
                  </w:r>
                </w:p>
              </w:tc>
              <w:tc>
                <w:tcPr>
                  <w:tcW w:w="550" w:type="pct"/>
                  <w:noWrap w:val="0"/>
                  <w:vAlign w:val="center"/>
                </w:tcPr>
                <w:p w14:paraId="36CC46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60</w:t>
                  </w:r>
                </w:p>
              </w:tc>
              <w:tc>
                <w:tcPr>
                  <w:tcW w:w="1050" w:type="pct"/>
                  <w:noWrap w:val="0"/>
                  <w:vAlign w:val="center"/>
                </w:tcPr>
                <w:p w14:paraId="1C46C337">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委托专业单位处置</w:t>
                  </w:r>
                </w:p>
              </w:tc>
              <w:tc>
                <w:tcPr>
                  <w:tcW w:w="525" w:type="pct"/>
                  <w:noWrap w:val="0"/>
                  <w:vAlign w:val="center"/>
                </w:tcPr>
                <w:p w14:paraId="127D1683">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相关单位</w:t>
                  </w:r>
                </w:p>
              </w:tc>
            </w:tr>
            <w:tr w14:paraId="65B81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5C32BA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w:t>
                  </w:r>
                </w:p>
              </w:tc>
              <w:tc>
                <w:tcPr>
                  <w:tcW w:w="737" w:type="pct"/>
                  <w:noWrap w:val="0"/>
                  <w:vAlign w:val="center"/>
                </w:tcPr>
                <w:p w14:paraId="69E9514D">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浇冒口</w:t>
                  </w:r>
                </w:p>
              </w:tc>
              <w:tc>
                <w:tcPr>
                  <w:tcW w:w="769" w:type="pct"/>
                  <w:noWrap w:val="0"/>
                  <w:vAlign w:val="center"/>
                </w:tcPr>
                <w:p w14:paraId="7FBDA871">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522" w:type="pct"/>
                  <w:noWrap w:val="0"/>
                  <w:vAlign w:val="center"/>
                </w:tcPr>
                <w:p w14:paraId="4E5983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一般固废</w:t>
                  </w:r>
                </w:p>
              </w:tc>
              <w:tc>
                <w:tcPr>
                  <w:tcW w:w="590" w:type="pct"/>
                  <w:noWrap w:val="0"/>
                  <w:vAlign w:val="center"/>
                </w:tcPr>
                <w:p w14:paraId="5704094A">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r>
                    <w:rPr>
                      <w:rFonts w:hint="eastAsia" w:cs="Times New Roman"/>
                      <w:color w:val="auto"/>
                      <w:kern w:val="0"/>
                      <w:szCs w:val="21"/>
                      <w:lang w:val="en-US" w:eastAsia="zh-CN" w:bidi="ar"/>
                    </w:rPr>
                    <w:t>/</w:t>
                  </w:r>
                </w:p>
              </w:tc>
              <w:tc>
                <w:tcPr>
                  <w:tcW w:w="550" w:type="pct"/>
                  <w:noWrap w:val="0"/>
                  <w:vAlign w:val="center"/>
                </w:tcPr>
                <w:p w14:paraId="5034B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300</w:t>
                  </w:r>
                </w:p>
              </w:tc>
              <w:tc>
                <w:tcPr>
                  <w:tcW w:w="1050" w:type="pct"/>
                  <w:shd w:val="clear" w:color="auto" w:fill="auto"/>
                  <w:noWrap w:val="0"/>
                  <w:vAlign w:val="center"/>
                </w:tcPr>
                <w:p w14:paraId="65E03652">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回用于生产</w:t>
                  </w:r>
                </w:p>
              </w:tc>
              <w:tc>
                <w:tcPr>
                  <w:tcW w:w="525" w:type="pct"/>
                  <w:shd w:val="clear" w:color="auto" w:fill="auto"/>
                  <w:noWrap w:val="0"/>
                  <w:vAlign w:val="center"/>
                </w:tcPr>
                <w:p w14:paraId="6DF35A3B">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本单位</w:t>
                  </w:r>
                </w:p>
              </w:tc>
            </w:tr>
            <w:tr w14:paraId="1B824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280698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w:t>
                  </w:r>
                </w:p>
              </w:tc>
              <w:tc>
                <w:tcPr>
                  <w:tcW w:w="737" w:type="pct"/>
                  <w:noWrap w:val="0"/>
                  <w:vAlign w:val="center"/>
                </w:tcPr>
                <w:p w14:paraId="7E296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金属烟尘（收集的粉尘）</w:t>
                  </w:r>
                </w:p>
              </w:tc>
              <w:tc>
                <w:tcPr>
                  <w:tcW w:w="769" w:type="pct"/>
                  <w:noWrap w:val="0"/>
                  <w:vAlign w:val="center"/>
                </w:tcPr>
                <w:p w14:paraId="6052A9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熔化烟尘</w:t>
                  </w:r>
                  <w:r>
                    <w:rPr>
                      <w:rFonts w:hint="eastAsia" w:cs="Times New Roman"/>
                      <w:color w:val="auto"/>
                      <w:kern w:val="0"/>
                      <w:szCs w:val="21"/>
                      <w:lang w:val="en-US" w:eastAsia="zh-CN" w:bidi="ar"/>
                    </w:rPr>
                    <w:t>、精炼烟尘</w:t>
                  </w:r>
                  <w:r>
                    <w:rPr>
                      <w:rFonts w:hint="eastAsia" w:ascii="Times New Roman" w:hAnsi="Times New Roman" w:cs="Times New Roman"/>
                      <w:color w:val="auto"/>
                      <w:kern w:val="0"/>
                      <w:szCs w:val="21"/>
                      <w:lang w:val="en-US" w:eastAsia="zh-CN" w:bidi="ar"/>
                    </w:rPr>
                    <w:t>处理</w:t>
                  </w:r>
                </w:p>
              </w:tc>
              <w:tc>
                <w:tcPr>
                  <w:tcW w:w="522" w:type="pct"/>
                  <w:noWrap w:val="0"/>
                  <w:vAlign w:val="center"/>
                </w:tcPr>
                <w:p w14:paraId="711C68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rPr>
                  </w:pPr>
                  <w:r>
                    <w:rPr>
                      <w:rFonts w:hint="eastAsia" w:ascii="Times New Roman" w:hAnsi="Times New Roman" w:cs="Times New Roman"/>
                      <w:color w:val="auto"/>
                      <w:kern w:val="0"/>
                      <w:szCs w:val="21"/>
                      <w:lang w:bidi="ar"/>
                    </w:rPr>
                    <w:t>一般固废</w:t>
                  </w:r>
                </w:p>
              </w:tc>
              <w:tc>
                <w:tcPr>
                  <w:tcW w:w="590" w:type="pct"/>
                  <w:noWrap w:val="0"/>
                  <w:vAlign w:val="center"/>
                </w:tcPr>
                <w:p w14:paraId="0745A9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s="Times New Roman"/>
                      <w:color w:val="auto"/>
                      <w:kern w:val="0"/>
                      <w:szCs w:val="21"/>
                      <w:lang w:val="en-US" w:eastAsia="zh-CN" w:bidi="ar"/>
                    </w:rPr>
                    <w:t>/</w:t>
                  </w:r>
                </w:p>
              </w:tc>
              <w:tc>
                <w:tcPr>
                  <w:tcW w:w="550" w:type="pct"/>
                  <w:noWrap w:val="0"/>
                  <w:vAlign w:val="center"/>
                </w:tcPr>
                <w:p w14:paraId="522E8D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51.048</w:t>
                  </w:r>
                </w:p>
              </w:tc>
              <w:tc>
                <w:tcPr>
                  <w:tcW w:w="1050" w:type="pct"/>
                  <w:noWrap w:val="0"/>
                  <w:vAlign w:val="center"/>
                </w:tcPr>
                <w:p w14:paraId="4CA35052">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外售后综合利用</w:t>
                  </w:r>
                </w:p>
              </w:tc>
              <w:tc>
                <w:tcPr>
                  <w:tcW w:w="525" w:type="pct"/>
                  <w:noWrap w:val="0"/>
                  <w:vAlign w:val="center"/>
                </w:tcPr>
                <w:p w14:paraId="264D7B1A">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相关单位</w:t>
                  </w:r>
                </w:p>
              </w:tc>
            </w:tr>
            <w:tr w14:paraId="48028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099B928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w:t>
                  </w:r>
                </w:p>
              </w:tc>
              <w:tc>
                <w:tcPr>
                  <w:tcW w:w="737" w:type="pct"/>
                  <w:shd w:val="clear" w:color="auto" w:fill="auto"/>
                  <w:noWrap w:val="0"/>
                  <w:vAlign w:val="center"/>
                </w:tcPr>
                <w:p w14:paraId="1CC9688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废包装材料</w:t>
                  </w:r>
                </w:p>
              </w:tc>
              <w:tc>
                <w:tcPr>
                  <w:tcW w:w="769" w:type="pct"/>
                  <w:shd w:val="clear" w:color="auto" w:fill="auto"/>
                  <w:noWrap w:val="0"/>
                  <w:vAlign w:val="center"/>
                </w:tcPr>
                <w:p w14:paraId="2E2965B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原料拆包</w:t>
                  </w:r>
                </w:p>
              </w:tc>
              <w:tc>
                <w:tcPr>
                  <w:tcW w:w="522" w:type="pct"/>
                  <w:shd w:val="clear" w:color="auto" w:fill="auto"/>
                  <w:noWrap w:val="0"/>
                  <w:vAlign w:val="center"/>
                </w:tcPr>
                <w:p w14:paraId="53C8407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一般固废</w:t>
                  </w:r>
                </w:p>
              </w:tc>
              <w:tc>
                <w:tcPr>
                  <w:tcW w:w="590" w:type="pct"/>
                  <w:shd w:val="clear" w:color="auto" w:fill="auto"/>
                  <w:noWrap w:val="0"/>
                  <w:vAlign w:val="center"/>
                </w:tcPr>
                <w:p w14:paraId="605052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w:t>
                  </w:r>
                </w:p>
              </w:tc>
              <w:tc>
                <w:tcPr>
                  <w:tcW w:w="550" w:type="pct"/>
                  <w:shd w:val="clear" w:color="auto" w:fill="auto"/>
                  <w:noWrap w:val="0"/>
                  <w:vAlign w:val="center"/>
                </w:tcPr>
                <w:p w14:paraId="55D0CAA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0.9</w:t>
                  </w:r>
                </w:p>
              </w:tc>
              <w:tc>
                <w:tcPr>
                  <w:tcW w:w="1050" w:type="pct"/>
                  <w:shd w:val="clear" w:color="auto" w:fill="auto"/>
                  <w:noWrap w:val="0"/>
                  <w:vAlign w:val="center"/>
                </w:tcPr>
                <w:p w14:paraId="71138D97">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外售后综合利用</w:t>
                  </w:r>
                </w:p>
              </w:tc>
              <w:tc>
                <w:tcPr>
                  <w:tcW w:w="525" w:type="pct"/>
                  <w:shd w:val="clear" w:color="auto" w:fill="auto"/>
                  <w:noWrap w:val="0"/>
                  <w:vAlign w:val="center"/>
                </w:tcPr>
                <w:p w14:paraId="4D4090B3">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相关单位</w:t>
                  </w:r>
                </w:p>
              </w:tc>
            </w:tr>
            <w:tr w14:paraId="5722FC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3" w:type="pct"/>
                  <w:shd w:val="clear" w:color="auto" w:fill="auto"/>
                  <w:noWrap w:val="0"/>
                  <w:vAlign w:val="center"/>
                </w:tcPr>
                <w:p w14:paraId="187001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7</w:t>
                  </w:r>
                </w:p>
              </w:tc>
              <w:tc>
                <w:tcPr>
                  <w:tcW w:w="737" w:type="pct"/>
                  <w:shd w:val="clear" w:color="auto" w:fill="auto"/>
                  <w:noWrap w:val="0"/>
                  <w:vAlign w:val="center"/>
                </w:tcPr>
                <w:p w14:paraId="1B1124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金属氧化皮</w:t>
                  </w:r>
                </w:p>
              </w:tc>
              <w:tc>
                <w:tcPr>
                  <w:tcW w:w="769" w:type="pct"/>
                  <w:shd w:val="clear" w:color="auto" w:fill="auto"/>
                  <w:noWrap w:val="0"/>
                  <w:vAlign w:val="center"/>
                </w:tcPr>
                <w:p w14:paraId="75411B91">
                  <w:pPr>
                    <w:pStyle w:val="71"/>
                    <w:keepNext w:val="0"/>
                    <w:keepLines w:val="0"/>
                    <w:suppressLineNumbers w:val="0"/>
                    <w:spacing w:before="0" w:beforeAutospacing="0" w:after="0" w:afterAutospacing="0"/>
                    <w:ind w:left="0" w:right="0"/>
                    <w:jc w:val="center"/>
                    <w:rPr>
                      <w:rFonts w:hint="default" w:ascii="Times New Roman" w:hAnsi="Times New Roman" w:eastAsia="宋体" w:cs="宋体"/>
                      <w:color w:val="auto"/>
                      <w:kern w:val="2"/>
                      <w:sz w:val="21"/>
                      <w:szCs w:val="21"/>
                      <w:highlight w:val="none"/>
                      <w:lang w:val="en-US" w:eastAsia="zh-CN" w:bidi="zh-CN"/>
                    </w:rPr>
                  </w:pPr>
                  <w:r>
                    <w:rPr>
                      <w:rFonts w:hint="eastAsia" w:ascii="Times New Roman" w:hAnsi="Times New Roman" w:cs="宋体"/>
                      <w:color w:val="auto"/>
                      <w:kern w:val="2"/>
                      <w:sz w:val="21"/>
                      <w:szCs w:val="21"/>
                      <w:highlight w:val="none"/>
                      <w:lang w:val="en-US" w:eastAsia="zh-CN" w:bidi="zh-CN"/>
                    </w:rPr>
                    <w:t>锻压成型</w:t>
                  </w:r>
                </w:p>
              </w:tc>
              <w:tc>
                <w:tcPr>
                  <w:tcW w:w="522" w:type="pct"/>
                  <w:noWrap w:val="0"/>
                  <w:vAlign w:val="center"/>
                </w:tcPr>
                <w:p w14:paraId="6861DE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一般固废</w:t>
                  </w:r>
                </w:p>
              </w:tc>
              <w:tc>
                <w:tcPr>
                  <w:tcW w:w="590" w:type="pct"/>
                  <w:noWrap w:val="0"/>
                  <w:vAlign w:val="center"/>
                </w:tcPr>
                <w:p w14:paraId="650025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s="Times New Roman"/>
                      <w:color w:val="auto"/>
                      <w:kern w:val="0"/>
                      <w:szCs w:val="21"/>
                      <w:lang w:val="en-US" w:eastAsia="zh-CN" w:bidi="ar"/>
                    </w:rPr>
                    <w:t>/</w:t>
                  </w:r>
                </w:p>
              </w:tc>
              <w:tc>
                <w:tcPr>
                  <w:tcW w:w="550" w:type="pct"/>
                  <w:noWrap w:val="0"/>
                  <w:vAlign w:val="center"/>
                </w:tcPr>
                <w:p w14:paraId="0A84F60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1762" w:type="dxa"/>
                  <w:noWrap w:val="0"/>
                  <w:vAlign w:val="center"/>
                </w:tcPr>
                <w:p w14:paraId="2601DA11">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回用于生产</w:t>
                  </w:r>
                </w:p>
              </w:tc>
              <w:tc>
                <w:tcPr>
                  <w:tcW w:w="881" w:type="dxa"/>
                  <w:noWrap w:val="0"/>
                  <w:vAlign w:val="center"/>
                </w:tcPr>
                <w:p w14:paraId="5AEA1A2E">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本单位</w:t>
                  </w:r>
                </w:p>
              </w:tc>
            </w:tr>
            <w:tr w14:paraId="41977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6B537C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w:t>
                  </w:r>
                </w:p>
              </w:tc>
              <w:tc>
                <w:tcPr>
                  <w:tcW w:w="737" w:type="pct"/>
                  <w:shd w:val="clear" w:color="auto" w:fill="auto"/>
                  <w:noWrap w:val="0"/>
                  <w:vAlign w:val="center"/>
                </w:tcPr>
                <w:p w14:paraId="1A081B6F">
                  <w:pPr>
                    <w:pStyle w:val="12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废边角料</w:t>
                  </w:r>
                </w:p>
              </w:tc>
              <w:tc>
                <w:tcPr>
                  <w:tcW w:w="769" w:type="pct"/>
                  <w:shd w:val="clear" w:color="auto" w:fill="auto"/>
                  <w:noWrap w:val="0"/>
                  <w:vAlign w:val="center"/>
                </w:tcPr>
                <w:p w14:paraId="34838C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color w:val="auto"/>
                      <w:szCs w:val="21"/>
                      <w:highlight w:val="none"/>
                    </w:rPr>
                    <w:t>精加工</w:t>
                  </w:r>
                </w:p>
              </w:tc>
              <w:tc>
                <w:tcPr>
                  <w:tcW w:w="522" w:type="pct"/>
                  <w:noWrap w:val="0"/>
                  <w:vAlign w:val="center"/>
                </w:tcPr>
                <w:p w14:paraId="25616A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一般固废</w:t>
                  </w:r>
                </w:p>
              </w:tc>
              <w:tc>
                <w:tcPr>
                  <w:tcW w:w="590" w:type="pct"/>
                  <w:noWrap w:val="0"/>
                  <w:vAlign w:val="center"/>
                </w:tcPr>
                <w:p w14:paraId="7487DA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s="Times New Roman"/>
                      <w:color w:val="auto"/>
                      <w:kern w:val="0"/>
                      <w:szCs w:val="21"/>
                      <w:lang w:val="en-US" w:eastAsia="zh-CN" w:bidi="ar"/>
                    </w:rPr>
                    <w:t>/</w:t>
                  </w:r>
                </w:p>
              </w:tc>
              <w:tc>
                <w:tcPr>
                  <w:tcW w:w="550" w:type="pct"/>
                  <w:noWrap w:val="0"/>
                  <w:vAlign w:val="center"/>
                </w:tcPr>
                <w:p w14:paraId="6D640D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1000</w:t>
                  </w:r>
                </w:p>
              </w:tc>
              <w:tc>
                <w:tcPr>
                  <w:tcW w:w="1762" w:type="dxa"/>
                  <w:noWrap w:val="0"/>
                  <w:vAlign w:val="center"/>
                </w:tcPr>
                <w:p w14:paraId="7D0DCF87">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回用于生产</w:t>
                  </w:r>
                </w:p>
              </w:tc>
              <w:tc>
                <w:tcPr>
                  <w:tcW w:w="881" w:type="dxa"/>
                  <w:noWrap w:val="0"/>
                  <w:vAlign w:val="center"/>
                </w:tcPr>
                <w:p w14:paraId="4D34C8D0">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本单位</w:t>
                  </w:r>
                </w:p>
              </w:tc>
            </w:tr>
            <w:tr w14:paraId="67C55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7012FEE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9</w:t>
                  </w:r>
                </w:p>
              </w:tc>
              <w:tc>
                <w:tcPr>
                  <w:tcW w:w="737" w:type="pct"/>
                  <w:shd w:val="clear" w:color="auto" w:fill="auto"/>
                  <w:noWrap w:val="0"/>
                  <w:vAlign w:val="center"/>
                </w:tcPr>
                <w:p w14:paraId="403390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color w:val="auto"/>
                      <w:szCs w:val="21"/>
                      <w:highlight w:val="none"/>
                    </w:rPr>
                    <w:t>不合格</w:t>
                  </w:r>
                  <w:r>
                    <w:rPr>
                      <w:rFonts w:hint="eastAsia" w:hAnsi="宋体"/>
                      <w:color w:val="auto"/>
                      <w:szCs w:val="21"/>
                      <w:highlight w:val="none"/>
                      <w:lang w:val="en-US" w:eastAsia="zh-CN"/>
                    </w:rPr>
                    <w:t>品</w:t>
                  </w:r>
                </w:p>
              </w:tc>
              <w:tc>
                <w:tcPr>
                  <w:tcW w:w="769" w:type="pct"/>
                  <w:shd w:val="clear" w:color="auto" w:fill="auto"/>
                  <w:noWrap w:val="0"/>
                  <w:vAlign w:val="center"/>
                </w:tcPr>
                <w:p w14:paraId="6D9617D5">
                  <w:pPr>
                    <w:pStyle w:val="71"/>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highlight w:val="none"/>
                      <w:lang w:val="en-US" w:eastAsia="zh-CN" w:bidi="zh-CN"/>
                    </w:rPr>
                  </w:pPr>
                  <w:r>
                    <w:rPr>
                      <w:rFonts w:hint="eastAsia" w:ascii="Times New Roman" w:hAnsi="宋体"/>
                      <w:color w:val="auto"/>
                      <w:sz w:val="21"/>
                      <w:szCs w:val="21"/>
                      <w:highlight w:val="none"/>
                      <w:lang w:val="en-US" w:eastAsia="zh-CN"/>
                    </w:rPr>
                    <w:t>检验</w:t>
                  </w:r>
                </w:p>
              </w:tc>
              <w:tc>
                <w:tcPr>
                  <w:tcW w:w="522" w:type="pct"/>
                  <w:noWrap w:val="0"/>
                  <w:vAlign w:val="center"/>
                </w:tcPr>
                <w:p w14:paraId="6084C33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一般固废</w:t>
                  </w:r>
                </w:p>
              </w:tc>
              <w:tc>
                <w:tcPr>
                  <w:tcW w:w="590" w:type="pct"/>
                  <w:noWrap w:val="0"/>
                  <w:vAlign w:val="center"/>
                </w:tcPr>
                <w:p w14:paraId="7D1937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s="Times New Roman"/>
                      <w:color w:val="auto"/>
                      <w:kern w:val="0"/>
                      <w:szCs w:val="21"/>
                      <w:lang w:val="en-US" w:eastAsia="zh-CN" w:bidi="ar"/>
                    </w:rPr>
                    <w:t>/</w:t>
                  </w:r>
                </w:p>
              </w:tc>
              <w:tc>
                <w:tcPr>
                  <w:tcW w:w="550" w:type="pct"/>
                  <w:noWrap w:val="0"/>
                  <w:vAlign w:val="center"/>
                </w:tcPr>
                <w:p w14:paraId="15F8D4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10</w:t>
                  </w:r>
                </w:p>
              </w:tc>
              <w:tc>
                <w:tcPr>
                  <w:tcW w:w="1050" w:type="pct"/>
                  <w:noWrap w:val="0"/>
                  <w:vAlign w:val="center"/>
                </w:tcPr>
                <w:p w14:paraId="003589A2">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外售后综合利用</w:t>
                  </w:r>
                </w:p>
              </w:tc>
              <w:tc>
                <w:tcPr>
                  <w:tcW w:w="525" w:type="pct"/>
                  <w:noWrap w:val="0"/>
                  <w:vAlign w:val="center"/>
                </w:tcPr>
                <w:p w14:paraId="740752F0">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相关单位</w:t>
                  </w:r>
                </w:p>
              </w:tc>
            </w:tr>
            <w:tr w14:paraId="2DD2F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6CF5D0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c>
                <w:tcPr>
                  <w:tcW w:w="737" w:type="pct"/>
                  <w:shd w:val="clear" w:color="auto" w:fill="auto"/>
                  <w:noWrap w:val="0"/>
                  <w:vAlign w:val="center"/>
                </w:tcPr>
                <w:p w14:paraId="0A0B684E">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废包装袋</w:t>
                  </w:r>
                </w:p>
              </w:tc>
              <w:tc>
                <w:tcPr>
                  <w:tcW w:w="769" w:type="pct"/>
                  <w:shd w:val="clear" w:color="auto" w:fill="auto"/>
                  <w:noWrap w:val="0"/>
                  <w:vAlign w:val="center"/>
                </w:tcPr>
                <w:p w14:paraId="61DCE320">
                  <w:pPr>
                    <w:keepNext w:val="0"/>
                    <w:keepLines w:val="0"/>
                    <w:widowControl/>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包装入库</w:t>
                  </w:r>
                </w:p>
              </w:tc>
              <w:tc>
                <w:tcPr>
                  <w:tcW w:w="522" w:type="pct"/>
                  <w:noWrap w:val="0"/>
                  <w:vAlign w:val="center"/>
                </w:tcPr>
                <w:p w14:paraId="306F2D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一般固废</w:t>
                  </w:r>
                </w:p>
              </w:tc>
              <w:tc>
                <w:tcPr>
                  <w:tcW w:w="590" w:type="pct"/>
                  <w:noWrap w:val="0"/>
                  <w:vAlign w:val="center"/>
                </w:tcPr>
                <w:p w14:paraId="7CC8FC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s="Times New Roman"/>
                      <w:color w:val="auto"/>
                      <w:kern w:val="0"/>
                      <w:szCs w:val="21"/>
                      <w:lang w:val="en-US" w:eastAsia="zh-CN" w:bidi="ar"/>
                    </w:rPr>
                    <w:t>/</w:t>
                  </w:r>
                </w:p>
              </w:tc>
              <w:tc>
                <w:tcPr>
                  <w:tcW w:w="550" w:type="pct"/>
                  <w:noWrap w:val="0"/>
                  <w:vAlign w:val="center"/>
                </w:tcPr>
                <w:p w14:paraId="7D2689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0.05</w:t>
                  </w:r>
                </w:p>
              </w:tc>
              <w:tc>
                <w:tcPr>
                  <w:tcW w:w="1050" w:type="pct"/>
                  <w:shd w:val="clear" w:color="auto" w:fill="auto"/>
                  <w:noWrap w:val="0"/>
                  <w:vAlign w:val="center"/>
                </w:tcPr>
                <w:p w14:paraId="1472D271">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外售后综合利用</w:t>
                  </w:r>
                </w:p>
              </w:tc>
              <w:tc>
                <w:tcPr>
                  <w:tcW w:w="525" w:type="pct"/>
                  <w:shd w:val="clear" w:color="auto" w:fill="auto"/>
                  <w:noWrap w:val="0"/>
                  <w:vAlign w:val="center"/>
                </w:tcPr>
                <w:p w14:paraId="4301EF53">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相关单位</w:t>
                  </w:r>
                </w:p>
              </w:tc>
            </w:tr>
            <w:tr w14:paraId="3712B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0" w:hRule="atLeast"/>
                <w:jc w:val="center"/>
              </w:trPr>
              <w:tc>
                <w:tcPr>
                  <w:tcW w:w="253" w:type="pct"/>
                  <w:shd w:val="clear" w:color="auto" w:fill="auto"/>
                  <w:noWrap w:val="0"/>
                  <w:vAlign w:val="center"/>
                </w:tcPr>
                <w:p w14:paraId="31E986B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11</w:t>
                  </w:r>
                </w:p>
              </w:tc>
              <w:tc>
                <w:tcPr>
                  <w:tcW w:w="737" w:type="pct"/>
                  <w:shd w:val="clear" w:color="auto" w:fill="auto"/>
                  <w:noWrap w:val="0"/>
                  <w:vAlign w:val="center"/>
                </w:tcPr>
                <w:p w14:paraId="26E93F3E">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废切削液</w:t>
                  </w:r>
                </w:p>
              </w:tc>
              <w:tc>
                <w:tcPr>
                  <w:tcW w:w="769" w:type="pct"/>
                  <w:shd w:val="clear" w:color="auto" w:fill="auto"/>
                  <w:noWrap w:val="0"/>
                  <w:vAlign w:val="center"/>
                </w:tcPr>
                <w:p w14:paraId="58F8A51D">
                  <w:pPr>
                    <w:keepNext w:val="0"/>
                    <w:keepLines w:val="0"/>
                    <w:widowControl/>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打磨</w:t>
                  </w:r>
                </w:p>
              </w:tc>
              <w:tc>
                <w:tcPr>
                  <w:tcW w:w="522" w:type="pct"/>
                  <w:noWrap w:val="0"/>
                  <w:vAlign w:val="center"/>
                </w:tcPr>
                <w:p w14:paraId="0F6A3B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危险废物</w:t>
                  </w:r>
                </w:p>
              </w:tc>
              <w:tc>
                <w:tcPr>
                  <w:tcW w:w="590" w:type="pct"/>
                  <w:noWrap w:val="0"/>
                  <w:vAlign w:val="center"/>
                </w:tcPr>
                <w:p w14:paraId="7BD15D13">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bidi="ar"/>
                    </w:rPr>
                  </w:pPr>
                  <w:r>
                    <w:rPr>
                      <w:rFonts w:hint="default"/>
                      <w:color w:val="auto"/>
                      <w:szCs w:val="21"/>
                      <w:highlight w:val="none"/>
                      <w:lang w:bidi="ar"/>
                    </w:rPr>
                    <w:t>HW09</w:t>
                  </w:r>
                </w:p>
                <w:p w14:paraId="24FEB8B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olor w:val="auto"/>
                      <w:szCs w:val="21"/>
                      <w:highlight w:val="none"/>
                      <w:lang w:bidi="ar"/>
                    </w:rPr>
                    <w:t>900-006-09</w:t>
                  </w:r>
                </w:p>
              </w:tc>
              <w:tc>
                <w:tcPr>
                  <w:tcW w:w="550" w:type="pct"/>
                  <w:noWrap w:val="0"/>
                  <w:vAlign w:val="center"/>
                </w:tcPr>
                <w:p w14:paraId="0F97C3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2.7</w:t>
                  </w:r>
                </w:p>
              </w:tc>
              <w:tc>
                <w:tcPr>
                  <w:tcW w:w="1050" w:type="pct"/>
                  <w:noWrap w:val="0"/>
                  <w:vAlign w:val="center"/>
                </w:tcPr>
                <w:p w14:paraId="0DBFCEC4">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委托有资质单位集中处置</w:t>
                  </w:r>
                </w:p>
              </w:tc>
              <w:tc>
                <w:tcPr>
                  <w:tcW w:w="525" w:type="pct"/>
                  <w:noWrap w:val="0"/>
                  <w:vAlign w:val="center"/>
                </w:tcPr>
                <w:p w14:paraId="04CC7149">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有资质单位</w:t>
                  </w:r>
                </w:p>
              </w:tc>
            </w:tr>
            <w:tr w14:paraId="278FA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0D838BD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12</w:t>
                  </w:r>
                </w:p>
              </w:tc>
              <w:tc>
                <w:tcPr>
                  <w:tcW w:w="737" w:type="pct"/>
                  <w:shd w:val="clear" w:color="auto" w:fill="auto"/>
                  <w:noWrap w:val="0"/>
                  <w:vAlign w:val="center"/>
                </w:tcPr>
                <w:p w14:paraId="3EE9C0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磨削泥</w:t>
                  </w:r>
                </w:p>
              </w:tc>
              <w:tc>
                <w:tcPr>
                  <w:tcW w:w="769" w:type="pct"/>
                  <w:shd w:val="clear" w:color="auto" w:fill="auto"/>
                  <w:noWrap w:val="0"/>
                  <w:vAlign w:val="center"/>
                </w:tcPr>
                <w:p w14:paraId="011A7315">
                  <w:pPr>
                    <w:pStyle w:val="71"/>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highlight w:val="none"/>
                      <w:lang w:val="en-US" w:eastAsia="zh-CN" w:bidi="zh-CN"/>
                    </w:rPr>
                  </w:pPr>
                  <w:r>
                    <w:rPr>
                      <w:rFonts w:hint="eastAsia" w:hAnsi="宋体"/>
                      <w:color w:val="auto"/>
                      <w:szCs w:val="21"/>
                      <w:highlight w:val="none"/>
                    </w:rPr>
                    <w:t>打磨</w:t>
                  </w:r>
                </w:p>
              </w:tc>
              <w:tc>
                <w:tcPr>
                  <w:tcW w:w="522" w:type="pct"/>
                  <w:noWrap w:val="0"/>
                  <w:vAlign w:val="center"/>
                </w:tcPr>
                <w:p w14:paraId="73CF5A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cs="Times New Roman"/>
                      <w:color w:val="auto"/>
                      <w:kern w:val="0"/>
                      <w:szCs w:val="21"/>
                      <w:lang w:val="en-US" w:eastAsia="zh-CN" w:bidi="ar"/>
                    </w:rPr>
                    <w:t>危险废物</w:t>
                  </w:r>
                </w:p>
              </w:tc>
              <w:tc>
                <w:tcPr>
                  <w:tcW w:w="590" w:type="pct"/>
                  <w:noWrap w:val="0"/>
                  <w:vAlign w:val="center"/>
                </w:tcPr>
                <w:p w14:paraId="659613E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bidi="ar"/>
                    </w:rPr>
                  </w:pPr>
                  <w:r>
                    <w:rPr>
                      <w:rFonts w:hint="default"/>
                      <w:color w:val="auto"/>
                      <w:szCs w:val="21"/>
                      <w:highlight w:val="none"/>
                      <w:lang w:bidi="ar"/>
                    </w:rPr>
                    <w:t>HW09</w:t>
                  </w:r>
                </w:p>
                <w:p w14:paraId="3D49C9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olor w:val="auto"/>
                      <w:szCs w:val="21"/>
                      <w:highlight w:val="none"/>
                      <w:lang w:bidi="ar"/>
                    </w:rPr>
                    <w:t>900-006-09</w:t>
                  </w:r>
                </w:p>
              </w:tc>
              <w:tc>
                <w:tcPr>
                  <w:tcW w:w="550" w:type="pct"/>
                  <w:noWrap w:val="0"/>
                  <w:vAlign w:val="center"/>
                </w:tcPr>
                <w:p w14:paraId="23C0C22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3</w:t>
                  </w:r>
                </w:p>
              </w:tc>
              <w:tc>
                <w:tcPr>
                  <w:tcW w:w="1050" w:type="pct"/>
                  <w:noWrap w:val="0"/>
                  <w:vAlign w:val="center"/>
                </w:tcPr>
                <w:p w14:paraId="5A69DA6B">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委托有资质单位集中处置</w:t>
                  </w:r>
                </w:p>
              </w:tc>
              <w:tc>
                <w:tcPr>
                  <w:tcW w:w="525" w:type="pct"/>
                  <w:noWrap w:val="0"/>
                  <w:vAlign w:val="center"/>
                </w:tcPr>
                <w:p w14:paraId="4864C43A">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有资质单位</w:t>
                  </w:r>
                </w:p>
              </w:tc>
            </w:tr>
            <w:tr w14:paraId="5A2EF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0466D8C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13</w:t>
                  </w:r>
                </w:p>
              </w:tc>
              <w:tc>
                <w:tcPr>
                  <w:tcW w:w="737" w:type="pct"/>
                  <w:shd w:val="clear" w:color="auto" w:fill="auto"/>
                  <w:noWrap w:val="0"/>
                  <w:vAlign w:val="center"/>
                </w:tcPr>
                <w:p w14:paraId="71485FC5">
                  <w:pPr>
                    <w:pStyle w:val="122"/>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w:t>
                  </w:r>
                  <w:r>
                    <w:rPr>
                      <w:rFonts w:hint="eastAsia" w:hAnsi="宋体" w:eastAsia="宋体" w:cs="Times New Roman"/>
                      <w:color w:val="auto"/>
                      <w:kern w:val="2"/>
                      <w:sz w:val="21"/>
                      <w:szCs w:val="21"/>
                      <w:highlight w:val="none"/>
                      <w:lang w:val="en-US" w:eastAsia="zh-CN" w:bidi="ar-SA"/>
                    </w:rPr>
                    <w:t>乳化油</w:t>
                  </w:r>
                </w:p>
              </w:tc>
              <w:tc>
                <w:tcPr>
                  <w:tcW w:w="769" w:type="pct"/>
                  <w:shd w:val="clear" w:color="auto" w:fill="auto"/>
                  <w:noWrap w:val="0"/>
                  <w:vAlign w:val="center"/>
                </w:tcPr>
                <w:p w14:paraId="43D617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精加工</w:t>
                  </w:r>
                </w:p>
              </w:tc>
              <w:tc>
                <w:tcPr>
                  <w:tcW w:w="522" w:type="pct"/>
                  <w:noWrap w:val="0"/>
                  <w:vAlign w:val="center"/>
                </w:tcPr>
                <w:p w14:paraId="6C9E67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cs="Times New Roman"/>
                      <w:color w:val="auto"/>
                      <w:kern w:val="0"/>
                      <w:szCs w:val="21"/>
                      <w:lang w:val="en-US" w:eastAsia="zh-CN" w:bidi="ar"/>
                    </w:rPr>
                    <w:t>危险废物</w:t>
                  </w:r>
                </w:p>
              </w:tc>
              <w:tc>
                <w:tcPr>
                  <w:tcW w:w="590" w:type="pct"/>
                  <w:noWrap w:val="0"/>
                  <w:vAlign w:val="center"/>
                </w:tcPr>
                <w:p w14:paraId="55B2A370">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bidi="ar"/>
                    </w:rPr>
                  </w:pPr>
                  <w:r>
                    <w:rPr>
                      <w:rFonts w:hint="default"/>
                      <w:color w:val="auto"/>
                      <w:szCs w:val="21"/>
                      <w:highlight w:val="none"/>
                      <w:lang w:bidi="ar"/>
                    </w:rPr>
                    <w:t>HW09</w:t>
                  </w:r>
                </w:p>
                <w:p w14:paraId="11F2B2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olor w:val="auto"/>
                      <w:szCs w:val="21"/>
                      <w:highlight w:val="none"/>
                      <w:lang w:bidi="ar"/>
                    </w:rPr>
                    <w:t>900-006-09</w:t>
                  </w:r>
                </w:p>
              </w:tc>
              <w:tc>
                <w:tcPr>
                  <w:tcW w:w="550" w:type="pct"/>
                  <w:noWrap w:val="0"/>
                  <w:vAlign w:val="center"/>
                </w:tcPr>
                <w:p w14:paraId="250B60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0.14</w:t>
                  </w:r>
                </w:p>
              </w:tc>
              <w:tc>
                <w:tcPr>
                  <w:tcW w:w="1050" w:type="pct"/>
                  <w:noWrap w:val="0"/>
                  <w:vAlign w:val="center"/>
                </w:tcPr>
                <w:p w14:paraId="17347983">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委托有资质单位集中处置</w:t>
                  </w:r>
                </w:p>
              </w:tc>
              <w:tc>
                <w:tcPr>
                  <w:tcW w:w="525" w:type="pct"/>
                  <w:noWrap w:val="0"/>
                  <w:vAlign w:val="center"/>
                </w:tcPr>
                <w:p w14:paraId="0A226014">
                  <w:pPr>
                    <w:pStyle w:val="13"/>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有资质单位</w:t>
                  </w:r>
                </w:p>
              </w:tc>
            </w:tr>
            <w:tr w14:paraId="01D64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shd w:val="clear" w:color="auto" w:fill="auto"/>
                  <w:noWrap w:val="0"/>
                  <w:vAlign w:val="center"/>
                </w:tcPr>
                <w:p w14:paraId="76DBEC6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14</w:t>
                  </w:r>
                </w:p>
              </w:tc>
              <w:tc>
                <w:tcPr>
                  <w:tcW w:w="737" w:type="pct"/>
                  <w:shd w:val="clear" w:color="auto" w:fill="auto"/>
                  <w:noWrap w:val="0"/>
                  <w:vAlign w:val="center"/>
                </w:tcPr>
                <w:p w14:paraId="1699B263">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废油桶</w:t>
                  </w:r>
                </w:p>
              </w:tc>
              <w:tc>
                <w:tcPr>
                  <w:tcW w:w="769" w:type="pct"/>
                  <w:shd w:val="clear" w:color="auto" w:fill="auto"/>
                  <w:noWrap w:val="0"/>
                  <w:vAlign w:val="center"/>
                </w:tcPr>
                <w:p w14:paraId="3E83027F">
                  <w:pPr>
                    <w:keepNext w:val="0"/>
                    <w:keepLines w:val="0"/>
                    <w:widowControl/>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原料拆包</w:t>
                  </w:r>
                </w:p>
              </w:tc>
              <w:tc>
                <w:tcPr>
                  <w:tcW w:w="522" w:type="pct"/>
                  <w:noWrap w:val="0"/>
                  <w:vAlign w:val="center"/>
                </w:tcPr>
                <w:p w14:paraId="3C3E83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危险废物</w:t>
                  </w:r>
                </w:p>
              </w:tc>
              <w:tc>
                <w:tcPr>
                  <w:tcW w:w="590" w:type="pct"/>
                  <w:noWrap w:val="0"/>
                  <w:vAlign w:val="center"/>
                </w:tcPr>
                <w:p w14:paraId="1E8B39F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HW08</w:t>
                  </w:r>
                </w:p>
                <w:p w14:paraId="552266E6">
                  <w:pPr>
                    <w:keepNext w:val="0"/>
                    <w:keepLines w:val="0"/>
                    <w:suppressLineNumbers w:val="0"/>
                    <w:adjustRightInd w:val="0"/>
                    <w:snapToGrid w:val="0"/>
                    <w:spacing w:before="0" w:beforeAutospacing="0" w:after="0" w:afterAutospacing="0"/>
                    <w:ind w:left="0" w:right="0"/>
                    <w:jc w:val="center"/>
                    <w:rPr>
                      <w:rFonts w:hint="default"/>
                      <w:color w:val="auto"/>
                      <w:lang w:val="en-US" w:eastAsia="zh-CN"/>
                    </w:rPr>
                  </w:pPr>
                  <w:r>
                    <w:rPr>
                      <w:rFonts w:hint="eastAsia" w:ascii="Times New Roman" w:hAnsi="Times New Roman" w:eastAsia="宋体" w:cs="Times New Roman"/>
                      <w:color w:val="auto"/>
                      <w:szCs w:val="21"/>
                      <w:highlight w:val="none"/>
                      <w:lang w:val="en-US" w:eastAsia="zh-CN" w:bidi="ar"/>
                    </w:rPr>
                    <w:t>900-249-08</w:t>
                  </w:r>
                </w:p>
              </w:tc>
              <w:tc>
                <w:tcPr>
                  <w:tcW w:w="550" w:type="pct"/>
                  <w:noWrap w:val="0"/>
                  <w:vAlign w:val="center"/>
                </w:tcPr>
                <w:p w14:paraId="3FD0A40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0.2</w:t>
                  </w:r>
                </w:p>
              </w:tc>
              <w:tc>
                <w:tcPr>
                  <w:tcW w:w="1050" w:type="pct"/>
                  <w:noWrap w:val="0"/>
                  <w:vAlign w:val="center"/>
                </w:tcPr>
                <w:p w14:paraId="41B42342">
                  <w:pPr>
                    <w:pStyle w:val="13"/>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委托有资质单位集中处置</w:t>
                  </w:r>
                </w:p>
              </w:tc>
              <w:tc>
                <w:tcPr>
                  <w:tcW w:w="525" w:type="pct"/>
                  <w:shd w:val="clear" w:color="auto" w:fill="auto"/>
                  <w:noWrap w:val="0"/>
                  <w:vAlign w:val="center"/>
                </w:tcPr>
                <w:p w14:paraId="6BBEE7D3">
                  <w:pPr>
                    <w:pStyle w:val="1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有资质单位</w:t>
                  </w:r>
                </w:p>
              </w:tc>
            </w:tr>
            <w:tr w14:paraId="59A8C1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53" w:type="pct"/>
                  <w:noWrap w:val="0"/>
                  <w:vAlign w:val="center"/>
                </w:tcPr>
                <w:p w14:paraId="20428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15</w:t>
                  </w:r>
                </w:p>
              </w:tc>
              <w:tc>
                <w:tcPr>
                  <w:tcW w:w="737" w:type="pct"/>
                  <w:noWrap w:val="0"/>
                  <w:vAlign w:val="center"/>
                </w:tcPr>
                <w:p w14:paraId="22C41C8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生活垃圾</w:t>
                  </w:r>
                </w:p>
              </w:tc>
              <w:tc>
                <w:tcPr>
                  <w:tcW w:w="769" w:type="pct"/>
                  <w:noWrap w:val="0"/>
                  <w:vAlign w:val="center"/>
                </w:tcPr>
                <w:p w14:paraId="71777ED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rPr>
                    <w:t>员工生活</w:t>
                  </w:r>
                </w:p>
              </w:tc>
              <w:tc>
                <w:tcPr>
                  <w:tcW w:w="522" w:type="pct"/>
                  <w:noWrap w:val="0"/>
                  <w:vAlign w:val="center"/>
                </w:tcPr>
                <w:p w14:paraId="6EF739F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rPr>
                    <w:t>/</w:t>
                  </w:r>
                </w:p>
              </w:tc>
              <w:tc>
                <w:tcPr>
                  <w:tcW w:w="590" w:type="pct"/>
                  <w:noWrap w:val="0"/>
                  <w:vAlign w:val="center"/>
                </w:tcPr>
                <w:p w14:paraId="544FCD91">
                  <w:pPr>
                    <w:keepNext w:val="0"/>
                    <w:keepLines w:val="0"/>
                    <w:suppressLineNumbers w:val="0"/>
                    <w:spacing w:before="0" w:beforeAutospacing="0" w:after="0" w:afterAutospacing="0"/>
                    <w:ind w:left="0" w:right="0"/>
                    <w:jc w:val="center"/>
                    <w:rPr>
                      <w:rFonts w:hint="eastAsia" w:cs="Times New Roman"/>
                      <w:color w:val="auto"/>
                      <w:szCs w:val="21"/>
                      <w:lang w:val="en-US" w:eastAsia="zh-CN" w:bidi="ar"/>
                    </w:rPr>
                  </w:pPr>
                </w:p>
              </w:tc>
              <w:tc>
                <w:tcPr>
                  <w:tcW w:w="550" w:type="pct"/>
                  <w:noWrap w:val="0"/>
                  <w:vAlign w:val="center"/>
                </w:tcPr>
                <w:p w14:paraId="71CACE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12</w:t>
                  </w:r>
                </w:p>
              </w:tc>
              <w:tc>
                <w:tcPr>
                  <w:tcW w:w="1050" w:type="pct"/>
                  <w:noWrap w:val="0"/>
                  <w:vAlign w:val="center"/>
                </w:tcPr>
                <w:p w14:paraId="30BB4DC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环卫部门处理</w:t>
                  </w:r>
                </w:p>
              </w:tc>
              <w:tc>
                <w:tcPr>
                  <w:tcW w:w="525" w:type="pct"/>
                  <w:noWrap w:val="0"/>
                  <w:vAlign w:val="center"/>
                </w:tcPr>
                <w:p w14:paraId="6AA77CD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环卫部门</w:t>
                  </w:r>
                </w:p>
              </w:tc>
            </w:tr>
          </w:tbl>
          <w:p w14:paraId="7E1CFE1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firstLineChars="200"/>
              <w:textAlignment w:val="auto"/>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备注：</w:t>
            </w:r>
            <w:r>
              <w:rPr>
                <w:rFonts w:hint="eastAsia" w:ascii="Times New Roman" w:hAnsi="Times New Roman" w:cs="Times New Roman"/>
                <w:b/>
                <w:bCs/>
                <w:color w:val="auto"/>
                <w:sz w:val="21"/>
                <w:szCs w:val="21"/>
                <w:lang w:val="en-US" w:eastAsia="zh-CN"/>
              </w:rPr>
              <w:t>精加工过程中产生</w:t>
            </w:r>
            <w:r>
              <w:rPr>
                <w:rFonts w:hint="eastAsia" w:cs="Times New Roman"/>
                <w:b/>
                <w:bCs/>
                <w:color w:val="auto"/>
                <w:sz w:val="21"/>
                <w:szCs w:val="21"/>
                <w:lang w:val="en-US" w:eastAsia="zh-CN"/>
              </w:rPr>
              <w:t>的废边角料</w:t>
            </w:r>
            <w:r>
              <w:rPr>
                <w:rFonts w:hint="eastAsia" w:ascii="Times New Roman" w:hAnsi="Times New Roman" w:cs="Times New Roman"/>
                <w:b/>
                <w:bCs/>
                <w:color w:val="auto"/>
                <w:sz w:val="21"/>
                <w:szCs w:val="21"/>
                <w:lang w:val="en-US" w:eastAsia="zh-CN"/>
              </w:rPr>
              <w:t>，在密闭空间设置防漏托盘进行沥干，沥干后收集外售，沥干液即废切削液作危废委托有资质单位处置。</w:t>
            </w:r>
          </w:p>
          <w:p w14:paraId="2E7443FC">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存在问题：</w:t>
            </w:r>
          </w:p>
          <w:p w14:paraId="5A1273F7">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①</w:t>
            </w:r>
            <w:r>
              <w:rPr>
                <w:rFonts w:hint="eastAsia" w:cs="Times New Roman"/>
                <w:b w:val="0"/>
                <w:bCs w:val="0"/>
                <w:color w:val="auto"/>
                <w:sz w:val="24"/>
                <w:szCs w:val="24"/>
                <w:lang w:val="en-US" w:eastAsia="zh-CN"/>
              </w:rPr>
              <w:t>原有已建项目未考虑布袋除尘器运行过程中会产生少量破损布袋。经与建设单位核实，废布袋产生量约1.5t/a，经收集后外售综合利用。</w:t>
            </w:r>
          </w:p>
          <w:p w14:paraId="51627F90">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原有已建项目未考虑中频炉、精炼炉在日常修理过程中产生废耐火材料（耐火砖），经与建设单位核实，废耐火材料产生量约200t/a，经收集后由厂家回收。</w:t>
            </w:r>
          </w:p>
          <w:p w14:paraId="30492424">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原有</w:t>
            </w:r>
            <w:r>
              <w:rPr>
                <w:rFonts w:hint="eastAsia" w:cs="Times New Roman"/>
                <w:b w:val="0"/>
                <w:bCs w:val="0"/>
                <w:color w:val="auto"/>
                <w:sz w:val="24"/>
                <w:szCs w:val="24"/>
                <w:lang w:val="en-US" w:eastAsia="zh-CN"/>
              </w:rPr>
              <w:t>在建项目</w:t>
            </w:r>
            <w:r>
              <w:rPr>
                <w:rFonts w:hint="eastAsia" w:ascii="Times New Roman" w:hAnsi="Times New Roman" w:eastAsia="宋体" w:cs="Times New Roman"/>
                <w:b w:val="0"/>
                <w:bCs w:val="0"/>
                <w:color w:val="auto"/>
                <w:sz w:val="24"/>
                <w:szCs w:val="24"/>
                <w:lang w:val="en-US" w:eastAsia="zh-CN"/>
              </w:rPr>
              <w:t>未考虑机加工设备运行维护过程中产生的少量</w:t>
            </w:r>
            <w:r>
              <w:rPr>
                <w:rFonts w:hint="eastAsia" w:cs="Times New Roman"/>
                <w:b w:val="0"/>
                <w:bCs w:val="0"/>
                <w:color w:val="auto"/>
                <w:sz w:val="24"/>
                <w:szCs w:val="24"/>
                <w:lang w:val="en-US" w:eastAsia="zh-CN"/>
              </w:rPr>
              <w:t>废润滑油；切削液使用过程中会产生废包装桶（废切削液桶）</w:t>
            </w:r>
            <w:r>
              <w:rPr>
                <w:rFonts w:hint="eastAsia" w:ascii="Times New Roman" w:hAnsi="Times New Roman" w:eastAsia="宋体" w:cs="Times New Roman"/>
                <w:b w:val="0"/>
                <w:bCs w:val="0"/>
                <w:color w:val="auto"/>
                <w:sz w:val="24"/>
                <w:szCs w:val="24"/>
                <w:lang w:val="en-US" w:eastAsia="zh-CN"/>
              </w:rPr>
              <w:t>。经与建设单位核实，</w:t>
            </w:r>
            <w:r>
              <w:rPr>
                <w:rFonts w:hint="eastAsia" w:cs="Times New Roman"/>
                <w:b w:val="0"/>
                <w:bCs w:val="0"/>
                <w:color w:val="auto"/>
                <w:sz w:val="24"/>
                <w:szCs w:val="24"/>
                <w:lang w:val="en-US" w:eastAsia="zh-CN"/>
              </w:rPr>
              <w:t>在建项目建成后</w:t>
            </w:r>
            <w:r>
              <w:rPr>
                <w:rFonts w:hint="eastAsia" w:ascii="Times New Roman" w:hAnsi="Times New Roman" w:eastAsia="宋体" w:cs="Times New Roman"/>
                <w:b w:val="0"/>
                <w:bCs w:val="0"/>
                <w:color w:val="auto"/>
                <w:sz w:val="24"/>
                <w:szCs w:val="24"/>
                <w:lang w:val="en-US" w:eastAsia="zh-CN"/>
              </w:rPr>
              <w:t>废</w:t>
            </w:r>
            <w:r>
              <w:rPr>
                <w:rFonts w:hint="eastAsia" w:cs="Times New Roman"/>
                <w:b w:val="0"/>
                <w:bCs w:val="0"/>
                <w:color w:val="auto"/>
                <w:sz w:val="24"/>
                <w:szCs w:val="24"/>
                <w:lang w:val="en-US" w:eastAsia="zh-CN"/>
              </w:rPr>
              <w:t>润滑</w:t>
            </w:r>
            <w:r>
              <w:rPr>
                <w:rFonts w:hint="eastAsia" w:ascii="Times New Roman" w:hAnsi="Times New Roman" w:eastAsia="宋体" w:cs="Times New Roman"/>
                <w:b w:val="0"/>
                <w:bCs w:val="0"/>
                <w:color w:val="auto"/>
                <w:sz w:val="24"/>
                <w:szCs w:val="24"/>
                <w:lang w:val="en-US" w:eastAsia="zh-CN"/>
              </w:rPr>
              <w:t>油产生量约0.</w:t>
            </w:r>
            <w:r>
              <w:rPr>
                <w:rFonts w:hint="eastAsia" w:cs="Times New Roman"/>
                <w:b w:val="0"/>
                <w:bCs w:val="0"/>
                <w:color w:val="auto"/>
                <w:sz w:val="24"/>
                <w:szCs w:val="24"/>
                <w:lang w:val="en-US" w:eastAsia="zh-CN"/>
              </w:rPr>
              <w:t>3</w:t>
            </w:r>
            <w:r>
              <w:rPr>
                <w:rFonts w:hint="eastAsia" w:ascii="Times New Roman" w:hAnsi="Times New Roman" w:eastAsia="宋体" w:cs="Times New Roman"/>
                <w:b w:val="0"/>
                <w:bCs w:val="0"/>
                <w:color w:val="auto"/>
                <w:sz w:val="24"/>
                <w:szCs w:val="24"/>
                <w:lang w:val="en-US" w:eastAsia="zh-CN"/>
              </w:rPr>
              <w:t>t/a，经收集后</w:t>
            </w:r>
            <w:r>
              <w:rPr>
                <w:rFonts w:hint="eastAsia" w:cs="Times New Roman"/>
                <w:b w:val="0"/>
                <w:bCs w:val="0"/>
                <w:color w:val="auto"/>
                <w:sz w:val="24"/>
                <w:szCs w:val="24"/>
                <w:lang w:val="en-US" w:eastAsia="zh-CN"/>
              </w:rPr>
              <w:t>委托有资质单位集中处理；废包装桶产生量约0.15t/a，经收集后委托有资质单位集中处理</w:t>
            </w:r>
            <w:r>
              <w:rPr>
                <w:rFonts w:hint="eastAsia" w:ascii="Times New Roman" w:hAnsi="Times New Roman" w:eastAsia="宋体" w:cs="Times New Roman"/>
                <w:b w:val="0"/>
                <w:bCs w:val="0"/>
                <w:color w:val="auto"/>
                <w:sz w:val="24"/>
                <w:szCs w:val="24"/>
                <w:lang w:val="en-US" w:eastAsia="zh-CN"/>
              </w:rPr>
              <w:t>。</w:t>
            </w:r>
          </w:p>
          <w:p w14:paraId="551C1BFE">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②原有项目未明确一般固废代码，本次根据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固体废物分类与代码名录</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（生态环境部办公厅2024年1月22日印发）确定一般固废代码。</w:t>
            </w:r>
          </w:p>
          <w:p w14:paraId="38BF2031">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其他环境管理要求</w:t>
            </w:r>
          </w:p>
          <w:p w14:paraId="4CE84346">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排污口规范化设置情况</w:t>
            </w:r>
          </w:p>
          <w:p w14:paraId="4EB4B2A1">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公司已实行雨污分流，雨水排放口、污水</w:t>
            </w:r>
            <w:r>
              <w:rPr>
                <w:rFonts w:hint="eastAsia" w:cs="Times New Roman"/>
                <w:color w:val="auto"/>
                <w:sz w:val="24"/>
                <w:szCs w:val="24"/>
                <w:lang w:val="en-US" w:eastAsia="zh-CN"/>
              </w:rPr>
              <w:t>收集口</w:t>
            </w:r>
            <w:r>
              <w:rPr>
                <w:rFonts w:hint="eastAsia" w:ascii="Times New Roman" w:hAnsi="Times New Roman" w:eastAsia="宋体" w:cs="Times New Roman"/>
                <w:color w:val="auto"/>
                <w:sz w:val="24"/>
                <w:szCs w:val="24"/>
                <w:lang w:eastAsia="zh-CN"/>
              </w:rPr>
              <w:t>均设置了标志牌，标明了其名称、编号、污染物种类。</w:t>
            </w:r>
          </w:p>
          <w:p w14:paraId="3A548A53">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废气处理设施排气筒高度为</w:t>
            </w:r>
            <w:r>
              <w:rPr>
                <w:rFonts w:hint="eastAsia" w:cs="Times New Roman"/>
                <w:color w:val="auto"/>
                <w:sz w:val="24"/>
                <w:szCs w:val="24"/>
                <w:lang w:val="en-US" w:eastAsia="zh-CN"/>
              </w:rPr>
              <w:t>21</w:t>
            </w:r>
            <w:r>
              <w:rPr>
                <w:rFonts w:hint="eastAsia" w:ascii="Times New Roman" w:hAnsi="Times New Roman" w:eastAsia="宋体" w:cs="Times New Roman"/>
                <w:color w:val="auto"/>
                <w:sz w:val="24"/>
                <w:szCs w:val="24"/>
                <w:lang w:val="en-US" w:eastAsia="zh-CN"/>
              </w:rPr>
              <w:t>m，设置了便于采样、监测的采样口。采样口的设置符合《污染源监测技术规范》要求。废气排放口设置了标志牌，并标明了其名称、编号、污染物种类。</w:t>
            </w:r>
          </w:p>
          <w:p w14:paraId="7738D69C">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color w:val="auto"/>
                <w:sz w:val="24"/>
                <w:szCs w:val="24"/>
              </w:rPr>
            </w:pPr>
            <w:r>
              <w:rPr>
                <w:rFonts w:hint="eastAsia"/>
                <w:color w:val="auto"/>
                <w:sz w:val="24"/>
                <w:szCs w:val="24"/>
              </w:rPr>
              <w:t>项目</w:t>
            </w:r>
            <w:r>
              <w:rPr>
                <w:rFonts w:hint="eastAsia"/>
                <w:color w:val="auto"/>
                <w:sz w:val="24"/>
                <w:szCs w:val="24"/>
                <w:lang w:val="en-US" w:eastAsia="zh-CN"/>
              </w:rPr>
              <w:t>已设置了1个一般固废仓库。</w:t>
            </w:r>
            <w:r>
              <w:rPr>
                <w:rFonts w:hint="eastAsia"/>
                <w:color w:val="auto"/>
                <w:sz w:val="24"/>
                <w:szCs w:val="24"/>
              </w:rPr>
              <w:t>一般工业固废暂存场所的设置按照《一般工业固体废物贮存和填埋污染控制标准》</w:t>
            </w:r>
            <w:r>
              <w:rPr>
                <w:rFonts w:hint="eastAsia"/>
                <w:color w:val="auto"/>
                <w:sz w:val="24"/>
                <w:szCs w:val="24"/>
                <w:lang w:eastAsia="zh-CN"/>
              </w:rPr>
              <w:t>（</w:t>
            </w:r>
            <w:r>
              <w:rPr>
                <w:rFonts w:hint="eastAsia"/>
                <w:color w:val="auto"/>
                <w:sz w:val="24"/>
                <w:szCs w:val="24"/>
              </w:rPr>
              <w:t>GB18599-2020）要求进行建设；同时，固体废弃物暂存场地考虑防风、防雨、防渗、防腐等措施。</w:t>
            </w:r>
            <w:r>
              <w:rPr>
                <w:rFonts w:hint="eastAsia"/>
                <w:color w:val="auto"/>
                <w:sz w:val="24"/>
                <w:szCs w:val="24"/>
                <w:lang w:val="en-US" w:eastAsia="zh-CN"/>
              </w:rPr>
              <w:t>在建的1个危废仓库，</w:t>
            </w:r>
            <w:r>
              <w:rPr>
                <w:rFonts w:hint="eastAsia"/>
                <w:color w:val="auto"/>
                <w:sz w:val="24"/>
                <w:szCs w:val="24"/>
              </w:rPr>
              <w:t>危险废物暂存场地的设置按照《危险废物贮存污染控制标准》</w:t>
            </w:r>
            <w:r>
              <w:rPr>
                <w:rFonts w:hint="eastAsia"/>
                <w:color w:val="auto"/>
                <w:sz w:val="24"/>
                <w:szCs w:val="24"/>
                <w:lang w:eastAsia="zh-CN"/>
              </w:rPr>
              <w:t>（</w:t>
            </w:r>
            <w:r>
              <w:rPr>
                <w:rFonts w:hint="eastAsia"/>
                <w:color w:val="auto"/>
                <w:sz w:val="24"/>
                <w:szCs w:val="24"/>
              </w:rPr>
              <w:t>GB18597-2001）要求进行设置</w:t>
            </w:r>
            <w:r>
              <w:rPr>
                <w:rFonts w:hint="eastAsia"/>
                <w:color w:val="auto"/>
                <w:sz w:val="24"/>
                <w:szCs w:val="24"/>
                <w:lang w:eastAsia="zh-CN"/>
              </w:rPr>
              <w:t>。</w:t>
            </w:r>
            <w:r>
              <w:rPr>
                <w:rFonts w:hint="eastAsia"/>
                <w:color w:val="auto"/>
                <w:sz w:val="24"/>
                <w:szCs w:val="24"/>
              </w:rPr>
              <w:t>危险废物仓库大门上锁，门上设有观察口，内外设置视频监控，仓库内地面墙面做好防腐防渗措施，四周有应急沟和收集槽，可有效</w:t>
            </w:r>
            <w:r>
              <w:rPr>
                <w:rFonts w:hint="eastAsia"/>
                <w:color w:val="auto"/>
                <w:sz w:val="24"/>
                <w:szCs w:val="24"/>
                <w:lang w:eastAsia="zh-CN"/>
              </w:rPr>
              <w:t>地</w:t>
            </w:r>
            <w:r>
              <w:rPr>
                <w:rFonts w:hint="eastAsia"/>
                <w:color w:val="auto"/>
                <w:sz w:val="24"/>
                <w:szCs w:val="24"/>
              </w:rPr>
              <w:t>防止液态危废泄露至外环境。仓库内设置防爆灯和应急物资，可针对突发性</w:t>
            </w:r>
            <w:r>
              <w:rPr>
                <w:rFonts w:hint="eastAsia"/>
                <w:color w:val="auto"/>
                <w:sz w:val="24"/>
                <w:szCs w:val="24"/>
                <w:lang w:eastAsia="zh-CN"/>
              </w:rPr>
              <w:t>泄漏事故</w:t>
            </w:r>
            <w:r>
              <w:rPr>
                <w:rFonts w:hint="eastAsia"/>
                <w:color w:val="auto"/>
                <w:sz w:val="24"/>
                <w:szCs w:val="24"/>
              </w:rPr>
              <w:t>进行收集处置。仓库内各类危险废物分类分区存放，并贴有小标签。</w:t>
            </w:r>
          </w:p>
          <w:p w14:paraId="258684C6">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2</w:t>
            </w:r>
            <w:r>
              <w:rPr>
                <w:rFonts w:hint="eastAsia" w:ascii="Times New Roman" w:hAnsi="Times New Roman" w:cs="Times New Roman"/>
                <w:b w:val="0"/>
                <w:bCs w:val="0"/>
                <w:color w:val="auto"/>
                <w:sz w:val="24"/>
                <w:szCs w:val="24"/>
                <w:lang w:eastAsia="zh-CN"/>
              </w:rPr>
              <w:t>）</w:t>
            </w:r>
            <w:r>
              <w:rPr>
                <w:rFonts w:hint="eastAsia" w:ascii="Times New Roman" w:hAnsi="Times New Roman" w:cs="Times New Roman"/>
                <w:b w:val="0"/>
                <w:bCs w:val="0"/>
                <w:color w:val="auto"/>
                <w:sz w:val="24"/>
                <w:szCs w:val="24"/>
                <w:lang w:val="en-US" w:eastAsia="zh-CN"/>
              </w:rPr>
              <w:t>环境风险防范措施</w:t>
            </w:r>
          </w:p>
          <w:p w14:paraId="37FA501A">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厂内已设置的环境风险措施如下：</w:t>
            </w:r>
          </w:p>
          <w:p w14:paraId="0F70DDE2">
            <w:pPr>
              <w:pStyle w:val="90"/>
              <w:keepNext w:val="0"/>
              <w:keepLines w:val="0"/>
              <w:pageBreakBefore w:val="0"/>
              <w:widowControl w:val="0"/>
              <w:suppressLineNumbers w:val="0"/>
              <w:kinsoku/>
              <w:wordWrap/>
              <w:overflowPunct/>
              <w:topLinePunct w:val="0"/>
              <w:bidi w:val="0"/>
              <w:adjustRightInd/>
              <w:spacing w:before="0" w:beforeAutospacing="0" w:after="0" w:afterAutospacing="0" w:line="480" w:lineRule="exact"/>
              <w:ind w:left="0" w:right="0" w:firstLine="480" w:firstLineChars="200"/>
              <w:jc w:val="both"/>
              <w:textAlignment w:val="auto"/>
              <w:rPr>
                <w:rFonts w:hint="eastAsia"/>
                <w:color w:val="auto"/>
                <w:sz w:val="24"/>
                <w:szCs w:val="24"/>
              </w:rPr>
            </w:pPr>
            <w:r>
              <w:rPr>
                <w:rFonts w:hint="eastAsia"/>
                <w:color w:val="auto"/>
                <w:sz w:val="24"/>
                <w:szCs w:val="24"/>
              </w:rPr>
              <w:t>①生产区设有灭火器、消防砂、消防栓等应急物资</w:t>
            </w:r>
            <w:r>
              <w:rPr>
                <w:rFonts w:hint="default" w:ascii="Times New Roman" w:hAnsi="Times New Roman" w:eastAsia="宋体" w:cs="Times New Roman"/>
                <w:color w:val="auto"/>
                <w:sz w:val="24"/>
                <w:szCs w:val="24"/>
                <w:lang w:eastAsia="zh-CN"/>
              </w:rPr>
              <w:t>。</w:t>
            </w:r>
          </w:p>
          <w:p w14:paraId="005004EF">
            <w:pPr>
              <w:pStyle w:val="90"/>
              <w:keepNext w:val="0"/>
              <w:keepLines w:val="0"/>
              <w:pageBreakBefore w:val="0"/>
              <w:widowControl w:val="0"/>
              <w:suppressLineNumbers w:val="0"/>
              <w:kinsoku/>
              <w:wordWrap/>
              <w:overflowPunct/>
              <w:topLinePunct w:val="0"/>
              <w:bidi w:val="0"/>
              <w:adjustRightInd/>
              <w:spacing w:before="0" w:beforeAutospacing="0" w:after="0" w:afterAutospacing="0" w:line="480" w:lineRule="exact"/>
              <w:ind w:left="0" w:right="0" w:firstLine="480" w:firstLineChars="200"/>
              <w:jc w:val="both"/>
              <w:textAlignment w:val="auto"/>
              <w:rPr>
                <w:rFonts w:hint="eastAsia"/>
                <w:color w:val="auto"/>
                <w:sz w:val="24"/>
                <w:szCs w:val="24"/>
              </w:rPr>
            </w:pPr>
            <w:r>
              <w:rPr>
                <w:rFonts w:hint="eastAsia"/>
                <w:color w:val="auto"/>
                <w:sz w:val="24"/>
                <w:szCs w:val="24"/>
              </w:rPr>
              <w:t>②厂区内实行“雨污分流”，并已规范化建设</w:t>
            </w:r>
            <w:r>
              <w:rPr>
                <w:rFonts w:hint="eastAsia"/>
                <w:color w:val="auto"/>
                <w:sz w:val="24"/>
                <w:szCs w:val="24"/>
                <w:lang w:eastAsia="zh-CN"/>
              </w:rPr>
              <w:t>了</w:t>
            </w:r>
            <w:r>
              <w:rPr>
                <w:rFonts w:hint="eastAsia"/>
                <w:color w:val="auto"/>
                <w:sz w:val="24"/>
                <w:szCs w:val="24"/>
              </w:rPr>
              <w:t>污水排放口、雨水排放口</w:t>
            </w:r>
            <w:r>
              <w:rPr>
                <w:rFonts w:hint="eastAsia"/>
                <w:color w:val="auto"/>
                <w:sz w:val="24"/>
                <w:szCs w:val="24"/>
                <w:lang w:eastAsia="zh-CN"/>
              </w:rPr>
              <w:t>；</w:t>
            </w:r>
            <w:r>
              <w:rPr>
                <w:rFonts w:hint="eastAsia"/>
                <w:color w:val="auto"/>
                <w:sz w:val="24"/>
                <w:szCs w:val="24"/>
              </w:rPr>
              <w:t>事故状态下可以利用厂区雨水沟暂时收集事故废水并配有切换阀门，污水排放口</w:t>
            </w:r>
            <w:r>
              <w:rPr>
                <w:rFonts w:hint="eastAsia"/>
                <w:color w:val="auto"/>
                <w:sz w:val="24"/>
                <w:szCs w:val="24"/>
                <w:lang w:eastAsia="zh-CN"/>
              </w:rPr>
              <w:t>、</w:t>
            </w:r>
            <w:r>
              <w:rPr>
                <w:rFonts w:hint="eastAsia"/>
                <w:color w:val="auto"/>
                <w:sz w:val="24"/>
                <w:szCs w:val="24"/>
              </w:rPr>
              <w:t>雨水排放口安装了截流阀，并预设专人负责污水、雨水排放口及阀门的检查、维护。</w:t>
            </w:r>
          </w:p>
          <w:p w14:paraId="238690C1">
            <w:pPr>
              <w:pStyle w:val="90"/>
              <w:keepNext w:val="0"/>
              <w:keepLines w:val="0"/>
              <w:pageBreakBefore w:val="0"/>
              <w:widowControl w:val="0"/>
              <w:suppressLineNumbers w:val="0"/>
              <w:kinsoku/>
              <w:wordWrap/>
              <w:overflowPunct/>
              <w:topLinePunct w:val="0"/>
              <w:bidi w:val="0"/>
              <w:adjustRightInd/>
              <w:spacing w:before="0" w:beforeAutospacing="0" w:after="0" w:afterAutospacing="0" w:line="480" w:lineRule="exact"/>
              <w:ind w:left="0" w:right="0" w:firstLine="482" w:firstLineChars="200"/>
              <w:jc w:val="both"/>
              <w:textAlignment w:val="auto"/>
              <w:rPr>
                <w:rFonts w:hint="eastAsia"/>
                <w:b/>
                <w:bCs/>
                <w:color w:val="auto"/>
                <w:sz w:val="24"/>
                <w:szCs w:val="24"/>
                <w:lang w:val="en-US" w:eastAsia="zh-CN"/>
              </w:rPr>
            </w:pPr>
            <w:r>
              <w:rPr>
                <w:rFonts w:hint="eastAsia"/>
                <w:b/>
                <w:bCs/>
                <w:color w:val="auto"/>
                <w:sz w:val="24"/>
                <w:szCs w:val="24"/>
                <w:lang w:val="en-US" w:eastAsia="zh-CN"/>
              </w:rPr>
              <w:t>存在问题：</w:t>
            </w:r>
          </w:p>
          <w:p w14:paraId="1C276CEC">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企业</w:t>
            </w:r>
            <w:r>
              <w:rPr>
                <w:rFonts w:hint="eastAsia" w:cs="Times New Roman"/>
                <w:b w:val="0"/>
                <w:bCs w:val="0"/>
                <w:color w:val="auto"/>
                <w:sz w:val="24"/>
                <w:szCs w:val="24"/>
                <w:lang w:val="en-US" w:eastAsia="zh-CN"/>
              </w:rPr>
              <w:t>未编制</w:t>
            </w:r>
            <w:r>
              <w:rPr>
                <w:rFonts w:hint="default" w:ascii="Times New Roman" w:hAnsi="Times New Roman" w:cs="Times New Roman"/>
                <w:color w:val="auto"/>
                <w:sz w:val="24"/>
              </w:rPr>
              <w:t>突发环境事件应急预案和突发环境事件风险评估</w:t>
            </w:r>
            <w:r>
              <w:rPr>
                <w:rFonts w:hint="eastAsia" w:ascii="Times New Roman" w:hAnsi="Times New Roman" w:cs="Times New Roman"/>
                <w:b w:val="0"/>
                <w:bCs w:val="0"/>
                <w:color w:val="auto"/>
                <w:sz w:val="24"/>
                <w:szCs w:val="24"/>
                <w:lang w:val="en-US" w:eastAsia="zh-CN"/>
              </w:rPr>
              <w:t>。</w:t>
            </w:r>
          </w:p>
          <w:p w14:paraId="4751F9B6">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default"/>
                <w:color w:val="auto"/>
                <w:sz w:val="24"/>
                <w:szCs w:val="24"/>
                <w:lang w:val="en-US" w:eastAsia="zh-CN"/>
              </w:rPr>
            </w:pPr>
            <w:r>
              <w:rPr>
                <w:rFonts w:hint="eastAsia" w:ascii="Times New Roman" w:hAnsi="Times New Roman" w:cs="Times New Roman"/>
                <w:b w:val="0"/>
                <w:bCs w:val="0"/>
                <w:color w:val="auto"/>
                <w:sz w:val="24"/>
                <w:szCs w:val="24"/>
                <w:lang w:val="en-US" w:eastAsia="zh-CN"/>
              </w:rPr>
              <w:t>企业应在建设方待本项目建成试生产时，及时</w:t>
            </w:r>
            <w:r>
              <w:rPr>
                <w:rFonts w:hint="eastAsia" w:cs="Times New Roman"/>
                <w:b w:val="0"/>
                <w:bCs w:val="0"/>
                <w:color w:val="auto"/>
                <w:sz w:val="24"/>
                <w:szCs w:val="24"/>
                <w:lang w:val="en-US" w:eastAsia="zh-CN"/>
              </w:rPr>
              <w:t>编制</w:t>
            </w:r>
            <w:r>
              <w:rPr>
                <w:rFonts w:hint="eastAsia" w:ascii="Times New Roman" w:hAnsi="Times New Roman" w:cs="Times New Roman"/>
                <w:b w:val="0"/>
                <w:bCs w:val="0"/>
                <w:color w:val="auto"/>
                <w:sz w:val="24"/>
                <w:szCs w:val="24"/>
                <w:lang w:val="en-US" w:eastAsia="zh-CN"/>
              </w:rPr>
              <w:t>《环境风险评估报告》和《突发环境事故应急预案》，明确项目建成后全厂环境风险等级以及需采取的应急防范措施，报环保部门备案</w:t>
            </w:r>
            <w:r>
              <w:rPr>
                <w:rFonts w:hint="eastAsia" w:cs="Times New Roman"/>
                <w:b w:val="0"/>
                <w:bCs w:val="0"/>
                <w:color w:val="auto"/>
                <w:sz w:val="24"/>
                <w:szCs w:val="24"/>
                <w:lang w:val="en-US" w:eastAsia="zh-CN"/>
              </w:rPr>
              <w:t>。</w:t>
            </w:r>
          </w:p>
          <w:p w14:paraId="04FDFBCD">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2" w:firstLineChars="200"/>
              <w:jc w:val="both"/>
              <w:textAlignment w:val="auto"/>
              <w:rPr>
                <w:rFonts w:hint="eastAsia" w:ascii="Times New Roman" w:hAnsi="Times New Roman" w:cs="Times New Roman"/>
                <w:b w:val="0"/>
                <w:bCs w:val="0"/>
                <w:color w:val="auto"/>
                <w:sz w:val="24"/>
                <w:szCs w:val="24"/>
                <w:lang w:val="en-US" w:eastAsia="zh-CN"/>
              </w:rPr>
            </w:pPr>
            <w:r>
              <w:rPr>
                <w:rFonts w:hint="eastAsia"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、排污许可证执行情况</w:t>
            </w:r>
          </w:p>
          <w:p w14:paraId="785C65A7">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cs="Times New Roman"/>
                <w:color w:val="auto"/>
                <w:sz w:val="24"/>
                <w:szCs w:val="24"/>
                <w:highlight w:val="none"/>
                <w:lang w:eastAsia="zh-CN"/>
              </w:rPr>
              <w:t>常州市昌帆金属科技有限公司</w:t>
            </w:r>
            <w:r>
              <w:rPr>
                <w:rFonts w:hint="eastAsia" w:ascii="Times New Roman" w:hAnsi="Times New Roman" w:cs="Times New Roman"/>
                <w:color w:val="auto"/>
                <w:sz w:val="24"/>
                <w:szCs w:val="24"/>
              </w:rPr>
              <w:t>于</w:t>
            </w:r>
            <w:r>
              <w:rPr>
                <w:rFonts w:hint="eastAsia" w:cs="Times New Roman"/>
                <w:color w:val="auto"/>
                <w:sz w:val="24"/>
                <w:szCs w:val="24"/>
                <w:lang w:eastAsia="zh-CN"/>
              </w:rPr>
              <w:t>2022年9月8日</w:t>
            </w:r>
            <w:r>
              <w:rPr>
                <w:rFonts w:hint="eastAsia" w:ascii="Times New Roman" w:hAnsi="Times New Roman" w:cs="Times New Roman"/>
                <w:color w:val="auto"/>
                <w:sz w:val="24"/>
                <w:szCs w:val="24"/>
                <w:lang w:val="en-US" w:eastAsia="zh-CN"/>
              </w:rPr>
              <w:t>首次</w:t>
            </w:r>
            <w:r>
              <w:rPr>
                <w:rFonts w:hint="eastAsia" w:ascii="Times New Roman" w:hAnsi="Times New Roman" w:cs="Times New Roman"/>
                <w:color w:val="auto"/>
                <w:sz w:val="24"/>
                <w:szCs w:val="24"/>
              </w:rPr>
              <w:t>取得《</w:t>
            </w:r>
            <w:r>
              <w:rPr>
                <w:rFonts w:hint="eastAsia" w:ascii="Times New Roman" w:hAnsi="Times New Roman" w:cs="Times New Roman"/>
                <w:color w:val="auto"/>
                <w:sz w:val="24"/>
                <w:szCs w:val="24"/>
                <w:lang w:val="en-US" w:eastAsia="zh-CN"/>
              </w:rPr>
              <w:t>排污许可证</w:t>
            </w:r>
            <w:r>
              <w:rPr>
                <w:rFonts w:hint="eastAsia" w:ascii="Times New Roman" w:hAnsi="Times New Roman" w:cs="Times New Roman"/>
                <w:color w:val="auto"/>
                <w:sz w:val="24"/>
                <w:szCs w:val="24"/>
              </w:rPr>
              <w:t>》（编号91320413MA1YNBQW2B001</w:t>
            </w:r>
            <w:r>
              <w:rPr>
                <w:rFonts w:hint="eastAsia" w:cs="Times New Roman"/>
                <w:color w:val="auto"/>
                <w:sz w:val="24"/>
                <w:szCs w:val="24"/>
                <w:lang w:val="en-US" w:eastAsia="zh-CN"/>
              </w:rPr>
              <w:t>Q</w:t>
            </w:r>
            <w:r>
              <w:rPr>
                <w:rFonts w:hint="eastAsia" w:ascii="Times New Roman" w:hAnsi="Times New Roman" w:cs="Times New Roman"/>
                <w:color w:val="auto"/>
                <w:sz w:val="24"/>
                <w:szCs w:val="24"/>
              </w:rPr>
              <w:t>），</w:t>
            </w:r>
            <w:r>
              <w:rPr>
                <w:rFonts w:hint="default" w:ascii="Times New Roman" w:hAnsi="Times New Roman" w:cs="Times New Roman"/>
                <w:color w:val="auto"/>
                <w:spacing w:val="10"/>
                <w:sz w:val="24"/>
                <w:szCs w:val="24"/>
                <w:lang w:bidi="ar"/>
              </w:rPr>
              <w:t>有效期限为20</w:t>
            </w:r>
            <w:r>
              <w:rPr>
                <w:rFonts w:hint="eastAsia" w:ascii="Times New Roman" w:hAnsi="Times New Roman" w:cs="Times New Roman"/>
                <w:color w:val="auto"/>
                <w:spacing w:val="10"/>
                <w:sz w:val="24"/>
                <w:szCs w:val="24"/>
                <w:lang w:val="en-US" w:eastAsia="zh-CN" w:bidi="ar"/>
              </w:rPr>
              <w:t>2</w:t>
            </w:r>
            <w:r>
              <w:rPr>
                <w:rFonts w:hint="eastAsia" w:cs="Times New Roman"/>
                <w:color w:val="auto"/>
                <w:spacing w:val="10"/>
                <w:sz w:val="24"/>
                <w:szCs w:val="24"/>
                <w:lang w:val="en-US" w:eastAsia="zh-CN" w:bidi="ar"/>
              </w:rPr>
              <w:t>2</w:t>
            </w:r>
            <w:r>
              <w:rPr>
                <w:rFonts w:hint="default" w:ascii="Times New Roman" w:hAnsi="Times New Roman" w:cs="Times New Roman"/>
                <w:color w:val="auto"/>
                <w:spacing w:val="10"/>
                <w:sz w:val="24"/>
                <w:szCs w:val="24"/>
                <w:lang w:bidi="ar"/>
              </w:rPr>
              <w:t>年</w:t>
            </w:r>
            <w:r>
              <w:rPr>
                <w:rFonts w:hint="eastAsia" w:ascii="Times New Roman" w:hAnsi="Times New Roman" w:cs="Times New Roman"/>
                <w:color w:val="auto"/>
                <w:sz w:val="24"/>
                <w:szCs w:val="24"/>
                <w:lang w:val="en-US" w:eastAsia="zh-CN"/>
              </w:rPr>
              <w:t>9</w:t>
            </w:r>
            <w:r>
              <w:rPr>
                <w:rFonts w:hint="eastAsia" w:ascii="Times New Roman" w:hAnsi="Times New Roman" w:cs="Times New Roman"/>
                <w:color w:val="auto"/>
                <w:sz w:val="24"/>
                <w:szCs w:val="24"/>
              </w:rPr>
              <w:t>月</w:t>
            </w:r>
            <w:r>
              <w:rPr>
                <w:rFonts w:hint="eastAsia" w:cs="Times New Roman"/>
                <w:color w:val="auto"/>
                <w:sz w:val="24"/>
                <w:szCs w:val="24"/>
                <w:lang w:val="en-US" w:eastAsia="zh-CN"/>
              </w:rPr>
              <w:t>8</w:t>
            </w:r>
            <w:r>
              <w:rPr>
                <w:rFonts w:hint="eastAsia" w:ascii="Times New Roman" w:hAnsi="Times New Roman" w:cs="Times New Roman"/>
                <w:color w:val="auto"/>
                <w:sz w:val="24"/>
                <w:szCs w:val="24"/>
              </w:rPr>
              <w:t>日</w:t>
            </w:r>
            <w:r>
              <w:rPr>
                <w:rFonts w:hint="default" w:ascii="Times New Roman" w:hAnsi="Times New Roman" w:cs="Times New Roman"/>
                <w:color w:val="auto"/>
                <w:spacing w:val="10"/>
                <w:sz w:val="24"/>
                <w:szCs w:val="24"/>
                <w:lang w:bidi="ar"/>
              </w:rPr>
              <w:t>至20</w:t>
            </w:r>
            <w:r>
              <w:rPr>
                <w:rFonts w:hint="eastAsia" w:ascii="Times New Roman" w:hAnsi="Times New Roman" w:cs="Times New Roman"/>
                <w:color w:val="auto"/>
                <w:spacing w:val="10"/>
                <w:sz w:val="24"/>
                <w:szCs w:val="24"/>
                <w:lang w:val="en-US" w:eastAsia="zh-CN" w:bidi="ar"/>
              </w:rPr>
              <w:t>27</w:t>
            </w:r>
            <w:r>
              <w:rPr>
                <w:rFonts w:hint="default" w:ascii="Times New Roman" w:hAnsi="Times New Roman" w:cs="Times New Roman"/>
                <w:color w:val="auto"/>
                <w:spacing w:val="10"/>
                <w:sz w:val="24"/>
                <w:szCs w:val="24"/>
                <w:lang w:bidi="ar"/>
              </w:rPr>
              <w:t>年</w:t>
            </w:r>
            <w:r>
              <w:rPr>
                <w:rFonts w:hint="eastAsia" w:ascii="Times New Roman" w:hAnsi="Times New Roman" w:cs="Times New Roman"/>
                <w:color w:val="auto"/>
                <w:spacing w:val="10"/>
                <w:sz w:val="24"/>
                <w:szCs w:val="24"/>
                <w:lang w:val="en-US" w:eastAsia="zh-CN" w:bidi="ar"/>
              </w:rPr>
              <w:t>9</w:t>
            </w:r>
            <w:r>
              <w:rPr>
                <w:rFonts w:hint="default" w:ascii="Times New Roman" w:hAnsi="Times New Roman" w:cs="Times New Roman"/>
                <w:color w:val="auto"/>
                <w:spacing w:val="10"/>
                <w:sz w:val="24"/>
                <w:szCs w:val="24"/>
                <w:lang w:bidi="ar"/>
              </w:rPr>
              <w:t>月</w:t>
            </w:r>
            <w:r>
              <w:rPr>
                <w:rFonts w:hint="eastAsia" w:ascii="Times New Roman" w:hAnsi="Times New Roman" w:cs="Times New Roman"/>
                <w:color w:val="auto"/>
                <w:spacing w:val="10"/>
                <w:sz w:val="24"/>
                <w:szCs w:val="24"/>
                <w:lang w:val="en-US" w:eastAsia="zh-CN" w:bidi="ar"/>
              </w:rPr>
              <w:t>7</w:t>
            </w:r>
            <w:r>
              <w:rPr>
                <w:rFonts w:hint="default" w:ascii="Times New Roman" w:hAnsi="Times New Roman" w:cs="Times New Roman"/>
                <w:color w:val="auto"/>
                <w:spacing w:val="10"/>
                <w:sz w:val="24"/>
                <w:szCs w:val="24"/>
                <w:lang w:bidi="ar"/>
              </w:rPr>
              <w:t>日</w:t>
            </w:r>
            <w:r>
              <w:rPr>
                <w:rFonts w:hint="eastAsia" w:ascii="Times New Roman" w:hAnsi="Times New Roman" w:cs="Times New Roman"/>
                <w:color w:val="auto"/>
                <w:spacing w:val="10"/>
                <w:sz w:val="24"/>
                <w:szCs w:val="24"/>
                <w:lang w:eastAsia="zh-CN" w:bidi="ar"/>
              </w:rPr>
              <w:t>；</w:t>
            </w:r>
            <w:r>
              <w:rPr>
                <w:rFonts w:hint="eastAsia" w:cs="Times New Roman"/>
                <w:color w:val="auto"/>
                <w:sz w:val="24"/>
                <w:szCs w:val="24"/>
                <w:lang w:val="en-US" w:eastAsia="zh-CN"/>
              </w:rPr>
              <w:t>2023年10月20日重新申领了</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排污许可证</w:t>
            </w:r>
            <w:r>
              <w:rPr>
                <w:rFonts w:hint="eastAsia" w:ascii="Times New Roman" w:hAnsi="Times New Roman" w:cs="Times New Roman"/>
                <w:color w:val="auto"/>
                <w:sz w:val="24"/>
                <w:szCs w:val="24"/>
              </w:rPr>
              <w:t>》</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证书编号不变</w:t>
            </w:r>
            <w:r>
              <w:rPr>
                <w:rFonts w:hint="default" w:ascii="Times New Roman" w:hAnsi="Times New Roman" w:cs="Times New Roman"/>
                <w:color w:val="auto"/>
                <w:spacing w:val="10"/>
                <w:sz w:val="24"/>
                <w:szCs w:val="24"/>
                <w:lang w:bidi="ar"/>
              </w:rPr>
              <w:t>，有效期限为20</w:t>
            </w:r>
            <w:r>
              <w:rPr>
                <w:rFonts w:hint="eastAsia" w:ascii="Times New Roman" w:hAnsi="Times New Roman" w:cs="Times New Roman"/>
                <w:color w:val="auto"/>
                <w:spacing w:val="10"/>
                <w:sz w:val="24"/>
                <w:szCs w:val="24"/>
                <w:lang w:val="en-US" w:eastAsia="zh-CN" w:bidi="ar"/>
              </w:rPr>
              <w:t>23</w:t>
            </w:r>
            <w:r>
              <w:rPr>
                <w:rFonts w:hint="default" w:ascii="Times New Roman" w:hAnsi="Times New Roman" w:cs="Times New Roman"/>
                <w:color w:val="auto"/>
                <w:spacing w:val="10"/>
                <w:sz w:val="24"/>
                <w:szCs w:val="24"/>
                <w:lang w:bidi="ar"/>
              </w:rPr>
              <w:t>年</w:t>
            </w:r>
            <w:r>
              <w:rPr>
                <w:rFonts w:hint="eastAsia" w:cs="Times New Roman"/>
                <w:color w:val="auto"/>
                <w:spacing w:val="10"/>
                <w:sz w:val="24"/>
                <w:szCs w:val="24"/>
                <w:lang w:val="en-US" w:eastAsia="zh-CN" w:bidi="ar"/>
              </w:rPr>
              <w:t>10</w:t>
            </w:r>
            <w:r>
              <w:rPr>
                <w:rFonts w:hint="default" w:ascii="Times New Roman" w:hAnsi="Times New Roman" w:cs="Times New Roman"/>
                <w:color w:val="auto"/>
                <w:spacing w:val="10"/>
                <w:sz w:val="24"/>
                <w:szCs w:val="24"/>
                <w:lang w:bidi="ar"/>
              </w:rPr>
              <w:t>月2</w:t>
            </w:r>
            <w:r>
              <w:rPr>
                <w:rFonts w:hint="eastAsia" w:cs="Times New Roman"/>
                <w:color w:val="auto"/>
                <w:spacing w:val="10"/>
                <w:sz w:val="24"/>
                <w:szCs w:val="24"/>
                <w:lang w:val="en-US" w:eastAsia="zh-CN" w:bidi="ar"/>
              </w:rPr>
              <w:t>0</w:t>
            </w:r>
            <w:r>
              <w:rPr>
                <w:rFonts w:hint="default" w:ascii="Times New Roman" w:hAnsi="Times New Roman" w:cs="Times New Roman"/>
                <w:color w:val="auto"/>
                <w:spacing w:val="10"/>
                <w:sz w:val="24"/>
                <w:szCs w:val="24"/>
                <w:lang w:bidi="ar"/>
              </w:rPr>
              <w:t>日至202</w:t>
            </w:r>
            <w:r>
              <w:rPr>
                <w:rFonts w:hint="eastAsia" w:ascii="Times New Roman" w:hAnsi="Times New Roman" w:cs="Times New Roman"/>
                <w:color w:val="auto"/>
                <w:spacing w:val="10"/>
                <w:sz w:val="24"/>
                <w:szCs w:val="24"/>
                <w:lang w:val="en-US" w:eastAsia="zh-CN" w:bidi="ar"/>
              </w:rPr>
              <w:t>8</w:t>
            </w:r>
            <w:r>
              <w:rPr>
                <w:rFonts w:hint="default" w:ascii="Times New Roman" w:hAnsi="Times New Roman" w:cs="Times New Roman"/>
                <w:color w:val="auto"/>
                <w:spacing w:val="10"/>
                <w:sz w:val="24"/>
                <w:szCs w:val="24"/>
                <w:lang w:bidi="ar"/>
              </w:rPr>
              <w:t>年</w:t>
            </w:r>
            <w:r>
              <w:rPr>
                <w:rFonts w:hint="eastAsia" w:cs="Times New Roman"/>
                <w:color w:val="auto"/>
                <w:spacing w:val="10"/>
                <w:sz w:val="24"/>
                <w:szCs w:val="24"/>
                <w:lang w:val="en-US" w:eastAsia="zh-CN" w:bidi="ar"/>
              </w:rPr>
              <w:t>10</w:t>
            </w:r>
            <w:r>
              <w:rPr>
                <w:rFonts w:hint="default" w:ascii="Times New Roman" w:hAnsi="Times New Roman" w:cs="Times New Roman"/>
                <w:color w:val="auto"/>
                <w:spacing w:val="10"/>
                <w:sz w:val="24"/>
                <w:szCs w:val="24"/>
                <w:lang w:bidi="ar"/>
              </w:rPr>
              <w:t>月</w:t>
            </w:r>
            <w:r>
              <w:rPr>
                <w:rFonts w:hint="eastAsia" w:ascii="Times New Roman" w:hAnsi="Times New Roman" w:cs="Times New Roman"/>
                <w:color w:val="auto"/>
                <w:spacing w:val="10"/>
                <w:sz w:val="24"/>
                <w:szCs w:val="24"/>
                <w:lang w:val="en-US" w:eastAsia="zh-CN" w:bidi="ar"/>
              </w:rPr>
              <w:t>1</w:t>
            </w:r>
            <w:r>
              <w:rPr>
                <w:rFonts w:hint="eastAsia" w:cs="Times New Roman"/>
                <w:color w:val="auto"/>
                <w:spacing w:val="10"/>
                <w:sz w:val="24"/>
                <w:szCs w:val="24"/>
                <w:lang w:val="en-US" w:eastAsia="zh-CN" w:bidi="ar"/>
              </w:rPr>
              <w:t>9</w:t>
            </w:r>
            <w:r>
              <w:rPr>
                <w:rFonts w:hint="default" w:ascii="Times New Roman" w:hAnsi="Times New Roman" w:cs="Times New Roman"/>
                <w:color w:val="auto"/>
                <w:spacing w:val="10"/>
                <w:sz w:val="24"/>
                <w:szCs w:val="24"/>
                <w:lang w:bidi="ar"/>
              </w:rPr>
              <w:t>日</w:t>
            </w:r>
            <w:r>
              <w:rPr>
                <w:rFonts w:hint="eastAsia" w:ascii="Times New Roman" w:hAnsi="Times New Roman" w:cs="Times New Roman"/>
                <w:b w:val="0"/>
                <w:bCs w:val="0"/>
                <w:color w:val="auto"/>
                <w:sz w:val="24"/>
                <w:szCs w:val="24"/>
                <w:lang w:val="en-US" w:eastAsia="zh-CN"/>
              </w:rPr>
              <w:t>。</w:t>
            </w:r>
          </w:p>
          <w:p w14:paraId="4B915B9F">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cs="Times New Roman"/>
                <w:b w:val="0"/>
                <w:bCs w:val="0"/>
                <w:color w:val="auto"/>
                <w:sz w:val="24"/>
                <w:szCs w:val="24"/>
                <w:lang w:val="en-US" w:eastAsia="zh-CN"/>
              </w:rPr>
              <w:t>公司按照《排污许可管理条例》《排污许可管理办法（试行）》《排污许可证申请与核发技术规范》等文件要求，进行信息公开，自行监测、台账管理等，符合排污许可证管理要求。</w:t>
            </w:r>
          </w:p>
          <w:p w14:paraId="4B58EDE7">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eastAsia"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原有项目</w:t>
            </w:r>
            <w:r>
              <w:rPr>
                <w:rFonts w:hint="eastAsia" w:ascii="Times New Roman" w:hAnsi="Times New Roman" w:cs="Times New Roman"/>
                <w:b/>
                <w:bCs/>
                <w:color w:val="auto"/>
                <w:sz w:val="24"/>
                <w:szCs w:val="24"/>
              </w:rPr>
              <w:t>污染物</w:t>
            </w:r>
            <w:r>
              <w:rPr>
                <w:rFonts w:hint="eastAsia" w:ascii="Times New Roman" w:hAnsi="Times New Roman" w:cs="Times New Roman"/>
                <w:b/>
                <w:bCs/>
                <w:color w:val="auto"/>
                <w:sz w:val="24"/>
                <w:szCs w:val="24"/>
                <w:lang w:val="en-US" w:eastAsia="zh-CN"/>
              </w:rPr>
              <w:t>排放总量</w:t>
            </w:r>
          </w:p>
          <w:p w14:paraId="30E89D4C">
            <w:pPr>
              <w:pStyle w:val="92"/>
              <w:keepNext w:val="0"/>
              <w:keepLines w:val="0"/>
              <w:suppressLineNumbers w:val="0"/>
              <w:spacing w:before="0" w:beforeAutospacing="0" w:after="0" w:afterAutospacing="0"/>
              <w:ind w:left="0" w:right="0"/>
              <w:rPr>
                <w:rFonts w:hint="default" w:cs="Times New Roman"/>
                <w:color w:val="auto"/>
                <w:sz w:val="24"/>
                <w:szCs w:val="24"/>
              </w:rPr>
            </w:pPr>
            <w:r>
              <w:rPr>
                <w:rFonts w:hint="eastAsia" w:cs="Times New Roman"/>
                <w:color w:val="auto"/>
                <w:sz w:val="24"/>
                <w:szCs w:val="24"/>
              </w:rPr>
              <w:t>表2</w:t>
            </w:r>
            <w:r>
              <w:rPr>
                <w:rFonts w:hint="eastAsia" w:cs="Times New Roman"/>
                <w:color w:val="auto"/>
                <w:sz w:val="24"/>
                <w:szCs w:val="24"/>
                <w:lang w:val="en-US" w:eastAsia="zh-CN"/>
              </w:rPr>
              <w:t>.2</w:t>
            </w:r>
            <w:r>
              <w:rPr>
                <w:rFonts w:hint="eastAsia" w:cs="Times New Roman"/>
                <w:color w:val="auto"/>
                <w:sz w:val="24"/>
                <w:szCs w:val="24"/>
              </w:rPr>
              <w:t>-</w:t>
            </w:r>
            <w:r>
              <w:rPr>
                <w:rFonts w:hint="eastAsia" w:cs="Times New Roman"/>
                <w:color w:val="auto"/>
                <w:sz w:val="24"/>
                <w:szCs w:val="24"/>
                <w:lang w:val="en-US" w:eastAsia="zh-CN"/>
              </w:rPr>
              <w:t>8</w:t>
            </w:r>
            <w:r>
              <w:rPr>
                <w:rFonts w:hint="eastAsia" w:cs="Times New Roman"/>
                <w:color w:val="auto"/>
                <w:sz w:val="24"/>
                <w:szCs w:val="24"/>
              </w:rPr>
              <w:t xml:space="preserve">  </w:t>
            </w:r>
            <w:r>
              <w:rPr>
                <w:rFonts w:hint="eastAsia" w:cs="Times New Roman"/>
                <w:color w:val="auto"/>
                <w:sz w:val="24"/>
                <w:szCs w:val="24"/>
                <w:lang w:val="en-US" w:eastAsia="zh-CN"/>
              </w:rPr>
              <w:t>原有项目污染物排放总量汇总表</w:t>
            </w:r>
            <w:r>
              <w:rPr>
                <w:rFonts w:hint="eastAsia" w:cs="Times New Roman"/>
                <w:color w:val="auto"/>
                <w:sz w:val="24"/>
                <w:szCs w:val="24"/>
              </w:rPr>
              <w:t>（单位：t/a）</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155"/>
              <w:gridCol w:w="2026"/>
              <w:gridCol w:w="2021"/>
              <w:gridCol w:w="2021"/>
            </w:tblGrid>
            <w:tr w14:paraId="4B3BE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noWrap w:val="0"/>
                  <w:vAlign w:val="center"/>
                </w:tcPr>
                <w:p w14:paraId="68755F7E">
                  <w:pPr>
                    <w:pStyle w:val="89"/>
                    <w:keepNext w:val="0"/>
                    <w:keepLines w:val="0"/>
                    <w:suppressLineNumbers w:val="0"/>
                    <w:spacing w:before="0" w:beforeAutospacing="0" w:after="0" w:afterAutospacing="0"/>
                    <w:ind w:left="0" w:right="0"/>
                    <w:rPr>
                      <w:rFonts w:hint="default" w:cs="Times New Roman"/>
                      <w:b/>
                      <w:color w:val="auto"/>
                      <w:sz w:val="21"/>
                      <w:szCs w:val="21"/>
                    </w:rPr>
                  </w:pPr>
                  <w:r>
                    <w:rPr>
                      <w:rFonts w:hint="eastAsia" w:cs="Times New Roman"/>
                      <w:b/>
                      <w:color w:val="auto"/>
                      <w:sz w:val="21"/>
                      <w:szCs w:val="21"/>
                    </w:rPr>
                    <w:t>类别</w:t>
                  </w:r>
                </w:p>
              </w:tc>
              <w:tc>
                <w:tcPr>
                  <w:tcW w:w="1208" w:type="pct"/>
                  <w:noWrap w:val="0"/>
                  <w:vAlign w:val="center"/>
                </w:tcPr>
                <w:p w14:paraId="16036179">
                  <w:pPr>
                    <w:pStyle w:val="89"/>
                    <w:keepNext w:val="0"/>
                    <w:keepLines w:val="0"/>
                    <w:suppressLineNumbers w:val="0"/>
                    <w:spacing w:before="0" w:beforeAutospacing="0" w:after="0" w:afterAutospacing="0"/>
                    <w:ind w:left="0" w:right="0"/>
                    <w:rPr>
                      <w:rFonts w:hint="default" w:cs="Times New Roman"/>
                      <w:b/>
                      <w:color w:val="auto"/>
                      <w:sz w:val="21"/>
                      <w:szCs w:val="21"/>
                    </w:rPr>
                  </w:pPr>
                  <w:r>
                    <w:rPr>
                      <w:rFonts w:hint="eastAsia" w:cs="Times New Roman"/>
                      <w:b/>
                      <w:color w:val="auto"/>
                      <w:sz w:val="21"/>
                      <w:szCs w:val="21"/>
                    </w:rPr>
                    <w:t>污染物名称</w:t>
                  </w:r>
                </w:p>
              </w:tc>
              <w:tc>
                <w:tcPr>
                  <w:tcW w:w="1205" w:type="pct"/>
                  <w:noWrap w:val="0"/>
                  <w:vAlign w:val="center"/>
                </w:tcPr>
                <w:p w14:paraId="69865B4D">
                  <w:pPr>
                    <w:pStyle w:val="89"/>
                    <w:keepNext w:val="0"/>
                    <w:keepLines w:val="0"/>
                    <w:suppressLineNumbers w:val="0"/>
                    <w:spacing w:before="0" w:beforeAutospacing="0" w:after="0" w:afterAutospacing="0"/>
                    <w:ind w:left="0" w:right="0"/>
                    <w:rPr>
                      <w:rFonts w:hint="default" w:eastAsia="宋体" w:cs="Times New Roman"/>
                      <w:b/>
                      <w:color w:val="auto"/>
                      <w:sz w:val="21"/>
                      <w:szCs w:val="21"/>
                      <w:lang w:val="en-US" w:eastAsia="zh-CN"/>
                    </w:rPr>
                  </w:pPr>
                  <w:r>
                    <w:rPr>
                      <w:rFonts w:hint="eastAsia" w:cs="Times New Roman"/>
                      <w:b/>
                      <w:color w:val="auto"/>
                      <w:sz w:val="21"/>
                      <w:szCs w:val="21"/>
                      <w:lang w:val="en-US" w:eastAsia="zh-CN"/>
                    </w:rPr>
                    <w:t>实际排放量</w:t>
                  </w:r>
                </w:p>
              </w:tc>
              <w:tc>
                <w:tcPr>
                  <w:tcW w:w="1205" w:type="pct"/>
                  <w:noWrap w:val="0"/>
                  <w:vAlign w:val="center"/>
                </w:tcPr>
                <w:p w14:paraId="4FEE1CF3">
                  <w:pPr>
                    <w:pStyle w:val="89"/>
                    <w:keepNext w:val="0"/>
                    <w:keepLines w:val="0"/>
                    <w:suppressLineNumbers w:val="0"/>
                    <w:spacing w:before="0" w:beforeAutospacing="0" w:after="0" w:afterAutospacing="0"/>
                    <w:ind w:left="0" w:right="0"/>
                    <w:rPr>
                      <w:rFonts w:hint="eastAsia" w:ascii="Times New Roman" w:hAnsi="Times New Roman" w:eastAsia="宋体" w:cs="Times New Roman"/>
                      <w:b/>
                      <w:color w:val="auto"/>
                      <w:kern w:val="2"/>
                      <w:sz w:val="21"/>
                      <w:szCs w:val="21"/>
                      <w:lang w:val="en-US" w:eastAsia="zh-CN" w:bidi="ar-SA"/>
                    </w:rPr>
                  </w:pPr>
                  <w:r>
                    <w:rPr>
                      <w:rFonts w:hint="eastAsia" w:cs="Times New Roman"/>
                      <w:b/>
                      <w:color w:val="auto"/>
                      <w:sz w:val="21"/>
                      <w:szCs w:val="21"/>
                    </w:rPr>
                    <w:t>环评批复量</w:t>
                  </w:r>
                </w:p>
              </w:tc>
            </w:tr>
            <w:tr w14:paraId="167345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restart"/>
                  <w:noWrap w:val="0"/>
                  <w:vAlign w:val="center"/>
                </w:tcPr>
                <w:p w14:paraId="1E9DD79F">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废气</w:t>
                  </w:r>
                </w:p>
              </w:tc>
              <w:tc>
                <w:tcPr>
                  <w:tcW w:w="689" w:type="pct"/>
                  <w:vMerge w:val="restart"/>
                  <w:noWrap w:val="0"/>
                  <w:vAlign w:val="center"/>
                </w:tcPr>
                <w:p w14:paraId="35E38D2E">
                  <w:pPr>
                    <w:pStyle w:val="89"/>
                    <w:keepNext w:val="0"/>
                    <w:keepLines w:val="0"/>
                    <w:suppressLineNumbers w:val="0"/>
                    <w:spacing w:before="0" w:beforeAutospacing="0" w:after="0" w:afterAutospacing="0"/>
                    <w:ind w:left="0" w:right="0"/>
                    <w:rPr>
                      <w:rFonts w:hint="eastAsia" w:cs="Times New Roman"/>
                      <w:color w:val="auto"/>
                      <w:sz w:val="21"/>
                      <w:szCs w:val="21"/>
                    </w:rPr>
                  </w:pPr>
                  <w:r>
                    <w:rPr>
                      <w:rFonts w:hint="eastAsia" w:cs="Times New Roman"/>
                      <w:color w:val="auto"/>
                      <w:sz w:val="21"/>
                      <w:szCs w:val="21"/>
                    </w:rPr>
                    <w:t>有组织</w:t>
                  </w:r>
                </w:p>
              </w:tc>
              <w:tc>
                <w:tcPr>
                  <w:tcW w:w="1208" w:type="pct"/>
                  <w:shd w:val="clear" w:color="auto" w:fill="auto"/>
                  <w:noWrap w:val="0"/>
                  <w:vAlign w:val="center"/>
                </w:tcPr>
                <w:p w14:paraId="4A37F3C4">
                  <w:pPr>
                    <w:pStyle w:val="89"/>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SO</w:t>
                  </w:r>
                  <w:r>
                    <w:rPr>
                      <w:rFonts w:hint="eastAsia" w:cs="Times New Roman"/>
                      <w:color w:val="auto"/>
                      <w:sz w:val="21"/>
                      <w:szCs w:val="21"/>
                      <w:vertAlign w:val="subscript"/>
                      <w:lang w:val="en-US" w:eastAsia="zh-CN"/>
                    </w:rPr>
                    <w:t>2</w:t>
                  </w:r>
                </w:p>
              </w:tc>
              <w:tc>
                <w:tcPr>
                  <w:tcW w:w="1205" w:type="pct"/>
                  <w:shd w:val="clear" w:color="auto" w:fill="auto"/>
                  <w:noWrap w:val="0"/>
                  <w:vAlign w:val="center"/>
                </w:tcPr>
                <w:p w14:paraId="53CCE9B3">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1205" w:type="pct"/>
                  <w:shd w:val="clear" w:color="auto" w:fill="auto"/>
                  <w:noWrap w:val="0"/>
                  <w:vAlign w:val="center"/>
                </w:tcPr>
                <w:p w14:paraId="090A7010">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8.19</w:t>
                  </w:r>
                </w:p>
              </w:tc>
            </w:tr>
            <w:tr w14:paraId="46F37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57FD0823">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689" w:type="pct"/>
                  <w:vMerge w:val="continue"/>
                  <w:noWrap w:val="0"/>
                  <w:vAlign w:val="center"/>
                </w:tcPr>
                <w:p w14:paraId="18FC63DC">
                  <w:pPr>
                    <w:pStyle w:val="89"/>
                    <w:keepNext w:val="0"/>
                    <w:keepLines w:val="0"/>
                    <w:suppressLineNumbers w:val="0"/>
                    <w:spacing w:before="0" w:beforeAutospacing="0" w:after="0" w:afterAutospacing="0"/>
                    <w:ind w:left="0" w:right="0"/>
                    <w:rPr>
                      <w:rFonts w:hint="eastAsia" w:eastAsia="宋体" w:cs="Times New Roman"/>
                      <w:color w:val="auto"/>
                      <w:sz w:val="21"/>
                      <w:szCs w:val="21"/>
                      <w:lang w:val="en-US" w:eastAsia="zh-CN"/>
                    </w:rPr>
                  </w:pPr>
                </w:p>
              </w:tc>
              <w:tc>
                <w:tcPr>
                  <w:tcW w:w="1208" w:type="pct"/>
                  <w:shd w:val="clear" w:color="auto" w:fill="auto"/>
                  <w:noWrap w:val="0"/>
                  <w:vAlign w:val="center"/>
                </w:tcPr>
                <w:p w14:paraId="488BD781">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rPr>
                    <w:t>颗粒物</w:t>
                  </w:r>
                </w:p>
              </w:tc>
              <w:tc>
                <w:tcPr>
                  <w:tcW w:w="1205" w:type="pct"/>
                  <w:shd w:val="clear" w:color="auto" w:fill="auto"/>
                  <w:noWrap w:val="0"/>
                  <w:vAlign w:val="center"/>
                </w:tcPr>
                <w:p w14:paraId="0BA88B71">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1.253</w:t>
                  </w:r>
                </w:p>
              </w:tc>
              <w:tc>
                <w:tcPr>
                  <w:tcW w:w="1205" w:type="pct"/>
                  <w:vMerge w:val="restart"/>
                  <w:shd w:val="clear" w:color="auto" w:fill="auto"/>
                  <w:noWrap w:val="0"/>
                  <w:vAlign w:val="center"/>
                </w:tcPr>
                <w:p w14:paraId="7FDF7214">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8.66</w:t>
                  </w:r>
                </w:p>
              </w:tc>
            </w:tr>
            <w:tr w14:paraId="4A29D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1CF7B270">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689" w:type="pct"/>
                  <w:vMerge w:val="restart"/>
                  <w:noWrap w:val="0"/>
                  <w:vAlign w:val="center"/>
                </w:tcPr>
                <w:p w14:paraId="69A62A0C">
                  <w:pPr>
                    <w:pStyle w:val="89"/>
                    <w:keepNext w:val="0"/>
                    <w:keepLines w:val="0"/>
                    <w:suppressLineNumbers w:val="0"/>
                    <w:spacing w:before="0" w:beforeAutospacing="0" w:after="0" w:afterAutospacing="0"/>
                    <w:ind w:left="0" w:right="0"/>
                    <w:rPr>
                      <w:rFonts w:hint="eastAsia" w:cs="Times New Roman"/>
                      <w:color w:val="auto"/>
                      <w:sz w:val="21"/>
                      <w:szCs w:val="21"/>
                      <w:lang w:val="en-US" w:eastAsia="zh-CN"/>
                    </w:rPr>
                  </w:pPr>
                  <w:r>
                    <w:rPr>
                      <w:rFonts w:hint="eastAsia" w:cs="Times New Roman"/>
                      <w:color w:val="auto"/>
                      <w:sz w:val="21"/>
                      <w:szCs w:val="21"/>
                      <w:lang w:val="en-US" w:eastAsia="zh-CN"/>
                    </w:rPr>
                    <w:t>无组织</w:t>
                  </w:r>
                </w:p>
              </w:tc>
              <w:tc>
                <w:tcPr>
                  <w:tcW w:w="1208" w:type="pct"/>
                  <w:shd w:val="clear" w:color="auto" w:fill="auto"/>
                  <w:noWrap w:val="0"/>
                  <w:vAlign w:val="center"/>
                </w:tcPr>
                <w:p w14:paraId="3B4FBD0A">
                  <w:pPr>
                    <w:pStyle w:val="89"/>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颗粒物</w:t>
                  </w:r>
                </w:p>
              </w:tc>
              <w:tc>
                <w:tcPr>
                  <w:tcW w:w="1205" w:type="pct"/>
                  <w:shd w:val="clear" w:color="auto" w:fill="auto"/>
                  <w:noWrap w:val="0"/>
                  <w:vAlign w:val="center"/>
                </w:tcPr>
                <w:p w14:paraId="76A00D39">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6.595</w:t>
                  </w:r>
                </w:p>
              </w:tc>
              <w:tc>
                <w:tcPr>
                  <w:tcW w:w="1205" w:type="pct"/>
                  <w:vMerge w:val="continue"/>
                  <w:noWrap w:val="0"/>
                  <w:vAlign w:val="center"/>
                </w:tcPr>
                <w:p w14:paraId="08C12474">
                  <w:pPr>
                    <w:pStyle w:val="89"/>
                    <w:keepNext w:val="0"/>
                    <w:keepLines w:val="0"/>
                    <w:suppressLineNumbers w:val="0"/>
                    <w:spacing w:before="0" w:beforeAutospacing="0" w:after="0" w:afterAutospacing="0"/>
                    <w:ind w:left="0" w:right="0"/>
                    <w:rPr>
                      <w:rFonts w:hint="default" w:cs="Times New Roman"/>
                      <w:color w:val="auto"/>
                      <w:sz w:val="21"/>
                      <w:szCs w:val="21"/>
                      <w:lang w:val="en-US" w:eastAsia="zh-CN"/>
                    </w:rPr>
                  </w:pPr>
                </w:p>
              </w:tc>
            </w:tr>
            <w:tr w14:paraId="0616D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0" w:type="pct"/>
                  <w:vMerge w:val="continue"/>
                  <w:noWrap w:val="0"/>
                  <w:vAlign w:val="center"/>
                </w:tcPr>
                <w:p w14:paraId="3D7B0BDB">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689" w:type="pct"/>
                  <w:vMerge w:val="continue"/>
                  <w:noWrap w:val="0"/>
                  <w:vAlign w:val="center"/>
                </w:tcPr>
                <w:p w14:paraId="623838BA">
                  <w:pPr>
                    <w:pStyle w:val="89"/>
                    <w:keepNext w:val="0"/>
                    <w:keepLines w:val="0"/>
                    <w:suppressLineNumbers w:val="0"/>
                    <w:spacing w:before="0" w:beforeAutospacing="0" w:after="0" w:afterAutospacing="0"/>
                    <w:ind w:left="0" w:right="0"/>
                    <w:rPr>
                      <w:rFonts w:hint="eastAsia" w:cs="Times New Roman"/>
                      <w:color w:val="auto"/>
                      <w:sz w:val="21"/>
                      <w:szCs w:val="21"/>
                      <w:lang w:val="en-US" w:eastAsia="zh-CN"/>
                    </w:rPr>
                  </w:pPr>
                </w:p>
              </w:tc>
              <w:tc>
                <w:tcPr>
                  <w:tcW w:w="1208" w:type="pct"/>
                  <w:noWrap w:val="0"/>
                  <w:vAlign w:val="center"/>
                </w:tcPr>
                <w:p w14:paraId="23BC0445">
                  <w:pPr>
                    <w:pStyle w:val="89"/>
                    <w:keepNext w:val="0"/>
                    <w:keepLines w:val="0"/>
                    <w:suppressLineNumbers w:val="0"/>
                    <w:spacing w:before="0" w:beforeAutospacing="0" w:after="0" w:afterAutospacing="0"/>
                    <w:ind w:left="0" w:right="0"/>
                    <w:rPr>
                      <w:rFonts w:hint="default" w:cs="Times New Roman"/>
                      <w:color w:val="auto"/>
                      <w:sz w:val="21"/>
                      <w:szCs w:val="21"/>
                      <w:lang w:val="en-US" w:eastAsia="zh-CN"/>
                    </w:rPr>
                  </w:pPr>
                  <w:r>
                    <w:rPr>
                      <w:rFonts w:hint="eastAsia" w:cs="Times New Roman"/>
                      <w:color w:val="auto"/>
                      <w:sz w:val="21"/>
                      <w:szCs w:val="21"/>
                      <w:lang w:val="en-US" w:eastAsia="zh-CN"/>
                    </w:rPr>
                    <w:t>VOCs（非甲烷总烃）</w:t>
                  </w:r>
                </w:p>
              </w:tc>
              <w:tc>
                <w:tcPr>
                  <w:tcW w:w="1205" w:type="pct"/>
                  <w:noWrap w:val="0"/>
                  <w:vAlign w:val="center"/>
                </w:tcPr>
                <w:p w14:paraId="3D8C28C2">
                  <w:pPr>
                    <w:pStyle w:val="89"/>
                    <w:keepNext w:val="0"/>
                    <w:keepLines w:val="0"/>
                    <w:suppressLineNumbers w:val="0"/>
                    <w:spacing w:before="0" w:beforeAutospacing="0" w:after="0" w:afterAutospacing="0"/>
                    <w:ind w:left="0" w:right="0"/>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05" w:type="pct"/>
                  <w:noWrap w:val="0"/>
                  <w:vAlign w:val="center"/>
                </w:tcPr>
                <w:p w14:paraId="275555C3">
                  <w:pPr>
                    <w:pStyle w:val="89"/>
                    <w:keepNext w:val="0"/>
                    <w:keepLines w:val="0"/>
                    <w:suppressLineNumbers w:val="0"/>
                    <w:spacing w:before="0" w:beforeAutospacing="0" w:after="0" w:afterAutospacing="0"/>
                    <w:ind w:left="0" w:right="0"/>
                    <w:rPr>
                      <w:rFonts w:hint="default" w:cs="Times New Roman"/>
                      <w:color w:val="auto"/>
                      <w:sz w:val="21"/>
                      <w:szCs w:val="21"/>
                      <w:lang w:val="en-US" w:eastAsia="zh-CN"/>
                    </w:rPr>
                  </w:pPr>
                  <w:r>
                    <w:rPr>
                      <w:rFonts w:hint="eastAsia" w:cs="Times New Roman"/>
                      <w:color w:val="auto"/>
                      <w:sz w:val="21"/>
                      <w:szCs w:val="21"/>
                      <w:lang w:val="en-US" w:eastAsia="zh-CN"/>
                    </w:rPr>
                    <w:t>0.0126</w:t>
                  </w:r>
                </w:p>
              </w:tc>
            </w:tr>
            <w:tr w14:paraId="4AF3F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vMerge w:val="restart"/>
                  <w:noWrap w:val="0"/>
                  <w:vAlign w:val="center"/>
                </w:tcPr>
                <w:p w14:paraId="4D548F3B">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废水</w:t>
                  </w:r>
                </w:p>
              </w:tc>
              <w:tc>
                <w:tcPr>
                  <w:tcW w:w="1208" w:type="pct"/>
                  <w:noWrap w:val="0"/>
                  <w:vAlign w:val="center"/>
                </w:tcPr>
                <w:p w14:paraId="5E13C413">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废水量</w:t>
                  </w:r>
                </w:p>
              </w:tc>
              <w:tc>
                <w:tcPr>
                  <w:tcW w:w="1205" w:type="pct"/>
                  <w:shd w:val="clear" w:color="auto" w:fill="auto"/>
                  <w:noWrap w:val="0"/>
                  <w:vAlign w:val="center"/>
                </w:tcPr>
                <w:p w14:paraId="1DC40D37">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2448</w:t>
                  </w:r>
                </w:p>
              </w:tc>
              <w:tc>
                <w:tcPr>
                  <w:tcW w:w="1205" w:type="pct"/>
                  <w:shd w:val="clear" w:color="auto" w:fill="auto"/>
                  <w:noWrap w:val="0"/>
                  <w:vAlign w:val="center"/>
                </w:tcPr>
                <w:p w14:paraId="77AAB7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7920</w:t>
                  </w:r>
                </w:p>
              </w:tc>
            </w:tr>
            <w:tr w14:paraId="04B43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vMerge w:val="continue"/>
                  <w:noWrap w:val="0"/>
                  <w:vAlign w:val="center"/>
                </w:tcPr>
                <w:p w14:paraId="122E4C57">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1208" w:type="pct"/>
                  <w:noWrap w:val="0"/>
                  <w:vAlign w:val="center"/>
                </w:tcPr>
                <w:p w14:paraId="1FF64D74">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COD</w:t>
                  </w:r>
                </w:p>
              </w:tc>
              <w:tc>
                <w:tcPr>
                  <w:tcW w:w="1205" w:type="pct"/>
                  <w:shd w:val="clear" w:color="auto" w:fill="auto"/>
                  <w:noWrap w:val="0"/>
                  <w:vAlign w:val="center"/>
                </w:tcPr>
                <w:p w14:paraId="5FC7BF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0.979 </w:t>
                  </w:r>
                </w:p>
              </w:tc>
              <w:tc>
                <w:tcPr>
                  <w:tcW w:w="1205" w:type="pct"/>
                  <w:shd w:val="clear" w:color="auto" w:fill="auto"/>
                  <w:noWrap w:val="0"/>
                  <w:vAlign w:val="center"/>
                </w:tcPr>
                <w:p w14:paraId="10747D2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2.92</w:t>
                  </w:r>
                  <w:r>
                    <w:rPr>
                      <w:rFonts w:hint="eastAsia" w:ascii="Times New Roman" w:hAnsi="Times New Roman" w:eastAsia="宋体" w:cs="Times New Roman"/>
                      <w:color w:val="auto"/>
                      <w:kern w:val="2"/>
                      <w:sz w:val="21"/>
                      <w:szCs w:val="21"/>
                      <w:lang w:val="en-US" w:eastAsia="zh-CN" w:bidi="ar"/>
                    </w:rPr>
                    <w:t>0</w:t>
                  </w:r>
                </w:p>
              </w:tc>
            </w:tr>
            <w:tr w14:paraId="2E1F1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vMerge w:val="continue"/>
                  <w:noWrap w:val="0"/>
                  <w:vAlign w:val="center"/>
                </w:tcPr>
                <w:p w14:paraId="783B3AC9">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1208" w:type="pct"/>
                  <w:noWrap w:val="0"/>
                  <w:vAlign w:val="center"/>
                </w:tcPr>
                <w:p w14:paraId="2FF0010B">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SS</w:t>
                  </w:r>
                </w:p>
              </w:tc>
              <w:tc>
                <w:tcPr>
                  <w:tcW w:w="1205" w:type="pct"/>
                  <w:shd w:val="clear" w:color="auto" w:fill="auto"/>
                  <w:noWrap w:val="0"/>
                  <w:vAlign w:val="center"/>
                </w:tcPr>
                <w:p w14:paraId="4C4B6C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0.612 </w:t>
                  </w:r>
                </w:p>
              </w:tc>
              <w:tc>
                <w:tcPr>
                  <w:tcW w:w="1205" w:type="pct"/>
                  <w:shd w:val="clear" w:color="auto" w:fill="auto"/>
                  <w:noWrap w:val="0"/>
                  <w:vAlign w:val="center"/>
                </w:tcPr>
                <w:p w14:paraId="6ED10B3F">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1.82</w:t>
                  </w:r>
                  <w:r>
                    <w:rPr>
                      <w:rFonts w:hint="eastAsia" w:ascii="Times New Roman" w:hAnsi="Times New Roman" w:eastAsia="宋体" w:cs="Times New Roman"/>
                      <w:color w:val="auto"/>
                      <w:kern w:val="2"/>
                      <w:sz w:val="21"/>
                      <w:szCs w:val="21"/>
                      <w:lang w:val="en-US" w:eastAsia="zh-CN" w:bidi="ar"/>
                    </w:rPr>
                    <w:t>0</w:t>
                  </w:r>
                </w:p>
              </w:tc>
            </w:tr>
            <w:tr w14:paraId="79865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vMerge w:val="continue"/>
                  <w:noWrap w:val="0"/>
                  <w:vAlign w:val="center"/>
                </w:tcPr>
                <w:p w14:paraId="588A3625">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1208" w:type="pct"/>
                  <w:noWrap w:val="0"/>
                  <w:vAlign w:val="center"/>
                </w:tcPr>
                <w:p w14:paraId="0EA1F7E8">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氨氮</w:t>
                  </w:r>
                </w:p>
              </w:tc>
              <w:tc>
                <w:tcPr>
                  <w:tcW w:w="1205" w:type="pct"/>
                  <w:shd w:val="clear" w:color="auto" w:fill="auto"/>
                  <w:noWrap w:val="0"/>
                  <w:vAlign w:val="center"/>
                </w:tcPr>
                <w:p w14:paraId="7AADCE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0.086 </w:t>
                  </w:r>
                </w:p>
              </w:tc>
              <w:tc>
                <w:tcPr>
                  <w:tcW w:w="1205" w:type="pct"/>
                  <w:shd w:val="clear" w:color="auto" w:fill="auto"/>
                  <w:noWrap w:val="0"/>
                  <w:vAlign w:val="center"/>
                </w:tcPr>
                <w:p w14:paraId="1E7CBB42">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0.22</w:t>
                  </w:r>
                  <w:r>
                    <w:rPr>
                      <w:rFonts w:hint="eastAsia" w:ascii="Times New Roman" w:hAnsi="Times New Roman" w:eastAsia="宋体" w:cs="Times New Roman"/>
                      <w:color w:val="auto"/>
                      <w:kern w:val="2"/>
                      <w:sz w:val="21"/>
                      <w:szCs w:val="21"/>
                      <w:lang w:val="en-US" w:eastAsia="zh-CN" w:bidi="ar"/>
                    </w:rPr>
                    <w:t>0</w:t>
                  </w:r>
                </w:p>
              </w:tc>
            </w:tr>
            <w:tr w14:paraId="22699B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vMerge w:val="continue"/>
                  <w:noWrap w:val="0"/>
                  <w:vAlign w:val="center"/>
                </w:tcPr>
                <w:p w14:paraId="1F2BC05A">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1208" w:type="pct"/>
                  <w:noWrap w:val="0"/>
                  <w:vAlign w:val="center"/>
                </w:tcPr>
                <w:p w14:paraId="60FFE732">
                  <w:pPr>
                    <w:pStyle w:val="89"/>
                    <w:keepNext w:val="0"/>
                    <w:keepLines w:val="0"/>
                    <w:suppressLineNumbers w:val="0"/>
                    <w:spacing w:before="0" w:beforeAutospacing="0" w:after="0" w:afterAutospacing="0"/>
                    <w:ind w:left="0" w:right="0"/>
                    <w:rPr>
                      <w:rFonts w:hint="default" w:eastAsia="宋体" w:cs="Times New Roman"/>
                      <w:color w:val="auto"/>
                      <w:sz w:val="21"/>
                      <w:szCs w:val="21"/>
                      <w:lang w:val="en-US" w:eastAsia="zh-CN"/>
                    </w:rPr>
                  </w:pPr>
                  <w:r>
                    <w:rPr>
                      <w:rFonts w:hint="eastAsia" w:cs="Times New Roman"/>
                      <w:color w:val="auto"/>
                      <w:sz w:val="21"/>
                      <w:szCs w:val="21"/>
                      <w:lang w:val="en-US" w:eastAsia="zh-CN"/>
                    </w:rPr>
                    <w:t>总氮</w:t>
                  </w:r>
                </w:p>
              </w:tc>
              <w:tc>
                <w:tcPr>
                  <w:tcW w:w="1205" w:type="pct"/>
                  <w:shd w:val="clear" w:color="auto" w:fill="auto"/>
                  <w:noWrap w:val="0"/>
                  <w:vAlign w:val="center"/>
                </w:tcPr>
                <w:p w14:paraId="33BA37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1205" w:type="pct"/>
                  <w:shd w:val="clear" w:color="auto" w:fill="auto"/>
                  <w:noWrap w:val="0"/>
                  <w:vAlign w:val="center"/>
                </w:tcPr>
                <w:p w14:paraId="392DB651">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r>
            <w:tr w14:paraId="1D0167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9" w:type="pct"/>
                  <w:gridSpan w:val="2"/>
                  <w:vMerge w:val="continue"/>
                </w:tcPr>
                <w:p w14:paraId="52394391">
                  <w:pPr>
                    <w:pStyle w:val="89"/>
                    <w:keepNext w:val="0"/>
                    <w:keepLines w:val="0"/>
                    <w:suppressLineNumbers w:val="0"/>
                    <w:spacing w:before="0" w:beforeAutospacing="0" w:after="0" w:afterAutospacing="0"/>
                    <w:ind w:left="0" w:right="0"/>
                    <w:rPr>
                      <w:rFonts w:hint="eastAsia" w:cs="Times New Roman"/>
                      <w:color w:val="auto"/>
                      <w:sz w:val="21"/>
                      <w:szCs w:val="21"/>
                    </w:rPr>
                  </w:pPr>
                </w:p>
              </w:tc>
              <w:tc>
                <w:tcPr>
                  <w:tcW w:w="1208" w:type="pct"/>
                </w:tcPr>
                <w:p w14:paraId="66962768">
                  <w:pPr>
                    <w:pStyle w:val="89"/>
                    <w:keepNext w:val="0"/>
                    <w:keepLines w:val="0"/>
                    <w:suppressLineNumbers w:val="0"/>
                    <w:spacing w:before="0" w:beforeAutospacing="0" w:after="0" w:afterAutospacing="0"/>
                    <w:ind w:left="0" w:right="0"/>
                    <w:rPr>
                      <w:rFonts w:hint="default" w:cs="Times New Roman"/>
                      <w:color w:val="auto"/>
                      <w:sz w:val="21"/>
                      <w:szCs w:val="21"/>
                    </w:rPr>
                  </w:pPr>
                  <w:r>
                    <w:rPr>
                      <w:rFonts w:hint="eastAsia" w:cs="Times New Roman"/>
                      <w:color w:val="auto"/>
                      <w:sz w:val="21"/>
                      <w:szCs w:val="21"/>
                    </w:rPr>
                    <w:t>总磷</w:t>
                  </w:r>
                </w:p>
              </w:tc>
              <w:tc>
                <w:tcPr>
                  <w:tcW w:w="1205" w:type="pct"/>
                  <w:shd w:val="clear" w:color="auto" w:fill="auto"/>
                  <w:vAlign w:val="center"/>
                </w:tcPr>
                <w:p w14:paraId="2B037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1205" w:type="pct"/>
                  <w:shd w:val="clear" w:color="auto" w:fill="auto"/>
                  <w:vAlign w:val="center"/>
                </w:tcPr>
                <w:p w14:paraId="0D28504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0.029</w:t>
                  </w:r>
                </w:p>
              </w:tc>
            </w:tr>
          </w:tbl>
          <w:p w14:paraId="0661CAD8">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备注：实际有组织废气、废水污染物排放量根据实测数据进行核算；无组织废气排放量根据实际运行过程中产污环节进行核算。</w:t>
            </w:r>
          </w:p>
          <w:p w14:paraId="4421BC4E">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、原有项目存在的主要问题及“以新带老”措施</w:t>
            </w:r>
          </w:p>
          <w:p w14:paraId="460DB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rPr>
              <w:t>（1）原</w:t>
            </w:r>
            <w:r>
              <w:rPr>
                <w:rFonts w:hint="default" w:ascii="Times New Roman" w:hAnsi="Times New Roman" w:cs="Times New Roman"/>
                <w:b/>
                <w:color w:val="auto"/>
                <w:sz w:val="24"/>
                <w:szCs w:val="24"/>
              </w:rPr>
              <w:t>有项目存在的主要问题</w:t>
            </w:r>
          </w:p>
          <w:p w14:paraId="4708E655">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①原项目未考虑去冒口过程中产生的切割烟尘，且未配套相关粉尘治理措施，不满足最新环境管理要求。</w:t>
            </w:r>
          </w:p>
          <w:p w14:paraId="0FA34578">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cs="Times New Roman"/>
                <w:bCs/>
                <w:color w:val="auto"/>
                <w:sz w:val="24"/>
                <w:szCs w:val="24"/>
                <w:highlight w:val="none"/>
                <w:lang w:val="en-US" w:eastAsia="zh-CN"/>
              </w:rPr>
            </w:pPr>
            <w:r>
              <w:rPr>
                <w:rFonts w:hint="eastAsia" w:ascii="Times New Roman" w:hAnsi="Times New Roman" w:cs="Times New Roman"/>
                <w:color w:val="auto"/>
                <w:sz w:val="24"/>
                <w:szCs w:val="24"/>
                <w:lang w:val="en-US" w:eastAsia="zh-CN"/>
              </w:rPr>
              <w:t>②</w:t>
            </w:r>
            <w:r>
              <w:rPr>
                <w:rFonts w:hint="eastAsia" w:cs="Times New Roman"/>
                <w:bCs/>
                <w:color w:val="auto"/>
                <w:sz w:val="24"/>
                <w:szCs w:val="24"/>
                <w:highlight w:val="none"/>
                <w:lang w:val="en-US" w:eastAsia="zh-CN"/>
              </w:rPr>
              <w:t>原有项目废钢、浇冒口熔化和精炼过程中产生的废气经集气罩收集后进布袋除尘器进行处理，收集效率约90%；原项目未考虑熔化烟尘、精炼烟尘中含有的特征污染因子（镍及其化合物、铬及其化合物）。</w:t>
            </w:r>
          </w:p>
          <w:p w14:paraId="0429541E">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eastAsia"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③</w:t>
            </w:r>
            <w:r>
              <w:rPr>
                <w:rFonts w:hint="eastAsia" w:ascii="Times New Roman" w:hAnsi="Times New Roman" w:cs="Times New Roman"/>
                <w:bCs/>
                <w:color w:val="auto"/>
                <w:sz w:val="24"/>
                <w:szCs w:val="24"/>
                <w:highlight w:val="none"/>
                <w:lang w:val="en-US" w:eastAsia="zh-CN"/>
              </w:rPr>
              <w:t>《铸造工业大气污染物排放标准》（GB39726-2020）于2020年12月8日发布，现有企业自2023年7月1日起执行；企业原有项目熔化、造型过程中排放的颗粒物应按照最新环境管理要求，执行《铸造工业大气污染物排放标准》（GB39726-2020）中表1、表A.1相关限值要求</w:t>
            </w:r>
            <w:r>
              <w:rPr>
                <w:rFonts w:hint="eastAsia" w:cs="Times New Roman"/>
                <w:bCs/>
                <w:color w:val="auto"/>
                <w:sz w:val="24"/>
                <w:szCs w:val="24"/>
                <w:highlight w:val="none"/>
                <w:lang w:val="en-US" w:eastAsia="zh-CN"/>
              </w:rPr>
              <w:t>。</w:t>
            </w:r>
          </w:p>
          <w:p w14:paraId="7999C444">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④</w:t>
            </w:r>
            <w:r>
              <w:rPr>
                <w:rFonts w:hint="eastAsia" w:cs="Times New Roman"/>
                <w:b w:val="0"/>
                <w:bCs w:val="0"/>
                <w:color w:val="auto"/>
                <w:sz w:val="24"/>
                <w:szCs w:val="24"/>
                <w:lang w:val="en-US" w:eastAsia="zh-CN"/>
              </w:rPr>
              <w:t>原有已建项目未考虑布袋除尘器运行过程中会产生少量破损布袋，经收集后</w:t>
            </w:r>
            <w:r>
              <w:rPr>
                <w:rFonts w:hint="eastAsia" w:ascii="Times New Roman" w:hAnsi="Times New Roman" w:eastAsia="宋体" w:cs="Times New Roman"/>
                <w:b w:val="0"/>
                <w:bCs w:val="0"/>
                <w:color w:val="auto"/>
                <w:sz w:val="24"/>
                <w:szCs w:val="24"/>
                <w:lang w:val="en-US" w:eastAsia="zh-CN"/>
              </w:rPr>
              <w:t>暂存在车间内；</w:t>
            </w:r>
          </w:p>
          <w:p w14:paraId="6A0B803A">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原有已建项目未考虑中频炉、精炼炉在日常修理过程中产生废耐火材料（耐火砖），经收集后由厂家回收；</w:t>
            </w:r>
          </w:p>
          <w:p w14:paraId="7E3F93D1">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原有</w:t>
            </w:r>
            <w:r>
              <w:rPr>
                <w:rFonts w:hint="eastAsia" w:cs="Times New Roman"/>
                <w:b w:val="0"/>
                <w:bCs w:val="0"/>
                <w:color w:val="auto"/>
                <w:sz w:val="24"/>
                <w:szCs w:val="24"/>
                <w:lang w:val="en-US" w:eastAsia="zh-CN"/>
              </w:rPr>
              <w:t>在建项目</w:t>
            </w:r>
            <w:r>
              <w:rPr>
                <w:rFonts w:hint="eastAsia" w:ascii="Times New Roman" w:hAnsi="Times New Roman" w:eastAsia="宋体" w:cs="Times New Roman"/>
                <w:b w:val="0"/>
                <w:bCs w:val="0"/>
                <w:color w:val="auto"/>
                <w:sz w:val="24"/>
                <w:szCs w:val="24"/>
                <w:lang w:val="en-US" w:eastAsia="zh-CN"/>
              </w:rPr>
              <w:t>未考虑机加工设备运行维护过程中产生的少量</w:t>
            </w:r>
            <w:r>
              <w:rPr>
                <w:rFonts w:hint="eastAsia" w:cs="Times New Roman"/>
                <w:b w:val="0"/>
                <w:bCs w:val="0"/>
                <w:color w:val="auto"/>
                <w:sz w:val="24"/>
                <w:szCs w:val="24"/>
                <w:lang w:val="en-US" w:eastAsia="zh-CN"/>
              </w:rPr>
              <w:t>废润滑油；切削液使用过程中会产生废包装桶（废切削液桶）</w:t>
            </w:r>
            <w:r>
              <w:rPr>
                <w:rFonts w:hint="eastAsia" w:ascii="Times New Roman" w:hAnsi="Times New Roman" w:eastAsia="宋体" w:cs="Times New Roman"/>
                <w:b w:val="0"/>
                <w:bCs w:val="0"/>
                <w:color w:val="auto"/>
                <w:sz w:val="24"/>
                <w:szCs w:val="24"/>
                <w:lang w:val="en-US" w:eastAsia="zh-CN"/>
              </w:rPr>
              <w:t>。</w:t>
            </w:r>
          </w:p>
          <w:p w14:paraId="5413904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⑤</w:t>
            </w:r>
            <w:r>
              <w:rPr>
                <w:rFonts w:hint="eastAsia" w:ascii="Times New Roman" w:hAnsi="Times New Roman" w:eastAsia="宋体" w:cs="Times New Roman"/>
                <w:b w:val="0"/>
                <w:bCs w:val="0"/>
                <w:color w:val="auto"/>
                <w:sz w:val="24"/>
                <w:szCs w:val="24"/>
                <w:lang w:val="en-US" w:eastAsia="zh-CN"/>
              </w:rPr>
              <w:t>原有项目未明确一般固废代码</w:t>
            </w:r>
            <w:r>
              <w:rPr>
                <w:rFonts w:hint="eastAsia" w:cs="Times New Roman"/>
                <w:b w:val="0"/>
                <w:bCs w:val="0"/>
                <w:color w:val="auto"/>
                <w:sz w:val="24"/>
                <w:szCs w:val="24"/>
                <w:lang w:val="en-US" w:eastAsia="zh-CN"/>
              </w:rPr>
              <w:t>。</w:t>
            </w:r>
          </w:p>
          <w:p w14:paraId="39802019">
            <w:pPr>
              <w:pStyle w:val="8"/>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cs="Times New Roman"/>
                <w:b w:val="0"/>
                <w:bCs w:val="0"/>
                <w:color w:val="auto"/>
                <w:sz w:val="24"/>
                <w:szCs w:val="24"/>
                <w:lang w:val="en-US" w:eastAsia="zh-CN"/>
              </w:rPr>
              <w:t>⑥</w:t>
            </w:r>
            <w:r>
              <w:rPr>
                <w:rFonts w:hint="eastAsia" w:ascii="Times New Roman" w:hAnsi="Times New Roman" w:cs="Times New Roman"/>
                <w:b w:val="0"/>
                <w:bCs w:val="0"/>
                <w:color w:val="auto"/>
                <w:sz w:val="24"/>
                <w:szCs w:val="24"/>
                <w:lang w:val="en-US" w:eastAsia="zh-CN"/>
              </w:rPr>
              <w:t>企业</w:t>
            </w:r>
            <w:r>
              <w:rPr>
                <w:rFonts w:hint="eastAsia" w:cs="Times New Roman"/>
                <w:b w:val="0"/>
                <w:bCs w:val="0"/>
                <w:color w:val="auto"/>
                <w:sz w:val="24"/>
                <w:szCs w:val="24"/>
                <w:lang w:val="en-US" w:eastAsia="zh-CN"/>
              </w:rPr>
              <w:t>未编制</w:t>
            </w:r>
            <w:r>
              <w:rPr>
                <w:rFonts w:hint="default" w:ascii="Times New Roman" w:hAnsi="Times New Roman" w:cs="Times New Roman"/>
                <w:color w:val="auto"/>
                <w:sz w:val="24"/>
              </w:rPr>
              <w:t>突发环境事件应急预案和突发环境事件风险评估</w:t>
            </w:r>
            <w:r>
              <w:rPr>
                <w:rFonts w:hint="eastAsia" w:ascii="Times New Roman" w:hAnsi="Times New Roman" w:cs="Times New Roman"/>
                <w:b w:val="0"/>
                <w:bCs w:val="0"/>
                <w:color w:val="auto"/>
                <w:sz w:val="24"/>
                <w:szCs w:val="24"/>
                <w:lang w:val="en-US" w:eastAsia="zh-CN"/>
              </w:rPr>
              <w:t>。</w:t>
            </w:r>
          </w:p>
          <w:p w14:paraId="5925CD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2" w:firstLineChars="200"/>
              <w:textAlignment w:val="auto"/>
              <w:rPr>
                <w:rFonts w:hint="default"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（2）“以新带老”措施</w:t>
            </w:r>
          </w:p>
          <w:p w14:paraId="60CA2E9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w:t>
            </w:r>
            <w:r>
              <w:rPr>
                <w:rFonts w:hint="eastAsia" w:ascii="Times New Roman" w:hAnsi="Times New Roman" w:cs="Times New Roman"/>
                <w:color w:val="auto"/>
                <w:sz w:val="24"/>
                <w:lang w:val="en-US" w:eastAsia="zh-CN"/>
              </w:rPr>
              <w:t>本次技改项目</w:t>
            </w:r>
            <w:r>
              <w:rPr>
                <w:rFonts w:hint="eastAsia" w:ascii="Times New Roman" w:hAnsi="Times New Roman" w:cs="Times New Roman"/>
                <w:color w:val="auto"/>
                <w:sz w:val="24"/>
                <w:szCs w:val="24"/>
                <w:lang w:val="en-US" w:eastAsia="zh-CN"/>
              </w:rPr>
              <w:t>在去冒口区上方设置集气罩，产生的切割烟尘经集气罩收集后进滤筒除尘器处理后无组织排放，收集效率为90%，去除效率为95%。</w:t>
            </w:r>
          </w:p>
          <w:p w14:paraId="1B8BA1F3">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cs="Times New Roman"/>
                <w:bCs/>
                <w:color w:val="auto"/>
                <w:sz w:val="24"/>
                <w:szCs w:val="24"/>
                <w:highlight w:val="none"/>
                <w:lang w:val="en-US" w:eastAsia="zh-CN"/>
              </w:rPr>
            </w:pPr>
            <w:r>
              <w:rPr>
                <w:rFonts w:hint="eastAsia" w:cs="Times New Roman"/>
                <w:color w:val="auto"/>
                <w:sz w:val="24"/>
                <w:szCs w:val="24"/>
                <w:lang w:val="en-US" w:eastAsia="zh-CN"/>
              </w:rPr>
              <w:t>②</w:t>
            </w:r>
            <w:r>
              <w:rPr>
                <w:rFonts w:hint="eastAsia" w:cs="Times New Roman"/>
                <w:bCs/>
                <w:color w:val="auto"/>
                <w:sz w:val="24"/>
                <w:szCs w:val="24"/>
                <w:highlight w:val="none"/>
                <w:lang w:val="en-US" w:eastAsia="zh-CN"/>
              </w:rPr>
              <w:t>本次为提高废气捕集率，改善车间生产环境，将集气罩改造为半密闭式集气罩，提高废气收集效率为95%；本次环评中对熔化烟尘、精炼烟尘中含有的镍及其化合物、铬及其化合物进行定量分析。</w:t>
            </w:r>
          </w:p>
          <w:p w14:paraId="6F77893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eastAsia="宋体" w:cs="Times New Roman"/>
                <w:bCs/>
                <w:color w:val="auto"/>
                <w:sz w:val="24"/>
                <w:szCs w:val="24"/>
                <w:highlight w:val="none"/>
                <w:lang w:val="en-US" w:eastAsia="zh-CN"/>
              </w:rPr>
              <w:t>③</w:t>
            </w:r>
            <w:r>
              <w:rPr>
                <w:rFonts w:hint="default" w:ascii="Times New Roman" w:hAnsi="Times New Roman" w:cs="Times New Roman"/>
                <w:bCs/>
                <w:color w:val="auto"/>
                <w:sz w:val="24"/>
                <w:szCs w:val="24"/>
                <w:lang w:val="en-US" w:eastAsia="zh-CN"/>
              </w:rPr>
              <w:t>按照最新环境管理要求，</w:t>
            </w:r>
            <w:r>
              <w:rPr>
                <w:rFonts w:hint="eastAsia" w:ascii="Times New Roman" w:hAnsi="Times New Roman" w:cs="Times New Roman"/>
                <w:bCs/>
                <w:color w:val="auto"/>
                <w:sz w:val="24"/>
                <w:szCs w:val="24"/>
                <w:highlight w:val="none"/>
                <w:lang w:val="en-US" w:eastAsia="zh-CN"/>
              </w:rPr>
              <w:t>企业原有项目熔化、</w:t>
            </w:r>
            <w:r>
              <w:rPr>
                <w:rFonts w:hint="eastAsia" w:cs="Times New Roman"/>
                <w:bCs/>
                <w:color w:val="auto"/>
                <w:sz w:val="24"/>
                <w:szCs w:val="24"/>
                <w:highlight w:val="none"/>
                <w:lang w:val="en-US" w:eastAsia="zh-CN"/>
              </w:rPr>
              <w:t>精炼</w:t>
            </w:r>
            <w:r>
              <w:rPr>
                <w:rFonts w:hint="eastAsia" w:ascii="Times New Roman" w:hAnsi="Times New Roman" w:cs="Times New Roman"/>
                <w:bCs/>
                <w:color w:val="auto"/>
                <w:sz w:val="24"/>
                <w:szCs w:val="24"/>
                <w:highlight w:val="none"/>
                <w:lang w:val="en-US" w:eastAsia="zh-CN"/>
              </w:rPr>
              <w:t>过程中排放的颗粒物应按照最新环境管理要求，执行《铸造工业大气污染物排放标准》（GB39726-2020）中表1、表A.1相关限值要求</w:t>
            </w:r>
            <w:r>
              <w:rPr>
                <w:rFonts w:hint="eastAsia" w:ascii="Times New Roman" w:hAnsi="Times New Roman" w:cs="Times New Roman"/>
                <w:color w:val="auto"/>
                <w:sz w:val="24"/>
                <w:szCs w:val="24"/>
                <w:lang w:val="en-US" w:eastAsia="zh-CN"/>
              </w:rPr>
              <w:t>。</w:t>
            </w:r>
          </w:p>
          <w:p w14:paraId="38D4229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④建设单位应按照</w:t>
            </w:r>
            <w:r>
              <w:rPr>
                <w:rFonts w:hint="eastAsia" w:ascii="Times New Roman" w:hAnsi="Times New Roman" w:cs="Times New Roman"/>
                <w:color w:val="auto"/>
                <w:sz w:val="24"/>
              </w:rPr>
              <w:t>《危险废物贮存污染控制标准》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GB18597-2023</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建设满足要求的危废仓库，</w:t>
            </w:r>
            <w:r>
              <w:rPr>
                <w:rFonts w:hint="eastAsia" w:cs="Times New Roman"/>
                <w:color w:val="auto"/>
                <w:sz w:val="24"/>
                <w:lang w:val="en-US" w:eastAsia="zh-CN"/>
              </w:rPr>
              <w:t>在建项目</w:t>
            </w:r>
            <w:r>
              <w:rPr>
                <w:rFonts w:hint="eastAsia" w:ascii="Times New Roman" w:hAnsi="Times New Roman" w:eastAsia="宋体" w:cs="Times New Roman"/>
                <w:bCs/>
                <w:color w:val="auto"/>
                <w:sz w:val="24"/>
                <w:szCs w:val="24"/>
                <w:highlight w:val="none"/>
                <w:lang w:val="en-US" w:eastAsia="zh-CN"/>
              </w:rPr>
              <w:t>产生的</w:t>
            </w:r>
            <w:r>
              <w:rPr>
                <w:rFonts w:hint="eastAsia" w:cs="Times New Roman"/>
                <w:bCs/>
                <w:color w:val="auto"/>
                <w:sz w:val="24"/>
                <w:szCs w:val="24"/>
                <w:highlight w:val="none"/>
                <w:lang w:val="en-US" w:eastAsia="zh-CN"/>
              </w:rPr>
              <w:t>废润滑油、废包装桶（废切削液桶）</w:t>
            </w:r>
            <w:r>
              <w:rPr>
                <w:rFonts w:hint="eastAsia" w:ascii="Times New Roman" w:hAnsi="Times New Roman" w:eastAsia="宋体" w:cs="Times New Roman"/>
                <w:bCs/>
                <w:color w:val="auto"/>
                <w:sz w:val="24"/>
                <w:szCs w:val="24"/>
                <w:highlight w:val="none"/>
                <w:lang w:val="en-US" w:eastAsia="zh-CN"/>
              </w:rPr>
              <w:t>经收集后暂存在危废仓库内，定期委托有资质单位集中处理</w:t>
            </w:r>
            <w:r>
              <w:rPr>
                <w:rFonts w:hint="eastAsia" w:cs="Times New Roman"/>
                <w:bCs/>
                <w:color w:val="auto"/>
                <w:sz w:val="24"/>
                <w:szCs w:val="24"/>
                <w:highlight w:val="none"/>
                <w:lang w:val="en-US" w:eastAsia="zh-CN"/>
              </w:rPr>
              <w:t>；</w:t>
            </w:r>
          </w:p>
          <w:p w14:paraId="4B1F94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已建项目产生的废布袋经收集后外售综合利用；已建项目产生的废耐火材料经收集后由厂家回收。</w:t>
            </w:r>
          </w:p>
          <w:p w14:paraId="309967A1">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r>
              <w:rPr>
                <w:rFonts w:hint="eastAsia" w:cs="Times New Roman"/>
                <w:b w:val="0"/>
                <w:bCs w:val="0"/>
                <w:color w:val="auto"/>
                <w:sz w:val="24"/>
                <w:szCs w:val="24"/>
                <w:lang w:val="en-US" w:eastAsia="zh-CN"/>
              </w:rPr>
              <w:t>⑤</w:t>
            </w:r>
            <w:r>
              <w:rPr>
                <w:rFonts w:hint="eastAsia" w:ascii="Times New Roman" w:hAnsi="Times New Roman" w:eastAsia="宋体" w:cs="Times New Roman"/>
                <w:b w:val="0"/>
                <w:bCs w:val="0"/>
                <w:color w:val="auto"/>
                <w:sz w:val="24"/>
                <w:szCs w:val="24"/>
                <w:lang w:val="en-US" w:eastAsia="zh-CN"/>
              </w:rPr>
              <w:t>本次根据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固体废物分类与代码名录</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（生态环境部办公厅2024年1月22日印发）确定全厂一般固废代码。</w:t>
            </w:r>
          </w:p>
          <w:p w14:paraId="16267033">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⑥</w:t>
            </w:r>
            <w:r>
              <w:rPr>
                <w:rFonts w:hint="eastAsia" w:ascii="Times New Roman" w:hAnsi="Times New Roman" w:cs="Times New Roman"/>
                <w:b w:val="0"/>
                <w:bCs w:val="0"/>
                <w:color w:val="auto"/>
                <w:sz w:val="24"/>
                <w:szCs w:val="24"/>
                <w:lang w:val="en-US" w:eastAsia="zh-CN"/>
              </w:rPr>
              <w:t>企业应在建设方待本项目建成试生产时，及时</w:t>
            </w:r>
            <w:r>
              <w:rPr>
                <w:rFonts w:hint="eastAsia" w:cs="Times New Roman"/>
                <w:b w:val="0"/>
                <w:bCs w:val="0"/>
                <w:color w:val="auto"/>
                <w:sz w:val="24"/>
                <w:szCs w:val="24"/>
                <w:lang w:val="en-US" w:eastAsia="zh-CN"/>
              </w:rPr>
              <w:t>编制</w:t>
            </w:r>
            <w:r>
              <w:rPr>
                <w:rFonts w:hint="eastAsia" w:ascii="Times New Roman" w:hAnsi="Times New Roman" w:cs="Times New Roman"/>
                <w:b w:val="0"/>
                <w:bCs w:val="0"/>
                <w:color w:val="auto"/>
                <w:sz w:val="24"/>
                <w:szCs w:val="24"/>
                <w:lang w:val="en-US" w:eastAsia="zh-CN"/>
              </w:rPr>
              <w:t>《环境风险评估报告》和《突发环境事故应急预案》，明确项目建成后全厂环境风险等级以及需采取的应急防范措施，报环保部门备案</w:t>
            </w:r>
            <w:r>
              <w:rPr>
                <w:rFonts w:hint="eastAsia" w:cs="Times New Roman"/>
                <w:b w:val="0"/>
                <w:bCs w:val="0"/>
                <w:color w:val="auto"/>
                <w:sz w:val="24"/>
                <w:szCs w:val="24"/>
                <w:lang w:val="en-US" w:eastAsia="zh-CN"/>
              </w:rPr>
              <w:t>。</w:t>
            </w:r>
          </w:p>
          <w:p w14:paraId="6AF88DD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4AF0C3AE">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3D8FD1EB">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731DEF2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78C82B5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0B7E9704">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12B44FD4">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305A0D1C">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008C6D29">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73DA230F">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6295EA9B">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18FD1F7D">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37C1031B">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szCs w:val="24"/>
                <w:lang w:val="en-US" w:eastAsia="zh-CN"/>
              </w:rPr>
            </w:pPr>
          </w:p>
          <w:p w14:paraId="7918CBDB">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eastAsia" w:cs="Times New Roman"/>
                <w:color w:val="auto"/>
                <w:sz w:val="24"/>
                <w:szCs w:val="24"/>
                <w:lang w:val="en-US" w:eastAsia="zh-CN"/>
              </w:rPr>
            </w:pPr>
            <w:r>
              <w:rPr>
                <w:rFonts w:hint="eastAsia" w:cs="Times New Roman"/>
                <w:color w:val="auto"/>
                <w:sz w:val="24"/>
                <w:szCs w:val="24"/>
                <w:lang w:val="en-US" w:eastAsia="zh-CN"/>
              </w:rPr>
              <w:t xml:space="preserve"> </w:t>
            </w:r>
          </w:p>
          <w:p w14:paraId="0BD01C1C">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eastAsia" w:cs="Times New Roman"/>
                <w:color w:val="auto"/>
                <w:sz w:val="24"/>
                <w:szCs w:val="24"/>
                <w:lang w:val="en-US" w:eastAsia="zh-CN"/>
              </w:rPr>
            </w:pPr>
          </w:p>
          <w:p w14:paraId="5CA5A213">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eastAsia" w:cs="Times New Roman"/>
                <w:color w:val="auto"/>
                <w:sz w:val="24"/>
                <w:szCs w:val="24"/>
                <w:lang w:val="en-US" w:eastAsia="zh-CN"/>
              </w:rPr>
            </w:pPr>
          </w:p>
          <w:p w14:paraId="28C3A4BA">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eastAsia" w:cs="Times New Roman"/>
                <w:color w:val="auto"/>
                <w:sz w:val="24"/>
                <w:szCs w:val="24"/>
                <w:lang w:val="en-US" w:eastAsia="zh-CN"/>
              </w:rPr>
            </w:pPr>
          </w:p>
          <w:p w14:paraId="79414858">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eastAsia" w:cs="Times New Roman"/>
                <w:color w:val="auto"/>
                <w:sz w:val="24"/>
                <w:szCs w:val="24"/>
                <w:lang w:val="en-US" w:eastAsia="zh-CN"/>
              </w:rPr>
            </w:pPr>
          </w:p>
          <w:p w14:paraId="6FA2A200">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eastAsia" w:cs="Times New Roman"/>
                <w:color w:val="auto"/>
                <w:sz w:val="24"/>
                <w:szCs w:val="24"/>
                <w:lang w:val="en-US" w:eastAsia="zh-CN"/>
              </w:rPr>
            </w:pPr>
          </w:p>
          <w:p w14:paraId="0F106C11">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0" w:firstLineChars="0"/>
              <w:textAlignment w:val="auto"/>
              <w:rPr>
                <w:rFonts w:hint="default" w:ascii="Times New Roman" w:hAnsi="Times New Roman" w:eastAsia="宋体" w:cs="Times New Roman"/>
                <w:bCs/>
                <w:color w:val="auto"/>
                <w:sz w:val="21"/>
                <w:szCs w:val="21"/>
                <w:highlight w:val="none"/>
                <w:lang w:val="en-US" w:eastAsia="zh-CN"/>
              </w:rPr>
            </w:pPr>
          </w:p>
        </w:tc>
      </w:tr>
    </w:tbl>
    <w:p w14:paraId="10A1A491">
      <w:pPr>
        <w:pStyle w:val="23"/>
        <w:jc w:val="center"/>
        <w:rPr>
          <w:rFonts w:ascii="Times New Roman" w:hAnsi="Times New Roman" w:eastAsia="黑体"/>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3A91EC1">
      <w:pPr>
        <w:pStyle w:val="23"/>
        <w:adjustRightInd w:val="0"/>
        <w:snapToGrid w:val="0"/>
        <w:spacing w:before="0" w:beforeAutospacing="0" w:after="0" w:afterAutospacing="0" w:line="14" w:lineRule="auto"/>
        <w:jc w:val="center"/>
        <w:rPr>
          <w:rFonts w:ascii="Times New Roman" w:hAnsi="Times New Roman" w:eastAsia="黑体"/>
          <w:snapToGrid w:val="0"/>
          <w:color w:val="auto"/>
          <w:sz w:val="30"/>
          <w:szCs w:val="30"/>
          <w:highlight w:val="none"/>
        </w:rPr>
      </w:pPr>
    </w:p>
    <w:p w14:paraId="7B48AF7D">
      <w:pPr>
        <w:pStyle w:val="23"/>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0"/>
        <w:gridCol w:w="8641"/>
      </w:tblGrid>
      <w:tr w14:paraId="6FEEC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52" w:hRule="atLeast"/>
          <w:jc w:val="center"/>
        </w:trPr>
        <w:tc>
          <w:tcPr>
            <w:tcW w:w="420" w:type="dxa"/>
            <w:noWrap w:val="0"/>
            <w:vAlign w:val="center"/>
          </w:tcPr>
          <w:p w14:paraId="113E09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w:t>
            </w:r>
          </w:p>
          <w:p w14:paraId="583980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w:t>
            </w:r>
          </w:p>
          <w:p w14:paraId="51E1D7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质量</w:t>
            </w:r>
          </w:p>
          <w:p w14:paraId="7C7814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现状</w:t>
            </w:r>
          </w:p>
        </w:tc>
        <w:tc>
          <w:tcPr>
            <w:tcW w:w="8641" w:type="dxa"/>
            <w:noWrap w:val="0"/>
            <w:vAlign w:val="center"/>
          </w:tcPr>
          <w:p w14:paraId="789C9AFD">
            <w:pPr>
              <w:keepNext w:val="0"/>
              <w:keepLines w:val="0"/>
              <w:pageBreakBefore w:val="0"/>
              <w:widowControl w:val="0"/>
              <w:numPr>
                <w:ilvl w:val="0"/>
                <w:numId w:val="7"/>
              </w:numPr>
              <w:suppressLineNumbers w:val="0"/>
              <w:kinsoku/>
              <w:wordWrap/>
              <w:overflowPunct/>
              <w:topLinePunct w:val="0"/>
              <w:autoSpaceDE/>
              <w:autoSpaceDN/>
              <w:bidi w:val="0"/>
              <w:spacing w:before="0" w:beforeAutospacing="0" w:after="0" w:afterAutospacing="0" w:line="480" w:lineRule="exact"/>
              <w:ind w:left="-2" w:leftChars="0" w:right="0" w:firstLine="422" w:firstLineChars="0"/>
              <w:textAlignment w:val="auto"/>
              <w:rPr>
                <w:rFonts w:hint="default" w:ascii="Times New Roman" w:hAnsi="Times New Roman" w:cs="Times New Roman"/>
                <w:b/>
                <w:bCs/>
                <w:color w:val="auto"/>
                <w:sz w:val="24"/>
                <w:szCs w:val="24"/>
                <w:highlight w:val="none"/>
              </w:rPr>
            </w:pPr>
            <w:r>
              <w:rPr>
                <w:rFonts w:hint="eastAsia" w:ascii="Times New Roman" w:hAnsi="Times New Roman" w:cs="Times New Roman"/>
                <w:b/>
                <w:bCs/>
                <w:color w:val="auto"/>
                <w:sz w:val="24"/>
                <w:szCs w:val="24"/>
                <w:highlight w:val="none"/>
                <w:lang w:val="en-US" w:eastAsia="zh-CN"/>
              </w:rPr>
              <w:t>地表水环境</w:t>
            </w:r>
            <w:r>
              <w:rPr>
                <w:rFonts w:hint="default" w:ascii="Times New Roman" w:hAnsi="Times New Roman" w:cs="Times New Roman"/>
                <w:b/>
                <w:bCs/>
                <w:color w:val="auto"/>
                <w:sz w:val="24"/>
                <w:szCs w:val="24"/>
                <w:highlight w:val="none"/>
              </w:rPr>
              <w:t>质量现状</w:t>
            </w:r>
          </w:p>
          <w:p w14:paraId="77AF88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1）地表水环境质量标准</w:t>
            </w:r>
          </w:p>
          <w:p w14:paraId="5062C90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根据《江苏省地表水（环境）功能区划</w:t>
            </w:r>
            <w:r>
              <w:rPr>
                <w:rFonts w:hint="eastAsia" w:ascii="Times New Roman" w:hAnsi="Times New Roman" w:cs="Times New Roman"/>
                <w:color w:val="auto"/>
                <w:sz w:val="24"/>
                <w:szCs w:val="24"/>
              </w:rPr>
              <w:t>（2021</w:t>
            </w:r>
            <w:r>
              <w:rPr>
                <w:rFonts w:hint="eastAsia" w:cs="Times New Roman"/>
                <w:color w:val="auto"/>
                <w:sz w:val="24"/>
                <w:szCs w:val="24"/>
                <w:lang w:eastAsia="zh-CN"/>
              </w:rPr>
              <w:t>—</w:t>
            </w:r>
            <w:r>
              <w:rPr>
                <w:rFonts w:hint="eastAsia" w:ascii="Times New Roman" w:hAnsi="Times New Roman" w:cs="Times New Roman"/>
                <w:color w:val="auto"/>
                <w:sz w:val="24"/>
                <w:szCs w:val="24"/>
              </w:rPr>
              <w:t>2030年）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rPr>
              <w:t>（苏环办</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2022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82号文）</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丹金溧漕河</w:t>
            </w:r>
            <w:r>
              <w:rPr>
                <w:rFonts w:hint="eastAsia" w:ascii="Times New Roman" w:hAnsi="Times New Roman" w:cs="Times New Roman"/>
                <w:color w:val="auto"/>
                <w:sz w:val="24"/>
                <w:szCs w:val="24"/>
              </w:rPr>
              <w:t>执行</w:t>
            </w:r>
            <w:r>
              <w:rPr>
                <w:rFonts w:hint="default" w:ascii="Times New Roman" w:hAnsi="Times New Roman" w:cs="Times New Roman"/>
                <w:color w:val="auto"/>
                <w:sz w:val="24"/>
                <w:szCs w:val="24"/>
              </w:rPr>
              <w:t>《地表水环境质量标准》（GB3838-2002）的</w:t>
            </w:r>
            <w:r>
              <w:rPr>
                <w:rFonts w:hint="eastAsia" w:ascii="Times New Roman" w:hAnsi="Times New Roman" w:cs="Times New Roman"/>
                <w:color w:val="auto"/>
                <w:sz w:val="24"/>
                <w:szCs w:val="24"/>
              </w:rPr>
              <w:t>III</w:t>
            </w:r>
            <w:r>
              <w:rPr>
                <w:rFonts w:hint="default" w:ascii="Times New Roman" w:hAnsi="Times New Roman" w:cs="Times New Roman"/>
                <w:color w:val="auto"/>
                <w:sz w:val="24"/>
                <w:szCs w:val="24"/>
              </w:rPr>
              <w:t>类标准。具体标准见表3</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-1。</w:t>
            </w:r>
          </w:p>
          <w:p w14:paraId="7EB2C41F">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-1 地表水环境质量标准限值表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02"/>
              <w:gridCol w:w="1907"/>
              <w:gridCol w:w="1624"/>
              <w:gridCol w:w="1508"/>
              <w:gridCol w:w="1036"/>
              <w:gridCol w:w="1245"/>
            </w:tblGrid>
            <w:tr w14:paraId="2E5AB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654" w:type="pct"/>
                  <w:tcBorders>
                    <w:tl2br w:val="nil"/>
                    <w:tr2bl w:val="nil"/>
                  </w:tcBorders>
                  <w:noWrap w:val="0"/>
                  <w:vAlign w:val="center"/>
                </w:tcPr>
                <w:p w14:paraId="0CDF258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水域名</w:t>
                  </w:r>
                </w:p>
              </w:tc>
              <w:tc>
                <w:tcPr>
                  <w:tcW w:w="1132" w:type="pct"/>
                  <w:tcBorders>
                    <w:tl2br w:val="nil"/>
                    <w:tr2bl w:val="nil"/>
                  </w:tcBorders>
                  <w:noWrap w:val="0"/>
                  <w:vAlign w:val="center"/>
                </w:tcPr>
                <w:p w14:paraId="548FFBC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964" w:type="pct"/>
                  <w:tcBorders>
                    <w:tl2br w:val="nil"/>
                    <w:tr2bl w:val="nil"/>
                  </w:tcBorders>
                  <w:noWrap w:val="0"/>
                  <w:vAlign w:val="center"/>
                </w:tcPr>
                <w:p w14:paraId="5D8FB69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表号及级别</w:t>
                  </w:r>
                </w:p>
              </w:tc>
              <w:tc>
                <w:tcPr>
                  <w:tcW w:w="895" w:type="pct"/>
                  <w:tcBorders>
                    <w:tl2br w:val="nil"/>
                    <w:tr2bl w:val="nil"/>
                  </w:tcBorders>
                  <w:noWrap w:val="0"/>
                  <w:vAlign w:val="center"/>
                </w:tcPr>
                <w:p w14:paraId="0AD40A3D">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污染物指标</w:t>
                  </w:r>
                </w:p>
              </w:tc>
              <w:tc>
                <w:tcPr>
                  <w:tcW w:w="615" w:type="pct"/>
                  <w:tcBorders>
                    <w:tl2br w:val="nil"/>
                    <w:tr2bl w:val="nil"/>
                  </w:tcBorders>
                  <w:noWrap w:val="0"/>
                  <w:vAlign w:val="center"/>
                </w:tcPr>
                <w:p w14:paraId="1F0D0AC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738" w:type="pct"/>
                  <w:tcBorders>
                    <w:tl2br w:val="nil"/>
                    <w:tr2bl w:val="nil"/>
                  </w:tcBorders>
                  <w:noWrap w:val="0"/>
                  <w:vAlign w:val="center"/>
                </w:tcPr>
                <w:p w14:paraId="7A031AD7">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58513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654" w:type="pct"/>
                  <w:vMerge w:val="restart"/>
                  <w:tcBorders>
                    <w:tl2br w:val="nil"/>
                    <w:tr2bl w:val="nil"/>
                  </w:tcBorders>
                  <w:noWrap w:val="0"/>
                  <w:vAlign w:val="center"/>
                </w:tcPr>
                <w:p w14:paraId="4905FF3C">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丹金溧漕河</w:t>
                  </w:r>
                </w:p>
              </w:tc>
              <w:tc>
                <w:tcPr>
                  <w:tcW w:w="1132" w:type="pct"/>
                  <w:vMerge w:val="restart"/>
                  <w:tcBorders>
                    <w:tl2br w:val="nil"/>
                    <w:tr2bl w:val="nil"/>
                  </w:tcBorders>
                  <w:noWrap w:val="0"/>
                  <w:vAlign w:val="center"/>
                </w:tcPr>
                <w:p w14:paraId="1F71F9B8">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w:t>
                  </w:r>
                </w:p>
              </w:tc>
              <w:tc>
                <w:tcPr>
                  <w:tcW w:w="964" w:type="pct"/>
                  <w:vMerge w:val="restart"/>
                  <w:tcBorders>
                    <w:tl2br w:val="nil"/>
                    <w:tr2bl w:val="nil"/>
                  </w:tcBorders>
                  <w:noWrap w:val="0"/>
                  <w:vAlign w:val="center"/>
                </w:tcPr>
                <w:p w14:paraId="5A5257A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表1</w:t>
                  </w:r>
                </w:p>
                <w:p w14:paraId="79B6325D">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III类</w:t>
                  </w:r>
                </w:p>
              </w:tc>
              <w:tc>
                <w:tcPr>
                  <w:tcW w:w="895" w:type="pct"/>
                  <w:tcBorders>
                    <w:tl2br w:val="nil"/>
                    <w:tr2bl w:val="nil"/>
                  </w:tcBorders>
                  <w:noWrap w:val="0"/>
                  <w:vAlign w:val="center"/>
                </w:tcPr>
                <w:p w14:paraId="1E43D98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pH</w:t>
                  </w:r>
                </w:p>
              </w:tc>
              <w:tc>
                <w:tcPr>
                  <w:tcW w:w="615" w:type="pct"/>
                  <w:tcBorders>
                    <w:tl2br w:val="nil"/>
                    <w:tr2bl w:val="nil"/>
                  </w:tcBorders>
                  <w:noWrap w:val="0"/>
                  <w:vAlign w:val="center"/>
                </w:tcPr>
                <w:p w14:paraId="225B44A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eastAsia" w:ascii="宋体" w:hAnsi="宋体" w:cs="宋体"/>
                      <w:color w:val="auto"/>
                      <w:sz w:val="21"/>
                      <w:szCs w:val="21"/>
                      <w:lang w:bidi="ar"/>
                    </w:rPr>
                    <w:t>－</w:t>
                  </w:r>
                </w:p>
              </w:tc>
              <w:tc>
                <w:tcPr>
                  <w:tcW w:w="738" w:type="pct"/>
                  <w:tcBorders>
                    <w:tl2br w:val="nil"/>
                    <w:tr2bl w:val="nil"/>
                  </w:tcBorders>
                  <w:noWrap w:val="0"/>
                  <w:vAlign w:val="center"/>
                </w:tcPr>
                <w:p w14:paraId="7A11A92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w:t>
                  </w:r>
                  <w:r>
                    <w:rPr>
                      <w:rFonts w:hint="eastAsia" w:cs="Times New Roman"/>
                      <w:color w:val="auto"/>
                      <w:sz w:val="21"/>
                      <w:szCs w:val="21"/>
                      <w:lang w:eastAsia="zh-CN" w:bidi="ar"/>
                    </w:rPr>
                    <w:t>~</w:t>
                  </w:r>
                  <w:r>
                    <w:rPr>
                      <w:rFonts w:hint="default" w:ascii="Times New Roman" w:hAnsi="Times New Roman" w:cs="Times New Roman"/>
                      <w:color w:val="auto"/>
                      <w:sz w:val="21"/>
                      <w:szCs w:val="21"/>
                      <w:lang w:bidi="ar"/>
                    </w:rPr>
                    <w:t>9</w:t>
                  </w:r>
                </w:p>
              </w:tc>
            </w:tr>
            <w:tr w14:paraId="5D94B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654" w:type="pct"/>
                  <w:vMerge w:val="continue"/>
                  <w:tcBorders>
                    <w:tl2br w:val="nil"/>
                    <w:tr2bl w:val="nil"/>
                  </w:tcBorders>
                  <w:noWrap w:val="0"/>
                  <w:vAlign w:val="center"/>
                </w:tcPr>
                <w:p w14:paraId="7143C80E">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1132" w:type="pct"/>
                  <w:vMerge w:val="continue"/>
                  <w:tcBorders>
                    <w:tl2br w:val="nil"/>
                    <w:tr2bl w:val="nil"/>
                  </w:tcBorders>
                  <w:noWrap w:val="0"/>
                  <w:vAlign w:val="center"/>
                </w:tcPr>
                <w:p w14:paraId="580C8154">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964" w:type="pct"/>
                  <w:vMerge w:val="continue"/>
                  <w:tcBorders>
                    <w:tl2br w:val="nil"/>
                    <w:tr2bl w:val="nil"/>
                  </w:tcBorders>
                  <w:noWrap w:val="0"/>
                  <w:vAlign w:val="center"/>
                </w:tcPr>
                <w:p w14:paraId="144C1D13">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895" w:type="pct"/>
                  <w:tcBorders>
                    <w:tl2br w:val="nil"/>
                    <w:tr2bl w:val="nil"/>
                  </w:tcBorders>
                  <w:noWrap w:val="0"/>
                  <w:vAlign w:val="center"/>
                </w:tcPr>
                <w:p w14:paraId="28D61F2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COD</w:t>
                  </w:r>
                </w:p>
              </w:tc>
              <w:tc>
                <w:tcPr>
                  <w:tcW w:w="615" w:type="pct"/>
                  <w:tcBorders>
                    <w:tl2br w:val="nil"/>
                    <w:tr2bl w:val="nil"/>
                  </w:tcBorders>
                  <w:noWrap w:val="0"/>
                  <w:vAlign w:val="center"/>
                </w:tcPr>
                <w:p w14:paraId="06AF046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mg/L</w:t>
                  </w:r>
                </w:p>
              </w:tc>
              <w:tc>
                <w:tcPr>
                  <w:tcW w:w="738" w:type="pct"/>
                  <w:tcBorders>
                    <w:tl2br w:val="nil"/>
                    <w:tr2bl w:val="nil"/>
                  </w:tcBorders>
                  <w:noWrap w:val="0"/>
                  <w:vAlign w:val="center"/>
                </w:tcPr>
                <w:p w14:paraId="2E96FCE9">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r>
            <w:tr w14:paraId="57FCA1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654" w:type="pct"/>
                  <w:vMerge w:val="continue"/>
                  <w:tcBorders>
                    <w:tl2br w:val="nil"/>
                    <w:tr2bl w:val="nil"/>
                  </w:tcBorders>
                  <w:noWrap w:val="0"/>
                  <w:vAlign w:val="center"/>
                </w:tcPr>
                <w:p w14:paraId="5C2971D4">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 w:val="21"/>
                      <w:szCs w:val="21"/>
                    </w:rPr>
                  </w:pPr>
                </w:p>
              </w:tc>
              <w:tc>
                <w:tcPr>
                  <w:tcW w:w="1132" w:type="pct"/>
                  <w:vMerge w:val="continue"/>
                  <w:tcBorders>
                    <w:tl2br w:val="nil"/>
                    <w:tr2bl w:val="nil"/>
                  </w:tcBorders>
                  <w:noWrap w:val="0"/>
                  <w:vAlign w:val="center"/>
                </w:tcPr>
                <w:p w14:paraId="66BC5CB2">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964" w:type="pct"/>
                  <w:vMerge w:val="continue"/>
                  <w:tcBorders>
                    <w:tl2br w:val="nil"/>
                    <w:tr2bl w:val="nil"/>
                  </w:tcBorders>
                  <w:noWrap w:val="0"/>
                  <w:vAlign w:val="center"/>
                </w:tcPr>
                <w:p w14:paraId="22122583">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895" w:type="pct"/>
                  <w:tcBorders>
                    <w:tl2br w:val="nil"/>
                    <w:tr2bl w:val="nil"/>
                  </w:tcBorders>
                  <w:noWrap w:val="0"/>
                  <w:vAlign w:val="center"/>
                </w:tcPr>
                <w:p w14:paraId="03117D2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eastAsia" w:ascii="宋体" w:hAnsi="宋体" w:cs="宋体"/>
                      <w:color w:val="auto"/>
                      <w:sz w:val="21"/>
                      <w:szCs w:val="21"/>
                      <w:lang w:bidi="ar"/>
                    </w:rPr>
                    <w:t>氨氮</w:t>
                  </w:r>
                </w:p>
              </w:tc>
              <w:tc>
                <w:tcPr>
                  <w:tcW w:w="615" w:type="pct"/>
                  <w:tcBorders>
                    <w:tl2br w:val="nil"/>
                    <w:tr2bl w:val="nil"/>
                  </w:tcBorders>
                  <w:noWrap w:val="0"/>
                  <w:vAlign w:val="center"/>
                </w:tcPr>
                <w:p w14:paraId="1EC258C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mg/L</w:t>
                  </w:r>
                </w:p>
              </w:tc>
              <w:tc>
                <w:tcPr>
                  <w:tcW w:w="738" w:type="pct"/>
                  <w:tcBorders>
                    <w:tl2br w:val="nil"/>
                    <w:tr2bl w:val="nil"/>
                  </w:tcBorders>
                  <w:noWrap w:val="0"/>
                  <w:vAlign w:val="center"/>
                </w:tcPr>
                <w:p w14:paraId="025E3821">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w:t>
                  </w:r>
                </w:p>
              </w:tc>
            </w:tr>
            <w:tr w14:paraId="0CCAF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exact"/>
                <w:jc w:val="center"/>
              </w:trPr>
              <w:tc>
                <w:tcPr>
                  <w:tcW w:w="654" w:type="pct"/>
                  <w:vMerge w:val="continue"/>
                  <w:tcBorders>
                    <w:tl2br w:val="nil"/>
                    <w:tr2bl w:val="nil"/>
                  </w:tcBorders>
                  <w:noWrap w:val="0"/>
                  <w:vAlign w:val="center"/>
                </w:tcPr>
                <w:p w14:paraId="2DA9A243">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1132" w:type="pct"/>
                  <w:vMerge w:val="continue"/>
                  <w:tcBorders>
                    <w:tl2br w:val="nil"/>
                    <w:tr2bl w:val="nil"/>
                  </w:tcBorders>
                  <w:noWrap w:val="0"/>
                  <w:vAlign w:val="center"/>
                </w:tcPr>
                <w:p w14:paraId="35E69166">
                  <w:pPr>
                    <w:keepNext w:val="0"/>
                    <w:keepLines w:val="0"/>
                    <w:suppressLineNumbers w:val="0"/>
                    <w:spacing w:before="0" w:beforeAutospacing="0" w:after="0" w:afterAutospacing="0" w:line="240" w:lineRule="exact"/>
                    <w:ind w:left="0" w:right="0" w:firstLine="480"/>
                    <w:jc w:val="center"/>
                    <w:rPr>
                      <w:rFonts w:hint="default" w:ascii="Times New Roman" w:hAnsi="Times New Roman" w:cs="Times New Roman"/>
                      <w:color w:val="auto"/>
                      <w:sz w:val="21"/>
                      <w:szCs w:val="21"/>
                    </w:rPr>
                  </w:pPr>
                </w:p>
              </w:tc>
              <w:tc>
                <w:tcPr>
                  <w:tcW w:w="964" w:type="pct"/>
                  <w:vMerge w:val="continue"/>
                  <w:tcBorders>
                    <w:tl2br w:val="nil"/>
                    <w:tr2bl w:val="nil"/>
                  </w:tcBorders>
                  <w:noWrap w:val="0"/>
                  <w:vAlign w:val="center"/>
                </w:tcPr>
                <w:p w14:paraId="2419307A">
                  <w:pPr>
                    <w:keepNext w:val="0"/>
                    <w:keepLines w:val="0"/>
                    <w:suppressLineNumbers w:val="0"/>
                    <w:spacing w:before="0" w:beforeAutospacing="0" w:after="0" w:afterAutospacing="0" w:line="240" w:lineRule="exact"/>
                    <w:ind w:left="0" w:right="0" w:firstLine="688" w:firstLineChars="328"/>
                    <w:rPr>
                      <w:rFonts w:hint="default" w:ascii="Times New Roman" w:hAnsi="Times New Roman" w:cs="Times New Roman"/>
                      <w:color w:val="auto"/>
                      <w:sz w:val="21"/>
                      <w:szCs w:val="21"/>
                    </w:rPr>
                  </w:pPr>
                </w:p>
              </w:tc>
              <w:tc>
                <w:tcPr>
                  <w:tcW w:w="895" w:type="pct"/>
                  <w:tcBorders>
                    <w:tl2br w:val="nil"/>
                    <w:tr2bl w:val="nil"/>
                  </w:tcBorders>
                  <w:noWrap w:val="0"/>
                  <w:vAlign w:val="center"/>
                </w:tcPr>
                <w:p w14:paraId="40BFE2B5">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1"/>
                      <w:lang w:val="en-US" w:eastAsia="zh-CN" w:bidi="ar-SA"/>
                    </w:rPr>
                  </w:pPr>
                  <w:r>
                    <w:rPr>
                      <w:rFonts w:hint="eastAsia" w:ascii="宋体" w:hAnsi="宋体" w:cs="宋体"/>
                      <w:color w:val="auto"/>
                      <w:sz w:val="21"/>
                      <w:szCs w:val="21"/>
                      <w:lang w:bidi="ar"/>
                    </w:rPr>
                    <w:t>总磷</w:t>
                  </w:r>
                </w:p>
              </w:tc>
              <w:tc>
                <w:tcPr>
                  <w:tcW w:w="615" w:type="pct"/>
                  <w:tcBorders>
                    <w:tl2br w:val="nil"/>
                    <w:tr2bl w:val="nil"/>
                  </w:tcBorders>
                  <w:noWrap w:val="0"/>
                  <w:vAlign w:val="center"/>
                </w:tcPr>
                <w:p w14:paraId="1C7DD9D2">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bidi="ar"/>
                    </w:rPr>
                    <w:t>mg/L</w:t>
                  </w:r>
                </w:p>
              </w:tc>
              <w:tc>
                <w:tcPr>
                  <w:tcW w:w="738" w:type="pct"/>
                  <w:tcBorders>
                    <w:tl2br w:val="nil"/>
                    <w:tr2bl w:val="nil"/>
                  </w:tcBorders>
                  <w:noWrap w:val="0"/>
                  <w:vAlign w:val="center"/>
                </w:tcPr>
                <w:p w14:paraId="58ECD425">
                  <w:pPr>
                    <w:keepNext w:val="0"/>
                    <w:keepLines w:val="0"/>
                    <w:widowControl/>
                    <w:suppressLineNumbers w:val="0"/>
                    <w:spacing w:before="0" w:beforeAutospacing="0" w:after="0" w:afterAutospacing="0" w:line="320" w:lineRule="exact"/>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0"/>
                      <w:sz w:val="21"/>
                      <w:szCs w:val="21"/>
                      <w:lang w:bidi="ar"/>
                    </w:rPr>
                    <w:t>0.2</w:t>
                  </w:r>
                </w:p>
              </w:tc>
            </w:tr>
          </w:tbl>
          <w:p w14:paraId="119EC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）区域水环境状况</w:t>
            </w:r>
          </w:p>
          <w:p w14:paraId="3F557592">
            <w:pPr>
              <w:keepNext w:val="0"/>
              <w:keepLines w:val="0"/>
              <w:pageBreakBefore w:val="0"/>
              <w:widowControl w:val="0"/>
              <w:suppressLineNumbers w:val="0"/>
              <w:kinsoku/>
              <w:wordWrap/>
              <w:overflowPunct/>
              <w:topLinePunct w:val="0"/>
              <w:bidi w:val="0"/>
              <w:spacing w:before="0" w:beforeAutospacing="0" w:after="0" w:afterAutospacing="0" w:line="480" w:lineRule="exact"/>
              <w:ind w:left="0" w:right="0"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年常州市生态环境状况公报》中相关内容，国考、省考断面水质达到或好于Ⅲ类比例超额完成省定考核要求，太湖常州水域连续</w:t>
            </w:r>
            <w:r>
              <w:rPr>
                <w:rFonts w:hint="eastAsia" w:ascii="Times New Roman" w:hAnsi="Times New Roman" w:cs="Times New Roman"/>
                <w:color w:val="auto"/>
                <w:sz w:val="24"/>
                <w:lang w:val="en-US" w:eastAsia="zh-CN"/>
              </w:rPr>
              <w:t>16</w:t>
            </w:r>
            <w:r>
              <w:rPr>
                <w:rFonts w:hint="default" w:ascii="Times New Roman" w:hAnsi="Times New Roman" w:cs="Times New Roman"/>
                <w:color w:val="auto"/>
                <w:sz w:val="24"/>
              </w:rPr>
              <w:t>年实现安全度夏。长江干流（常州段）水质连续6年稳</w:t>
            </w:r>
            <w:r>
              <w:rPr>
                <w:rFonts w:hint="default" w:ascii="Times New Roman" w:hAnsi="Times New Roman" w:cs="Times New Roman"/>
                <w:color w:val="auto"/>
                <w:sz w:val="24"/>
                <w:szCs w:val="24"/>
              </w:rPr>
              <w:t>定</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2 \* ROMAN \* MERGEFORMAT </w:instrText>
            </w:r>
            <w:r>
              <w:rPr>
                <w:rFonts w:hint="default" w:ascii="Times New Roman" w:hAnsi="Times New Roman" w:cs="Times New Roman"/>
                <w:color w:val="auto"/>
                <w:sz w:val="24"/>
                <w:szCs w:val="24"/>
              </w:rPr>
              <w:fldChar w:fldCharType="separate"/>
            </w:r>
            <w:r>
              <w:rPr>
                <w:rFonts w:hint="default"/>
                <w:color w:val="auto"/>
                <w:sz w:val="24"/>
                <w:szCs w:val="24"/>
              </w:rPr>
              <w:t>II</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类水</w:t>
            </w:r>
            <w:r>
              <w:rPr>
                <w:rFonts w:hint="default" w:ascii="Times New Roman" w:hAnsi="Times New Roman" w:cs="Times New Roman"/>
                <w:color w:val="auto"/>
                <w:sz w:val="24"/>
              </w:rPr>
              <w:t>平，主要入湖河道、集中式饮用水源地水质达到省定考核目标。</w:t>
            </w:r>
          </w:p>
          <w:p w14:paraId="33E5132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年，常州市纳入</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十四五</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国家地表水环境质量考核的20个断面，年均水质达到或好于《地表水环境质量标准》（GB3838-2002）Ⅲ类标准的断面比例为85%，无劣Ⅴ类断面。纳入江苏省</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十四五</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水环境质量目标考核的51个断面，年均水质达到或好于Ⅲ类的比例为94.1%，无劣Ⅴ类断面。</w:t>
            </w:r>
          </w:p>
          <w:p w14:paraId="07290F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2、环境空气质量</w:t>
            </w:r>
            <w:r>
              <w:rPr>
                <w:rFonts w:hint="eastAsia" w:ascii="Times New Roman" w:hAnsi="Times New Roman" w:eastAsia="宋体" w:cs="Times New Roman"/>
                <w:b/>
                <w:bCs/>
                <w:color w:val="auto"/>
                <w:sz w:val="24"/>
                <w:szCs w:val="24"/>
                <w:lang w:val="en-US" w:eastAsia="zh-CN"/>
              </w:rPr>
              <w:t>现状</w:t>
            </w:r>
          </w:p>
          <w:p w14:paraId="5590F71C">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1）大气环境质量标准</w:t>
            </w:r>
          </w:p>
          <w:p w14:paraId="6D1BB1C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根据《常州市环境空气质量功能区划分规定（2017）》（常州市人民政府，常政发</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2017</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160号），本项目大气环境功能为二类区，执行《环境空气质量标准》（GB3095–2012）二级标准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详见表</w:t>
            </w:r>
            <w:r>
              <w:rPr>
                <w:rFonts w:hint="eastAsia" w:ascii="Times New Roman" w:hAnsi="Times New Roman" w:eastAsia="宋体" w:cs="Times New Roman"/>
                <w:color w:val="auto"/>
                <w:sz w:val="24"/>
                <w:szCs w:val="24"/>
                <w:lang w:val="en-US" w:eastAsia="zh-CN"/>
              </w:rPr>
              <w:t>3.1-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p>
          <w:p w14:paraId="0B901661">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color w:val="auto"/>
                <w:sz w:val="24"/>
                <w:szCs w:val="24"/>
              </w:rPr>
            </w:pPr>
          </w:p>
          <w:p w14:paraId="29FB98B4">
            <w:pPr>
              <w:keepNext w:val="0"/>
              <w:keepLines w:val="0"/>
              <w:suppressLineNumbers w:val="0"/>
              <w:spacing w:before="0" w:beforeAutospacing="0" w:after="0" w:afterAutospacing="0" w:line="48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val="en-US" w:eastAsia="zh-CN"/>
              </w:rPr>
              <w:t>3.1-</w:t>
            </w:r>
            <w:r>
              <w:rPr>
                <w:rFonts w:hint="eastAsia"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环境空气质量标准限值表</w:t>
            </w:r>
          </w:p>
          <w:tbl>
            <w:tblPr>
              <w:tblStyle w:val="27"/>
              <w:tblW w:w="83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1"/>
              <w:gridCol w:w="1036"/>
              <w:gridCol w:w="1870"/>
              <w:gridCol w:w="946"/>
              <w:gridCol w:w="981"/>
              <w:gridCol w:w="951"/>
              <w:gridCol w:w="873"/>
              <w:gridCol w:w="879"/>
            </w:tblGrid>
            <w:tr w14:paraId="6FACA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1" w:type="dxa"/>
                  <w:vMerge w:val="restart"/>
                  <w:tcBorders>
                    <w:tl2br w:val="nil"/>
                    <w:tr2bl w:val="nil"/>
                  </w:tcBorders>
                  <w:noWrap w:val="0"/>
                  <w:vAlign w:val="center"/>
                </w:tcPr>
                <w:p w14:paraId="038A5B0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区域名</w:t>
                  </w:r>
                </w:p>
              </w:tc>
              <w:tc>
                <w:tcPr>
                  <w:tcW w:w="1036" w:type="dxa"/>
                  <w:vMerge w:val="restart"/>
                  <w:tcBorders>
                    <w:tl2br w:val="nil"/>
                    <w:tr2bl w:val="nil"/>
                  </w:tcBorders>
                  <w:noWrap w:val="0"/>
                  <w:vAlign w:val="center"/>
                </w:tcPr>
                <w:p w14:paraId="1F23245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1870" w:type="dxa"/>
                  <w:vMerge w:val="restart"/>
                  <w:tcBorders>
                    <w:tl2br w:val="nil"/>
                    <w:tr2bl w:val="nil"/>
                  </w:tcBorders>
                  <w:noWrap w:val="0"/>
                  <w:vAlign w:val="center"/>
                </w:tcPr>
                <w:p w14:paraId="1B8C117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表号及</w:t>
                  </w:r>
                </w:p>
                <w:p w14:paraId="3971D83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级别</w:t>
                  </w:r>
                </w:p>
              </w:tc>
              <w:tc>
                <w:tcPr>
                  <w:tcW w:w="946" w:type="dxa"/>
                  <w:vMerge w:val="restart"/>
                  <w:tcBorders>
                    <w:tl2br w:val="nil"/>
                    <w:tr2bl w:val="nil"/>
                  </w:tcBorders>
                  <w:noWrap w:val="0"/>
                  <w:vAlign w:val="center"/>
                </w:tcPr>
                <w:p w14:paraId="1532160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p w14:paraId="65E8847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指标</w:t>
                  </w:r>
                </w:p>
              </w:tc>
              <w:tc>
                <w:tcPr>
                  <w:tcW w:w="981" w:type="dxa"/>
                  <w:vMerge w:val="restart"/>
                  <w:tcBorders>
                    <w:tl2br w:val="nil"/>
                    <w:tr2bl w:val="nil"/>
                  </w:tcBorders>
                  <w:noWrap w:val="0"/>
                  <w:vAlign w:val="center"/>
                </w:tcPr>
                <w:p w14:paraId="1102404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2703" w:type="dxa"/>
                  <w:gridSpan w:val="3"/>
                  <w:tcBorders>
                    <w:tl2br w:val="nil"/>
                    <w:tr2bl w:val="nil"/>
                  </w:tcBorders>
                  <w:noWrap w:val="0"/>
                  <w:vAlign w:val="center"/>
                </w:tcPr>
                <w:p w14:paraId="76D327B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69C99C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1" w:type="dxa"/>
                  <w:vMerge w:val="continue"/>
                  <w:tcBorders>
                    <w:tl2br w:val="nil"/>
                    <w:tr2bl w:val="nil"/>
                  </w:tcBorders>
                  <w:noWrap w:val="0"/>
                  <w:vAlign w:val="center"/>
                </w:tcPr>
                <w:p w14:paraId="5523A36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1036" w:type="dxa"/>
                  <w:vMerge w:val="continue"/>
                  <w:tcBorders>
                    <w:tl2br w:val="nil"/>
                    <w:tr2bl w:val="nil"/>
                  </w:tcBorders>
                  <w:noWrap w:val="0"/>
                  <w:vAlign w:val="center"/>
                </w:tcPr>
                <w:p w14:paraId="01E18F7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1870" w:type="dxa"/>
                  <w:vMerge w:val="continue"/>
                  <w:tcBorders>
                    <w:tl2br w:val="nil"/>
                    <w:tr2bl w:val="nil"/>
                  </w:tcBorders>
                  <w:noWrap w:val="0"/>
                  <w:vAlign w:val="center"/>
                </w:tcPr>
                <w:p w14:paraId="7AC272D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946" w:type="dxa"/>
                  <w:vMerge w:val="continue"/>
                  <w:tcBorders>
                    <w:tl2br w:val="nil"/>
                    <w:tr2bl w:val="nil"/>
                  </w:tcBorders>
                  <w:noWrap w:val="0"/>
                  <w:vAlign w:val="center"/>
                </w:tcPr>
                <w:p w14:paraId="09DA594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981" w:type="dxa"/>
                  <w:vMerge w:val="continue"/>
                  <w:tcBorders>
                    <w:tl2br w:val="nil"/>
                    <w:tr2bl w:val="nil"/>
                  </w:tcBorders>
                  <w:noWrap w:val="0"/>
                  <w:vAlign w:val="center"/>
                </w:tcPr>
                <w:p w14:paraId="0397627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951" w:type="dxa"/>
                  <w:tcBorders>
                    <w:tl2br w:val="nil"/>
                    <w:tr2bl w:val="nil"/>
                  </w:tcBorders>
                  <w:noWrap w:val="0"/>
                  <w:vAlign w:val="center"/>
                </w:tcPr>
                <w:p w14:paraId="1D65B79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年平均</w:t>
                  </w:r>
                </w:p>
              </w:tc>
              <w:tc>
                <w:tcPr>
                  <w:tcW w:w="873" w:type="dxa"/>
                  <w:tcBorders>
                    <w:tl2br w:val="nil"/>
                    <w:tr2bl w:val="nil"/>
                  </w:tcBorders>
                  <w:noWrap w:val="0"/>
                  <w:vAlign w:val="center"/>
                </w:tcPr>
                <w:p w14:paraId="5D58B55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日平均</w:t>
                  </w:r>
                </w:p>
              </w:tc>
              <w:tc>
                <w:tcPr>
                  <w:tcW w:w="879" w:type="dxa"/>
                  <w:tcBorders>
                    <w:tl2br w:val="nil"/>
                    <w:tr2bl w:val="nil"/>
                  </w:tcBorders>
                  <w:noWrap w:val="0"/>
                  <w:vAlign w:val="center"/>
                </w:tcPr>
                <w:p w14:paraId="641BE1C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w:t>
                  </w:r>
                </w:p>
              </w:tc>
            </w:tr>
            <w:tr w14:paraId="5C5029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restart"/>
                  <w:tcBorders>
                    <w:tl2br w:val="nil"/>
                    <w:tr2bl w:val="nil"/>
                  </w:tcBorders>
                  <w:noWrap w:val="0"/>
                  <w:vAlign w:val="center"/>
                </w:tcPr>
                <w:p w14:paraId="119C205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项目所在地周围</w:t>
                  </w:r>
                </w:p>
              </w:tc>
              <w:tc>
                <w:tcPr>
                  <w:tcW w:w="1036" w:type="dxa"/>
                  <w:vMerge w:val="restart"/>
                  <w:tcBorders>
                    <w:tl2br w:val="nil"/>
                    <w:tr2bl w:val="nil"/>
                  </w:tcBorders>
                  <w:noWrap w:val="0"/>
                  <w:vAlign w:val="center"/>
                </w:tcPr>
                <w:p w14:paraId="6E83A14F">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《环境空气质量标准》</w:t>
                  </w:r>
                  <w:r>
                    <w:rPr>
                      <w:rFonts w:hint="default" w:ascii="Times New Roman" w:hAnsi="Times New Roman" w:cs="Times New Roman"/>
                      <w:color w:val="auto"/>
                      <w:sz w:val="21"/>
                      <w:szCs w:val="21"/>
                    </w:rPr>
                    <w:t xml:space="preserve">（GB3095-2012）                                </w:t>
                  </w:r>
                </w:p>
              </w:tc>
              <w:tc>
                <w:tcPr>
                  <w:tcW w:w="1870" w:type="dxa"/>
                  <w:vMerge w:val="restart"/>
                  <w:tcBorders>
                    <w:tl2br w:val="nil"/>
                    <w:tr2bl w:val="nil"/>
                  </w:tcBorders>
                  <w:noWrap w:val="0"/>
                  <w:vAlign w:val="center"/>
                </w:tcPr>
                <w:p w14:paraId="3218D9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表1二级</w:t>
                  </w:r>
                </w:p>
              </w:tc>
              <w:tc>
                <w:tcPr>
                  <w:tcW w:w="946" w:type="dxa"/>
                  <w:tcBorders>
                    <w:tl2br w:val="nil"/>
                    <w:tr2bl w:val="nil"/>
                  </w:tcBorders>
                  <w:noWrap w:val="0"/>
                  <w:vAlign w:val="center"/>
                </w:tcPr>
                <w:p w14:paraId="22E33A1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981" w:type="dxa"/>
                  <w:tcBorders>
                    <w:tl2br w:val="nil"/>
                    <w:tr2bl w:val="nil"/>
                  </w:tcBorders>
                  <w:noWrap w:val="0"/>
                  <w:vAlign w:val="center"/>
                </w:tcPr>
                <w:p w14:paraId="69D6150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951" w:type="dxa"/>
                  <w:tcBorders>
                    <w:tl2br w:val="nil"/>
                    <w:tr2bl w:val="nil"/>
                  </w:tcBorders>
                  <w:noWrap w:val="0"/>
                  <w:vAlign w:val="center"/>
                </w:tcPr>
                <w:p w14:paraId="6983BEC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873" w:type="dxa"/>
                  <w:tcBorders>
                    <w:tl2br w:val="nil"/>
                    <w:tr2bl w:val="nil"/>
                  </w:tcBorders>
                  <w:noWrap w:val="0"/>
                  <w:vAlign w:val="center"/>
                </w:tcPr>
                <w:p w14:paraId="22003B1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879" w:type="dxa"/>
                  <w:tcBorders>
                    <w:tl2br w:val="nil"/>
                    <w:tr2bl w:val="nil"/>
                  </w:tcBorders>
                  <w:noWrap w:val="0"/>
                  <w:vAlign w:val="center"/>
                </w:tcPr>
                <w:p w14:paraId="017137C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r>
            <w:tr w14:paraId="5472D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7E56BC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3F68A32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continue"/>
                  <w:tcBorders>
                    <w:tl2br w:val="nil"/>
                    <w:tr2bl w:val="nil"/>
                  </w:tcBorders>
                  <w:noWrap w:val="0"/>
                  <w:vAlign w:val="center"/>
                </w:tcPr>
                <w:p w14:paraId="799BD33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46" w:type="dxa"/>
                  <w:tcBorders>
                    <w:tl2br w:val="nil"/>
                    <w:tr2bl w:val="nil"/>
                  </w:tcBorders>
                  <w:noWrap w:val="0"/>
                  <w:vAlign w:val="center"/>
                </w:tcPr>
                <w:p w14:paraId="6E4F632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981" w:type="dxa"/>
                  <w:tcBorders>
                    <w:tl2br w:val="nil"/>
                    <w:tr2bl w:val="nil"/>
                  </w:tcBorders>
                  <w:noWrap w:val="0"/>
                  <w:vAlign w:val="center"/>
                </w:tcPr>
                <w:p w14:paraId="165D8A6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951" w:type="dxa"/>
                  <w:tcBorders>
                    <w:tl2br w:val="nil"/>
                    <w:tr2bl w:val="nil"/>
                  </w:tcBorders>
                  <w:noWrap w:val="0"/>
                  <w:vAlign w:val="center"/>
                </w:tcPr>
                <w:p w14:paraId="4867C80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873" w:type="dxa"/>
                  <w:tcBorders>
                    <w:tl2br w:val="nil"/>
                    <w:tr2bl w:val="nil"/>
                  </w:tcBorders>
                  <w:noWrap w:val="0"/>
                  <w:vAlign w:val="center"/>
                </w:tcPr>
                <w:p w14:paraId="3498976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879" w:type="dxa"/>
                  <w:tcBorders>
                    <w:tl2br w:val="nil"/>
                    <w:tr2bl w:val="nil"/>
                  </w:tcBorders>
                  <w:noWrap w:val="0"/>
                  <w:vAlign w:val="center"/>
                </w:tcPr>
                <w:p w14:paraId="06FE2E8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14:paraId="5AA49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62EAAAB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7FE9B30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continue"/>
                  <w:tcBorders>
                    <w:tl2br w:val="nil"/>
                    <w:tr2bl w:val="nil"/>
                  </w:tcBorders>
                  <w:noWrap w:val="0"/>
                  <w:vAlign w:val="center"/>
                </w:tcPr>
                <w:p w14:paraId="1F71434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46" w:type="dxa"/>
                  <w:tcBorders>
                    <w:tl2br w:val="nil"/>
                    <w:tr2bl w:val="nil"/>
                  </w:tcBorders>
                  <w:noWrap w:val="0"/>
                  <w:vAlign w:val="center"/>
                </w:tcPr>
                <w:p w14:paraId="5C0166E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981" w:type="dxa"/>
                  <w:tcBorders>
                    <w:tl2br w:val="nil"/>
                    <w:tr2bl w:val="nil"/>
                  </w:tcBorders>
                  <w:noWrap w:val="0"/>
                  <w:vAlign w:val="center"/>
                </w:tcPr>
                <w:p w14:paraId="5E1C8D6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 m</w:t>
                  </w:r>
                  <w:r>
                    <w:rPr>
                      <w:rFonts w:hint="default" w:ascii="Times New Roman" w:hAnsi="Times New Roman" w:cs="Times New Roman"/>
                      <w:color w:val="auto"/>
                      <w:sz w:val="21"/>
                      <w:szCs w:val="21"/>
                      <w:vertAlign w:val="superscript"/>
                    </w:rPr>
                    <w:t>3</w:t>
                  </w:r>
                </w:p>
              </w:tc>
              <w:tc>
                <w:tcPr>
                  <w:tcW w:w="951" w:type="dxa"/>
                  <w:tcBorders>
                    <w:tl2br w:val="nil"/>
                    <w:tr2bl w:val="nil"/>
                  </w:tcBorders>
                  <w:noWrap w:val="0"/>
                  <w:vAlign w:val="center"/>
                </w:tcPr>
                <w:p w14:paraId="2DF2C4F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73" w:type="dxa"/>
                  <w:tcBorders>
                    <w:tl2br w:val="nil"/>
                    <w:tr2bl w:val="nil"/>
                  </w:tcBorders>
                  <w:noWrap w:val="0"/>
                  <w:vAlign w:val="center"/>
                </w:tcPr>
                <w:p w14:paraId="774F356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79" w:type="dxa"/>
                  <w:tcBorders>
                    <w:tl2br w:val="nil"/>
                    <w:tr2bl w:val="nil"/>
                  </w:tcBorders>
                  <w:noWrap w:val="0"/>
                  <w:vAlign w:val="center"/>
                </w:tcPr>
                <w:p w14:paraId="37CD04B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33AA99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5A6DEB1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08E34A5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continue"/>
                  <w:tcBorders>
                    <w:tl2br w:val="nil"/>
                    <w:tr2bl w:val="nil"/>
                  </w:tcBorders>
                  <w:noWrap w:val="0"/>
                  <w:vAlign w:val="center"/>
                </w:tcPr>
                <w:p w14:paraId="0A7EDC9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46" w:type="dxa"/>
                  <w:tcBorders>
                    <w:tl2br w:val="nil"/>
                    <w:tr2bl w:val="nil"/>
                  </w:tcBorders>
                  <w:noWrap w:val="0"/>
                  <w:vAlign w:val="center"/>
                </w:tcPr>
                <w:p w14:paraId="2D41AE7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981" w:type="dxa"/>
                  <w:tcBorders>
                    <w:tl2br w:val="nil"/>
                    <w:tr2bl w:val="nil"/>
                  </w:tcBorders>
                  <w:noWrap w:val="0"/>
                  <w:vAlign w:val="center"/>
                </w:tcPr>
                <w:p w14:paraId="399C167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824" w:type="dxa"/>
                  <w:gridSpan w:val="2"/>
                  <w:tcBorders>
                    <w:tl2br w:val="nil"/>
                    <w:tr2bl w:val="nil"/>
                  </w:tcBorders>
                  <w:noWrap w:val="0"/>
                  <w:vAlign w:val="center"/>
                </w:tcPr>
                <w:p w14:paraId="3E1D8C1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160（日最大8小时平均）</w:t>
                  </w:r>
                </w:p>
              </w:tc>
              <w:tc>
                <w:tcPr>
                  <w:tcW w:w="879" w:type="dxa"/>
                  <w:tcBorders>
                    <w:tl2br w:val="nil"/>
                    <w:tr2bl w:val="nil"/>
                  </w:tcBorders>
                  <w:noWrap w:val="0"/>
                  <w:vAlign w:val="center"/>
                </w:tcPr>
                <w:p w14:paraId="3AB9BF3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r>
            <w:tr w14:paraId="0C691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5701CB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22DB243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continue"/>
                  <w:tcBorders>
                    <w:tl2br w:val="nil"/>
                    <w:tr2bl w:val="nil"/>
                  </w:tcBorders>
                  <w:noWrap w:val="0"/>
                  <w:vAlign w:val="center"/>
                </w:tcPr>
                <w:p w14:paraId="289FCE1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46" w:type="dxa"/>
                  <w:tcBorders>
                    <w:tl2br w:val="nil"/>
                    <w:tr2bl w:val="nil"/>
                  </w:tcBorders>
                  <w:noWrap w:val="0"/>
                  <w:vAlign w:val="center"/>
                </w:tcPr>
                <w:p w14:paraId="10AEC37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981" w:type="dxa"/>
                  <w:tcBorders>
                    <w:tl2br w:val="nil"/>
                    <w:tr2bl w:val="nil"/>
                  </w:tcBorders>
                  <w:noWrap w:val="0"/>
                  <w:vAlign w:val="center"/>
                </w:tcPr>
                <w:p w14:paraId="7530655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951" w:type="dxa"/>
                  <w:tcBorders>
                    <w:tl2br w:val="nil"/>
                    <w:tr2bl w:val="nil"/>
                  </w:tcBorders>
                  <w:noWrap w:val="0"/>
                  <w:vAlign w:val="center"/>
                </w:tcPr>
                <w:p w14:paraId="3CCB1C8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873" w:type="dxa"/>
                  <w:tcBorders>
                    <w:tl2br w:val="nil"/>
                    <w:tr2bl w:val="nil"/>
                  </w:tcBorders>
                  <w:noWrap w:val="0"/>
                  <w:vAlign w:val="center"/>
                </w:tcPr>
                <w:p w14:paraId="46C802B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w:t>
                  </w:r>
                </w:p>
              </w:tc>
              <w:tc>
                <w:tcPr>
                  <w:tcW w:w="879" w:type="dxa"/>
                  <w:tcBorders>
                    <w:tl2br w:val="nil"/>
                    <w:tr2bl w:val="nil"/>
                  </w:tcBorders>
                  <w:noWrap w:val="0"/>
                  <w:vAlign w:val="center"/>
                </w:tcPr>
                <w:p w14:paraId="5F9ABA9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2E6E9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2498DD0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3D9C799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continue"/>
                  <w:tcBorders>
                    <w:tl2br w:val="nil"/>
                    <w:tr2bl w:val="nil"/>
                  </w:tcBorders>
                  <w:noWrap w:val="0"/>
                  <w:vAlign w:val="center"/>
                </w:tcPr>
                <w:p w14:paraId="47AFE5F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46" w:type="dxa"/>
                  <w:tcBorders>
                    <w:tl2br w:val="nil"/>
                    <w:tr2bl w:val="nil"/>
                  </w:tcBorders>
                  <w:noWrap w:val="0"/>
                  <w:vAlign w:val="center"/>
                </w:tcPr>
                <w:p w14:paraId="1EF846C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981" w:type="dxa"/>
                  <w:tcBorders>
                    <w:tl2br w:val="nil"/>
                    <w:tr2bl w:val="nil"/>
                  </w:tcBorders>
                  <w:noWrap w:val="0"/>
                  <w:vAlign w:val="center"/>
                </w:tcPr>
                <w:p w14:paraId="6016DCC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951" w:type="dxa"/>
                  <w:tcBorders>
                    <w:tl2br w:val="nil"/>
                    <w:tr2bl w:val="nil"/>
                  </w:tcBorders>
                  <w:noWrap w:val="0"/>
                  <w:vAlign w:val="center"/>
                </w:tcPr>
                <w:p w14:paraId="0D4530B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873" w:type="dxa"/>
                  <w:tcBorders>
                    <w:tl2br w:val="nil"/>
                    <w:tr2bl w:val="nil"/>
                  </w:tcBorders>
                  <w:noWrap w:val="0"/>
                  <w:vAlign w:val="center"/>
                </w:tcPr>
                <w:p w14:paraId="67619BF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879" w:type="dxa"/>
                  <w:tcBorders>
                    <w:tl2br w:val="nil"/>
                    <w:tr2bl w:val="nil"/>
                  </w:tcBorders>
                  <w:noWrap w:val="0"/>
                  <w:vAlign w:val="center"/>
                </w:tcPr>
                <w:p w14:paraId="4140B6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7335B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59C1A7B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16ADA94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restart"/>
                  <w:tcBorders>
                    <w:tl2br w:val="nil"/>
                    <w:tr2bl w:val="nil"/>
                  </w:tcBorders>
                  <w:noWrap w:val="0"/>
                  <w:vAlign w:val="center"/>
                </w:tcPr>
                <w:p w14:paraId="10F437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表2二级</w:t>
                  </w:r>
                </w:p>
              </w:tc>
              <w:tc>
                <w:tcPr>
                  <w:tcW w:w="946" w:type="dxa"/>
                  <w:tcBorders>
                    <w:tl2br w:val="nil"/>
                    <w:tr2bl w:val="nil"/>
                  </w:tcBorders>
                  <w:shd w:val="clear" w:color="auto" w:fill="auto"/>
                  <w:noWrap w:val="0"/>
                  <w:vAlign w:val="center"/>
                </w:tcPr>
                <w:p w14:paraId="1DA2503E">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0"/>
                      <w:lang w:val="en-US" w:eastAsia="zh-CN" w:bidi="ar-SA"/>
                    </w:rPr>
                  </w:pPr>
                  <w:r>
                    <w:rPr>
                      <w:rFonts w:hint="default"/>
                      <w:color w:val="auto"/>
                    </w:rPr>
                    <w:t>TSP</w:t>
                  </w:r>
                </w:p>
              </w:tc>
              <w:tc>
                <w:tcPr>
                  <w:tcW w:w="981" w:type="dxa"/>
                  <w:tcBorders>
                    <w:tl2br w:val="nil"/>
                    <w:tr2bl w:val="nil"/>
                  </w:tcBorders>
                  <w:shd w:val="clear" w:color="auto" w:fill="auto"/>
                  <w:noWrap w:val="0"/>
                  <w:vAlign w:val="center"/>
                </w:tcPr>
                <w:p w14:paraId="17B2E38A">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0"/>
                      <w:lang w:val="en-US" w:eastAsia="zh-CN" w:bidi="ar-SA"/>
                    </w:rPr>
                  </w:pPr>
                  <w:r>
                    <w:rPr>
                      <w:rFonts w:hint="default"/>
                      <w:color w:val="auto"/>
                    </w:rPr>
                    <w:t>μg/m³</w:t>
                  </w:r>
                </w:p>
              </w:tc>
              <w:tc>
                <w:tcPr>
                  <w:tcW w:w="951" w:type="dxa"/>
                  <w:tcBorders>
                    <w:tl2br w:val="nil"/>
                    <w:tr2bl w:val="nil"/>
                  </w:tcBorders>
                  <w:shd w:val="clear" w:color="auto" w:fill="auto"/>
                  <w:noWrap w:val="0"/>
                  <w:vAlign w:val="center"/>
                </w:tcPr>
                <w:p w14:paraId="2AC4F985">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0"/>
                      <w:lang w:val="en-US" w:eastAsia="zh-CN" w:bidi="ar-SA"/>
                    </w:rPr>
                  </w:pPr>
                  <w:r>
                    <w:rPr>
                      <w:rFonts w:hint="default"/>
                      <w:color w:val="auto"/>
                    </w:rPr>
                    <w:t>200</w:t>
                  </w:r>
                </w:p>
              </w:tc>
              <w:tc>
                <w:tcPr>
                  <w:tcW w:w="873" w:type="dxa"/>
                  <w:tcBorders>
                    <w:tl2br w:val="nil"/>
                    <w:tr2bl w:val="nil"/>
                  </w:tcBorders>
                  <w:shd w:val="clear" w:color="auto" w:fill="auto"/>
                  <w:noWrap w:val="0"/>
                  <w:vAlign w:val="center"/>
                </w:tcPr>
                <w:p w14:paraId="0ABBCE31">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0"/>
                      <w:lang w:val="en-US" w:eastAsia="zh-CN" w:bidi="ar-SA"/>
                    </w:rPr>
                  </w:pPr>
                  <w:r>
                    <w:rPr>
                      <w:rFonts w:hint="default"/>
                      <w:color w:val="auto"/>
                    </w:rPr>
                    <w:t>300</w:t>
                  </w:r>
                </w:p>
              </w:tc>
              <w:tc>
                <w:tcPr>
                  <w:tcW w:w="879" w:type="dxa"/>
                  <w:tcBorders>
                    <w:tl2br w:val="nil"/>
                    <w:tr2bl w:val="nil"/>
                  </w:tcBorders>
                  <w:shd w:val="clear" w:color="auto" w:fill="auto"/>
                  <w:noWrap w:val="0"/>
                  <w:vAlign w:val="center"/>
                </w:tcPr>
                <w:p w14:paraId="3F789B97">
                  <w:pPr>
                    <w:pStyle w:val="109"/>
                    <w:keepNext w:val="0"/>
                    <w:keepLines w:val="0"/>
                    <w:suppressLineNumbers w:val="0"/>
                    <w:spacing w:before="0" w:beforeAutospacing="0" w:after="0" w:afterAutospacing="0"/>
                    <w:ind w:left="0" w:right="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 w:val="21"/>
                      <w:szCs w:val="21"/>
                    </w:rPr>
                    <w:t>/</w:t>
                  </w:r>
                </w:p>
              </w:tc>
            </w:tr>
            <w:tr w14:paraId="6C760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109630D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7BAE37F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vMerge w:val="continue"/>
                  <w:tcBorders>
                    <w:tl2br w:val="nil"/>
                    <w:tr2bl w:val="nil"/>
                  </w:tcBorders>
                  <w:noWrap w:val="0"/>
                  <w:vAlign w:val="center"/>
                </w:tcPr>
                <w:p w14:paraId="3DE0B8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946" w:type="dxa"/>
                  <w:tcBorders>
                    <w:tl2br w:val="nil"/>
                    <w:tr2bl w:val="nil"/>
                  </w:tcBorders>
                  <w:noWrap w:val="0"/>
                  <w:vAlign w:val="center"/>
                </w:tcPr>
                <w:p w14:paraId="5CF89CC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NO</w:t>
                  </w:r>
                  <w:r>
                    <w:rPr>
                      <w:rFonts w:hint="eastAsia" w:ascii="Times New Roman" w:hAnsi="Times New Roman" w:cs="Times New Roman"/>
                      <w:color w:val="auto"/>
                      <w:sz w:val="21"/>
                      <w:szCs w:val="21"/>
                      <w:vertAlign w:val="subscript"/>
                      <w:lang w:val="en-US" w:eastAsia="zh-CN"/>
                    </w:rPr>
                    <w:t>x</w:t>
                  </w:r>
                </w:p>
              </w:tc>
              <w:tc>
                <w:tcPr>
                  <w:tcW w:w="981" w:type="dxa"/>
                  <w:tcBorders>
                    <w:tl2br w:val="nil"/>
                    <w:tr2bl w:val="nil"/>
                  </w:tcBorders>
                  <w:noWrap w:val="0"/>
                  <w:vAlign w:val="center"/>
                </w:tcPr>
                <w:p w14:paraId="10E52E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951" w:type="dxa"/>
                  <w:tcBorders>
                    <w:tl2br w:val="nil"/>
                    <w:tr2bl w:val="nil"/>
                  </w:tcBorders>
                  <w:noWrap w:val="0"/>
                  <w:vAlign w:val="center"/>
                </w:tcPr>
                <w:p w14:paraId="2EB181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50</w:t>
                  </w:r>
                </w:p>
              </w:tc>
              <w:tc>
                <w:tcPr>
                  <w:tcW w:w="873" w:type="dxa"/>
                  <w:tcBorders>
                    <w:tl2br w:val="nil"/>
                    <w:tr2bl w:val="nil"/>
                  </w:tcBorders>
                  <w:noWrap w:val="0"/>
                  <w:vAlign w:val="center"/>
                </w:tcPr>
                <w:p w14:paraId="58FA96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100</w:t>
                  </w:r>
                </w:p>
              </w:tc>
              <w:tc>
                <w:tcPr>
                  <w:tcW w:w="879" w:type="dxa"/>
                  <w:tcBorders>
                    <w:tl2br w:val="nil"/>
                    <w:tr2bl w:val="nil"/>
                  </w:tcBorders>
                  <w:noWrap w:val="0"/>
                  <w:vAlign w:val="center"/>
                </w:tcPr>
                <w:p w14:paraId="7FCF6D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250</w:t>
                  </w:r>
                </w:p>
              </w:tc>
            </w:tr>
            <w:tr w14:paraId="004CE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2E92B77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036" w:type="dxa"/>
                  <w:vMerge w:val="continue"/>
                  <w:tcBorders>
                    <w:tl2br w:val="nil"/>
                    <w:tr2bl w:val="nil"/>
                  </w:tcBorders>
                  <w:noWrap w:val="0"/>
                  <w:vAlign w:val="center"/>
                </w:tcPr>
                <w:p w14:paraId="41C9C49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870" w:type="dxa"/>
                  <w:tcBorders>
                    <w:tl2br w:val="nil"/>
                    <w:tr2bl w:val="nil"/>
                  </w:tcBorders>
                  <w:shd w:val="clear" w:color="auto" w:fill="auto"/>
                  <w:noWrap w:val="0"/>
                  <w:vAlign w:val="center"/>
                </w:tcPr>
                <w:p w14:paraId="436A52C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附录A表A.1二级</w:t>
                  </w:r>
                </w:p>
              </w:tc>
              <w:tc>
                <w:tcPr>
                  <w:tcW w:w="946" w:type="dxa"/>
                  <w:tcBorders>
                    <w:tl2br w:val="nil"/>
                    <w:tr2bl w:val="nil"/>
                  </w:tcBorders>
                  <w:shd w:val="clear" w:color="auto" w:fill="auto"/>
                  <w:noWrap w:val="0"/>
                  <w:vAlign w:val="center"/>
                </w:tcPr>
                <w:p w14:paraId="16C6DA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氟化物</w:t>
                  </w:r>
                </w:p>
              </w:tc>
              <w:tc>
                <w:tcPr>
                  <w:tcW w:w="981" w:type="dxa"/>
                  <w:tcBorders>
                    <w:tl2br w:val="nil"/>
                    <w:tr2bl w:val="nil"/>
                  </w:tcBorders>
                  <w:shd w:val="clear" w:color="auto" w:fill="auto"/>
                  <w:noWrap w:val="0"/>
                  <w:vAlign w:val="center"/>
                </w:tcPr>
                <w:p w14:paraId="4540F3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μg/m</w:t>
                  </w:r>
                  <w:r>
                    <w:rPr>
                      <w:rFonts w:hint="default"/>
                      <w:color w:val="auto"/>
                      <w:szCs w:val="21"/>
                      <w:vertAlign w:val="superscript"/>
                    </w:rPr>
                    <w:t>3</w:t>
                  </w:r>
                </w:p>
              </w:tc>
              <w:tc>
                <w:tcPr>
                  <w:tcW w:w="951" w:type="dxa"/>
                  <w:tcBorders>
                    <w:tl2br w:val="nil"/>
                    <w:tr2bl w:val="nil"/>
                  </w:tcBorders>
                  <w:shd w:val="clear" w:color="auto" w:fill="auto"/>
                  <w:noWrap w:val="0"/>
                  <w:vAlign w:val="center"/>
                </w:tcPr>
                <w:p w14:paraId="7417A9F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w:t>
                  </w:r>
                </w:p>
              </w:tc>
              <w:tc>
                <w:tcPr>
                  <w:tcW w:w="873" w:type="dxa"/>
                  <w:tcBorders>
                    <w:tl2br w:val="nil"/>
                    <w:tr2bl w:val="nil"/>
                  </w:tcBorders>
                  <w:shd w:val="clear" w:color="auto" w:fill="auto"/>
                  <w:noWrap w:val="0"/>
                  <w:vAlign w:val="center"/>
                </w:tcPr>
                <w:p w14:paraId="6028A50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7</w:t>
                  </w:r>
                  <w:r>
                    <w:rPr>
                      <w:rFonts w:hint="default"/>
                      <w:color w:val="auto"/>
                      <w:szCs w:val="21"/>
                      <w:vertAlign w:val="superscript"/>
                    </w:rPr>
                    <w:sym w:font="Wingdings" w:char="F081"/>
                  </w:r>
                </w:p>
              </w:tc>
              <w:tc>
                <w:tcPr>
                  <w:tcW w:w="879" w:type="dxa"/>
                  <w:tcBorders>
                    <w:tl2br w:val="nil"/>
                    <w:tr2bl w:val="nil"/>
                  </w:tcBorders>
                  <w:shd w:val="clear" w:color="auto" w:fill="auto"/>
                  <w:noWrap w:val="0"/>
                  <w:vAlign w:val="center"/>
                </w:tcPr>
                <w:p w14:paraId="4F3B98C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20</w:t>
                  </w:r>
                  <w:r>
                    <w:rPr>
                      <w:rFonts w:hint="default"/>
                      <w:color w:val="auto"/>
                      <w:szCs w:val="21"/>
                      <w:vertAlign w:val="superscript"/>
                    </w:rPr>
                    <w:sym w:font="Wingdings" w:char="F081"/>
                  </w:r>
                </w:p>
              </w:tc>
            </w:tr>
            <w:tr w14:paraId="707BF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5EA6997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906" w:type="dxa"/>
                  <w:gridSpan w:val="2"/>
                  <w:tcBorders>
                    <w:tl2br w:val="nil"/>
                    <w:tr2bl w:val="nil"/>
                  </w:tcBorders>
                  <w:shd w:val="clear" w:color="auto" w:fill="auto"/>
                  <w:noWrap w:val="0"/>
                  <w:vAlign w:val="center"/>
                </w:tcPr>
                <w:p w14:paraId="73EBF35D">
                  <w:pPr>
                    <w:pStyle w:val="71"/>
                    <w:keepNext w:val="0"/>
                    <w:keepLines w:val="0"/>
                    <w:suppressLineNumbers w:val="0"/>
                    <w:spacing w:before="0" w:beforeAutospacing="0" w:after="0" w:afterAutospacing="0"/>
                    <w:ind w:left="258" w:leftChars="0" w:right="0" w:rightChars="0"/>
                    <w:jc w:val="center"/>
                    <w:rPr>
                      <w:rFonts w:hint="default" w:ascii="Times New Roman" w:hAnsi="Times New Roman" w:eastAsia="宋体" w:cs="Times New Roman"/>
                      <w:color w:val="auto"/>
                      <w:spacing w:val="-5"/>
                      <w:kern w:val="0"/>
                      <w:sz w:val="21"/>
                      <w:szCs w:val="21"/>
                      <w:lang w:val="en-US" w:eastAsia="zh-CN" w:bidi="ar-SA"/>
                    </w:rPr>
                  </w:pPr>
                  <w:r>
                    <w:rPr>
                      <w:rFonts w:hint="eastAsia" w:ascii="Times New Roman" w:cs="Times New Roman"/>
                      <w:color w:val="auto"/>
                      <w:spacing w:val="-5"/>
                      <w:sz w:val="21"/>
                      <w:szCs w:val="21"/>
                      <w:lang w:val="en-US" w:eastAsia="zh-CN"/>
                    </w:rPr>
                    <w:t>日本环境厅中央环境审议会议制定的环境标准</w:t>
                  </w:r>
                </w:p>
              </w:tc>
              <w:tc>
                <w:tcPr>
                  <w:tcW w:w="946" w:type="dxa"/>
                  <w:tcBorders>
                    <w:tl2br w:val="nil"/>
                    <w:tr2bl w:val="nil"/>
                  </w:tcBorders>
                  <w:shd w:val="clear" w:color="auto" w:fill="auto"/>
                  <w:noWrap w:val="0"/>
                  <w:vAlign w:val="center"/>
                </w:tcPr>
                <w:p w14:paraId="08553786">
                  <w:pPr>
                    <w:pStyle w:val="71"/>
                    <w:keepNext w:val="0"/>
                    <w:keepLines w:val="0"/>
                    <w:suppressLineNumbers w:val="0"/>
                    <w:spacing w:before="0" w:beforeAutospacing="0" w:after="0" w:afterAutospacing="0"/>
                    <w:ind w:left="131" w:leftChars="0" w:right="123"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二噁英类</w:t>
                  </w:r>
                </w:p>
              </w:tc>
              <w:tc>
                <w:tcPr>
                  <w:tcW w:w="981" w:type="dxa"/>
                  <w:tcBorders>
                    <w:tl2br w:val="nil"/>
                    <w:tr2bl w:val="nil"/>
                  </w:tcBorders>
                  <w:shd w:val="clear" w:color="auto" w:fill="auto"/>
                  <w:noWrap w:val="0"/>
                  <w:vAlign w:val="center"/>
                </w:tcPr>
                <w:p w14:paraId="7A3B3100">
                  <w:pPr>
                    <w:pStyle w:val="71"/>
                    <w:keepNext w:val="0"/>
                    <w:keepLines w:val="0"/>
                    <w:suppressLineNumbers w:val="0"/>
                    <w:spacing w:before="0" w:beforeAutospacing="0" w:after="0" w:afterAutospacing="0"/>
                    <w:ind w:left="90" w:leftChars="0" w:right="82"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sz w:val="21"/>
                      <w:szCs w:val="21"/>
                      <w:lang w:val="en-US" w:eastAsia="zh-CN"/>
                    </w:rPr>
                    <w:t>TEQpg/m</w:t>
                  </w:r>
                  <w:r>
                    <w:rPr>
                      <w:rFonts w:hint="eastAsia" w:ascii="Times New Roman" w:cs="Times New Roman"/>
                      <w:color w:val="auto"/>
                      <w:sz w:val="21"/>
                      <w:szCs w:val="21"/>
                      <w:vertAlign w:val="superscript"/>
                      <w:lang w:val="en-US" w:eastAsia="zh-CN"/>
                    </w:rPr>
                    <w:t>3</w:t>
                  </w:r>
                </w:p>
              </w:tc>
              <w:tc>
                <w:tcPr>
                  <w:tcW w:w="951" w:type="dxa"/>
                  <w:tcBorders>
                    <w:tl2br w:val="nil"/>
                    <w:tr2bl w:val="nil"/>
                  </w:tcBorders>
                  <w:shd w:val="clear" w:color="auto" w:fill="auto"/>
                  <w:noWrap w:val="0"/>
                  <w:vAlign w:val="center"/>
                </w:tcPr>
                <w:p w14:paraId="5FCCAFB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873" w:type="dxa"/>
                  <w:tcBorders>
                    <w:tl2br w:val="nil"/>
                    <w:tr2bl w:val="nil"/>
                  </w:tcBorders>
                  <w:shd w:val="clear" w:color="auto" w:fill="auto"/>
                  <w:noWrap w:val="0"/>
                  <w:vAlign w:val="center"/>
                </w:tcPr>
                <w:p w14:paraId="72B495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879" w:type="dxa"/>
                  <w:tcBorders>
                    <w:tl2br w:val="nil"/>
                    <w:tr2bl w:val="nil"/>
                  </w:tcBorders>
                  <w:shd w:val="clear" w:color="auto" w:fill="auto"/>
                  <w:noWrap w:val="0"/>
                  <w:vAlign w:val="center"/>
                </w:tcPr>
                <w:p w14:paraId="73DE34C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r>
            <w:tr w14:paraId="5974E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33269B8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906" w:type="dxa"/>
                  <w:gridSpan w:val="2"/>
                  <w:tcBorders>
                    <w:tl2br w:val="nil"/>
                    <w:tr2bl w:val="nil"/>
                  </w:tcBorders>
                  <w:shd w:val="clear" w:color="auto" w:fill="auto"/>
                  <w:noWrap w:val="0"/>
                  <w:vAlign w:val="center"/>
                </w:tcPr>
                <w:p w14:paraId="6413F27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color w:val="auto"/>
                    </w:rPr>
                    <w:t>《大气污染物综合排放标准详解》中推荐值</w:t>
                  </w:r>
                </w:p>
              </w:tc>
              <w:tc>
                <w:tcPr>
                  <w:tcW w:w="946" w:type="dxa"/>
                  <w:tcBorders>
                    <w:tl2br w:val="nil"/>
                    <w:tr2bl w:val="nil"/>
                  </w:tcBorders>
                  <w:shd w:val="clear" w:color="auto" w:fill="auto"/>
                  <w:noWrap w:val="0"/>
                  <w:vAlign w:val="center"/>
                </w:tcPr>
                <w:p w14:paraId="2320CE8B">
                  <w:pPr>
                    <w:pStyle w:val="71"/>
                    <w:keepNext w:val="0"/>
                    <w:keepLines w:val="0"/>
                    <w:suppressLineNumbers w:val="0"/>
                    <w:spacing w:before="0" w:beforeAutospacing="0" w:after="0" w:afterAutospacing="0"/>
                    <w:ind w:left="131" w:leftChars="0" w:right="123" w:rightChars="0"/>
                    <w:jc w:val="center"/>
                    <w:rPr>
                      <w:rFonts w:hint="default" w:ascii="Times New Roman" w:hAnsi="Times New Roman" w:eastAsia="宋体" w:cs="Times New Roman"/>
                      <w:color w:val="auto"/>
                      <w:kern w:val="2"/>
                      <w:sz w:val="21"/>
                      <w:szCs w:val="24"/>
                      <w:lang w:val="zh-CN" w:eastAsia="zh-CN" w:bidi="zh-CN"/>
                    </w:rPr>
                  </w:pPr>
                  <w:r>
                    <w:rPr>
                      <w:rFonts w:hint="default" w:ascii="Times New Roman" w:hAnsi="Times New Roman" w:eastAsia="宋体" w:cs="Times New Roman"/>
                      <w:color w:val="auto"/>
                    </w:rPr>
                    <w:t>镍及其化合物</w:t>
                  </w:r>
                </w:p>
              </w:tc>
              <w:tc>
                <w:tcPr>
                  <w:tcW w:w="981" w:type="dxa"/>
                  <w:tcBorders>
                    <w:tl2br w:val="nil"/>
                    <w:tr2bl w:val="nil"/>
                  </w:tcBorders>
                  <w:shd w:val="clear" w:color="auto" w:fill="auto"/>
                  <w:noWrap w:val="0"/>
                  <w:vAlign w:val="center"/>
                </w:tcPr>
                <w:p w14:paraId="7DE2A6CA">
                  <w:pPr>
                    <w:pStyle w:val="71"/>
                    <w:keepNext w:val="0"/>
                    <w:keepLines w:val="0"/>
                    <w:suppressLineNumbers w:val="0"/>
                    <w:spacing w:before="0" w:beforeAutospacing="0" w:after="0" w:afterAutospacing="0"/>
                    <w:ind w:left="90" w:leftChars="0" w:right="81" w:rightChars="0"/>
                    <w:jc w:val="center"/>
                    <w:rPr>
                      <w:rFonts w:hint="default" w:ascii="Times New Roman" w:hAnsi="Times New Roman" w:eastAsia="宋体" w:cs="Times New Roman"/>
                      <w:color w:val="auto"/>
                      <w:kern w:val="2"/>
                      <w:sz w:val="21"/>
                      <w:szCs w:val="24"/>
                      <w:lang w:val="zh-CN" w:eastAsia="zh-CN" w:bidi="zh-CN"/>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2703" w:type="dxa"/>
                  <w:gridSpan w:val="3"/>
                  <w:tcBorders>
                    <w:tl2br w:val="nil"/>
                    <w:tr2bl w:val="nil"/>
                  </w:tcBorders>
                  <w:shd w:val="clear" w:color="auto" w:fill="auto"/>
                  <w:noWrap w:val="0"/>
                  <w:vAlign w:val="center"/>
                </w:tcPr>
                <w:p w14:paraId="2A0B635D">
                  <w:pPr>
                    <w:keepNext w:val="0"/>
                    <w:keepLines w:val="0"/>
                    <w:suppressLineNumbers w:val="0"/>
                    <w:spacing w:before="0" w:beforeAutospacing="0" w:after="0" w:afterAutospacing="0"/>
                    <w:ind w:left="0" w:right="0"/>
                    <w:jc w:val="center"/>
                    <w:rPr>
                      <w:rFonts w:hint="eastAsia"/>
                      <w:color w:val="auto"/>
                      <w:szCs w:val="21"/>
                    </w:rPr>
                  </w:pPr>
                  <w:r>
                    <w:rPr>
                      <w:rFonts w:hint="default"/>
                      <w:color w:val="auto"/>
                    </w:rPr>
                    <w:t>0.03</w:t>
                  </w:r>
                  <w:r>
                    <w:rPr>
                      <w:rFonts w:hint="default" w:eastAsia="宋体"/>
                      <w:color w:val="auto"/>
                    </w:rPr>
                    <w:t>（一次值）</w:t>
                  </w:r>
                </w:p>
              </w:tc>
            </w:tr>
            <w:tr w14:paraId="235C1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821" w:type="dxa"/>
                  <w:vMerge w:val="continue"/>
                  <w:tcBorders>
                    <w:tl2br w:val="nil"/>
                    <w:tr2bl w:val="nil"/>
                  </w:tcBorders>
                  <w:noWrap w:val="0"/>
                  <w:vAlign w:val="center"/>
                </w:tcPr>
                <w:p w14:paraId="6F10AD0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2906" w:type="dxa"/>
                  <w:gridSpan w:val="2"/>
                  <w:tcBorders>
                    <w:tl2br w:val="nil"/>
                    <w:tr2bl w:val="nil"/>
                  </w:tcBorders>
                  <w:shd w:val="clear" w:color="auto" w:fill="auto"/>
                  <w:noWrap w:val="0"/>
                  <w:vAlign w:val="center"/>
                </w:tcPr>
                <w:p w14:paraId="7D1DC6E5">
                  <w:pPr>
                    <w:pStyle w:val="71"/>
                    <w:keepNext w:val="0"/>
                    <w:keepLines w:val="0"/>
                    <w:suppressLineNumbers w:val="0"/>
                    <w:spacing w:before="0" w:beforeAutospacing="0" w:after="0" w:afterAutospacing="0"/>
                    <w:ind w:left="258" w:leftChars="0" w:right="0"/>
                    <w:jc w:val="center"/>
                    <w:rPr>
                      <w:rFonts w:hint="default" w:ascii="Times New Roman" w:hAnsi="Times New Roman" w:eastAsia="宋体" w:cs="Times New Roman"/>
                      <w:color w:val="auto"/>
                      <w:spacing w:val="-5"/>
                      <w:kern w:val="2"/>
                      <w:sz w:val="21"/>
                      <w:szCs w:val="24"/>
                      <w:lang w:val="zh-CN" w:eastAsia="zh-CN" w:bidi="zh-CN"/>
                    </w:rPr>
                  </w:pPr>
                  <w:r>
                    <w:rPr>
                      <w:rFonts w:hint="default" w:ascii="Times New Roman" w:hAnsi="Times New Roman" w:eastAsia="宋体" w:cs="Times New Roman"/>
                      <w:color w:val="auto"/>
                      <w:spacing w:val="-5"/>
                    </w:rPr>
                    <w:t>根据《制定地方大气污染物排放标准的技术方法》（GB/T3840-91）计算</w:t>
                  </w:r>
                </w:p>
              </w:tc>
              <w:tc>
                <w:tcPr>
                  <w:tcW w:w="946" w:type="dxa"/>
                  <w:tcBorders>
                    <w:tl2br w:val="nil"/>
                    <w:tr2bl w:val="nil"/>
                  </w:tcBorders>
                  <w:shd w:val="clear" w:color="auto" w:fill="auto"/>
                  <w:noWrap w:val="0"/>
                  <w:vAlign w:val="center"/>
                </w:tcPr>
                <w:p w14:paraId="555B775C">
                  <w:pPr>
                    <w:pStyle w:val="71"/>
                    <w:keepNext w:val="0"/>
                    <w:keepLines w:val="0"/>
                    <w:suppressLineNumbers w:val="0"/>
                    <w:spacing w:before="0" w:beforeAutospacing="0" w:after="0" w:afterAutospacing="0"/>
                    <w:ind w:left="131" w:leftChars="0" w:right="123" w:rightChars="0"/>
                    <w:jc w:val="center"/>
                    <w:rPr>
                      <w:rFonts w:hint="default" w:ascii="Times New Roman" w:hAnsi="Times New Roman" w:eastAsia="等线" w:cs="Times New Roman"/>
                      <w:color w:val="auto"/>
                      <w:kern w:val="2"/>
                      <w:sz w:val="21"/>
                      <w:szCs w:val="24"/>
                      <w:lang w:val="zh-CN" w:eastAsia="zh-CN" w:bidi="zh-CN"/>
                    </w:rPr>
                  </w:pPr>
                  <w:r>
                    <w:rPr>
                      <w:rFonts w:hint="default" w:ascii="Times New Roman" w:hAnsi="Times New Roman" w:eastAsia="宋体" w:cs="Times New Roman"/>
                      <w:color w:val="auto"/>
                      <w:szCs w:val="21"/>
                    </w:rPr>
                    <w:t>铬</w:t>
                  </w:r>
                </w:p>
              </w:tc>
              <w:tc>
                <w:tcPr>
                  <w:tcW w:w="981" w:type="dxa"/>
                  <w:tcBorders>
                    <w:tl2br w:val="nil"/>
                    <w:tr2bl w:val="nil"/>
                  </w:tcBorders>
                  <w:shd w:val="clear" w:color="auto" w:fill="auto"/>
                  <w:noWrap w:val="0"/>
                  <w:vAlign w:val="center"/>
                </w:tcPr>
                <w:p w14:paraId="12D187E7">
                  <w:pPr>
                    <w:pStyle w:val="71"/>
                    <w:keepNext w:val="0"/>
                    <w:keepLines w:val="0"/>
                    <w:suppressLineNumbers w:val="0"/>
                    <w:spacing w:before="0" w:beforeAutospacing="0" w:after="0" w:afterAutospacing="0"/>
                    <w:ind w:left="90" w:leftChars="0" w:right="82" w:rightChars="0"/>
                    <w:jc w:val="center"/>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Cs w:val="21"/>
                    </w:rPr>
                    <w:t>μg/m</w:t>
                  </w:r>
                  <w:r>
                    <w:rPr>
                      <w:rFonts w:hint="default" w:ascii="Times New Roman" w:hAnsi="Times New Roman" w:cs="Times New Roman"/>
                      <w:color w:val="auto"/>
                      <w:szCs w:val="21"/>
                      <w:vertAlign w:val="superscript"/>
                    </w:rPr>
                    <w:t>3</w:t>
                  </w:r>
                </w:p>
              </w:tc>
              <w:tc>
                <w:tcPr>
                  <w:tcW w:w="2703" w:type="dxa"/>
                  <w:gridSpan w:val="3"/>
                  <w:tcBorders>
                    <w:tl2br w:val="nil"/>
                    <w:tr2bl w:val="nil"/>
                  </w:tcBorders>
                  <w:shd w:val="clear" w:color="auto" w:fill="auto"/>
                  <w:noWrap w:val="0"/>
                  <w:vAlign w:val="center"/>
                </w:tcPr>
                <w:p w14:paraId="35AB5F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2.78</w:t>
                  </w:r>
                  <w:r>
                    <w:rPr>
                      <w:rFonts w:hint="default" w:ascii="Times New Roman" w:hAnsi="Times New Roman" w:cs="Times New Roman"/>
                      <w:color w:val="auto"/>
                    </w:rPr>
                    <w:t>（一次值）</w:t>
                  </w:r>
                </w:p>
              </w:tc>
            </w:tr>
          </w:tbl>
          <w:p w14:paraId="443EC00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备注：</w:t>
            </w:r>
            <w:r>
              <w:rPr>
                <w:rFonts w:hint="default" w:ascii="Times New Roman" w:hAnsi="Times New Roman" w:cs="Times New Roman"/>
                <w:b/>
                <w:bCs/>
                <w:color w:val="auto"/>
                <w:sz w:val="21"/>
                <w:szCs w:val="21"/>
              </w:rPr>
              <w:sym w:font="Wingdings" w:char="F081"/>
            </w:r>
            <w:r>
              <w:rPr>
                <w:rFonts w:hint="eastAsia" w:ascii="Times New Roman" w:hAnsi="Times New Roman" w:cs="Times New Roman"/>
                <w:b/>
                <w:bCs/>
                <w:color w:val="auto"/>
                <w:sz w:val="21"/>
                <w:szCs w:val="21"/>
              </w:rPr>
              <w:t>适用于城市地区。</w:t>
            </w:r>
          </w:p>
          <w:p w14:paraId="23EC08D6">
            <w:pPr>
              <w:keepNext w:val="0"/>
              <w:keepLines w:val="0"/>
              <w:suppressLineNumbers w:val="0"/>
              <w:spacing w:before="0" w:beforeAutospacing="0" w:after="0" w:afterAutospacing="0"/>
              <w:ind w:left="0" w:right="0"/>
              <w:rPr>
                <w:rFonts w:hint="default" w:ascii="Times New Roman" w:hAnsi="Times New Roman"/>
                <w:b w:val="0"/>
                <w:bCs w:val="0"/>
                <w:color w:val="auto"/>
                <w:szCs w:val="21"/>
              </w:rPr>
            </w:pPr>
            <w:r>
              <w:rPr>
                <w:rFonts w:hint="eastAsia" w:ascii="Times New Roman" w:hAnsi="Times New Roman"/>
                <w:b w:val="0"/>
                <w:bCs w:val="0"/>
                <w:color w:val="auto"/>
                <w:szCs w:val="21"/>
                <w:lang w:val="en-US" w:eastAsia="zh-CN"/>
              </w:rPr>
              <w:t>1、</w:t>
            </w:r>
            <w:r>
              <w:rPr>
                <w:rFonts w:hint="default" w:ascii="Times New Roman" w:hAnsi="Times New Roman"/>
                <w:b w:val="0"/>
                <w:bCs w:val="0"/>
                <w:color w:val="auto"/>
                <w:spacing w:val="-7"/>
                <w:szCs w:val="21"/>
              </w:rPr>
              <w:t>根据《环境影响评价技术导则 大气环境》</w:t>
            </w:r>
            <w:r>
              <w:rPr>
                <w:rFonts w:hint="default" w:ascii="Times New Roman" w:hAnsi="Times New Roman"/>
                <w:b w:val="0"/>
                <w:bCs w:val="0"/>
                <w:color w:val="auto"/>
                <w:szCs w:val="21"/>
              </w:rPr>
              <w:t>（</w:t>
            </w:r>
            <w:r>
              <w:rPr>
                <w:rFonts w:hint="default" w:ascii="Times New Roman" w:hAnsi="Times New Roman" w:eastAsia="Times New Roman"/>
                <w:b w:val="0"/>
                <w:bCs w:val="0"/>
                <w:color w:val="auto"/>
                <w:spacing w:val="-1"/>
                <w:szCs w:val="21"/>
              </w:rPr>
              <w:t>HJ2.2-201</w:t>
            </w:r>
            <w:r>
              <w:rPr>
                <w:rFonts w:hint="default" w:ascii="Times New Roman" w:hAnsi="Times New Roman" w:eastAsia="Times New Roman"/>
                <w:b w:val="0"/>
                <w:bCs w:val="0"/>
                <w:color w:val="auto"/>
                <w:szCs w:val="21"/>
              </w:rPr>
              <w:t>8</w:t>
            </w:r>
            <w:r>
              <w:rPr>
                <w:rFonts w:hint="default" w:ascii="Times New Roman" w:hAnsi="Times New Roman"/>
                <w:b w:val="0"/>
                <w:bCs w:val="0"/>
                <w:color w:val="auto"/>
                <w:spacing w:val="-90"/>
                <w:szCs w:val="21"/>
              </w:rPr>
              <w:t>）</w:t>
            </w:r>
            <w:r>
              <w:rPr>
                <w:rFonts w:hint="default" w:ascii="Times New Roman" w:hAnsi="Times New Roman"/>
                <w:b w:val="0"/>
                <w:bCs w:val="0"/>
                <w:color w:val="auto"/>
                <w:spacing w:val="-3"/>
                <w:szCs w:val="21"/>
              </w:rPr>
              <w:t>，对于仅有</w:t>
            </w:r>
            <w:r>
              <w:rPr>
                <w:rFonts w:hint="default" w:ascii="Times New Roman" w:hAnsi="Times New Roman" w:eastAsia="Times New Roman"/>
                <w:b w:val="0"/>
                <w:bCs w:val="0"/>
                <w:color w:val="auto"/>
                <w:szCs w:val="21"/>
              </w:rPr>
              <w:t>8h</w:t>
            </w:r>
            <w:r>
              <w:rPr>
                <w:rFonts w:hint="default" w:ascii="Times New Roman" w:hAnsi="Times New Roman"/>
                <w:b w:val="0"/>
                <w:bCs w:val="0"/>
                <w:color w:val="auto"/>
                <w:szCs w:val="21"/>
              </w:rPr>
              <w:t>平均质量浓度限值、日平均质量浓</w:t>
            </w:r>
            <w:r>
              <w:rPr>
                <w:rFonts w:hint="default" w:ascii="Times New Roman" w:hAnsi="Times New Roman"/>
                <w:b w:val="0"/>
                <w:bCs w:val="0"/>
                <w:color w:val="auto"/>
                <w:spacing w:val="-3"/>
                <w:szCs w:val="21"/>
              </w:rPr>
              <w:t>度限值或年平均质量浓度限值的，可分别按</w:t>
            </w:r>
            <w:r>
              <w:rPr>
                <w:rFonts w:hint="default" w:ascii="Times New Roman" w:hAnsi="Times New Roman" w:eastAsia="Times New Roman"/>
                <w:b w:val="0"/>
                <w:bCs w:val="0"/>
                <w:color w:val="auto"/>
                <w:szCs w:val="21"/>
              </w:rPr>
              <w:t>2</w:t>
            </w:r>
            <w:r>
              <w:rPr>
                <w:rFonts w:hint="default" w:ascii="Times New Roman" w:hAnsi="Times New Roman"/>
                <w:b w:val="0"/>
                <w:bCs w:val="0"/>
                <w:color w:val="auto"/>
                <w:szCs w:val="21"/>
              </w:rPr>
              <w:t>倍、</w:t>
            </w:r>
            <w:r>
              <w:rPr>
                <w:rFonts w:hint="default" w:ascii="Times New Roman" w:hAnsi="Times New Roman" w:eastAsia="Times New Roman"/>
                <w:b w:val="0"/>
                <w:bCs w:val="0"/>
                <w:color w:val="auto"/>
                <w:szCs w:val="21"/>
              </w:rPr>
              <w:t>3</w:t>
            </w:r>
            <w:r>
              <w:rPr>
                <w:rFonts w:hint="default" w:ascii="Times New Roman" w:hAnsi="Times New Roman"/>
                <w:b w:val="0"/>
                <w:bCs w:val="0"/>
                <w:color w:val="auto"/>
                <w:szCs w:val="21"/>
              </w:rPr>
              <w:t>倍、</w:t>
            </w:r>
            <w:r>
              <w:rPr>
                <w:rFonts w:hint="default" w:ascii="Times New Roman" w:hAnsi="Times New Roman" w:eastAsia="Times New Roman"/>
                <w:b w:val="0"/>
                <w:bCs w:val="0"/>
                <w:color w:val="auto"/>
                <w:szCs w:val="21"/>
              </w:rPr>
              <w:t>6</w:t>
            </w:r>
            <w:r>
              <w:rPr>
                <w:rFonts w:hint="default" w:ascii="Times New Roman" w:hAnsi="Times New Roman"/>
                <w:b w:val="0"/>
                <w:bCs w:val="0"/>
                <w:color w:val="auto"/>
                <w:spacing w:val="-9"/>
                <w:szCs w:val="21"/>
              </w:rPr>
              <w:t>倍折算为</w:t>
            </w:r>
            <w:r>
              <w:rPr>
                <w:rFonts w:hint="default" w:ascii="Times New Roman" w:hAnsi="Times New Roman" w:eastAsia="Times New Roman"/>
                <w:b w:val="0"/>
                <w:bCs w:val="0"/>
                <w:color w:val="auto"/>
                <w:szCs w:val="21"/>
              </w:rPr>
              <w:t>1h</w:t>
            </w:r>
            <w:r>
              <w:rPr>
                <w:rFonts w:hint="default" w:ascii="Times New Roman" w:hAnsi="Times New Roman"/>
                <w:b w:val="0"/>
                <w:bCs w:val="0"/>
                <w:color w:val="auto"/>
                <w:szCs w:val="21"/>
              </w:rPr>
              <w:t>平均质量浓度限值。</w:t>
            </w:r>
          </w:p>
          <w:p w14:paraId="6F3CF168">
            <w:pPr>
              <w:keepNext w:val="0"/>
              <w:keepLines w:val="0"/>
              <w:suppressLineNumbers w:val="0"/>
              <w:spacing w:before="0" w:beforeAutospacing="0" w:after="0" w:afterAutospacing="0" w:line="240" w:lineRule="auto"/>
              <w:ind w:left="0" w:right="0"/>
              <w:rPr>
                <w:rFonts w:hint="default" w:ascii="Times New Roman" w:hAnsi="Times New Roman"/>
                <w:color w:val="auto"/>
                <w:sz w:val="21"/>
                <w:szCs w:val="21"/>
              </w:rPr>
            </w:pPr>
            <w:r>
              <w:rPr>
                <w:rFonts w:hint="eastAsia" w:ascii="Times New Roman" w:hAnsi="Times New Roman"/>
                <w:b w:val="0"/>
                <w:bCs w:val="0"/>
                <w:color w:val="auto"/>
                <w:sz w:val="21"/>
                <w:szCs w:val="21"/>
                <w:lang w:val="en-US" w:eastAsia="zh-CN"/>
              </w:rPr>
              <w:t>2、</w:t>
            </w:r>
            <w:r>
              <w:rPr>
                <w:rFonts w:hint="default" w:ascii="Times New Roman" w:hAnsi="Times New Roman"/>
                <w:color w:val="auto"/>
                <w:sz w:val="21"/>
                <w:szCs w:val="21"/>
              </w:rPr>
              <w:t>参考《制定地方大气污染物排放标准的技术方法》（GB/T3840-91）中最高允许排放速率计算方法：</w:t>
            </w:r>
          </w:p>
          <w:p w14:paraId="5E1778D7">
            <w:pPr>
              <w:keepNext w:val="0"/>
              <w:keepLines w:val="0"/>
              <w:suppressLineNumbers w:val="0"/>
              <w:spacing w:before="0" w:beforeAutospacing="0" w:after="0" w:afterAutospacing="0" w:line="240" w:lineRule="auto"/>
              <w:ind w:left="0" w:right="0" w:firstLine="420" w:firstLineChars="200"/>
              <w:rPr>
                <w:rFonts w:hint="default" w:ascii="Times New Roman" w:hAnsi="Times New Roman"/>
                <w:color w:val="auto"/>
                <w:sz w:val="21"/>
                <w:szCs w:val="21"/>
              </w:rPr>
            </w:pPr>
            <w:r>
              <w:rPr>
                <w:rFonts w:hint="default" w:ascii="Times New Roman" w:hAnsi="Times New Roman"/>
                <w:color w:val="auto"/>
                <w:sz w:val="21"/>
                <w:szCs w:val="21"/>
              </w:rPr>
              <w:t>Q=C</w:t>
            </w:r>
            <w:r>
              <w:rPr>
                <w:rFonts w:hint="default" w:ascii="Times New Roman" w:hAnsi="Times New Roman"/>
                <w:color w:val="auto"/>
                <w:sz w:val="21"/>
                <w:szCs w:val="21"/>
                <w:vertAlign w:val="subscript"/>
              </w:rPr>
              <w:t>m</w:t>
            </w:r>
            <w:r>
              <w:rPr>
                <w:rFonts w:hint="default" w:ascii="Times New Roman" w:hAnsi="Times New Roman"/>
                <w:color w:val="auto"/>
                <w:sz w:val="21"/>
                <w:szCs w:val="21"/>
              </w:rPr>
              <w:t>•R•K</w:t>
            </w:r>
            <w:r>
              <w:rPr>
                <w:rFonts w:hint="default" w:ascii="Times New Roman" w:hAnsi="Times New Roman"/>
                <w:color w:val="auto"/>
                <w:sz w:val="21"/>
                <w:szCs w:val="21"/>
                <w:vertAlign w:val="subscript"/>
              </w:rPr>
              <w:t>e</w:t>
            </w:r>
          </w:p>
          <w:p w14:paraId="126688A1">
            <w:pPr>
              <w:keepNext w:val="0"/>
              <w:keepLines w:val="0"/>
              <w:suppressLineNumbers w:val="0"/>
              <w:spacing w:before="0" w:beforeAutospacing="0" w:after="0" w:afterAutospacing="0" w:line="240" w:lineRule="auto"/>
              <w:ind w:left="0" w:right="0" w:firstLine="420" w:firstLineChars="200"/>
              <w:rPr>
                <w:rFonts w:hint="default" w:ascii="Times New Roman" w:hAnsi="Times New Roman"/>
                <w:color w:val="auto"/>
                <w:sz w:val="21"/>
                <w:szCs w:val="21"/>
              </w:rPr>
            </w:pPr>
            <w:r>
              <w:rPr>
                <w:rFonts w:hint="default" w:ascii="Times New Roman" w:hAnsi="Times New Roman"/>
                <w:color w:val="auto"/>
                <w:sz w:val="21"/>
                <w:szCs w:val="21"/>
              </w:rPr>
              <w:t>Q——排气筒允许排放速率，kg/h，根据</w:t>
            </w:r>
            <w:r>
              <w:rPr>
                <w:rFonts w:hint="default" w:ascii="Times New Roman" w:hAnsi="Times New Roman"/>
                <w:color w:val="auto"/>
                <w:spacing w:val="-10"/>
                <w:sz w:val="21"/>
                <w:szCs w:val="21"/>
              </w:rPr>
              <w:t>《大气污染物综合排放标准》（DB32/4041-2021），铬及其化合物排气筒允许排放速率为0.025 kg/h</w:t>
            </w:r>
            <w:r>
              <w:rPr>
                <w:rFonts w:hint="default" w:ascii="Times New Roman" w:hAnsi="Times New Roman"/>
                <w:color w:val="auto"/>
                <w:sz w:val="21"/>
                <w:szCs w:val="21"/>
              </w:rPr>
              <w:t>；</w:t>
            </w:r>
          </w:p>
          <w:p w14:paraId="5F5A048D">
            <w:pPr>
              <w:keepNext w:val="0"/>
              <w:keepLines w:val="0"/>
              <w:suppressLineNumbers w:val="0"/>
              <w:spacing w:before="0" w:beforeAutospacing="0" w:after="0" w:afterAutospacing="0" w:line="240" w:lineRule="auto"/>
              <w:ind w:left="0" w:right="0" w:firstLine="420" w:firstLineChars="200"/>
              <w:rPr>
                <w:rFonts w:hint="default" w:ascii="Times New Roman" w:hAnsi="Times New Roman"/>
                <w:color w:val="auto"/>
                <w:sz w:val="21"/>
                <w:szCs w:val="21"/>
              </w:rPr>
            </w:pPr>
            <w:r>
              <w:rPr>
                <w:rFonts w:hint="default" w:ascii="Times New Roman" w:hAnsi="Times New Roman"/>
                <w:color w:val="auto"/>
                <w:sz w:val="21"/>
                <w:szCs w:val="21"/>
              </w:rPr>
              <w:t>C</w:t>
            </w:r>
            <w:r>
              <w:rPr>
                <w:rFonts w:hint="default" w:ascii="Times New Roman" w:hAnsi="Times New Roman"/>
                <w:color w:val="auto"/>
                <w:sz w:val="21"/>
                <w:szCs w:val="21"/>
                <w:vertAlign w:val="subscript"/>
              </w:rPr>
              <w:t>m</w:t>
            </w:r>
            <w:r>
              <w:rPr>
                <w:rFonts w:hint="default" w:ascii="Times New Roman" w:hAnsi="Times New Roman"/>
                <w:color w:val="auto"/>
                <w:sz w:val="21"/>
                <w:szCs w:val="21"/>
              </w:rPr>
              <w:t>——按《环境空气质量标准》（GB3095）中的二类地区任何一次浓度限值，mg/m</w:t>
            </w:r>
            <w:r>
              <w:rPr>
                <w:rFonts w:hint="default" w:ascii="Times New Roman" w:hAnsi="Times New Roman"/>
                <w:color w:val="auto"/>
                <w:sz w:val="21"/>
                <w:szCs w:val="21"/>
                <w:vertAlign w:val="superscript"/>
              </w:rPr>
              <w:t>3</w:t>
            </w:r>
            <w:r>
              <w:rPr>
                <w:rFonts w:hint="default" w:ascii="Times New Roman" w:hAnsi="Times New Roman"/>
                <w:color w:val="auto"/>
                <w:sz w:val="21"/>
                <w:szCs w:val="21"/>
              </w:rPr>
              <w:t>，目前铬无标准；</w:t>
            </w:r>
          </w:p>
          <w:p w14:paraId="69C73127">
            <w:pPr>
              <w:keepNext w:val="0"/>
              <w:keepLines w:val="0"/>
              <w:suppressLineNumbers w:val="0"/>
              <w:spacing w:before="0" w:beforeAutospacing="0" w:after="0" w:afterAutospacing="0" w:line="240" w:lineRule="auto"/>
              <w:ind w:left="0" w:right="0" w:firstLine="420" w:firstLineChars="200"/>
              <w:rPr>
                <w:rFonts w:hint="default" w:ascii="Times New Roman" w:hAnsi="Times New Roman"/>
                <w:color w:val="auto"/>
                <w:sz w:val="21"/>
                <w:szCs w:val="21"/>
              </w:rPr>
            </w:pPr>
            <w:r>
              <w:rPr>
                <w:rFonts w:hint="default" w:ascii="Times New Roman" w:hAnsi="Times New Roman"/>
                <w:color w:val="auto"/>
                <w:sz w:val="21"/>
                <w:szCs w:val="21"/>
              </w:rPr>
              <w:t>Ke——经济技术调节系数，取值为0.5~1.5，本项目取1.5；</w:t>
            </w:r>
          </w:p>
          <w:p w14:paraId="54F04B38">
            <w:pPr>
              <w:keepNext w:val="0"/>
              <w:keepLines w:val="0"/>
              <w:suppressLineNumbers w:val="0"/>
              <w:spacing w:before="0" w:beforeAutospacing="0" w:after="0" w:afterAutospacing="0" w:line="240" w:lineRule="auto"/>
              <w:ind w:left="0" w:right="0" w:firstLine="420" w:firstLineChars="200"/>
              <w:rPr>
                <w:rFonts w:hint="default" w:ascii="Times New Roman" w:hAnsi="Times New Roman"/>
                <w:color w:val="auto"/>
                <w:sz w:val="21"/>
                <w:szCs w:val="21"/>
              </w:rPr>
            </w:pPr>
            <w:r>
              <w:rPr>
                <w:rFonts w:hint="default" w:ascii="Times New Roman" w:hAnsi="Times New Roman"/>
                <w:color w:val="auto"/>
                <w:sz w:val="21"/>
                <w:szCs w:val="21"/>
              </w:rPr>
              <w:t>R——排放系数，江苏二类功能区R值取6。</w:t>
            </w:r>
          </w:p>
          <w:p w14:paraId="73016D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color w:val="auto"/>
                <w:sz w:val="21"/>
                <w:szCs w:val="21"/>
              </w:rPr>
            </w:pPr>
            <w:r>
              <w:rPr>
                <w:rFonts w:hint="default" w:ascii="Times New Roman" w:hAnsi="Times New Roman"/>
                <w:color w:val="auto"/>
                <w:sz w:val="21"/>
                <w:szCs w:val="21"/>
              </w:rPr>
              <w:t>经计算，铬的一次浓度限值取2.78μg/m</w:t>
            </w:r>
            <w:r>
              <w:rPr>
                <w:rFonts w:hint="default" w:ascii="Times New Roman" w:hAnsi="Times New Roman"/>
                <w:color w:val="auto"/>
                <w:sz w:val="21"/>
                <w:szCs w:val="21"/>
                <w:vertAlign w:val="superscript"/>
              </w:rPr>
              <w:t>3</w:t>
            </w:r>
            <w:r>
              <w:rPr>
                <w:rFonts w:hint="default" w:ascii="Times New Roman" w:hAnsi="Times New Roman"/>
                <w:color w:val="auto"/>
                <w:sz w:val="21"/>
                <w:szCs w:val="21"/>
              </w:rPr>
              <w:t>。</w:t>
            </w:r>
          </w:p>
          <w:p w14:paraId="337520B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4"/>
              </w:rPr>
              <w:t>区域达标判定</w:t>
            </w:r>
          </w:p>
          <w:p w14:paraId="67B13D1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本次评价选取202</w:t>
            </w:r>
            <w:r>
              <w:rPr>
                <w:rFonts w:hint="eastAsia"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年作为评价基准年，根据</w:t>
            </w:r>
            <w:r>
              <w:rPr>
                <w:rFonts w:hint="eastAsia" w:ascii="Times New Roman" w:hAnsi="Times New Roman" w:cs="Times New Roman"/>
                <w:color w:val="auto"/>
                <w:kern w:val="0"/>
                <w:sz w:val="24"/>
                <w:lang w:eastAsia="zh-CN"/>
              </w:rPr>
              <w:t>《202</w:t>
            </w:r>
            <w:r>
              <w:rPr>
                <w:rFonts w:hint="eastAsia" w:ascii="Times New Roman" w:hAnsi="Times New Roman" w:cs="Times New Roman"/>
                <w:color w:val="auto"/>
                <w:kern w:val="0"/>
                <w:sz w:val="24"/>
                <w:lang w:val="en-US" w:eastAsia="zh-CN"/>
              </w:rPr>
              <w:t>4</w:t>
            </w:r>
            <w:r>
              <w:rPr>
                <w:rFonts w:hint="eastAsia" w:ascii="Times New Roman" w:hAnsi="Times New Roman" w:cs="Times New Roman"/>
                <w:color w:val="auto"/>
                <w:kern w:val="0"/>
                <w:sz w:val="24"/>
                <w:lang w:eastAsia="zh-CN"/>
              </w:rPr>
              <w:t>年常州市生态环境状况公报》</w:t>
            </w:r>
            <w:r>
              <w:rPr>
                <w:rFonts w:hint="default" w:ascii="Times New Roman" w:hAnsi="Times New Roman" w:cs="Times New Roman"/>
                <w:color w:val="auto"/>
                <w:kern w:val="0"/>
                <w:sz w:val="24"/>
              </w:rPr>
              <w:t>，项目所在区域常州市各评价因子数据见表3</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eastAsia"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w:t>
            </w:r>
          </w:p>
          <w:p w14:paraId="6FCE5FB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表3</w:t>
            </w:r>
            <w:r>
              <w:rPr>
                <w:rFonts w:hint="eastAsia" w:ascii="Times New Roman" w:hAnsi="Times New Roman" w:cs="Times New Roman"/>
                <w:b/>
                <w:bCs/>
                <w:color w:val="auto"/>
                <w:kern w:val="0"/>
                <w:sz w:val="24"/>
                <w:szCs w:val="24"/>
                <w:lang w:val="en-US" w:eastAsia="zh-CN"/>
              </w:rPr>
              <w:t>.1</w:t>
            </w:r>
            <w:r>
              <w:rPr>
                <w:rFonts w:hint="default" w:ascii="Times New Roman" w:hAnsi="Times New Roman" w:cs="Times New Roman"/>
                <w:b/>
                <w:bCs/>
                <w:color w:val="auto"/>
                <w:kern w:val="0"/>
                <w:sz w:val="24"/>
                <w:szCs w:val="24"/>
              </w:rPr>
              <w:t>-</w:t>
            </w:r>
            <w:r>
              <w:rPr>
                <w:rFonts w:hint="eastAsia" w:ascii="Times New Roman" w:hAnsi="Times New Roman" w:cs="Times New Roman"/>
                <w:b/>
                <w:bCs/>
                <w:color w:val="auto"/>
                <w:kern w:val="0"/>
                <w:sz w:val="24"/>
                <w:szCs w:val="24"/>
                <w:lang w:val="en-US" w:eastAsia="zh-CN"/>
              </w:rPr>
              <w:t xml:space="preserve">3  </w:t>
            </w:r>
            <w:r>
              <w:rPr>
                <w:rFonts w:hint="default" w:ascii="Times New Roman" w:hAnsi="Times New Roman" w:cs="Times New Roman"/>
                <w:b/>
                <w:bCs/>
                <w:color w:val="auto"/>
                <w:kern w:val="0"/>
                <w:sz w:val="24"/>
                <w:szCs w:val="24"/>
              </w:rPr>
              <w:t>大气基本污染物环境质量现状</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04"/>
              <w:gridCol w:w="2588"/>
              <w:gridCol w:w="1140"/>
              <w:gridCol w:w="1140"/>
              <w:gridCol w:w="1141"/>
              <w:gridCol w:w="862"/>
            </w:tblGrid>
            <w:tr w14:paraId="1E448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noWrap w:val="0"/>
                  <w:vAlign w:val="center"/>
                </w:tcPr>
                <w:p w14:paraId="1BAC824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区域</w:t>
                  </w:r>
                </w:p>
              </w:tc>
              <w:tc>
                <w:tcPr>
                  <w:tcW w:w="830" w:type="dxa"/>
                  <w:noWrap w:val="0"/>
                  <w:vAlign w:val="center"/>
                </w:tcPr>
                <w:p w14:paraId="3E05F3B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w:t>
                  </w:r>
                </w:p>
                <w:p w14:paraId="43BBE8B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因子</w:t>
                  </w:r>
                </w:p>
              </w:tc>
              <w:tc>
                <w:tcPr>
                  <w:tcW w:w="2693" w:type="dxa"/>
                  <w:noWrap w:val="0"/>
                  <w:vAlign w:val="center"/>
                </w:tcPr>
                <w:p w14:paraId="61AD6BE1">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评价指标</w:t>
                  </w:r>
                </w:p>
              </w:tc>
              <w:tc>
                <w:tcPr>
                  <w:tcW w:w="1181" w:type="dxa"/>
                  <w:noWrap w:val="0"/>
                  <w:vAlign w:val="center"/>
                </w:tcPr>
                <w:p w14:paraId="2AD6814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现状浓度（</w:t>
                  </w:r>
                  <w:r>
                    <w:rPr>
                      <w:rFonts w:hint="default" w:ascii="Times New Roman" w:hAnsi="Times New Roman" w:cs="Times New Roman"/>
                      <w:b/>
                      <w:bCs/>
                      <w:color w:val="auto"/>
                      <w:sz w:val="21"/>
                      <w:szCs w:val="21"/>
                    </w:rPr>
                    <w:t>μg/m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1181" w:type="dxa"/>
                  <w:noWrap w:val="0"/>
                  <w:vAlign w:val="center"/>
                </w:tcPr>
                <w:p w14:paraId="206C271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标准值（</w:t>
                  </w:r>
                  <w:r>
                    <w:rPr>
                      <w:rFonts w:hint="default" w:ascii="Times New Roman" w:hAnsi="Times New Roman" w:cs="Times New Roman"/>
                      <w:b/>
                      <w:bCs/>
                      <w:color w:val="auto"/>
                      <w:sz w:val="21"/>
                      <w:szCs w:val="21"/>
                    </w:rPr>
                    <w:t>μg/m</w:t>
                  </w:r>
                  <w:r>
                    <w:rPr>
                      <w:rFonts w:hint="default" w:ascii="Times New Roman" w:hAnsi="Times New Roman" w:cs="Times New Roman"/>
                      <w:b/>
                      <w:color w:val="auto"/>
                      <w:sz w:val="21"/>
                      <w:szCs w:val="21"/>
                      <w:vertAlign w:val="superscript"/>
                    </w:rPr>
                    <w:t>3</w:t>
                  </w:r>
                  <w:r>
                    <w:rPr>
                      <w:rFonts w:hint="default" w:ascii="Times New Roman" w:hAnsi="Times New Roman" w:cs="Times New Roman"/>
                      <w:b/>
                      <w:color w:val="auto"/>
                      <w:sz w:val="21"/>
                      <w:szCs w:val="21"/>
                    </w:rPr>
                    <w:t>）</w:t>
                  </w:r>
                </w:p>
              </w:tc>
              <w:tc>
                <w:tcPr>
                  <w:tcW w:w="1182" w:type="dxa"/>
                  <w:noWrap w:val="0"/>
                  <w:vAlign w:val="center"/>
                </w:tcPr>
                <w:p w14:paraId="6BEC5CC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达标率</w:t>
                  </w:r>
                </w:p>
                <w:p w14:paraId="1C0C56A9">
                  <w:pPr>
                    <w:pStyle w:val="2"/>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eastAsia="宋体"/>
                      <w:color w:val="auto"/>
                      <w:lang w:eastAsia="zh-CN"/>
                    </w:rPr>
                  </w:pPr>
                  <w:r>
                    <w:rPr>
                      <w:rFonts w:hint="eastAsia" w:ascii="Times New Roman" w:hAnsi="Times New Roman" w:cs="Times New Roman"/>
                      <w:b/>
                      <w:bCs/>
                      <w:color w:val="auto"/>
                      <w:kern w:val="0"/>
                      <w:sz w:val="21"/>
                      <w:szCs w:val="21"/>
                      <w:lang w:eastAsia="zh-CN"/>
                    </w:rPr>
                    <w:t>（</w:t>
                  </w:r>
                  <w:r>
                    <w:rPr>
                      <w:rFonts w:hint="eastAsia" w:ascii="Times New Roman" w:hAnsi="Times New Roman" w:cs="Times New Roman"/>
                      <w:b/>
                      <w:bCs/>
                      <w:color w:val="auto"/>
                      <w:kern w:val="0"/>
                      <w:sz w:val="21"/>
                      <w:szCs w:val="21"/>
                      <w:lang w:val="en-US" w:eastAsia="zh-CN"/>
                    </w:rPr>
                    <w:t>%</w:t>
                  </w:r>
                  <w:r>
                    <w:rPr>
                      <w:rFonts w:hint="eastAsia" w:ascii="Times New Roman" w:hAnsi="Times New Roman" w:cs="Times New Roman"/>
                      <w:b/>
                      <w:bCs/>
                      <w:color w:val="auto"/>
                      <w:kern w:val="0"/>
                      <w:sz w:val="21"/>
                      <w:szCs w:val="21"/>
                      <w:lang w:eastAsia="zh-CN"/>
                    </w:rPr>
                    <w:t>）</w:t>
                  </w:r>
                </w:p>
              </w:tc>
              <w:tc>
                <w:tcPr>
                  <w:tcW w:w="889" w:type="dxa"/>
                  <w:noWrap w:val="0"/>
                  <w:vAlign w:val="center"/>
                </w:tcPr>
                <w:p w14:paraId="2EE48CF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达标</w:t>
                  </w:r>
                </w:p>
                <w:p w14:paraId="5CFDF05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情况</w:t>
                  </w:r>
                </w:p>
              </w:tc>
            </w:tr>
            <w:tr w14:paraId="3F423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noWrap w:val="0"/>
                  <w:vAlign w:val="center"/>
                </w:tcPr>
                <w:p w14:paraId="45D119E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常州全市</w:t>
                  </w:r>
                </w:p>
              </w:tc>
              <w:tc>
                <w:tcPr>
                  <w:tcW w:w="830" w:type="dxa"/>
                  <w:vMerge w:val="restart"/>
                  <w:noWrap w:val="0"/>
                  <w:vAlign w:val="center"/>
                </w:tcPr>
                <w:p w14:paraId="2A541D3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2</w:t>
                  </w:r>
                </w:p>
              </w:tc>
              <w:tc>
                <w:tcPr>
                  <w:tcW w:w="2693" w:type="dxa"/>
                  <w:noWrap w:val="0"/>
                  <w:vAlign w:val="center"/>
                </w:tcPr>
                <w:p w14:paraId="34F7B21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年平均质量浓度</w:t>
                  </w:r>
                </w:p>
              </w:tc>
              <w:tc>
                <w:tcPr>
                  <w:tcW w:w="1181" w:type="dxa"/>
                  <w:noWrap w:val="0"/>
                  <w:vAlign w:val="center"/>
                </w:tcPr>
                <w:p w14:paraId="7EA69D39">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8</w:t>
                  </w:r>
                </w:p>
              </w:tc>
              <w:tc>
                <w:tcPr>
                  <w:tcW w:w="1181" w:type="dxa"/>
                  <w:noWrap w:val="0"/>
                  <w:vAlign w:val="center"/>
                </w:tcPr>
                <w:p w14:paraId="3050A8A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c>
                <w:tcPr>
                  <w:tcW w:w="1182" w:type="dxa"/>
                  <w:noWrap w:val="0"/>
                  <w:vAlign w:val="center"/>
                </w:tcPr>
                <w:p w14:paraId="5237AD6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restart"/>
                  <w:noWrap w:val="0"/>
                  <w:vAlign w:val="center"/>
                </w:tcPr>
                <w:p w14:paraId="44EB436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14:paraId="5DC07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5F15A7A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continue"/>
                  <w:noWrap w:val="0"/>
                  <w:vAlign w:val="center"/>
                </w:tcPr>
                <w:p w14:paraId="50E7056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693" w:type="dxa"/>
                  <w:noWrap w:val="0"/>
                  <w:vAlign w:val="center"/>
                </w:tcPr>
                <w:p w14:paraId="256E2EB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日均值</w:t>
                  </w:r>
                </w:p>
              </w:tc>
              <w:tc>
                <w:tcPr>
                  <w:tcW w:w="1181" w:type="dxa"/>
                  <w:noWrap w:val="0"/>
                  <w:vAlign w:val="center"/>
                </w:tcPr>
                <w:p w14:paraId="383331B5">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~1</w:t>
                  </w:r>
                  <w:r>
                    <w:rPr>
                      <w:rFonts w:hint="eastAsia" w:ascii="Times New Roman" w:hAnsi="Times New Roman" w:cs="Times New Roman"/>
                      <w:color w:val="auto"/>
                      <w:kern w:val="0"/>
                      <w:sz w:val="21"/>
                      <w:szCs w:val="21"/>
                      <w:lang w:val="en-US" w:eastAsia="zh-CN"/>
                    </w:rPr>
                    <w:t>5</w:t>
                  </w:r>
                </w:p>
              </w:tc>
              <w:tc>
                <w:tcPr>
                  <w:tcW w:w="1181" w:type="dxa"/>
                  <w:noWrap w:val="0"/>
                  <w:vAlign w:val="center"/>
                </w:tcPr>
                <w:p w14:paraId="513740E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w:t>
                  </w:r>
                </w:p>
              </w:tc>
              <w:tc>
                <w:tcPr>
                  <w:tcW w:w="1182" w:type="dxa"/>
                  <w:noWrap w:val="0"/>
                  <w:vAlign w:val="center"/>
                </w:tcPr>
                <w:p w14:paraId="0D6C3FD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continue"/>
                  <w:noWrap w:val="0"/>
                  <w:vAlign w:val="center"/>
                </w:tcPr>
                <w:p w14:paraId="1048795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r>
            <w:tr w14:paraId="72EE1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4788338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restart"/>
                  <w:noWrap w:val="0"/>
                  <w:vAlign w:val="center"/>
                </w:tcPr>
                <w:p w14:paraId="018F8CC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2</w:t>
                  </w:r>
                </w:p>
              </w:tc>
              <w:tc>
                <w:tcPr>
                  <w:tcW w:w="2693" w:type="dxa"/>
                  <w:noWrap w:val="0"/>
                  <w:vAlign w:val="center"/>
                </w:tcPr>
                <w:p w14:paraId="045E152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年平均质量浓度</w:t>
                  </w:r>
                </w:p>
              </w:tc>
              <w:tc>
                <w:tcPr>
                  <w:tcW w:w="1181" w:type="dxa"/>
                  <w:noWrap w:val="0"/>
                  <w:vAlign w:val="center"/>
                </w:tcPr>
                <w:p w14:paraId="02AF162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26</w:t>
                  </w:r>
                </w:p>
              </w:tc>
              <w:tc>
                <w:tcPr>
                  <w:tcW w:w="1181" w:type="dxa"/>
                  <w:noWrap w:val="0"/>
                  <w:vAlign w:val="center"/>
                </w:tcPr>
                <w:p w14:paraId="19483CD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c>
                <w:tcPr>
                  <w:tcW w:w="1182" w:type="dxa"/>
                  <w:noWrap w:val="0"/>
                  <w:vAlign w:val="center"/>
                </w:tcPr>
                <w:p w14:paraId="38C7E6F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restart"/>
                  <w:noWrap w:val="0"/>
                  <w:vAlign w:val="center"/>
                </w:tcPr>
                <w:p w14:paraId="2AE3EED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14:paraId="177FB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6633B0B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continue"/>
                  <w:noWrap w:val="0"/>
                  <w:vAlign w:val="center"/>
                </w:tcPr>
                <w:p w14:paraId="0850171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693" w:type="dxa"/>
                  <w:noWrap w:val="0"/>
                  <w:vAlign w:val="center"/>
                </w:tcPr>
                <w:p w14:paraId="18BA19E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日均值</w:t>
                  </w:r>
                </w:p>
              </w:tc>
              <w:tc>
                <w:tcPr>
                  <w:tcW w:w="1181" w:type="dxa"/>
                  <w:noWrap w:val="0"/>
                  <w:vAlign w:val="center"/>
                </w:tcPr>
                <w:p w14:paraId="7800F9A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w:t>
                  </w:r>
                  <w:r>
                    <w:rPr>
                      <w:rFonts w:hint="eastAsia" w:ascii="Times New Roman" w:hAnsi="Times New Roman" w:cs="Times New Roman"/>
                      <w:color w:val="auto"/>
                      <w:kern w:val="0"/>
                      <w:sz w:val="21"/>
                      <w:szCs w:val="21"/>
                      <w:lang w:val="en-US" w:eastAsia="zh-CN"/>
                    </w:rPr>
                    <w:t>92</w:t>
                  </w:r>
                </w:p>
              </w:tc>
              <w:tc>
                <w:tcPr>
                  <w:tcW w:w="1181" w:type="dxa"/>
                  <w:noWrap w:val="0"/>
                  <w:vAlign w:val="center"/>
                </w:tcPr>
                <w:p w14:paraId="01822A0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80</w:t>
                  </w:r>
                </w:p>
              </w:tc>
              <w:tc>
                <w:tcPr>
                  <w:tcW w:w="1182" w:type="dxa"/>
                  <w:noWrap w:val="0"/>
                  <w:vAlign w:val="center"/>
                </w:tcPr>
                <w:p w14:paraId="56F3FE0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99.2</w:t>
                  </w:r>
                </w:p>
              </w:tc>
              <w:tc>
                <w:tcPr>
                  <w:tcW w:w="889" w:type="dxa"/>
                  <w:vMerge w:val="continue"/>
                  <w:noWrap w:val="0"/>
                  <w:vAlign w:val="center"/>
                </w:tcPr>
                <w:p w14:paraId="5E52473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r>
            <w:tr w14:paraId="20D18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08AF197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restart"/>
                  <w:noWrap w:val="0"/>
                  <w:vAlign w:val="center"/>
                </w:tcPr>
                <w:p w14:paraId="6E07EE5F">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10</w:t>
                  </w:r>
                </w:p>
              </w:tc>
              <w:tc>
                <w:tcPr>
                  <w:tcW w:w="2693" w:type="dxa"/>
                  <w:noWrap w:val="0"/>
                  <w:vAlign w:val="center"/>
                </w:tcPr>
                <w:p w14:paraId="10ECC235">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年平均质量浓度</w:t>
                  </w:r>
                </w:p>
              </w:tc>
              <w:tc>
                <w:tcPr>
                  <w:tcW w:w="1181" w:type="dxa"/>
                  <w:noWrap w:val="0"/>
                  <w:vAlign w:val="center"/>
                </w:tcPr>
                <w:p w14:paraId="4D02ADD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52</w:t>
                  </w:r>
                </w:p>
              </w:tc>
              <w:tc>
                <w:tcPr>
                  <w:tcW w:w="1181" w:type="dxa"/>
                  <w:noWrap w:val="0"/>
                  <w:vAlign w:val="center"/>
                </w:tcPr>
                <w:p w14:paraId="6D85A71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w:t>
                  </w:r>
                </w:p>
              </w:tc>
              <w:tc>
                <w:tcPr>
                  <w:tcW w:w="1182" w:type="dxa"/>
                  <w:noWrap w:val="0"/>
                  <w:vAlign w:val="center"/>
                </w:tcPr>
                <w:p w14:paraId="73D2D7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restart"/>
                  <w:noWrap w:val="0"/>
                  <w:vAlign w:val="center"/>
                </w:tcPr>
                <w:p w14:paraId="530824A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14:paraId="1CFA02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2AEC9C6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continue"/>
                  <w:noWrap w:val="0"/>
                  <w:vAlign w:val="center"/>
                </w:tcPr>
                <w:p w14:paraId="7F49EF9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693" w:type="dxa"/>
                  <w:noWrap w:val="0"/>
                  <w:vAlign w:val="center"/>
                </w:tcPr>
                <w:p w14:paraId="63E6B13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日均值</w:t>
                  </w:r>
                </w:p>
              </w:tc>
              <w:tc>
                <w:tcPr>
                  <w:tcW w:w="1181" w:type="dxa"/>
                  <w:noWrap w:val="0"/>
                  <w:vAlign w:val="center"/>
                </w:tcPr>
                <w:p w14:paraId="7C984A1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9~206</w:t>
                  </w:r>
                </w:p>
              </w:tc>
              <w:tc>
                <w:tcPr>
                  <w:tcW w:w="1181" w:type="dxa"/>
                  <w:noWrap w:val="0"/>
                  <w:vAlign w:val="center"/>
                </w:tcPr>
                <w:p w14:paraId="0B205CF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w:t>
                  </w:r>
                </w:p>
              </w:tc>
              <w:tc>
                <w:tcPr>
                  <w:tcW w:w="1182" w:type="dxa"/>
                  <w:noWrap w:val="0"/>
                  <w:vAlign w:val="center"/>
                </w:tcPr>
                <w:p w14:paraId="7F3F3F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98.3</w:t>
                  </w:r>
                </w:p>
              </w:tc>
              <w:tc>
                <w:tcPr>
                  <w:tcW w:w="889" w:type="dxa"/>
                  <w:vMerge w:val="continue"/>
                  <w:noWrap w:val="0"/>
                  <w:vAlign w:val="center"/>
                </w:tcPr>
                <w:p w14:paraId="49A9DA9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r>
            <w:tr w14:paraId="36381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252473B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restart"/>
                  <w:noWrap w:val="0"/>
                  <w:vAlign w:val="center"/>
                </w:tcPr>
                <w:p w14:paraId="45292C8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2.5</w:t>
                  </w:r>
                </w:p>
              </w:tc>
              <w:tc>
                <w:tcPr>
                  <w:tcW w:w="2693" w:type="dxa"/>
                  <w:noWrap w:val="0"/>
                  <w:vAlign w:val="center"/>
                </w:tcPr>
                <w:p w14:paraId="2EDF26E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年平均质量浓度</w:t>
                  </w:r>
                </w:p>
              </w:tc>
              <w:tc>
                <w:tcPr>
                  <w:tcW w:w="1181" w:type="dxa"/>
                  <w:noWrap w:val="0"/>
                  <w:vAlign w:val="center"/>
                </w:tcPr>
                <w:p w14:paraId="3813578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32</w:t>
                  </w:r>
                </w:p>
              </w:tc>
              <w:tc>
                <w:tcPr>
                  <w:tcW w:w="1181" w:type="dxa"/>
                  <w:noWrap w:val="0"/>
                  <w:vAlign w:val="center"/>
                </w:tcPr>
                <w:p w14:paraId="5061652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35</w:t>
                  </w:r>
                </w:p>
              </w:tc>
              <w:tc>
                <w:tcPr>
                  <w:tcW w:w="1182" w:type="dxa"/>
                  <w:noWrap w:val="0"/>
                  <w:vAlign w:val="center"/>
                </w:tcPr>
                <w:p w14:paraId="786B906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restart"/>
                  <w:noWrap w:val="0"/>
                  <w:vAlign w:val="center"/>
                </w:tcPr>
                <w:p w14:paraId="54706B4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不达标</w:t>
                  </w:r>
                </w:p>
              </w:tc>
            </w:tr>
            <w:tr w14:paraId="348B0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26EF664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continue"/>
                  <w:noWrap w:val="0"/>
                  <w:vAlign w:val="center"/>
                </w:tcPr>
                <w:p w14:paraId="506C472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693" w:type="dxa"/>
                  <w:noWrap w:val="0"/>
                  <w:vAlign w:val="center"/>
                </w:tcPr>
                <w:p w14:paraId="1CCDBC9D">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日均值</w:t>
                  </w:r>
                </w:p>
              </w:tc>
              <w:tc>
                <w:tcPr>
                  <w:tcW w:w="1181" w:type="dxa"/>
                  <w:noWrap w:val="0"/>
                  <w:vAlign w:val="center"/>
                </w:tcPr>
                <w:p w14:paraId="299D91B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5</w:t>
                  </w:r>
                  <w:r>
                    <w:rPr>
                      <w:rFonts w:hint="default" w:ascii="Times New Roman" w:hAnsi="Times New Roman" w:cs="Times New Roman"/>
                      <w:b/>
                      <w:bCs/>
                      <w:color w:val="auto"/>
                      <w:kern w:val="0"/>
                      <w:sz w:val="21"/>
                      <w:szCs w:val="21"/>
                    </w:rPr>
                    <w:t>~1</w:t>
                  </w:r>
                  <w:r>
                    <w:rPr>
                      <w:rFonts w:hint="eastAsia" w:ascii="Times New Roman" w:hAnsi="Times New Roman" w:cs="Times New Roman"/>
                      <w:b/>
                      <w:bCs/>
                      <w:color w:val="auto"/>
                      <w:kern w:val="0"/>
                      <w:sz w:val="21"/>
                      <w:szCs w:val="21"/>
                      <w:lang w:val="en-US" w:eastAsia="zh-CN"/>
                    </w:rPr>
                    <w:t>57</w:t>
                  </w:r>
                </w:p>
              </w:tc>
              <w:tc>
                <w:tcPr>
                  <w:tcW w:w="1181" w:type="dxa"/>
                  <w:noWrap w:val="0"/>
                  <w:vAlign w:val="center"/>
                </w:tcPr>
                <w:p w14:paraId="26D84A7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75</w:t>
                  </w:r>
                </w:p>
              </w:tc>
              <w:tc>
                <w:tcPr>
                  <w:tcW w:w="1182" w:type="dxa"/>
                  <w:noWrap w:val="0"/>
                  <w:vAlign w:val="center"/>
                </w:tcPr>
                <w:p w14:paraId="702D585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val="en-US" w:eastAsia="zh-CN"/>
                    </w:rPr>
                    <w:t>93.2</w:t>
                  </w:r>
                </w:p>
              </w:tc>
              <w:tc>
                <w:tcPr>
                  <w:tcW w:w="889" w:type="dxa"/>
                  <w:vMerge w:val="continue"/>
                  <w:noWrap w:val="0"/>
                  <w:vAlign w:val="center"/>
                </w:tcPr>
                <w:p w14:paraId="584A9EB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r>
            <w:tr w14:paraId="30ADA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594C843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restart"/>
                  <w:noWrap w:val="0"/>
                  <w:vAlign w:val="center"/>
                </w:tcPr>
                <w:p w14:paraId="2E906B4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w:t>
                  </w:r>
                </w:p>
              </w:tc>
              <w:tc>
                <w:tcPr>
                  <w:tcW w:w="2693" w:type="dxa"/>
                  <w:noWrap w:val="0"/>
                  <w:vAlign w:val="center"/>
                </w:tcPr>
                <w:p w14:paraId="1BFD19F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日均值的第95百分位数</w:t>
                  </w:r>
                </w:p>
              </w:tc>
              <w:tc>
                <w:tcPr>
                  <w:tcW w:w="1181" w:type="dxa"/>
                  <w:noWrap w:val="0"/>
                  <w:vAlign w:val="center"/>
                </w:tcPr>
                <w:p w14:paraId="3CBA0DD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r>
                    <w:rPr>
                      <w:rFonts w:hint="eastAsia"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00</w:t>
                  </w:r>
                </w:p>
              </w:tc>
              <w:tc>
                <w:tcPr>
                  <w:tcW w:w="1181" w:type="dxa"/>
                  <w:noWrap w:val="0"/>
                  <w:vAlign w:val="center"/>
                </w:tcPr>
                <w:p w14:paraId="14FCE14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4000</w:t>
                  </w:r>
                </w:p>
              </w:tc>
              <w:tc>
                <w:tcPr>
                  <w:tcW w:w="1182" w:type="dxa"/>
                  <w:noWrap w:val="0"/>
                  <w:vAlign w:val="center"/>
                </w:tcPr>
                <w:p w14:paraId="5ADF77B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restart"/>
                  <w:noWrap w:val="0"/>
                  <w:vAlign w:val="center"/>
                </w:tcPr>
                <w:p w14:paraId="4A0C6A6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14:paraId="2F53B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063A81E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vMerge w:val="continue"/>
                  <w:noWrap w:val="0"/>
                  <w:vAlign w:val="center"/>
                </w:tcPr>
                <w:p w14:paraId="20BCFC0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2693" w:type="dxa"/>
                  <w:noWrap w:val="0"/>
                  <w:vAlign w:val="center"/>
                </w:tcPr>
                <w:p w14:paraId="53BFBD1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日平均质量浓度范围</w:t>
                  </w:r>
                </w:p>
              </w:tc>
              <w:tc>
                <w:tcPr>
                  <w:tcW w:w="1181" w:type="dxa"/>
                  <w:noWrap w:val="0"/>
                  <w:vAlign w:val="center"/>
                </w:tcPr>
                <w:p w14:paraId="262B38B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400~1</w:t>
                  </w:r>
                  <w:r>
                    <w:rPr>
                      <w:rFonts w:hint="eastAsia"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w:t>
                  </w:r>
                </w:p>
              </w:tc>
              <w:tc>
                <w:tcPr>
                  <w:tcW w:w="1181" w:type="dxa"/>
                  <w:noWrap w:val="0"/>
                  <w:vAlign w:val="center"/>
                </w:tcPr>
                <w:p w14:paraId="7E42728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4000</w:t>
                  </w:r>
                </w:p>
              </w:tc>
              <w:tc>
                <w:tcPr>
                  <w:tcW w:w="1182" w:type="dxa"/>
                  <w:noWrap w:val="0"/>
                  <w:vAlign w:val="center"/>
                </w:tcPr>
                <w:p w14:paraId="6AF58CD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889" w:type="dxa"/>
                  <w:vMerge w:val="continue"/>
                  <w:noWrap w:val="0"/>
                  <w:vAlign w:val="center"/>
                </w:tcPr>
                <w:p w14:paraId="6D853733">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r>
            <w:tr w14:paraId="599C9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noWrap w:val="0"/>
                  <w:vAlign w:val="center"/>
                </w:tcPr>
                <w:p w14:paraId="05BCCDD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p>
              </w:tc>
              <w:tc>
                <w:tcPr>
                  <w:tcW w:w="830" w:type="dxa"/>
                  <w:noWrap w:val="0"/>
                  <w:vAlign w:val="center"/>
                </w:tcPr>
                <w:p w14:paraId="5A0790C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O</w:t>
                  </w:r>
                  <w:r>
                    <w:rPr>
                      <w:rFonts w:hint="default" w:ascii="Times New Roman" w:hAnsi="Times New Roman" w:cs="Times New Roman"/>
                      <w:color w:val="auto"/>
                      <w:kern w:val="0"/>
                      <w:sz w:val="21"/>
                      <w:szCs w:val="21"/>
                      <w:vertAlign w:val="subscript"/>
                    </w:rPr>
                    <w:t>3</w:t>
                  </w:r>
                </w:p>
              </w:tc>
              <w:tc>
                <w:tcPr>
                  <w:tcW w:w="2693" w:type="dxa"/>
                  <w:noWrap w:val="0"/>
                  <w:vAlign w:val="center"/>
                </w:tcPr>
                <w:p w14:paraId="15C92AB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日最大8h滑动平均值第90百分位数</w:t>
                  </w:r>
                </w:p>
              </w:tc>
              <w:tc>
                <w:tcPr>
                  <w:tcW w:w="1181" w:type="dxa"/>
                  <w:noWrap w:val="0"/>
                  <w:vAlign w:val="center"/>
                </w:tcPr>
                <w:p w14:paraId="22D87E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rPr>
                    <w:t>1</w:t>
                  </w:r>
                  <w:r>
                    <w:rPr>
                      <w:rFonts w:hint="eastAsia" w:ascii="Times New Roman" w:hAnsi="Times New Roman" w:cs="Times New Roman"/>
                      <w:b/>
                      <w:bCs/>
                      <w:color w:val="auto"/>
                      <w:kern w:val="0"/>
                      <w:sz w:val="21"/>
                      <w:szCs w:val="21"/>
                      <w:lang w:val="en-US" w:eastAsia="zh-CN"/>
                    </w:rPr>
                    <w:t>68</w:t>
                  </w:r>
                </w:p>
              </w:tc>
              <w:tc>
                <w:tcPr>
                  <w:tcW w:w="1181" w:type="dxa"/>
                  <w:noWrap w:val="0"/>
                  <w:vAlign w:val="center"/>
                </w:tcPr>
                <w:p w14:paraId="1B4E3C1C">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160</w:t>
                  </w:r>
                </w:p>
              </w:tc>
              <w:tc>
                <w:tcPr>
                  <w:tcW w:w="1182" w:type="dxa"/>
                  <w:noWrap w:val="0"/>
                  <w:vAlign w:val="center"/>
                </w:tcPr>
                <w:p w14:paraId="57152A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sz w:val="21"/>
                      <w:szCs w:val="21"/>
                      <w:lang w:val="en-US" w:eastAsia="zh-CN"/>
                    </w:rPr>
                    <w:t>86.3</w:t>
                  </w:r>
                </w:p>
              </w:tc>
              <w:tc>
                <w:tcPr>
                  <w:tcW w:w="889" w:type="dxa"/>
                  <w:noWrap w:val="0"/>
                  <w:vAlign w:val="center"/>
                </w:tcPr>
                <w:p w14:paraId="33C71D3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不达标</w:t>
                  </w:r>
                </w:p>
              </w:tc>
            </w:tr>
          </w:tbl>
          <w:p w14:paraId="3D8B0E3C">
            <w:pPr>
              <w:pStyle w:val="13"/>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年常州市环境空气中SO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、颗粒物（PM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）、细颗粒物（PM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）年均值和CO日平均第95百分位均达到《环境空气质量标准》（GB3095-2012）表1中二级标准要求，SO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日均值达标率为100%，NO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日均值达标率为</w:t>
            </w:r>
            <w:r>
              <w:rPr>
                <w:rFonts w:hint="eastAsia" w:ascii="Times New Roman" w:hAnsi="Times New Roman" w:cs="Times New Roman"/>
                <w:color w:val="auto"/>
                <w:sz w:val="24"/>
                <w:lang w:val="en-US" w:eastAsia="zh-CN"/>
              </w:rPr>
              <w:t>99.2</w:t>
            </w:r>
            <w:r>
              <w:rPr>
                <w:rFonts w:hint="default" w:ascii="Times New Roman" w:hAnsi="Times New Roman" w:cs="Times New Roman"/>
                <w:color w:val="auto"/>
                <w:sz w:val="24"/>
              </w:rPr>
              <w:t>%，CO日均值达标率为100%，O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日最大8小时滑动平均值的第90百分位数超过环境空气质量二级标准，超标倍数为0.0</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倍，PM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日均值达标率为9</w:t>
            </w:r>
            <w:r>
              <w:rPr>
                <w:rFonts w:hint="eastAsia" w:ascii="Times New Roman" w:hAnsi="Times New Roman" w:cs="Times New Roman"/>
                <w:color w:val="auto"/>
                <w:sz w:val="24"/>
                <w:lang w:val="en-US" w:eastAsia="zh-CN"/>
              </w:rPr>
              <w:t>3.2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日均值达标率为</w:t>
            </w:r>
            <w:r>
              <w:rPr>
                <w:rFonts w:hint="eastAsia" w:ascii="Times New Roman" w:hAnsi="Times New Roman" w:cs="Times New Roman"/>
                <w:color w:val="auto"/>
                <w:sz w:val="24"/>
                <w:lang w:val="en-US" w:eastAsia="zh-CN"/>
              </w:rPr>
              <w:t>98.3</w:t>
            </w:r>
            <w:r>
              <w:rPr>
                <w:rFonts w:hint="default" w:ascii="Times New Roman" w:hAnsi="Times New Roman" w:cs="Times New Roman"/>
                <w:color w:val="auto"/>
                <w:sz w:val="24"/>
              </w:rPr>
              <w:t>%。因此，所在区域PM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日均值和O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日最大8小时滑动平均值超过环境空气质量二级标准，故本项目所在区域为环境空气质量不达标区。</w:t>
            </w:r>
          </w:p>
          <w:p w14:paraId="79510A13">
            <w:pPr>
              <w:pStyle w:val="13"/>
              <w:keepNext w:val="0"/>
              <w:keepLines w:val="0"/>
              <w:pageBreakBefore w:val="0"/>
              <w:suppressLineNumbers w:val="0"/>
              <w:kinsoku/>
              <w:overflowPunct/>
              <w:topLinePunct/>
              <w:bidi w:val="0"/>
              <w:spacing w:before="0" w:beforeAutospacing="0" w:after="0" w:afterAutospacing="0" w:line="480" w:lineRule="exact"/>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3）区域削减</w:t>
            </w:r>
          </w:p>
          <w:p w14:paraId="27634C26">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为加快改善环境空气质量，常州市人民政府发布了《市政府关于印发</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常州市空气质量持续改善行动计划实施方案</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的通知》</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常政发</w:t>
            </w:r>
            <w:r>
              <w:rPr>
                <w:rFonts w:hint="default" w:ascii="Times New Roman" w:hAnsi="Times New Roman" w:cs="Times New Roman"/>
                <w:color w:val="auto"/>
                <w:sz w:val="24"/>
              </w:rPr>
              <w:t>〔202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eastAsia="宋体" w:cs="Times New Roman"/>
                <w:color w:val="auto"/>
                <w:spacing w:val="-3"/>
                <w:sz w:val="24"/>
                <w:szCs w:val="24"/>
              </w:rPr>
              <w:t>51号</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进一步提出如下大气污染防治工作计划：</w:t>
            </w:r>
          </w:p>
          <w:p w14:paraId="6ED8A13C">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一、工作目标</w:t>
            </w:r>
          </w:p>
          <w:p w14:paraId="32263F19">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以习近平新时代中国特色社会主义思想为指导，全面贯彻党的二十大及二十届三中全会精神，深入贯彻习近平生态文明思想，认真贯彻习近平总书记对江苏工作重要讲话重要指示精神，协同推进降碳、减污、扩绿、增长，以改善空气质量为核心，扎实推进产业、能源交通绿色低碳转型，推动常州高质量发展继续走在前列，奋力书写好中国式现代化常州答卷，主要目标是：到2025年，全市PM</w:t>
            </w:r>
            <w:r>
              <w:rPr>
                <w:rFonts w:hint="default" w:ascii="Times New Roman" w:hAnsi="Times New Roman" w:eastAsia="宋体" w:cs="Times New Roman"/>
                <w:color w:val="auto"/>
                <w:spacing w:val="-3"/>
                <w:sz w:val="24"/>
                <w:szCs w:val="24"/>
                <w:vertAlign w:val="subscript"/>
              </w:rPr>
              <w:t>2.5</w:t>
            </w:r>
            <w:r>
              <w:rPr>
                <w:rFonts w:hint="default" w:ascii="Times New Roman" w:hAnsi="Times New Roman" w:eastAsia="宋体" w:cs="Times New Roman"/>
                <w:color w:val="auto"/>
                <w:spacing w:val="-3"/>
                <w:sz w:val="24"/>
                <w:szCs w:val="24"/>
              </w:rPr>
              <w:t>浓度总体达标，PM</w:t>
            </w:r>
            <w:r>
              <w:rPr>
                <w:rFonts w:hint="default" w:ascii="Times New Roman" w:hAnsi="Times New Roman" w:eastAsia="宋体" w:cs="Times New Roman"/>
                <w:color w:val="auto"/>
                <w:spacing w:val="-3"/>
                <w:sz w:val="24"/>
                <w:szCs w:val="24"/>
                <w:vertAlign w:val="subscript"/>
              </w:rPr>
              <w:t>2.5</w:t>
            </w:r>
            <w:r>
              <w:rPr>
                <w:rFonts w:hint="default" w:ascii="Times New Roman" w:hAnsi="Times New Roman" w:eastAsia="宋体" w:cs="Times New Roman"/>
                <w:color w:val="auto"/>
                <w:spacing w:val="-3"/>
                <w:sz w:val="24"/>
                <w:szCs w:val="24"/>
              </w:rPr>
              <w:t>浓度比2020年下降10%基本消除重度及以上污染天气，空气质量持续改善：氮氧化物和VOCs排放总量比2020年分别下降10%以上，完成省下达的减排目标。</w:t>
            </w:r>
          </w:p>
          <w:p w14:paraId="45B4C98E">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二、调整优化产业结构，推进产业绿色低碳发展</w:t>
            </w:r>
          </w:p>
          <w:p w14:paraId="72DAF3F6">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一</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坚决遏制</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两高</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项目盲目发展。按照江苏省</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两高</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项目分类管理工作要求，严格执行国家、省有关钢铁</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炼钢、炼铁</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、焦化、电解铝、水泥</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熟料</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、平板玻璃</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不含光伏压延玻璃</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和炼化</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纳入国家产业规划除外</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等行业产业政策标准。到2025年，短流程炼钢产能占比力争达20%以上。</w:t>
            </w:r>
          </w:p>
          <w:p w14:paraId="0F4B5B33">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cs="Times New Roman"/>
                <w:color w:val="auto"/>
                <w:spacing w:val="-3"/>
                <w:sz w:val="24"/>
                <w:szCs w:val="24"/>
                <w:lang w:eastAsia="zh-CN"/>
              </w:rPr>
              <w:t>（</w:t>
            </w:r>
            <w:r>
              <w:rPr>
                <w:rFonts w:hint="default" w:ascii="Times New Roman" w:hAnsi="Times New Roman" w:eastAsia="宋体" w:cs="Times New Roman"/>
                <w:color w:val="auto"/>
                <w:spacing w:val="-3"/>
                <w:sz w:val="24"/>
                <w:szCs w:val="24"/>
                <w:lang w:eastAsia="zh-CN"/>
              </w:rPr>
              <w:t>二</w:t>
            </w:r>
            <w:r>
              <w:rPr>
                <w:rFonts w:hint="eastAsia" w:ascii="Times New Roman" w:hAnsi="Times New Roman" w:cs="Times New Roman"/>
                <w:color w:val="auto"/>
                <w:spacing w:val="-3"/>
                <w:sz w:val="24"/>
                <w:szCs w:val="24"/>
                <w:lang w:eastAsia="zh-CN"/>
              </w:rPr>
              <w:t>）</w:t>
            </w:r>
            <w:r>
              <w:rPr>
                <w:rFonts w:hint="default" w:ascii="Times New Roman" w:hAnsi="Times New Roman" w:eastAsia="宋体" w:cs="Times New Roman"/>
                <w:color w:val="auto"/>
                <w:spacing w:val="-3"/>
                <w:sz w:val="24"/>
                <w:szCs w:val="24"/>
              </w:rPr>
              <w:t>加快退出重点行业落后产能。落实《产业结构调整指导目录》</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依法依规逐步退出限制类涉气行业工艺和装备、逐步淘汰步进式烧结机和球团竖炉以及半封闭式硅锰合金、镍铁、高碳铬铁、高碳锰铁电炉。</w:t>
            </w:r>
          </w:p>
          <w:p w14:paraId="30739F6D">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三</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推进产业集群、园区绿色转型升级。中小型传统制造企业集中的辖市</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区</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均要制定涉气产业集群发展规划，严格项目审批，严防污染下乡。针对现有产业集群制定专项整治方案，依法淘汰关停一批、搬迁入园一批、就地改造一批、做优做强一批。</w:t>
            </w:r>
          </w:p>
          <w:p w14:paraId="6B240EE6">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四</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09514C6D">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三、推进能源高效利用，加快能源清洁低碳转型</w:t>
            </w:r>
          </w:p>
          <w:p w14:paraId="024A2FF7">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五</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大力发展新能源和清洁能源。加快推进光伏发电项目建设和公共机构光伏应用，提升全市公共机构光伏应用水平和示范表率功能，因地制宜发展风力发电，统筹发展生物质能，推广建设</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光储充检换</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58B787E6">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六</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5D78D6CD">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七</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推进燃煤锅炉关停整合和工业炉窑清洁能源替代。充分发挥30万千瓦及以上热电联产电厂的供热能力，对其供热，半径30公里范围内的燃煤锅炉和落后燃煤小热电机组</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含自备电厂</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70468277">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eastAsia" w:ascii="Times New Roman" w:hAnsi="Times New Roman" w:eastAsia="宋体" w:cs="Times New Roman"/>
                <w:color w:val="auto"/>
                <w:spacing w:val="-3"/>
                <w:sz w:val="24"/>
                <w:szCs w:val="24"/>
                <w:lang w:eastAsia="zh-CN"/>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八</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推进近零碳园区和近零碳工厂试点建设。重点选择绿色产业园区、外贸出口相对集中的园区、</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危污乱散低</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综合治理</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绿岛</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w:t>
            </w:r>
            <w:r>
              <w:rPr>
                <w:rFonts w:hint="eastAsia" w:ascii="Times New Roman" w:hAnsi="Times New Roman" w:eastAsia="宋体" w:cs="Times New Roman"/>
                <w:color w:val="auto"/>
                <w:spacing w:val="-3"/>
                <w:sz w:val="24"/>
                <w:szCs w:val="24"/>
                <w:lang w:val="en-US" w:eastAsia="zh-CN"/>
              </w:rPr>
              <w:t>消</w:t>
            </w:r>
            <w:r>
              <w:rPr>
                <w:rFonts w:hint="default" w:ascii="Times New Roman" w:hAnsi="Times New Roman" w:eastAsia="宋体" w:cs="Times New Roman"/>
                <w:color w:val="auto"/>
                <w:spacing w:val="-3"/>
                <w:sz w:val="24"/>
                <w:szCs w:val="24"/>
              </w:rPr>
              <w:t>纳示范区，推广综合能源服务，推进能源梯级利用、余热余压回收、绿色供冷供热，推动园区内源网荷储深度融合</w:t>
            </w:r>
            <w:r>
              <w:rPr>
                <w:rFonts w:hint="eastAsia" w:ascii="Times New Roman" w:hAnsi="Times New Roman" w:eastAsia="宋体" w:cs="Times New Roman"/>
                <w:color w:val="auto"/>
                <w:spacing w:val="-3"/>
                <w:sz w:val="24"/>
                <w:szCs w:val="24"/>
                <w:lang w:eastAsia="zh-CN"/>
              </w:rPr>
              <w:t>。</w:t>
            </w:r>
          </w:p>
          <w:p w14:paraId="53DAE7F6">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九</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持续优化货物运输结构。到2025年，水路、铁路货运量比2020年分别增长12%和10%左右，铁路集装箱多式联运量年均增长10%以上。全市采取公铁联运等</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外集内配</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物流方式。</w:t>
            </w:r>
          </w:p>
          <w:p w14:paraId="11BC1314">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28CC5982">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十一</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26B1F430">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五、加强面源污染治理，提高精细化管理水平</w:t>
            </w:r>
          </w:p>
          <w:p w14:paraId="6E366E77">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十二</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实施扬尘精细化治理。积极实施</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清洁城市行动</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机械保面、人工保点</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。推进5000平方米及以上建筑工地安装视频监控并接入监管平台。鼓励推广使用新能源渣土运输车辆。推广装配式施工，推进</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全电工地</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试点。</w:t>
            </w:r>
          </w:p>
          <w:p w14:paraId="7F9BBC84">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十三</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推进矿山生态环境综合整治。新建矿山原则上要同步建设专用廊道或采用其他清洁运输方式。对限期整改仍不达标的矿山，根据安全生产、水土保持、生态环境等要求依法关闭停止生产。</w:t>
            </w:r>
          </w:p>
          <w:p w14:paraId="0BE247C1">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十四</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加强秸秆禁烧和综合利用。到2025年，全市农作物秸秆综合利用率稳定达95%以上。禁止露天焚烧秸秆。综合运用卫星遥感、高清视频监控、无人机等手段，提高秸秆焚烧火点监测及巡查精准度。</w:t>
            </w:r>
          </w:p>
          <w:p w14:paraId="6088A626">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六、强化协同减排，切实降低污染物排放强度</w:t>
            </w:r>
          </w:p>
          <w:p w14:paraId="0314FD2F">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十五</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强化VOCs全流程、全环节综合治理，鼓励储罐使用低泄漏的呼吸阀、紧急泄压阀，定期开展密封性检测。重点工业园区建立分环节、分物种管控清单，实施高排放关键活性物种</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指纹化</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监测监控和靶向治理。到2025年，重点工业园区VOCs浓度力争比2021年下降20%。</w:t>
            </w:r>
          </w:p>
          <w:p w14:paraId="69713B91">
            <w:pPr>
              <w:pStyle w:val="123"/>
              <w:keepNext w:val="0"/>
              <w:keepLines w:val="0"/>
              <w:pageBreakBefore w:val="0"/>
              <w:widowControl/>
              <w:suppressLineNumbers w:val="0"/>
              <w:kinsoku/>
              <w:wordWrap w:val="0"/>
              <w:overflowPunct/>
              <w:topLinePunct/>
              <w:autoSpaceDE/>
              <w:autoSpaceDN/>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十六</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41D6452A">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十七</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进餐饮油烟、恶臭异味专项整治。加强部门联动，因地制宜解决人民群众反映集中的油烟和恶臭扰民问题。严格居民楼附近餐饮服务单位布局管理。拟开设餐饮服务单位的建筑应设计建设专用烟道。建立重点园区</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嗅辨+监测</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异味溯源机制。</w:t>
            </w:r>
          </w:p>
          <w:p w14:paraId="71EBCBD3">
            <w:pPr>
              <w:pStyle w:val="123"/>
              <w:keepNext w:val="0"/>
              <w:keepLines w:val="0"/>
              <w:pageBreakBefore w:val="0"/>
              <w:widowControl/>
              <w:suppressLineNumbers w:val="0"/>
              <w:kinsoku/>
              <w:wordWrap/>
              <w:overflowPunct/>
              <w:topLinePunct/>
              <w:autoSpaceDE w:val="0"/>
              <w:autoSpaceDN w:val="0"/>
              <w:bidi w:val="0"/>
              <w:adjustRightInd w:val="0"/>
              <w:snapToGrid w:val="0"/>
              <w:spacing w:before="0" w:beforeAutospacing="0" w:after="0" w:afterAutospacing="0" w:line="480" w:lineRule="exact"/>
              <w:ind w:left="0" w:right="0" w:firstLine="468" w:firstLineChars="200"/>
              <w:jc w:val="both"/>
              <w:textAlignment w:val="baseline"/>
              <w:rPr>
                <w:rFonts w:hint="default" w:ascii="Times New Roman" w:hAnsi="Times New Roman" w:eastAsia="宋体" w:cs="Times New Roman"/>
                <w:color w:val="auto"/>
                <w:spacing w:val="-3"/>
                <w:sz w:val="24"/>
                <w:szCs w:val="24"/>
              </w:rPr>
            </w:pPr>
            <w:r>
              <w:rPr>
                <w:rFonts w:hint="eastAsia" w:ascii="Times New Roman" w:hAnsi="Times New Roman" w:eastAsia="宋体" w:cs="Times New Roman"/>
                <w:color w:val="auto"/>
                <w:spacing w:val="-3"/>
                <w:sz w:val="24"/>
                <w:szCs w:val="24"/>
                <w:lang w:eastAsia="zh-CN"/>
              </w:rPr>
              <w:t>（</w:t>
            </w:r>
            <w:r>
              <w:rPr>
                <w:rFonts w:hint="eastAsia" w:ascii="Times New Roman" w:hAnsi="Times New Roman" w:eastAsia="宋体" w:cs="Times New Roman"/>
                <w:color w:val="auto"/>
                <w:spacing w:val="-3"/>
                <w:sz w:val="24"/>
                <w:szCs w:val="24"/>
                <w:lang w:val="en-US" w:eastAsia="zh-CN"/>
              </w:rPr>
              <w:t>十八</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推动大气氨污染防控。推广氮肥机械深施和低蛋白日粮技术，到2025年，全市主要农作物化肥施用量较2020年削减3%</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畜禽粪污综合利用率稳定在95%左右。加强氮肥、纯碱等行业大气氨排放治理。强化工业源烟气脱硫脱硝氨逃逸防控。</w:t>
            </w:r>
          </w:p>
          <w:p w14:paraId="666293CD">
            <w:pPr>
              <w:keepNext w:val="0"/>
              <w:keepLines w:val="0"/>
              <w:pageBreakBefore w:val="0"/>
              <w:widowControl/>
              <w:suppressLineNumbers w:val="0"/>
              <w:kinsoku/>
              <w:wordWrap/>
              <w:overflowPunct/>
              <w:topLinePunct/>
              <w:autoSpaceDE/>
              <w:autoSpaceDN/>
              <w:bidi w:val="0"/>
              <w:adjustRightInd/>
              <w:snapToGrid/>
              <w:spacing w:before="0" w:beforeAutospacing="0" w:after="0" w:afterAutospacing="0" w:line="480" w:lineRule="exact"/>
              <w:ind w:left="0" w:right="0" w:firstLine="468" w:firstLineChars="200"/>
              <w:jc w:val="left"/>
              <w:textAlignment w:val="auto"/>
              <w:rPr>
                <w:rFonts w:hint="default" w:ascii="Times New Roman" w:hAnsi="Times New Roman" w:eastAsia="宋体" w:cs="Times New Roman"/>
                <w:color w:val="auto"/>
                <w:spacing w:val="-3"/>
                <w:sz w:val="24"/>
                <w:szCs w:val="24"/>
              </w:rPr>
            </w:pPr>
            <w:r>
              <w:rPr>
                <w:rFonts w:hint="default" w:ascii="Times New Roman" w:hAnsi="Times New Roman" w:eastAsia="宋体" w:cs="Times New Roman"/>
                <w:color w:val="auto"/>
                <w:spacing w:val="-3"/>
                <w:sz w:val="24"/>
                <w:szCs w:val="24"/>
              </w:rPr>
              <w:t>采取以上措施后，常州市环境空气质量将得到持续改善。</w:t>
            </w:r>
          </w:p>
          <w:p w14:paraId="266113B4">
            <w:pPr>
              <w:keepNext w:val="0"/>
              <w:keepLines w:val="0"/>
              <w:suppressLineNumbers w:val="0"/>
              <w:spacing w:before="0" w:beforeAutospacing="0" w:after="0" w:afterAutospacing="0" w:line="480" w:lineRule="exact"/>
              <w:ind w:left="0" w:right="0" w:firstLine="482" w:firstLineChars="200"/>
              <w:rPr>
                <w:rFonts w:hint="default"/>
                <w:b/>
                <w:bCs/>
                <w:color w:val="auto"/>
                <w:sz w:val="24"/>
              </w:rPr>
            </w:pPr>
            <w:r>
              <w:rPr>
                <w:rFonts w:hint="eastAsia"/>
                <w:b/>
                <w:bCs/>
                <w:color w:val="auto"/>
                <w:sz w:val="24"/>
              </w:rPr>
              <w:t>4</w:t>
            </w:r>
            <w:r>
              <w:rPr>
                <w:rFonts w:hint="default"/>
                <w:b/>
                <w:bCs/>
                <w:color w:val="auto"/>
                <w:sz w:val="24"/>
              </w:rPr>
              <w:t>）其他污染物环境质量现状评价</w:t>
            </w:r>
          </w:p>
          <w:p w14:paraId="7A9C34E0">
            <w:pPr>
              <w:pStyle w:val="17"/>
              <w:keepNext w:val="0"/>
              <w:keepLines w:val="0"/>
              <w:suppressLineNumbers w:val="0"/>
              <w:spacing w:before="0" w:beforeAutospacing="0" w:after="0" w:afterAutospacing="0" w:line="480" w:lineRule="exact"/>
              <w:ind w:left="0" w:right="0" w:firstLine="480" w:firstLineChars="200"/>
              <w:jc w:val="both"/>
              <w:rPr>
                <w:rFonts w:hint="default"/>
                <w:color w:val="auto"/>
                <w:sz w:val="24"/>
                <w:szCs w:val="24"/>
              </w:rPr>
            </w:pPr>
            <w:r>
              <w:rPr>
                <w:rFonts w:hint="default"/>
                <w:color w:val="auto"/>
                <w:sz w:val="24"/>
                <w:szCs w:val="24"/>
              </w:rPr>
              <w:t>为了解区域环境空气质量现状，对本项目产生的特征污染物进行监测。</w:t>
            </w:r>
          </w:p>
          <w:p w14:paraId="1F3C7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default" w:ascii="Times New Roman" w:hAnsi="Times New Roman" w:cs="Times New Roman"/>
                <w:color w:val="auto"/>
                <w:sz w:val="24"/>
                <w:highlight w:val="none"/>
              </w:rPr>
            </w:pPr>
            <w:r>
              <w:rPr>
                <w:rFonts w:hint="default" w:ascii="Times New Roman" w:hAnsi="Times New Roman" w:cs="Times New Roman"/>
                <w:color w:val="auto"/>
                <w:sz w:val="24"/>
              </w:rPr>
              <w:t>本次环境空气质量现状布设</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w:t>
            </w:r>
            <w:r>
              <w:rPr>
                <w:rFonts w:hint="eastAsia" w:cs="Times New Roman"/>
                <w:color w:val="auto"/>
                <w:sz w:val="24"/>
                <w:lang w:val="en-US" w:eastAsia="zh-CN"/>
              </w:rPr>
              <w:t>监测</w:t>
            </w:r>
            <w:r>
              <w:rPr>
                <w:rFonts w:hint="default" w:ascii="Times New Roman" w:hAnsi="Times New Roman" w:cs="Times New Roman"/>
                <w:color w:val="auto"/>
                <w:sz w:val="24"/>
              </w:rPr>
              <w:t>点位G1，</w:t>
            </w:r>
            <w:r>
              <w:rPr>
                <w:rFonts w:hint="eastAsia" w:cs="Times New Roman"/>
                <w:color w:val="auto"/>
                <w:sz w:val="24"/>
                <w:lang w:val="en-US" w:eastAsia="zh-CN"/>
              </w:rPr>
              <w:t>位</w:t>
            </w:r>
            <w:r>
              <w:rPr>
                <w:rFonts w:hint="eastAsia" w:cs="Times New Roman"/>
                <w:color w:val="auto"/>
                <w:sz w:val="24"/>
                <w:szCs w:val="24"/>
                <w:lang w:val="en-US" w:eastAsia="zh-CN"/>
              </w:rPr>
              <w:t>于</w:t>
            </w:r>
            <w:r>
              <w:rPr>
                <w:rFonts w:hint="eastAsia" w:cs="Times New Roman"/>
                <w:color w:val="auto"/>
                <w:sz w:val="24"/>
                <w:szCs w:val="24"/>
                <w:lang w:eastAsia="zh-CN"/>
              </w:rPr>
              <w:t>常州市昌帆金属科技有限公司</w:t>
            </w:r>
            <w:r>
              <w:rPr>
                <w:rFonts w:hint="eastAsia" w:eastAsia="宋体" w:cs="Times New Roman"/>
                <w:color w:val="auto"/>
                <w:sz w:val="24"/>
                <w:szCs w:val="24"/>
                <w:lang w:eastAsia="zh-CN"/>
              </w:rPr>
              <w:t>厂区西北侧</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监测项目</w:t>
            </w:r>
            <w:r>
              <w:rPr>
                <w:rFonts w:hint="eastAsia" w:cs="Times New Roman"/>
                <w:color w:val="auto"/>
                <w:sz w:val="24"/>
                <w:szCs w:val="24"/>
                <w:lang w:val="en-US" w:eastAsia="zh-CN"/>
              </w:rPr>
              <w:t>镍、铬、氟化物、TSP</w:t>
            </w:r>
            <w:r>
              <w:rPr>
                <w:rFonts w:hint="default" w:ascii="Times New Roman" w:hAnsi="Times New Roman" w:cs="Times New Roman"/>
                <w:color w:val="auto"/>
                <w:sz w:val="24"/>
                <w:highlight w:val="none"/>
              </w:rPr>
              <w:t>。</w:t>
            </w:r>
          </w:p>
          <w:p w14:paraId="620865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480" w:firstLineChars="200"/>
              <w:jc w:val="both"/>
              <w:textAlignment w:val="auto"/>
              <w:outlineLvl w:val="9"/>
              <w:rPr>
                <w:rFonts w:hint="eastAsia"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具体位置见表</w:t>
            </w:r>
            <w:r>
              <w:rPr>
                <w:rFonts w:hint="eastAsia" w:cs="Times New Roman"/>
                <w:color w:val="auto"/>
                <w:sz w:val="24"/>
                <w:highlight w:val="none"/>
                <w:lang w:val="en-US" w:eastAsia="zh-CN"/>
              </w:rPr>
              <w:t>3.1-4</w:t>
            </w:r>
            <w:r>
              <w:rPr>
                <w:rFonts w:hint="default" w:ascii="Times New Roman" w:hAnsi="Times New Roman" w:cs="Times New Roman"/>
                <w:color w:val="auto"/>
                <w:sz w:val="24"/>
                <w:highlight w:val="none"/>
              </w:rPr>
              <w:t>和附图</w:t>
            </w:r>
            <w:r>
              <w:rPr>
                <w:rFonts w:hint="eastAsia" w:cs="Times New Roman"/>
                <w:color w:val="auto"/>
                <w:sz w:val="24"/>
                <w:highlight w:val="none"/>
                <w:lang w:val="en-US" w:eastAsia="zh-CN"/>
              </w:rPr>
              <w:t>2，</w:t>
            </w:r>
            <w:r>
              <w:rPr>
                <w:rFonts w:hint="default"/>
                <w:color w:val="auto"/>
                <w:sz w:val="24"/>
                <w:szCs w:val="24"/>
              </w:rPr>
              <w:t>数据汇总见</w:t>
            </w:r>
            <w:r>
              <w:rPr>
                <w:rFonts w:hint="eastAsia"/>
                <w:color w:val="auto"/>
                <w:sz w:val="24"/>
                <w:szCs w:val="24"/>
                <w:lang w:eastAsia="zh-CN"/>
              </w:rPr>
              <w:t>表3.1</w:t>
            </w:r>
            <w:r>
              <w:rPr>
                <w:rFonts w:hint="default"/>
                <w:color w:val="auto"/>
                <w:sz w:val="24"/>
                <w:szCs w:val="24"/>
              </w:rPr>
              <w:t>-</w:t>
            </w:r>
            <w:r>
              <w:rPr>
                <w:rFonts w:hint="eastAsia"/>
                <w:color w:val="auto"/>
                <w:sz w:val="24"/>
                <w:szCs w:val="24"/>
                <w:lang w:val="en-US" w:eastAsia="zh-CN"/>
              </w:rPr>
              <w:t>5</w:t>
            </w:r>
            <w:r>
              <w:rPr>
                <w:rFonts w:hint="default"/>
                <w:color w:val="auto"/>
                <w:sz w:val="24"/>
                <w:szCs w:val="24"/>
              </w:rPr>
              <w:t>。</w:t>
            </w:r>
          </w:p>
          <w:p w14:paraId="05626682">
            <w:pPr>
              <w:keepNext w:val="0"/>
              <w:keepLines w:val="0"/>
              <w:suppressLineNumbers w:val="0"/>
              <w:adjustRightInd w:val="0"/>
              <w:spacing w:before="0" w:beforeAutospacing="0" w:after="0" w:afterAutospacing="0" w:line="480" w:lineRule="exact"/>
              <w:ind w:left="0" w:right="0" w:firstLine="0" w:firstLineChars="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cs="Times New Roman"/>
                <w:b/>
                <w:bCs/>
                <w:color w:val="auto"/>
                <w:sz w:val="24"/>
                <w:lang w:val="en-US" w:eastAsia="zh-CN"/>
              </w:rPr>
              <w:t>3.1-4</w:t>
            </w:r>
            <w:r>
              <w:rPr>
                <w:rFonts w:hint="default" w:ascii="Times New Roman" w:hAnsi="Times New Roman" w:cs="Times New Roman"/>
                <w:b/>
                <w:bCs/>
                <w:color w:val="auto"/>
                <w:sz w:val="24"/>
              </w:rPr>
              <w:t xml:space="preserve"> 大气环境质量</w:t>
            </w:r>
            <w:r>
              <w:rPr>
                <w:rFonts w:hint="eastAsia" w:cs="Times New Roman"/>
                <w:b/>
                <w:bCs/>
                <w:color w:val="auto"/>
                <w:sz w:val="24"/>
                <w:lang w:val="en-US" w:eastAsia="zh-CN"/>
              </w:rPr>
              <w:t>监测</w:t>
            </w:r>
            <w:r>
              <w:rPr>
                <w:rFonts w:hint="default" w:ascii="Times New Roman" w:hAnsi="Times New Roman" w:cs="Times New Roman"/>
                <w:b/>
                <w:bCs/>
                <w:color w:val="auto"/>
                <w:sz w:val="24"/>
              </w:rPr>
              <w:t>点位</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89"/>
              <w:gridCol w:w="2269"/>
              <w:gridCol w:w="696"/>
              <w:gridCol w:w="740"/>
              <w:gridCol w:w="2494"/>
              <w:gridCol w:w="1534"/>
            </w:tblGrid>
            <w:tr w14:paraId="434A05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9" w:type="pct"/>
                  <w:tcBorders>
                    <w:tl2br w:val="nil"/>
                    <w:tr2bl w:val="nil"/>
                  </w:tcBorders>
                  <w:noWrap w:val="0"/>
                  <w:vAlign w:val="center"/>
                </w:tcPr>
                <w:p w14:paraId="284C009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点位</w:t>
                  </w:r>
                </w:p>
              </w:tc>
              <w:tc>
                <w:tcPr>
                  <w:tcW w:w="1346" w:type="pct"/>
                  <w:tcBorders>
                    <w:tl2br w:val="nil"/>
                    <w:tr2bl w:val="nil"/>
                  </w:tcBorders>
                  <w:noWrap w:val="0"/>
                  <w:vAlign w:val="center"/>
                </w:tcPr>
                <w:p w14:paraId="521C8FD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lang w:eastAsia="zh-CN"/>
                    </w:rPr>
                  </w:pPr>
                  <w:r>
                    <w:rPr>
                      <w:rFonts w:hint="eastAsia" w:ascii="Times New Roman" w:hAnsi="Times New Roman" w:cs="Times New Roman"/>
                      <w:b/>
                      <w:bCs/>
                      <w:color w:val="auto"/>
                      <w:sz w:val="21"/>
                      <w:szCs w:val="21"/>
                      <w:lang w:eastAsia="zh-CN"/>
                    </w:rPr>
                    <w:t>名称</w:t>
                  </w:r>
                </w:p>
              </w:tc>
              <w:tc>
                <w:tcPr>
                  <w:tcW w:w="413" w:type="pct"/>
                  <w:tcBorders>
                    <w:tl2br w:val="nil"/>
                    <w:tr2bl w:val="nil"/>
                  </w:tcBorders>
                  <w:noWrap w:val="0"/>
                  <w:vAlign w:val="center"/>
                </w:tcPr>
                <w:p w14:paraId="6A7B45C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方位</w:t>
                  </w:r>
                </w:p>
              </w:tc>
              <w:tc>
                <w:tcPr>
                  <w:tcW w:w="439" w:type="pct"/>
                  <w:tcBorders>
                    <w:tl2br w:val="nil"/>
                    <w:tr2bl w:val="nil"/>
                  </w:tcBorders>
                  <w:noWrap w:val="0"/>
                  <w:vAlign w:val="center"/>
                </w:tcPr>
                <w:p w14:paraId="6F4963D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距离</w:t>
                  </w:r>
                </w:p>
              </w:tc>
              <w:tc>
                <w:tcPr>
                  <w:tcW w:w="1480" w:type="pct"/>
                  <w:tcBorders>
                    <w:tl2br w:val="nil"/>
                    <w:tr2bl w:val="nil"/>
                  </w:tcBorders>
                  <w:noWrap w:val="0"/>
                  <w:vAlign w:val="center"/>
                </w:tcPr>
                <w:p w14:paraId="2E036C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val="en-US" w:eastAsia="zh-CN"/>
                    </w:rPr>
                    <w:t>监测</w:t>
                  </w:r>
                  <w:r>
                    <w:rPr>
                      <w:rFonts w:hint="eastAsia" w:ascii="Times New Roman" w:hAnsi="Times New Roman" w:cs="Times New Roman"/>
                      <w:b/>
                      <w:bCs/>
                      <w:color w:val="auto"/>
                      <w:sz w:val="21"/>
                      <w:szCs w:val="21"/>
                      <w:lang w:eastAsia="zh-CN"/>
                    </w:rPr>
                    <w:t>项目</w:t>
                  </w:r>
                </w:p>
              </w:tc>
              <w:tc>
                <w:tcPr>
                  <w:tcW w:w="910" w:type="pct"/>
                  <w:tcBorders>
                    <w:tl2br w:val="nil"/>
                    <w:tr2bl w:val="nil"/>
                  </w:tcBorders>
                  <w:noWrap w:val="0"/>
                  <w:vAlign w:val="center"/>
                </w:tcPr>
                <w:p w14:paraId="0CA9DA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所在环境功能</w:t>
                  </w:r>
                </w:p>
              </w:tc>
            </w:tr>
            <w:tr w14:paraId="521EA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09" w:type="pct"/>
                  <w:tcBorders>
                    <w:tl2br w:val="nil"/>
                    <w:tr2bl w:val="nil"/>
                  </w:tcBorders>
                  <w:noWrap w:val="0"/>
                  <w:vAlign w:val="center"/>
                </w:tcPr>
                <w:p w14:paraId="618A9D6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G1</w:t>
                  </w:r>
                </w:p>
              </w:tc>
              <w:tc>
                <w:tcPr>
                  <w:tcW w:w="1346" w:type="pct"/>
                  <w:tcBorders>
                    <w:tl2br w:val="nil"/>
                    <w:tr2bl w:val="nil"/>
                  </w:tcBorders>
                  <w:noWrap w:val="0"/>
                  <w:vAlign w:val="center"/>
                </w:tcPr>
                <w:p w14:paraId="40009A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常州市昌帆金属科技有限公司厂区西北侧</w:t>
                  </w:r>
                </w:p>
              </w:tc>
              <w:tc>
                <w:tcPr>
                  <w:tcW w:w="413" w:type="pct"/>
                  <w:tcBorders>
                    <w:tl2br w:val="nil"/>
                    <w:tr2bl w:val="nil"/>
                  </w:tcBorders>
                  <w:noWrap w:val="0"/>
                  <w:vAlign w:val="center"/>
                </w:tcPr>
                <w:p w14:paraId="7A85CFD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NW</w:t>
                  </w:r>
                </w:p>
              </w:tc>
              <w:tc>
                <w:tcPr>
                  <w:tcW w:w="439" w:type="pct"/>
                  <w:tcBorders>
                    <w:tl2br w:val="nil"/>
                    <w:tr2bl w:val="nil"/>
                  </w:tcBorders>
                  <w:noWrap w:val="0"/>
                  <w:vAlign w:val="center"/>
                </w:tcPr>
                <w:p w14:paraId="4A10B4C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1480" w:type="pct"/>
                  <w:tcBorders>
                    <w:tl2br w:val="nil"/>
                    <w:tr2bl w:val="nil"/>
                  </w:tcBorders>
                  <w:noWrap w:val="0"/>
                  <w:vAlign w:val="center"/>
                </w:tcPr>
                <w:p w14:paraId="098AA5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镍、铬、氟化物</w:t>
                  </w:r>
                  <w:r>
                    <w:rPr>
                      <w:rFonts w:hint="eastAsia" w:cs="Times New Roman"/>
                      <w:color w:val="auto"/>
                      <w:sz w:val="21"/>
                      <w:szCs w:val="21"/>
                      <w:lang w:eastAsia="zh-CN"/>
                    </w:rPr>
                    <w:t>、</w:t>
                  </w:r>
                  <w:r>
                    <w:rPr>
                      <w:rFonts w:hint="eastAsia" w:cs="Times New Roman"/>
                      <w:color w:val="auto"/>
                      <w:sz w:val="21"/>
                      <w:szCs w:val="21"/>
                      <w:lang w:val="en-US" w:eastAsia="zh-CN"/>
                    </w:rPr>
                    <w:t>TSP</w:t>
                  </w:r>
                </w:p>
              </w:tc>
              <w:tc>
                <w:tcPr>
                  <w:tcW w:w="910" w:type="pct"/>
                  <w:tcBorders>
                    <w:tl2br w:val="nil"/>
                    <w:tr2bl w:val="nil"/>
                  </w:tcBorders>
                  <w:noWrap w:val="0"/>
                  <w:vAlign w:val="center"/>
                </w:tcPr>
                <w:p w14:paraId="5D27A6C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w:t>
                  </w:r>
                </w:p>
              </w:tc>
            </w:tr>
          </w:tbl>
          <w:p w14:paraId="79DE25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color w:val="auto"/>
                <w:sz w:val="24"/>
                <w:szCs w:val="24"/>
              </w:rPr>
            </w:pPr>
            <w:r>
              <w:rPr>
                <w:rFonts w:hint="eastAsia"/>
                <w:b/>
                <w:color w:val="auto"/>
                <w:sz w:val="24"/>
                <w:szCs w:val="24"/>
                <w:lang w:eastAsia="zh-CN"/>
              </w:rPr>
              <w:t>表3.1</w:t>
            </w:r>
            <w:r>
              <w:rPr>
                <w:rFonts w:hint="default"/>
                <w:b/>
                <w:color w:val="auto"/>
                <w:sz w:val="24"/>
                <w:szCs w:val="24"/>
              </w:rPr>
              <w:t>-</w:t>
            </w:r>
            <w:r>
              <w:rPr>
                <w:rFonts w:hint="eastAsia"/>
                <w:b/>
                <w:color w:val="auto"/>
                <w:sz w:val="24"/>
                <w:szCs w:val="24"/>
                <w:lang w:val="en-US" w:eastAsia="zh-CN"/>
              </w:rPr>
              <w:t>5</w:t>
            </w:r>
            <w:r>
              <w:rPr>
                <w:rFonts w:hint="default"/>
                <w:b/>
                <w:color w:val="auto"/>
                <w:sz w:val="24"/>
                <w:szCs w:val="24"/>
              </w:rPr>
              <w:t xml:space="preserve"> </w:t>
            </w:r>
            <w:r>
              <w:rPr>
                <w:rFonts w:hint="eastAsia"/>
                <w:b/>
                <w:color w:val="auto"/>
                <w:sz w:val="24"/>
                <w:szCs w:val="24"/>
                <w:lang w:val="en-US" w:eastAsia="zh-CN"/>
              </w:rPr>
              <w:t xml:space="preserve"> </w:t>
            </w:r>
            <w:r>
              <w:rPr>
                <w:rFonts w:hint="default"/>
                <w:b/>
                <w:color w:val="auto"/>
                <w:sz w:val="24"/>
                <w:szCs w:val="24"/>
              </w:rPr>
              <w:t>监测数据统计结果汇总</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50"/>
              <w:gridCol w:w="991"/>
              <w:gridCol w:w="922"/>
              <w:gridCol w:w="1417"/>
              <w:gridCol w:w="1574"/>
              <w:gridCol w:w="1097"/>
              <w:gridCol w:w="737"/>
              <w:gridCol w:w="634"/>
            </w:tblGrid>
            <w:tr w14:paraId="475A7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53" w:hRule="atLeast"/>
              </w:trPr>
              <w:tc>
                <w:tcPr>
                  <w:tcW w:w="623" w:type="pct"/>
                  <w:vMerge w:val="restart"/>
                  <w:tcBorders>
                    <w:tl2br w:val="nil"/>
                    <w:tr2bl w:val="nil"/>
                  </w:tcBorders>
                  <w:noWrap w:val="0"/>
                  <w:vAlign w:val="center"/>
                </w:tcPr>
                <w:p w14:paraId="57747783">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监测点位</w:t>
                  </w:r>
                </w:p>
              </w:tc>
              <w:tc>
                <w:tcPr>
                  <w:tcW w:w="588" w:type="pct"/>
                  <w:vMerge w:val="restart"/>
                  <w:tcBorders>
                    <w:tl2br w:val="nil"/>
                    <w:tr2bl w:val="nil"/>
                  </w:tcBorders>
                  <w:noWrap w:val="0"/>
                  <w:vAlign w:val="center"/>
                </w:tcPr>
                <w:p w14:paraId="6E975A2A">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污染物</w:t>
                  </w:r>
                </w:p>
              </w:tc>
              <w:tc>
                <w:tcPr>
                  <w:tcW w:w="547" w:type="pct"/>
                  <w:vMerge w:val="restart"/>
                  <w:tcBorders>
                    <w:tl2br w:val="nil"/>
                    <w:tr2bl w:val="nil"/>
                  </w:tcBorders>
                  <w:noWrap w:val="0"/>
                  <w:vAlign w:val="center"/>
                </w:tcPr>
                <w:p w14:paraId="261D415E">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平均时间</w:t>
                  </w:r>
                </w:p>
              </w:tc>
              <w:tc>
                <w:tcPr>
                  <w:tcW w:w="841" w:type="pct"/>
                  <w:vMerge w:val="restart"/>
                  <w:tcBorders>
                    <w:tl2br w:val="nil"/>
                    <w:tr2bl w:val="nil"/>
                  </w:tcBorders>
                  <w:noWrap w:val="0"/>
                  <w:vAlign w:val="center"/>
                </w:tcPr>
                <w:p w14:paraId="644CE6B6">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评价标准/（μg/m</w:t>
                  </w:r>
                  <w:r>
                    <w:rPr>
                      <w:rFonts w:hint="default"/>
                      <w:b/>
                      <w:bCs/>
                      <w:color w:val="auto"/>
                      <w:sz w:val="21"/>
                      <w:szCs w:val="21"/>
                      <w:vertAlign w:val="superscript"/>
                    </w:rPr>
                    <w:t>3</w:t>
                  </w:r>
                  <w:r>
                    <w:rPr>
                      <w:rFonts w:hint="default"/>
                      <w:b/>
                      <w:bCs/>
                      <w:color w:val="auto"/>
                      <w:sz w:val="21"/>
                      <w:szCs w:val="21"/>
                    </w:rPr>
                    <w:t>）</w:t>
                  </w:r>
                </w:p>
              </w:tc>
              <w:tc>
                <w:tcPr>
                  <w:tcW w:w="934" w:type="pct"/>
                  <w:vMerge w:val="restart"/>
                  <w:tcBorders>
                    <w:tl2br w:val="nil"/>
                    <w:tr2bl w:val="nil"/>
                  </w:tcBorders>
                  <w:noWrap w:val="0"/>
                  <w:vAlign w:val="center"/>
                </w:tcPr>
                <w:p w14:paraId="3CB4B283">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监测浓度范围/（μg/m</w:t>
                  </w:r>
                  <w:r>
                    <w:rPr>
                      <w:rFonts w:hint="default"/>
                      <w:b/>
                      <w:bCs/>
                      <w:color w:val="auto"/>
                      <w:sz w:val="21"/>
                      <w:szCs w:val="21"/>
                      <w:vertAlign w:val="superscript"/>
                    </w:rPr>
                    <w:t>3</w:t>
                  </w:r>
                  <w:r>
                    <w:rPr>
                      <w:rFonts w:hint="default"/>
                      <w:b/>
                      <w:bCs/>
                      <w:color w:val="auto"/>
                      <w:sz w:val="21"/>
                      <w:szCs w:val="21"/>
                    </w:rPr>
                    <w:t>）</w:t>
                  </w:r>
                </w:p>
              </w:tc>
              <w:tc>
                <w:tcPr>
                  <w:tcW w:w="651" w:type="pct"/>
                  <w:vMerge w:val="restart"/>
                  <w:tcBorders>
                    <w:tl2br w:val="nil"/>
                    <w:tr2bl w:val="nil"/>
                  </w:tcBorders>
                  <w:noWrap w:val="0"/>
                  <w:vAlign w:val="center"/>
                </w:tcPr>
                <w:p w14:paraId="5216B144">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最大浓度占标率/%</w:t>
                  </w:r>
                </w:p>
              </w:tc>
              <w:tc>
                <w:tcPr>
                  <w:tcW w:w="437" w:type="pct"/>
                  <w:vMerge w:val="restart"/>
                  <w:tcBorders>
                    <w:tl2br w:val="nil"/>
                    <w:tr2bl w:val="nil"/>
                  </w:tcBorders>
                  <w:noWrap w:val="0"/>
                  <w:vAlign w:val="center"/>
                </w:tcPr>
                <w:p w14:paraId="0D587E3B">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超标率/%</w:t>
                  </w:r>
                </w:p>
              </w:tc>
              <w:tc>
                <w:tcPr>
                  <w:tcW w:w="376" w:type="pct"/>
                  <w:vMerge w:val="restart"/>
                  <w:tcBorders>
                    <w:tl2br w:val="nil"/>
                    <w:tr2bl w:val="nil"/>
                  </w:tcBorders>
                  <w:noWrap w:val="0"/>
                  <w:vAlign w:val="center"/>
                </w:tcPr>
                <w:p w14:paraId="66997DA8">
                  <w:pPr>
                    <w:keepNext w:val="0"/>
                    <w:keepLines w:val="0"/>
                    <w:suppressLineNumbers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达标情况</w:t>
                  </w:r>
                </w:p>
              </w:tc>
            </w:tr>
            <w:tr w14:paraId="3E25B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623" w:type="pct"/>
                  <w:vMerge w:val="continue"/>
                  <w:tcBorders>
                    <w:tl2br w:val="nil"/>
                    <w:tr2bl w:val="nil"/>
                  </w:tcBorders>
                  <w:noWrap w:val="0"/>
                  <w:vAlign w:val="center"/>
                </w:tcPr>
                <w:p w14:paraId="7D02D553">
                  <w:pPr>
                    <w:keepNext w:val="0"/>
                    <w:keepLines w:val="0"/>
                    <w:suppressLineNumbers w:val="0"/>
                    <w:spacing w:before="0" w:beforeAutospacing="0" w:after="0" w:afterAutospacing="0" w:line="240" w:lineRule="auto"/>
                    <w:ind w:left="0" w:right="0"/>
                    <w:jc w:val="center"/>
                    <w:rPr>
                      <w:rFonts w:hint="default"/>
                      <w:color w:val="auto"/>
                      <w:sz w:val="21"/>
                      <w:szCs w:val="21"/>
                    </w:rPr>
                  </w:pPr>
                </w:p>
              </w:tc>
              <w:tc>
                <w:tcPr>
                  <w:tcW w:w="588" w:type="pct"/>
                  <w:vMerge w:val="continue"/>
                  <w:tcBorders>
                    <w:tl2br w:val="nil"/>
                    <w:tr2bl w:val="nil"/>
                  </w:tcBorders>
                  <w:noWrap w:val="0"/>
                  <w:vAlign w:val="center"/>
                </w:tcPr>
                <w:p w14:paraId="38581AC9">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c>
                <w:tcPr>
                  <w:tcW w:w="547" w:type="pct"/>
                  <w:vMerge w:val="continue"/>
                  <w:tcBorders>
                    <w:tl2br w:val="nil"/>
                    <w:tr2bl w:val="nil"/>
                  </w:tcBorders>
                  <w:noWrap w:val="0"/>
                  <w:vAlign w:val="center"/>
                </w:tcPr>
                <w:p w14:paraId="3F63AA07">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c>
                <w:tcPr>
                  <w:tcW w:w="841" w:type="pct"/>
                  <w:vMerge w:val="continue"/>
                  <w:tcBorders>
                    <w:tl2br w:val="nil"/>
                    <w:tr2bl w:val="nil"/>
                  </w:tcBorders>
                  <w:noWrap w:val="0"/>
                  <w:vAlign w:val="center"/>
                </w:tcPr>
                <w:p w14:paraId="21BAAFA1">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c>
                <w:tcPr>
                  <w:tcW w:w="934" w:type="pct"/>
                  <w:vMerge w:val="continue"/>
                  <w:tcBorders>
                    <w:tl2br w:val="nil"/>
                    <w:tr2bl w:val="nil"/>
                  </w:tcBorders>
                  <w:noWrap w:val="0"/>
                  <w:vAlign w:val="center"/>
                </w:tcPr>
                <w:p w14:paraId="2EFB4D63">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c>
                <w:tcPr>
                  <w:tcW w:w="651" w:type="pct"/>
                  <w:vMerge w:val="continue"/>
                  <w:tcBorders>
                    <w:tl2br w:val="nil"/>
                    <w:tr2bl w:val="nil"/>
                  </w:tcBorders>
                  <w:noWrap w:val="0"/>
                  <w:vAlign w:val="center"/>
                </w:tcPr>
                <w:p w14:paraId="6911AC55">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c>
                <w:tcPr>
                  <w:tcW w:w="437" w:type="pct"/>
                  <w:vMerge w:val="continue"/>
                  <w:tcBorders>
                    <w:tl2br w:val="nil"/>
                    <w:tr2bl w:val="nil"/>
                  </w:tcBorders>
                  <w:noWrap w:val="0"/>
                  <w:vAlign w:val="center"/>
                </w:tcPr>
                <w:p w14:paraId="236C3992">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c>
                <w:tcPr>
                  <w:tcW w:w="376" w:type="pct"/>
                  <w:vMerge w:val="continue"/>
                  <w:tcBorders>
                    <w:tl2br w:val="nil"/>
                    <w:tr2bl w:val="nil"/>
                  </w:tcBorders>
                  <w:noWrap w:val="0"/>
                  <w:vAlign w:val="center"/>
                </w:tcPr>
                <w:p w14:paraId="2C1E85E4">
                  <w:pPr>
                    <w:keepNext w:val="0"/>
                    <w:keepLines w:val="0"/>
                    <w:suppressLineNumbers w:val="0"/>
                    <w:spacing w:before="0" w:beforeAutospacing="0" w:after="0" w:afterAutospacing="0" w:line="240" w:lineRule="auto"/>
                    <w:ind w:left="0" w:right="0"/>
                    <w:jc w:val="center"/>
                    <w:rPr>
                      <w:rFonts w:hint="default"/>
                      <w:b/>
                      <w:bCs/>
                      <w:color w:val="auto"/>
                      <w:sz w:val="21"/>
                      <w:szCs w:val="21"/>
                    </w:rPr>
                  </w:pPr>
                </w:p>
              </w:tc>
            </w:tr>
            <w:tr w14:paraId="624B8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trPr>
              <w:tc>
                <w:tcPr>
                  <w:tcW w:w="623" w:type="pct"/>
                  <w:vMerge w:val="restart"/>
                  <w:tcBorders>
                    <w:tl2br w:val="nil"/>
                    <w:tr2bl w:val="nil"/>
                  </w:tcBorders>
                  <w:noWrap w:val="0"/>
                  <w:vAlign w:val="center"/>
                </w:tcPr>
                <w:p w14:paraId="798F7396">
                  <w:pPr>
                    <w:keepNext w:val="0"/>
                    <w:keepLines w:val="0"/>
                    <w:suppressLineNumbers w:val="0"/>
                    <w:snapToGrid w:val="0"/>
                    <w:spacing w:before="0" w:beforeAutospacing="0" w:after="0" w:afterAutospacing="0" w:line="240" w:lineRule="auto"/>
                    <w:ind w:left="0" w:right="0"/>
                    <w:jc w:val="center"/>
                    <w:rPr>
                      <w:rFonts w:hint="eastAsia" w:eastAsia="宋体"/>
                      <w:color w:val="auto"/>
                      <w:kern w:val="2"/>
                      <w:sz w:val="21"/>
                      <w:szCs w:val="21"/>
                      <w:lang w:val="en-US" w:eastAsia="zh-CN" w:bidi="ar-SA"/>
                    </w:rPr>
                  </w:pPr>
                  <w:r>
                    <w:rPr>
                      <w:rFonts w:hint="eastAsia" w:cs="Times New Roman"/>
                      <w:color w:val="auto"/>
                      <w:sz w:val="21"/>
                      <w:szCs w:val="21"/>
                      <w:lang w:val="en-US" w:eastAsia="zh-CN"/>
                    </w:rPr>
                    <w:t>常州市昌帆金属科技有限公司厂区西北侧</w:t>
                  </w:r>
                </w:p>
              </w:tc>
              <w:tc>
                <w:tcPr>
                  <w:tcW w:w="588" w:type="pct"/>
                  <w:tcBorders>
                    <w:tl2br w:val="nil"/>
                    <w:tr2bl w:val="nil"/>
                  </w:tcBorders>
                  <w:noWrap w:val="0"/>
                  <w:vAlign w:val="center"/>
                </w:tcPr>
                <w:p w14:paraId="0B229CBC">
                  <w:pPr>
                    <w:keepNext w:val="0"/>
                    <w:keepLines w:val="0"/>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eastAsia="宋体"/>
                      <w:color w:val="auto"/>
                      <w:sz w:val="21"/>
                      <w:szCs w:val="21"/>
                      <w:lang w:val="en-US" w:eastAsia="zh-CN"/>
                    </w:rPr>
                    <w:t>镍</w:t>
                  </w:r>
                </w:p>
              </w:tc>
              <w:tc>
                <w:tcPr>
                  <w:tcW w:w="547" w:type="pct"/>
                  <w:tcBorders>
                    <w:tl2br w:val="nil"/>
                    <w:tr2bl w:val="nil"/>
                  </w:tcBorders>
                  <w:noWrap w:val="0"/>
                  <w:vAlign w:val="center"/>
                </w:tcPr>
                <w:p w14:paraId="165EF12D">
                  <w:pPr>
                    <w:keepNext w:val="0"/>
                    <w:keepLines w:val="0"/>
                    <w:suppressLineNumbers w:val="0"/>
                    <w:spacing w:before="0" w:beforeAutospacing="0" w:after="0" w:afterAutospacing="0" w:line="240" w:lineRule="auto"/>
                    <w:ind w:left="0" w:right="0"/>
                    <w:jc w:val="center"/>
                    <w:rPr>
                      <w:rFonts w:hint="eastAsia"/>
                      <w:color w:val="auto"/>
                      <w:sz w:val="21"/>
                      <w:szCs w:val="21"/>
                    </w:rPr>
                  </w:pPr>
                  <w:r>
                    <w:rPr>
                      <w:rFonts w:hint="default"/>
                      <w:color w:val="auto"/>
                      <w:sz w:val="21"/>
                      <w:szCs w:val="21"/>
                    </w:rPr>
                    <w:t>一次</w:t>
                  </w:r>
                </w:p>
              </w:tc>
              <w:tc>
                <w:tcPr>
                  <w:tcW w:w="841" w:type="pct"/>
                  <w:tcBorders>
                    <w:tl2br w:val="nil"/>
                    <w:tr2bl w:val="nil"/>
                  </w:tcBorders>
                  <w:noWrap w:val="0"/>
                  <w:vAlign w:val="center"/>
                </w:tcPr>
                <w:p w14:paraId="3A3D34BF">
                  <w:pPr>
                    <w:keepNext w:val="0"/>
                    <w:keepLines w:val="0"/>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eastAsia="宋体"/>
                      <w:color w:val="auto"/>
                      <w:sz w:val="21"/>
                      <w:szCs w:val="21"/>
                      <w:lang w:val="en-US" w:eastAsia="zh-CN"/>
                    </w:rPr>
                    <w:t>30</w:t>
                  </w:r>
                </w:p>
              </w:tc>
              <w:tc>
                <w:tcPr>
                  <w:tcW w:w="934" w:type="pct"/>
                  <w:tcBorders>
                    <w:tl2br w:val="nil"/>
                    <w:tr2bl w:val="nil"/>
                  </w:tcBorders>
                  <w:noWrap w:val="0"/>
                  <w:vAlign w:val="center"/>
                </w:tcPr>
                <w:p w14:paraId="6DB7639A">
                  <w:pPr>
                    <w:keepNext w:val="0"/>
                    <w:keepLines w:val="0"/>
                    <w:suppressLineNumbers w:val="0"/>
                    <w:spacing w:before="0" w:beforeAutospacing="0" w:after="0" w:afterAutospacing="0" w:line="240" w:lineRule="auto"/>
                    <w:ind w:left="0" w:right="0"/>
                    <w:jc w:val="center"/>
                    <w:rPr>
                      <w:rFonts w:hint="eastAsia" w:eastAsia="宋体"/>
                      <w:color w:val="auto"/>
                      <w:sz w:val="21"/>
                      <w:szCs w:val="21"/>
                      <w:lang w:eastAsia="zh-CN"/>
                    </w:rPr>
                  </w:pPr>
                  <w:r>
                    <w:rPr>
                      <w:rFonts w:hint="eastAsia" w:eastAsia="宋体"/>
                      <w:color w:val="auto"/>
                      <w:kern w:val="2"/>
                      <w:sz w:val="21"/>
                      <w:szCs w:val="21"/>
                      <w:lang w:val="en-US" w:eastAsia="zh-CN" w:bidi="ar-SA"/>
                    </w:rPr>
                    <w:t>ND</w:t>
                  </w:r>
                </w:p>
              </w:tc>
              <w:tc>
                <w:tcPr>
                  <w:tcW w:w="651" w:type="pct"/>
                  <w:tcBorders>
                    <w:tl2br w:val="nil"/>
                    <w:tr2bl w:val="nil"/>
                  </w:tcBorders>
                  <w:noWrap w:val="0"/>
                  <w:vAlign w:val="center"/>
                </w:tcPr>
                <w:p w14:paraId="1A8BBB70">
                  <w:pPr>
                    <w:keepNext w:val="0"/>
                    <w:keepLines w:val="0"/>
                    <w:widowControl/>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eastAsia="宋体"/>
                      <w:color w:val="auto"/>
                      <w:sz w:val="21"/>
                      <w:szCs w:val="21"/>
                      <w:lang w:val="en-US" w:eastAsia="zh-CN"/>
                    </w:rPr>
                    <w:t>6.7</w:t>
                  </w:r>
                </w:p>
              </w:tc>
              <w:tc>
                <w:tcPr>
                  <w:tcW w:w="437" w:type="pct"/>
                  <w:tcBorders>
                    <w:tl2br w:val="nil"/>
                    <w:tr2bl w:val="nil"/>
                  </w:tcBorders>
                  <w:noWrap w:val="0"/>
                  <w:vAlign w:val="center"/>
                </w:tcPr>
                <w:p w14:paraId="3A41015D">
                  <w:pPr>
                    <w:keepNext w:val="0"/>
                    <w:keepLines w:val="0"/>
                    <w:suppressLineNumbers w:val="0"/>
                    <w:spacing w:before="0" w:beforeAutospacing="0" w:after="0" w:afterAutospacing="0" w:line="240" w:lineRule="auto"/>
                    <w:ind w:left="0" w:right="0"/>
                    <w:jc w:val="center"/>
                    <w:rPr>
                      <w:rFonts w:hint="eastAsia"/>
                      <w:color w:val="auto"/>
                      <w:sz w:val="21"/>
                      <w:szCs w:val="21"/>
                    </w:rPr>
                  </w:pPr>
                  <w:r>
                    <w:rPr>
                      <w:rFonts w:hint="default"/>
                      <w:color w:val="auto"/>
                      <w:sz w:val="21"/>
                      <w:szCs w:val="21"/>
                    </w:rPr>
                    <w:t>0</w:t>
                  </w:r>
                </w:p>
              </w:tc>
              <w:tc>
                <w:tcPr>
                  <w:tcW w:w="376" w:type="pct"/>
                  <w:tcBorders>
                    <w:tl2br w:val="nil"/>
                    <w:tr2bl w:val="nil"/>
                  </w:tcBorders>
                  <w:noWrap w:val="0"/>
                  <w:vAlign w:val="center"/>
                </w:tcPr>
                <w:p w14:paraId="15B821AB">
                  <w:pPr>
                    <w:keepNext w:val="0"/>
                    <w:keepLines w:val="0"/>
                    <w:suppressLineNumbers w:val="0"/>
                    <w:spacing w:before="0" w:beforeAutospacing="0" w:after="0" w:afterAutospacing="0" w:line="240" w:lineRule="auto"/>
                    <w:ind w:left="0" w:right="0"/>
                    <w:jc w:val="center"/>
                    <w:rPr>
                      <w:rFonts w:hint="eastAsia"/>
                      <w:color w:val="auto"/>
                      <w:sz w:val="21"/>
                      <w:szCs w:val="21"/>
                    </w:rPr>
                  </w:pPr>
                  <w:r>
                    <w:rPr>
                      <w:rFonts w:hint="default"/>
                      <w:color w:val="auto"/>
                      <w:sz w:val="21"/>
                      <w:szCs w:val="21"/>
                    </w:rPr>
                    <w:t>达标</w:t>
                  </w:r>
                </w:p>
              </w:tc>
            </w:tr>
            <w:tr w14:paraId="589EA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trPr>
              <w:tc>
                <w:tcPr>
                  <w:tcW w:w="623" w:type="pct"/>
                  <w:vMerge w:val="continue"/>
                  <w:tcBorders>
                    <w:tl2br w:val="nil"/>
                    <w:tr2bl w:val="nil"/>
                  </w:tcBorders>
                  <w:noWrap w:val="0"/>
                  <w:vAlign w:val="center"/>
                </w:tcPr>
                <w:p w14:paraId="5752DE30">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p>
              </w:tc>
              <w:tc>
                <w:tcPr>
                  <w:tcW w:w="588" w:type="pct"/>
                  <w:tcBorders>
                    <w:tl2br w:val="nil"/>
                    <w:tr2bl w:val="nil"/>
                  </w:tcBorders>
                  <w:noWrap w:val="0"/>
                  <w:vAlign w:val="center"/>
                </w:tcPr>
                <w:p w14:paraId="43466CC7">
                  <w:pPr>
                    <w:keepNext w:val="0"/>
                    <w:keepLines w:val="0"/>
                    <w:suppressLineNumbers w:val="0"/>
                    <w:spacing w:before="0" w:beforeAutospacing="0" w:after="0" w:afterAutospacing="0" w:line="240" w:lineRule="auto"/>
                    <w:ind w:left="0" w:right="0"/>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铬</w:t>
                  </w:r>
                </w:p>
              </w:tc>
              <w:tc>
                <w:tcPr>
                  <w:tcW w:w="547" w:type="pct"/>
                  <w:tcBorders>
                    <w:tl2br w:val="nil"/>
                    <w:tr2bl w:val="nil"/>
                  </w:tcBorders>
                  <w:noWrap w:val="0"/>
                  <w:vAlign w:val="center"/>
                </w:tcPr>
                <w:p w14:paraId="69794F3F">
                  <w:pPr>
                    <w:keepNext w:val="0"/>
                    <w:keepLines w:val="0"/>
                    <w:suppressLineNumbers w:val="0"/>
                    <w:spacing w:before="0" w:beforeAutospacing="0" w:after="0" w:afterAutospacing="0" w:line="240" w:lineRule="auto"/>
                    <w:ind w:left="0" w:right="0"/>
                    <w:jc w:val="center"/>
                    <w:rPr>
                      <w:rFonts w:hint="eastAsia"/>
                      <w:color w:val="auto"/>
                      <w:kern w:val="2"/>
                      <w:sz w:val="21"/>
                      <w:szCs w:val="21"/>
                      <w:lang w:val="en-US" w:eastAsia="zh-CN" w:bidi="ar-SA"/>
                    </w:rPr>
                  </w:pPr>
                  <w:r>
                    <w:rPr>
                      <w:rFonts w:hint="default"/>
                      <w:color w:val="auto"/>
                      <w:sz w:val="21"/>
                      <w:szCs w:val="21"/>
                    </w:rPr>
                    <w:t>一次</w:t>
                  </w:r>
                </w:p>
              </w:tc>
              <w:tc>
                <w:tcPr>
                  <w:tcW w:w="841" w:type="pct"/>
                  <w:tcBorders>
                    <w:tl2br w:val="nil"/>
                    <w:tr2bl w:val="nil"/>
                  </w:tcBorders>
                  <w:noWrap w:val="0"/>
                  <w:vAlign w:val="center"/>
                </w:tcPr>
                <w:p w14:paraId="13F9D02A">
                  <w:pPr>
                    <w:keepNext w:val="0"/>
                    <w:keepLines w:val="0"/>
                    <w:suppressLineNumbers w:val="0"/>
                    <w:spacing w:before="0" w:beforeAutospacing="0" w:after="0" w:afterAutospacing="0" w:line="240" w:lineRule="auto"/>
                    <w:ind w:left="0" w:right="0"/>
                    <w:jc w:val="center"/>
                    <w:rPr>
                      <w:rFonts w:hint="default" w:eastAsia="宋体"/>
                      <w:color w:val="auto"/>
                      <w:kern w:val="2"/>
                      <w:sz w:val="21"/>
                      <w:szCs w:val="21"/>
                      <w:lang w:val="en-US" w:eastAsia="zh-CN" w:bidi="ar-SA"/>
                    </w:rPr>
                  </w:pPr>
                  <w:r>
                    <w:rPr>
                      <w:rFonts w:hint="eastAsia"/>
                      <w:color w:val="auto"/>
                      <w:sz w:val="21"/>
                      <w:szCs w:val="21"/>
                      <w:lang w:val="en-US" w:eastAsia="zh-CN"/>
                    </w:rPr>
                    <w:t>2.78</w:t>
                  </w:r>
                </w:p>
              </w:tc>
              <w:tc>
                <w:tcPr>
                  <w:tcW w:w="934" w:type="pct"/>
                  <w:tcBorders>
                    <w:tl2br w:val="nil"/>
                    <w:tr2bl w:val="nil"/>
                  </w:tcBorders>
                  <w:noWrap w:val="0"/>
                  <w:vAlign w:val="center"/>
                </w:tcPr>
                <w:p w14:paraId="4C0C2473">
                  <w:pPr>
                    <w:keepNext w:val="0"/>
                    <w:keepLines w:val="0"/>
                    <w:suppressLineNumbers w:val="0"/>
                    <w:spacing w:before="0" w:beforeAutospacing="0" w:after="0" w:afterAutospacing="0" w:line="240" w:lineRule="auto"/>
                    <w:ind w:left="0" w:right="0"/>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ND</w:t>
                  </w:r>
                </w:p>
              </w:tc>
              <w:tc>
                <w:tcPr>
                  <w:tcW w:w="651" w:type="pct"/>
                  <w:tcBorders>
                    <w:tl2br w:val="nil"/>
                    <w:tr2bl w:val="nil"/>
                  </w:tcBorders>
                  <w:noWrap w:val="0"/>
                  <w:vAlign w:val="center"/>
                </w:tcPr>
                <w:p w14:paraId="46600F80">
                  <w:pPr>
                    <w:keepNext w:val="0"/>
                    <w:keepLines w:val="0"/>
                    <w:widowControl/>
                    <w:suppressLineNumbers w:val="0"/>
                    <w:spacing w:before="0" w:beforeAutospacing="0" w:after="0" w:afterAutospacing="0" w:line="240" w:lineRule="auto"/>
                    <w:ind w:left="0" w:right="0"/>
                    <w:jc w:val="center"/>
                    <w:rPr>
                      <w:rFonts w:hint="default" w:eastAsia="宋体"/>
                      <w:color w:val="auto"/>
                      <w:kern w:val="2"/>
                      <w:sz w:val="21"/>
                      <w:szCs w:val="21"/>
                      <w:lang w:val="en-US" w:eastAsia="zh-CN" w:bidi="ar-SA"/>
                    </w:rPr>
                  </w:pPr>
                  <w:r>
                    <w:rPr>
                      <w:rFonts w:hint="eastAsia" w:eastAsia="宋体"/>
                      <w:color w:val="auto"/>
                      <w:kern w:val="2"/>
                      <w:sz w:val="21"/>
                      <w:szCs w:val="21"/>
                      <w:lang w:val="en-US" w:eastAsia="zh-CN" w:bidi="ar-SA"/>
                    </w:rPr>
                    <w:t>16.2</w:t>
                  </w:r>
                </w:p>
              </w:tc>
              <w:tc>
                <w:tcPr>
                  <w:tcW w:w="437" w:type="pct"/>
                  <w:tcBorders>
                    <w:tl2br w:val="nil"/>
                    <w:tr2bl w:val="nil"/>
                  </w:tcBorders>
                  <w:noWrap w:val="0"/>
                  <w:vAlign w:val="center"/>
                </w:tcPr>
                <w:p w14:paraId="003F732D">
                  <w:pPr>
                    <w:keepNext w:val="0"/>
                    <w:keepLines w:val="0"/>
                    <w:suppressLineNumbers w:val="0"/>
                    <w:spacing w:before="0" w:beforeAutospacing="0" w:after="0" w:afterAutospacing="0" w:line="240" w:lineRule="auto"/>
                    <w:ind w:left="0" w:right="0"/>
                    <w:jc w:val="center"/>
                    <w:rPr>
                      <w:rFonts w:hint="eastAsia"/>
                      <w:color w:val="auto"/>
                      <w:kern w:val="2"/>
                      <w:sz w:val="21"/>
                      <w:szCs w:val="21"/>
                      <w:lang w:val="en-US" w:eastAsia="zh-CN" w:bidi="ar-SA"/>
                    </w:rPr>
                  </w:pPr>
                  <w:r>
                    <w:rPr>
                      <w:rFonts w:hint="default"/>
                      <w:color w:val="auto"/>
                      <w:sz w:val="21"/>
                      <w:szCs w:val="21"/>
                    </w:rPr>
                    <w:t>0</w:t>
                  </w:r>
                </w:p>
              </w:tc>
              <w:tc>
                <w:tcPr>
                  <w:tcW w:w="376" w:type="pct"/>
                  <w:tcBorders>
                    <w:tl2br w:val="nil"/>
                    <w:tr2bl w:val="nil"/>
                  </w:tcBorders>
                  <w:noWrap w:val="0"/>
                  <w:vAlign w:val="center"/>
                </w:tcPr>
                <w:p w14:paraId="601A15C4">
                  <w:pPr>
                    <w:keepNext w:val="0"/>
                    <w:keepLines w:val="0"/>
                    <w:suppressLineNumbers w:val="0"/>
                    <w:spacing w:before="0" w:beforeAutospacing="0" w:after="0" w:afterAutospacing="0" w:line="240" w:lineRule="auto"/>
                    <w:ind w:left="0" w:right="0"/>
                    <w:jc w:val="center"/>
                    <w:rPr>
                      <w:rFonts w:hint="eastAsia"/>
                      <w:color w:val="auto"/>
                      <w:kern w:val="2"/>
                      <w:sz w:val="21"/>
                      <w:szCs w:val="21"/>
                      <w:lang w:val="en-US" w:eastAsia="zh-CN" w:bidi="ar-SA"/>
                    </w:rPr>
                  </w:pPr>
                  <w:r>
                    <w:rPr>
                      <w:rFonts w:hint="default"/>
                      <w:color w:val="auto"/>
                      <w:sz w:val="21"/>
                      <w:szCs w:val="21"/>
                    </w:rPr>
                    <w:t>达标</w:t>
                  </w:r>
                </w:p>
              </w:tc>
            </w:tr>
            <w:tr w14:paraId="7654A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trPr>
              <w:tc>
                <w:tcPr>
                  <w:tcW w:w="623" w:type="pct"/>
                  <w:vMerge w:val="continue"/>
                  <w:tcBorders>
                    <w:tl2br w:val="nil"/>
                    <w:tr2bl w:val="nil"/>
                  </w:tcBorders>
                  <w:noWrap w:val="0"/>
                  <w:vAlign w:val="center"/>
                </w:tcPr>
                <w:p w14:paraId="72989590">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p>
              </w:tc>
              <w:tc>
                <w:tcPr>
                  <w:tcW w:w="588" w:type="pct"/>
                  <w:tcBorders>
                    <w:tl2br w:val="nil"/>
                    <w:tr2bl w:val="nil"/>
                  </w:tcBorders>
                  <w:noWrap w:val="0"/>
                  <w:vAlign w:val="center"/>
                </w:tcPr>
                <w:p w14:paraId="61B95508">
                  <w:pPr>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氟化物</w:t>
                  </w:r>
                </w:p>
              </w:tc>
              <w:tc>
                <w:tcPr>
                  <w:tcW w:w="547" w:type="pct"/>
                  <w:tcBorders>
                    <w:tl2br w:val="nil"/>
                    <w:tr2bl w:val="nil"/>
                  </w:tcBorders>
                  <w:noWrap w:val="0"/>
                  <w:vAlign w:val="center"/>
                </w:tcPr>
                <w:p w14:paraId="631A3345">
                  <w:pPr>
                    <w:keepNext w:val="0"/>
                    <w:keepLines w:val="0"/>
                    <w:suppressLineNumbers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一次</w:t>
                  </w:r>
                </w:p>
              </w:tc>
              <w:tc>
                <w:tcPr>
                  <w:tcW w:w="841" w:type="pct"/>
                  <w:tcBorders>
                    <w:tl2br w:val="nil"/>
                    <w:tr2bl w:val="nil"/>
                  </w:tcBorders>
                  <w:noWrap w:val="0"/>
                  <w:vAlign w:val="center"/>
                </w:tcPr>
                <w:p w14:paraId="46BD33D4">
                  <w:pPr>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20</w:t>
                  </w:r>
                </w:p>
              </w:tc>
              <w:tc>
                <w:tcPr>
                  <w:tcW w:w="934" w:type="pct"/>
                  <w:tcBorders>
                    <w:tl2br w:val="nil"/>
                    <w:tr2bl w:val="nil"/>
                  </w:tcBorders>
                  <w:noWrap w:val="0"/>
                  <w:vAlign w:val="center"/>
                </w:tcPr>
                <w:p w14:paraId="78BC69AE">
                  <w:pPr>
                    <w:keepNext w:val="0"/>
                    <w:keepLines w:val="0"/>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eastAsia="宋体"/>
                      <w:color w:val="auto"/>
                      <w:sz w:val="21"/>
                      <w:szCs w:val="21"/>
                      <w:lang w:val="en-US" w:eastAsia="zh-CN"/>
                    </w:rPr>
                    <w:t>ND</w:t>
                  </w:r>
                </w:p>
              </w:tc>
              <w:tc>
                <w:tcPr>
                  <w:tcW w:w="651" w:type="pct"/>
                  <w:tcBorders>
                    <w:tl2br w:val="nil"/>
                    <w:tr2bl w:val="nil"/>
                  </w:tcBorders>
                  <w:noWrap w:val="0"/>
                  <w:vAlign w:val="center"/>
                </w:tcPr>
                <w:p w14:paraId="7CA994BF">
                  <w:pPr>
                    <w:keepNext w:val="0"/>
                    <w:keepLines w:val="0"/>
                    <w:widowControl/>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eastAsia="宋体"/>
                      <w:color w:val="auto"/>
                      <w:sz w:val="21"/>
                      <w:szCs w:val="21"/>
                      <w:lang w:val="en-US" w:eastAsia="zh-CN"/>
                    </w:rPr>
                    <w:t>1.25</w:t>
                  </w:r>
                </w:p>
              </w:tc>
              <w:tc>
                <w:tcPr>
                  <w:tcW w:w="437" w:type="pct"/>
                  <w:tcBorders>
                    <w:tl2br w:val="nil"/>
                    <w:tr2bl w:val="nil"/>
                  </w:tcBorders>
                  <w:noWrap w:val="0"/>
                  <w:vAlign w:val="center"/>
                </w:tcPr>
                <w:p w14:paraId="46C63814">
                  <w:pPr>
                    <w:keepNext w:val="0"/>
                    <w:keepLines w:val="0"/>
                    <w:suppressLineNumbers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0</w:t>
                  </w:r>
                </w:p>
              </w:tc>
              <w:tc>
                <w:tcPr>
                  <w:tcW w:w="376" w:type="pct"/>
                  <w:tcBorders>
                    <w:tl2br w:val="nil"/>
                    <w:tr2bl w:val="nil"/>
                  </w:tcBorders>
                  <w:noWrap w:val="0"/>
                  <w:vAlign w:val="center"/>
                </w:tcPr>
                <w:p w14:paraId="777AD792">
                  <w:pPr>
                    <w:keepNext w:val="0"/>
                    <w:keepLines w:val="0"/>
                    <w:suppressLineNumbers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达标</w:t>
                  </w:r>
                </w:p>
              </w:tc>
            </w:tr>
            <w:tr w14:paraId="2FC8A3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9" w:hRule="atLeast"/>
              </w:trPr>
              <w:tc>
                <w:tcPr>
                  <w:tcW w:w="623" w:type="pct"/>
                  <w:vMerge w:val="continue"/>
                  <w:tcBorders>
                    <w:tl2br w:val="nil"/>
                    <w:tr2bl w:val="nil"/>
                  </w:tcBorders>
                  <w:noWrap w:val="0"/>
                  <w:vAlign w:val="center"/>
                </w:tcPr>
                <w:p w14:paraId="65904F85">
                  <w:pPr>
                    <w:keepNext w:val="0"/>
                    <w:keepLines w:val="0"/>
                    <w:suppressLineNumbers w:val="0"/>
                    <w:snapToGrid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lang w:eastAsia="zh-CN"/>
                    </w:rPr>
                  </w:pPr>
                </w:p>
              </w:tc>
              <w:tc>
                <w:tcPr>
                  <w:tcW w:w="588" w:type="pct"/>
                  <w:tcBorders>
                    <w:tl2br w:val="nil"/>
                    <w:tr2bl w:val="nil"/>
                  </w:tcBorders>
                  <w:noWrap w:val="0"/>
                  <w:vAlign w:val="center"/>
                </w:tcPr>
                <w:p w14:paraId="5B35C327">
                  <w:pPr>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TSP</w:t>
                  </w:r>
                </w:p>
              </w:tc>
              <w:tc>
                <w:tcPr>
                  <w:tcW w:w="547" w:type="pct"/>
                  <w:tcBorders>
                    <w:tl2br w:val="nil"/>
                    <w:tr2bl w:val="nil"/>
                  </w:tcBorders>
                  <w:noWrap w:val="0"/>
                  <w:vAlign w:val="center"/>
                </w:tcPr>
                <w:p w14:paraId="7502101F">
                  <w:pPr>
                    <w:keepNext w:val="0"/>
                    <w:keepLines w:val="0"/>
                    <w:suppressLineNumbers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一次</w:t>
                  </w:r>
                </w:p>
              </w:tc>
              <w:tc>
                <w:tcPr>
                  <w:tcW w:w="841" w:type="pct"/>
                  <w:tcBorders>
                    <w:tl2br w:val="nil"/>
                    <w:tr2bl w:val="nil"/>
                  </w:tcBorders>
                  <w:noWrap w:val="0"/>
                  <w:vAlign w:val="center"/>
                </w:tcPr>
                <w:p w14:paraId="2D1CAA7F">
                  <w:pPr>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900</w:t>
                  </w:r>
                </w:p>
              </w:tc>
              <w:tc>
                <w:tcPr>
                  <w:tcW w:w="934" w:type="pct"/>
                  <w:tcBorders>
                    <w:tl2br w:val="nil"/>
                    <w:tr2bl w:val="nil"/>
                  </w:tcBorders>
                  <w:noWrap w:val="0"/>
                  <w:vAlign w:val="center"/>
                </w:tcPr>
                <w:p w14:paraId="0658C684">
                  <w:pPr>
                    <w:keepNext w:val="0"/>
                    <w:keepLines w:val="0"/>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eastAsia="宋体"/>
                      <w:color w:val="auto"/>
                      <w:sz w:val="21"/>
                      <w:szCs w:val="21"/>
                      <w:lang w:val="en-US" w:eastAsia="zh-CN"/>
                    </w:rPr>
                    <w:t>214~2</w:t>
                  </w:r>
                  <w:r>
                    <w:rPr>
                      <w:rFonts w:hint="eastAsia"/>
                      <w:color w:val="auto"/>
                      <w:sz w:val="21"/>
                      <w:szCs w:val="21"/>
                      <w:lang w:val="en-US" w:eastAsia="zh-CN"/>
                    </w:rPr>
                    <w:t>2</w:t>
                  </w:r>
                  <w:r>
                    <w:rPr>
                      <w:rFonts w:hint="eastAsia" w:eastAsia="宋体"/>
                      <w:color w:val="auto"/>
                      <w:sz w:val="21"/>
                      <w:szCs w:val="21"/>
                      <w:lang w:val="en-US" w:eastAsia="zh-CN"/>
                    </w:rPr>
                    <w:t>9</w:t>
                  </w:r>
                </w:p>
              </w:tc>
              <w:tc>
                <w:tcPr>
                  <w:tcW w:w="651" w:type="pct"/>
                  <w:tcBorders>
                    <w:tl2br w:val="nil"/>
                    <w:tr2bl w:val="nil"/>
                  </w:tcBorders>
                  <w:noWrap w:val="0"/>
                  <w:vAlign w:val="center"/>
                </w:tcPr>
                <w:p w14:paraId="7B9CDC16">
                  <w:pPr>
                    <w:keepNext w:val="0"/>
                    <w:keepLines w:val="0"/>
                    <w:widowControl/>
                    <w:suppressLineNumbers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color w:val="auto"/>
                      <w:sz w:val="21"/>
                      <w:szCs w:val="21"/>
                      <w:lang w:val="en-US" w:eastAsia="zh-CN"/>
                    </w:rPr>
                    <w:t>25.4</w:t>
                  </w:r>
                </w:p>
              </w:tc>
              <w:tc>
                <w:tcPr>
                  <w:tcW w:w="437" w:type="pct"/>
                  <w:tcBorders>
                    <w:tl2br w:val="nil"/>
                    <w:tr2bl w:val="nil"/>
                  </w:tcBorders>
                  <w:noWrap w:val="0"/>
                  <w:vAlign w:val="center"/>
                </w:tcPr>
                <w:p w14:paraId="0DC7813B">
                  <w:pPr>
                    <w:keepNext w:val="0"/>
                    <w:keepLines w:val="0"/>
                    <w:suppressLineNumbers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0</w:t>
                  </w:r>
                </w:p>
              </w:tc>
              <w:tc>
                <w:tcPr>
                  <w:tcW w:w="376" w:type="pct"/>
                  <w:tcBorders>
                    <w:tl2br w:val="nil"/>
                    <w:tr2bl w:val="nil"/>
                  </w:tcBorders>
                  <w:noWrap w:val="0"/>
                  <w:vAlign w:val="center"/>
                </w:tcPr>
                <w:p w14:paraId="2CAE47C1">
                  <w:pPr>
                    <w:keepNext w:val="0"/>
                    <w:keepLines w:val="0"/>
                    <w:suppressLineNumbers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达标</w:t>
                  </w:r>
                </w:p>
              </w:tc>
            </w:tr>
          </w:tbl>
          <w:p w14:paraId="775F8E5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default" w:ascii="Times New Roman" w:hAnsi="Times New Roman" w:eastAsia="宋体" w:cs="Times New Roman"/>
                <w:b w:val="0"/>
                <w:bCs w:val="0"/>
                <w:color w:val="auto"/>
                <w:sz w:val="21"/>
                <w:szCs w:val="21"/>
                <w:lang w:val="en-US" w:eastAsia="zh-CN"/>
              </w:rPr>
            </w:pPr>
            <w:r>
              <w:rPr>
                <w:rFonts w:hint="default"/>
                <w:b/>
                <w:bCs/>
                <w:color w:val="auto"/>
                <w:sz w:val="21"/>
                <w:szCs w:val="21"/>
              </w:rPr>
              <w:t>备注：</w:t>
            </w:r>
            <w:r>
              <w:rPr>
                <w:rFonts w:hint="default"/>
                <w:b w:val="0"/>
                <w:bCs w:val="0"/>
                <w:color w:val="auto"/>
                <w:sz w:val="21"/>
                <w:szCs w:val="21"/>
                <w:lang w:eastAsia="zh-CN"/>
              </w:rPr>
              <w:t>“ND”表示</w:t>
            </w:r>
            <w:r>
              <w:rPr>
                <w:rFonts w:hint="eastAsia"/>
                <w:b w:val="0"/>
                <w:bCs w:val="0"/>
                <w:color w:val="auto"/>
                <w:sz w:val="21"/>
                <w:szCs w:val="21"/>
                <w:lang w:val="en-US" w:eastAsia="zh-CN"/>
              </w:rPr>
              <w:t>未检出，镍的检出限为4</w:t>
            </w:r>
            <w:r>
              <w:rPr>
                <w:rFonts w:hint="default"/>
                <w:b w:val="0"/>
                <w:bCs w:val="0"/>
                <w:color w:val="auto"/>
                <w:sz w:val="21"/>
                <w:szCs w:val="21"/>
              </w:rPr>
              <w:t>μg</w:t>
            </w:r>
            <w:r>
              <w:rPr>
                <w:rFonts w:hint="eastAsia"/>
                <w:b w:val="0"/>
                <w:bCs w:val="0"/>
                <w:color w:val="auto"/>
                <w:sz w:val="21"/>
                <w:szCs w:val="21"/>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lang w:val="en-US" w:eastAsia="zh-CN"/>
              </w:rPr>
              <w:t>、铬的检出限为0.9</w:t>
            </w:r>
            <w:r>
              <w:rPr>
                <w:rFonts w:hint="default"/>
                <w:b w:val="0"/>
                <w:bCs w:val="0"/>
                <w:color w:val="auto"/>
                <w:sz w:val="21"/>
                <w:szCs w:val="21"/>
              </w:rPr>
              <w:t>μg</w:t>
            </w:r>
            <w:r>
              <w:rPr>
                <w:rFonts w:hint="eastAsia"/>
                <w:b w:val="0"/>
                <w:bCs w:val="0"/>
                <w:color w:val="auto"/>
                <w:sz w:val="21"/>
                <w:szCs w:val="21"/>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lang w:val="en-US" w:eastAsia="zh-CN"/>
              </w:rPr>
              <w:t>、氟化物的检出限为0.5</w:t>
            </w:r>
            <w:r>
              <w:rPr>
                <w:rFonts w:hint="default"/>
                <w:b w:val="0"/>
                <w:bCs w:val="0"/>
                <w:color w:val="auto"/>
                <w:sz w:val="21"/>
                <w:szCs w:val="21"/>
              </w:rPr>
              <w:t>μg</w:t>
            </w:r>
            <w:r>
              <w:rPr>
                <w:rFonts w:hint="eastAsia"/>
                <w:b w:val="0"/>
                <w:bCs w:val="0"/>
                <w:color w:val="auto"/>
                <w:sz w:val="21"/>
                <w:szCs w:val="21"/>
                <w:lang w:val="en-US" w:eastAsia="zh-CN"/>
              </w:rPr>
              <w:t>/m</w:t>
            </w:r>
            <w:r>
              <w:rPr>
                <w:rFonts w:hint="eastAsia"/>
                <w:b w:val="0"/>
                <w:bCs w:val="0"/>
                <w:color w:val="auto"/>
                <w:sz w:val="21"/>
                <w:szCs w:val="21"/>
                <w:vertAlign w:val="superscript"/>
                <w:lang w:val="en-US" w:eastAsia="zh-CN"/>
              </w:rPr>
              <w:t>3</w:t>
            </w:r>
            <w:r>
              <w:rPr>
                <w:rFonts w:hint="eastAsia"/>
                <w:b w:val="0"/>
                <w:bCs w:val="0"/>
                <w:color w:val="auto"/>
                <w:sz w:val="21"/>
                <w:szCs w:val="21"/>
                <w:lang w:val="en-US" w:eastAsia="zh-CN"/>
              </w:rPr>
              <w:t>。本次未检出污染物</w:t>
            </w:r>
            <w:r>
              <w:rPr>
                <w:rFonts w:hint="eastAsia" w:ascii="Times New Roman"/>
                <w:b w:val="0"/>
                <w:bCs w:val="0"/>
                <w:color w:val="auto"/>
                <w:sz w:val="21"/>
                <w:szCs w:val="21"/>
              </w:rPr>
              <w:t>浓度以1/2检出限计</w:t>
            </w:r>
            <w:r>
              <w:rPr>
                <w:rFonts w:hint="eastAsia" w:ascii="Times New Roman"/>
                <w:b w:val="0"/>
                <w:bCs w:val="0"/>
                <w:color w:val="auto"/>
                <w:sz w:val="21"/>
                <w:szCs w:val="21"/>
                <w:lang w:eastAsia="zh-CN"/>
              </w:rPr>
              <w:t>。</w:t>
            </w:r>
          </w:p>
          <w:p w14:paraId="5C38A6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rPr>
              <w:t>3、声环境</w:t>
            </w:r>
            <w:r>
              <w:rPr>
                <w:rFonts w:hint="eastAsia" w:ascii="Times New Roman" w:hAnsi="Times New Roman" w:cs="Times New Roman"/>
                <w:b/>
                <w:bCs/>
                <w:color w:val="auto"/>
                <w:sz w:val="24"/>
                <w:szCs w:val="24"/>
                <w:highlight w:val="none"/>
                <w:lang w:val="en-US" w:eastAsia="zh-CN"/>
              </w:rPr>
              <w:t>质量现状</w:t>
            </w:r>
          </w:p>
          <w:p w14:paraId="3BF08B05">
            <w:pPr>
              <w:keepNext w:val="0"/>
              <w:keepLines w:val="0"/>
              <w:suppressLineNumbers w:val="0"/>
              <w:spacing w:before="0" w:beforeAutospacing="0" w:after="0" w:afterAutospacing="0" w:line="480" w:lineRule="exact"/>
              <w:ind w:left="0" w:right="0" w:firstLine="482" w:firstLineChars="200"/>
              <w:rPr>
                <w:rFonts w:hint="default" w:ascii="Times New Roman" w:hAnsi="Times New Roman" w:cs="Times New Roman"/>
                <w:b/>
                <w:bCs/>
                <w:color w:val="auto"/>
                <w:sz w:val="24"/>
                <w:szCs w:val="24"/>
              </w:rPr>
            </w:pPr>
            <w:r>
              <w:rPr>
                <w:rFonts w:hint="eastAsia" w:cs="Times New Roman"/>
                <w:b/>
                <w:bCs/>
                <w:color w:val="auto"/>
                <w:sz w:val="24"/>
                <w:szCs w:val="24"/>
                <w:lang w:eastAsia="zh-CN"/>
              </w:rPr>
              <w:t>（</w:t>
            </w:r>
            <w:r>
              <w:rPr>
                <w:rFonts w:hint="default" w:ascii="Times New Roman" w:hAnsi="Times New Roman" w:cs="Times New Roman"/>
                <w:b/>
                <w:bCs/>
                <w:color w:val="auto"/>
                <w:sz w:val="24"/>
                <w:szCs w:val="24"/>
              </w:rPr>
              <w:t>1）声环境质量标准</w:t>
            </w:r>
          </w:p>
          <w:p w14:paraId="7E61830F">
            <w:pPr>
              <w:keepNext w:val="0"/>
              <w:keepLines w:val="0"/>
              <w:suppressLineNumbers w:val="0"/>
              <w:spacing w:before="0" w:beforeAutospacing="0" w:after="0" w:afterAutospacing="0" w:line="50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rPr>
              <w:t>根据《</w:t>
            </w:r>
            <w:r>
              <w:rPr>
                <w:rFonts w:hint="default" w:ascii="Times New Roman" w:hAnsi="Times New Roman" w:cs="Times New Roman"/>
                <w:color w:val="auto"/>
                <w:sz w:val="24"/>
                <w:szCs w:val="22"/>
              </w:rPr>
              <w:t>常州市金坛区指前现代产业园发展规划环境影响报告书</w:t>
            </w:r>
            <w:r>
              <w:rPr>
                <w:rFonts w:hint="default" w:ascii="Times New Roman" w:hAnsi="Times New Roman" w:cs="Times New Roman"/>
                <w:color w:val="auto"/>
                <w:kern w:val="0"/>
                <w:sz w:val="24"/>
              </w:rPr>
              <w:t>》，本项目所在区域环境噪声适用于《声环境质量标准》（GB3096-2008）中3类声环境功能区</w:t>
            </w:r>
            <w:r>
              <w:rPr>
                <w:rFonts w:hint="default" w:ascii="Times New Roman" w:hAnsi="Times New Roman" w:cs="Times New Roman"/>
                <w:color w:val="auto"/>
                <w:sz w:val="24"/>
                <w:szCs w:val="24"/>
              </w:rPr>
              <w:t>。详见</w:t>
            </w:r>
            <w:r>
              <w:rPr>
                <w:rFonts w:hint="eastAsia" w:ascii="Times New Roman" w:hAnsi="Times New Roman" w:cs="Times New Roman"/>
                <w:color w:val="auto"/>
                <w:sz w:val="24"/>
                <w:szCs w:val="24"/>
                <w:lang w:eastAsia="zh-CN"/>
              </w:rPr>
              <w:t>表3.1</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14:paraId="48553D04">
            <w:pPr>
              <w:keepNext w:val="0"/>
              <w:keepLines w:val="0"/>
              <w:suppressLineNumbers w:val="0"/>
              <w:spacing w:before="0" w:beforeAutospacing="0" w:after="0" w:afterAutospacing="0"/>
              <w:ind w:left="0" w:right="0" w:firstLine="600" w:firstLineChars="249"/>
              <w:jc w:val="center"/>
              <w:rPr>
                <w:rFonts w:hint="eastAsia" w:ascii="Times New Roman" w:hAnsi="Times New Roman" w:cs="Times New Roman"/>
                <w:b/>
                <w:bCs/>
                <w:color w:val="auto"/>
                <w:sz w:val="24"/>
                <w:szCs w:val="24"/>
                <w:lang w:eastAsia="zh-CN"/>
              </w:rPr>
            </w:pPr>
          </w:p>
          <w:p w14:paraId="745802D8">
            <w:pPr>
              <w:keepNext w:val="0"/>
              <w:keepLines w:val="0"/>
              <w:suppressLineNumbers w:val="0"/>
              <w:spacing w:before="0" w:beforeAutospacing="0" w:after="0" w:afterAutospacing="0"/>
              <w:ind w:left="0" w:right="0" w:firstLine="600" w:firstLineChars="249"/>
              <w:jc w:val="center"/>
              <w:rPr>
                <w:rFonts w:hint="eastAsia" w:ascii="Times New Roman" w:hAnsi="Times New Roman" w:cs="Times New Roman"/>
                <w:b/>
                <w:bCs/>
                <w:color w:val="auto"/>
                <w:sz w:val="24"/>
                <w:szCs w:val="24"/>
                <w:lang w:eastAsia="zh-CN"/>
              </w:rPr>
            </w:pPr>
          </w:p>
          <w:p w14:paraId="6F01F17A">
            <w:pPr>
              <w:keepNext w:val="0"/>
              <w:keepLines w:val="0"/>
              <w:suppressLineNumbers w:val="0"/>
              <w:spacing w:before="0" w:beforeAutospacing="0" w:after="0" w:afterAutospacing="0"/>
              <w:ind w:left="0" w:right="0" w:firstLine="600" w:firstLineChars="249"/>
              <w:jc w:val="center"/>
              <w:rPr>
                <w:rFonts w:hint="eastAsia" w:ascii="Times New Roman" w:hAnsi="Times New Roman" w:cs="Times New Roman"/>
                <w:b/>
                <w:bCs/>
                <w:color w:val="auto"/>
                <w:sz w:val="24"/>
                <w:szCs w:val="24"/>
                <w:lang w:eastAsia="zh-CN"/>
              </w:rPr>
            </w:pPr>
          </w:p>
          <w:p w14:paraId="53989264">
            <w:pPr>
              <w:keepNext w:val="0"/>
              <w:keepLines w:val="0"/>
              <w:suppressLineNumbers w:val="0"/>
              <w:spacing w:before="0" w:beforeAutospacing="0" w:after="0" w:afterAutospacing="0"/>
              <w:ind w:left="0" w:right="0" w:firstLine="600" w:firstLineChars="249"/>
              <w:jc w:val="center"/>
              <w:rPr>
                <w:rFonts w:hint="eastAsia" w:ascii="Times New Roman" w:hAnsi="Times New Roman" w:cs="Times New Roman"/>
                <w:b/>
                <w:bCs/>
                <w:color w:val="auto"/>
                <w:sz w:val="24"/>
                <w:szCs w:val="24"/>
                <w:lang w:eastAsia="zh-CN"/>
              </w:rPr>
            </w:pPr>
          </w:p>
          <w:p w14:paraId="31ACFF52">
            <w:pPr>
              <w:keepNext w:val="0"/>
              <w:keepLines w:val="0"/>
              <w:suppressLineNumbers w:val="0"/>
              <w:spacing w:before="0" w:beforeAutospacing="0" w:after="0" w:afterAutospacing="0"/>
              <w:ind w:left="0" w:right="0" w:firstLine="600" w:firstLineChars="249"/>
              <w:jc w:val="center"/>
              <w:rPr>
                <w:rFonts w:hint="eastAsia" w:ascii="Times New Roman" w:hAnsi="Times New Roman" w:cs="Times New Roman"/>
                <w:b/>
                <w:bCs/>
                <w:color w:val="auto"/>
                <w:sz w:val="24"/>
                <w:szCs w:val="24"/>
                <w:lang w:eastAsia="zh-CN"/>
              </w:rPr>
            </w:pPr>
          </w:p>
          <w:p w14:paraId="558AC260">
            <w:pPr>
              <w:keepNext w:val="0"/>
              <w:keepLines w:val="0"/>
              <w:suppressLineNumbers w:val="0"/>
              <w:spacing w:before="0" w:beforeAutospacing="0" w:after="0" w:afterAutospacing="0"/>
              <w:ind w:left="0" w:right="0" w:firstLine="600" w:firstLineChars="249"/>
              <w:jc w:val="center"/>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eastAsia="zh-CN"/>
              </w:rPr>
              <w:t>表3.1</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 xml:space="preserve"> 声环境质量标准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251"/>
              <w:gridCol w:w="1282"/>
              <w:gridCol w:w="1029"/>
              <w:gridCol w:w="1272"/>
              <w:gridCol w:w="1274"/>
            </w:tblGrid>
            <w:tr w14:paraId="3C787D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vMerge w:val="restart"/>
                  <w:tcBorders>
                    <w:tl2br w:val="nil"/>
                    <w:tr2bl w:val="nil"/>
                  </w:tcBorders>
                  <w:noWrap w:val="0"/>
                  <w:vAlign w:val="center"/>
                </w:tcPr>
                <w:p w14:paraId="1B4B0DE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区域名</w:t>
                  </w:r>
                </w:p>
              </w:tc>
              <w:tc>
                <w:tcPr>
                  <w:tcW w:w="1336" w:type="pct"/>
                  <w:vMerge w:val="restart"/>
                  <w:tcBorders>
                    <w:tl2br w:val="nil"/>
                    <w:tr2bl w:val="nil"/>
                  </w:tcBorders>
                  <w:noWrap w:val="0"/>
                  <w:vAlign w:val="center"/>
                </w:tcPr>
                <w:p w14:paraId="1E0ADF5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761" w:type="pct"/>
                  <w:vMerge w:val="restart"/>
                  <w:tcBorders>
                    <w:tl2br w:val="nil"/>
                    <w:tr2bl w:val="nil"/>
                  </w:tcBorders>
                  <w:noWrap w:val="0"/>
                  <w:vAlign w:val="center"/>
                </w:tcPr>
                <w:p w14:paraId="398F4EE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表号及级别</w:t>
                  </w:r>
                </w:p>
              </w:tc>
              <w:tc>
                <w:tcPr>
                  <w:tcW w:w="611" w:type="pct"/>
                  <w:vMerge w:val="restart"/>
                  <w:tcBorders>
                    <w:tl2br w:val="nil"/>
                    <w:tr2bl w:val="nil"/>
                  </w:tcBorders>
                  <w:noWrap w:val="0"/>
                  <w:vAlign w:val="center"/>
                </w:tcPr>
                <w:p w14:paraId="7E3215D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511" w:type="pct"/>
                  <w:gridSpan w:val="2"/>
                  <w:tcBorders>
                    <w:tl2br w:val="nil"/>
                    <w:tr2bl w:val="nil"/>
                  </w:tcBorders>
                  <w:noWrap w:val="0"/>
                  <w:vAlign w:val="center"/>
                </w:tcPr>
                <w:p w14:paraId="339A746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762BC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vMerge w:val="continue"/>
                  <w:tcBorders>
                    <w:tl2br w:val="nil"/>
                    <w:tr2bl w:val="nil"/>
                  </w:tcBorders>
                  <w:noWrap w:val="0"/>
                  <w:vAlign w:val="center"/>
                </w:tcPr>
                <w:p w14:paraId="2495837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1336" w:type="pct"/>
                  <w:vMerge w:val="continue"/>
                  <w:tcBorders>
                    <w:tl2br w:val="nil"/>
                    <w:tr2bl w:val="nil"/>
                  </w:tcBorders>
                  <w:noWrap w:val="0"/>
                  <w:vAlign w:val="center"/>
                </w:tcPr>
                <w:p w14:paraId="6DDE6AF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761" w:type="pct"/>
                  <w:vMerge w:val="continue"/>
                  <w:tcBorders>
                    <w:tl2br w:val="nil"/>
                    <w:tr2bl w:val="nil"/>
                  </w:tcBorders>
                  <w:noWrap w:val="0"/>
                  <w:vAlign w:val="center"/>
                </w:tcPr>
                <w:p w14:paraId="25FBFFEF">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611" w:type="pct"/>
                  <w:vMerge w:val="continue"/>
                  <w:tcBorders>
                    <w:tl2br w:val="nil"/>
                    <w:tr2bl w:val="nil"/>
                  </w:tcBorders>
                  <w:noWrap w:val="0"/>
                  <w:vAlign w:val="center"/>
                </w:tcPr>
                <w:p w14:paraId="3DFFA3E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p>
              </w:tc>
              <w:tc>
                <w:tcPr>
                  <w:tcW w:w="755" w:type="pct"/>
                  <w:tcBorders>
                    <w:tl2br w:val="nil"/>
                    <w:tr2bl w:val="nil"/>
                  </w:tcBorders>
                  <w:noWrap w:val="0"/>
                  <w:vAlign w:val="center"/>
                </w:tcPr>
                <w:p w14:paraId="1B1A3691">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 w:val="21"/>
                      <w:szCs w:val="21"/>
                    </w:rPr>
                  </w:pPr>
                  <w:r>
                    <w:rPr>
                      <w:rFonts w:hint="default" w:ascii="Times New Roman" w:hAnsi="Times New Roman" w:cs="Times New Roman"/>
                      <w:b/>
                      <w:bCs/>
                      <w:color w:val="auto"/>
                      <w:sz w:val="21"/>
                      <w:szCs w:val="21"/>
                    </w:rPr>
                    <w:t>昼</w:t>
                  </w:r>
                  <w:r>
                    <w:rPr>
                      <w:rFonts w:hint="eastAsia" w:ascii="Times New Roman" w:hAnsi="Times New Roman" w:cs="Times New Roman"/>
                      <w:b/>
                      <w:bCs/>
                      <w:color w:val="auto"/>
                      <w:sz w:val="21"/>
                      <w:szCs w:val="21"/>
                    </w:rPr>
                    <w:t>间</w:t>
                  </w:r>
                </w:p>
              </w:tc>
              <w:tc>
                <w:tcPr>
                  <w:tcW w:w="755" w:type="pct"/>
                  <w:tcBorders>
                    <w:tl2br w:val="nil"/>
                    <w:tr2bl w:val="nil"/>
                  </w:tcBorders>
                  <w:noWrap w:val="0"/>
                  <w:vAlign w:val="center"/>
                </w:tcPr>
                <w:p w14:paraId="5ECC215A">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夜间</w:t>
                  </w:r>
                </w:p>
              </w:tc>
            </w:tr>
            <w:tr w14:paraId="7631D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80" w:type="pct"/>
                  <w:tcBorders>
                    <w:tl2br w:val="nil"/>
                    <w:tr2bl w:val="nil"/>
                  </w:tcBorders>
                  <w:noWrap w:val="0"/>
                  <w:vAlign w:val="center"/>
                </w:tcPr>
                <w:p w14:paraId="35A2143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项目厂界</w:t>
                  </w:r>
                </w:p>
              </w:tc>
              <w:tc>
                <w:tcPr>
                  <w:tcW w:w="1336" w:type="pct"/>
                  <w:tcBorders>
                    <w:tl2br w:val="nil"/>
                    <w:tr2bl w:val="nil"/>
                  </w:tcBorders>
                  <w:noWrap w:val="0"/>
                  <w:vAlign w:val="center"/>
                </w:tcPr>
                <w:p w14:paraId="3A3D254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w:t>
                  </w:r>
                </w:p>
                <w:p w14:paraId="5445CF3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（GB3096-2008）</w:t>
                  </w:r>
                </w:p>
              </w:tc>
              <w:tc>
                <w:tcPr>
                  <w:tcW w:w="761" w:type="pct"/>
                  <w:tcBorders>
                    <w:tl2br w:val="nil"/>
                    <w:tr2bl w:val="nil"/>
                  </w:tcBorders>
                  <w:noWrap w:val="0"/>
                  <w:vAlign w:val="center"/>
                </w:tcPr>
                <w:p w14:paraId="189756E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3</w:t>
                  </w:r>
                  <w:r>
                    <w:rPr>
                      <w:rFonts w:hint="default" w:ascii="Times New Roman" w:hAnsi="Times New Roman" w:cs="Times New Roman"/>
                      <w:color w:val="auto"/>
                      <w:sz w:val="21"/>
                      <w:szCs w:val="21"/>
                    </w:rPr>
                    <w:t>类</w:t>
                  </w:r>
                </w:p>
              </w:tc>
              <w:tc>
                <w:tcPr>
                  <w:tcW w:w="611" w:type="pct"/>
                  <w:tcBorders>
                    <w:tl2br w:val="nil"/>
                    <w:tr2bl w:val="nil"/>
                  </w:tcBorders>
                  <w:noWrap w:val="0"/>
                  <w:vAlign w:val="center"/>
                </w:tcPr>
                <w:p w14:paraId="23A32CE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755" w:type="pct"/>
                  <w:tcBorders>
                    <w:tl2br w:val="nil"/>
                    <w:tr2bl w:val="nil"/>
                  </w:tcBorders>
                  <w:noWrap w:val="0"/>
                  <w:vAlign w:val="center"/>
                </w:tcPr>
                <w:p w14:paraId="306805C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65</w:t>
                  </w:r>
                </w:p>
              </w:tc>
              <w:tc>
                <w:tcPr>
                  <w:tcW w:w="755" w:type="pct"/>
                  <w:tcBorders>
                    <w:tl2br w:val="nil"/>
                    <w:tr2bl w:val="nil"/>
                  </w:tcBorders>
                  <w:noWrap w:val="0"/>
                  <w:vAlign w:val="center"/>
                </w:tcPr>
                <w:p w14:paraId="083DC2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55</w:t>
                  </w:r>
                </w:p>
              </w:tc>
            </w:tr>
          </w:tbl>
          <w:p w14:paraId="1E49B22D">
            <w:pPr>
              <w:keepNext w:val="0"/>
              <w:keepLines w:val="0"/>
              <w:suppressLineNumbers w:val="0"/>
              <w:spacing w:before="0" w:beforeAutospacing="0" w:after="0" w:afterAutospacing="0" w:line="480" w:lineRule="exact"/>
              <w:ind w:left="0"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2）声环境现状评价</w:t>
            </w:r>
          </w:p>
          <w:p w14:paraId="00BA1778">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（1）监测项目</w:t>
            </w:r>
          </w:p>
          <w:p w14:paraId="1CF878DE">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厂界噪声等效连续A声级。</w:t>
            </w:r>
          </w:p>
          <w:p w14:paraId="41460645">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（2）监测点位</w:t>
            </w:r>
          </w:p>
          <w:p w14:paraId="087002E3">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根据厂区平面设计情况，选择项目厂界外及敏感点进行噪声监测。具体监测点位见</w:t>
            </w:r>
            <w:r>
              <w:rPr>
                <w:rFonts w:hint="eastAsia"/>
                <w:color w:val="auto"/>
                <w:sz w:val="24"/>
              </w:rPr>
              <w:t>表3.1-</w:t>
            </w:r>
            <w:r>
              <w:rPr>
                <w:rFonts w:hint="eastAsia"/>
                <w:color w:val="auto"/>
                <w:sz w:val="24"/>
                <w:lang w:val="en-US" w:eastAsia="zh-CN"/>
              </w:rPr>
              <w:t>7</w:t>
            </w:r>
            <w:r>
              <w:rPr>
                <w:rFonts w:hint="default"/>
                <w:color w:val="auto"/>
                <w:sz w:val="24"/>
              </w:rPr>
              <w:t>。</w:t>
            </w:r>
          </w:p>
          <w:p w14:paraId="3B143A51">
            <w:pPr>
              <w:keepNext w:val="0"/>
              <w:keepLines w:val="0"/>
              <w:suppressLineNumbers w:val="0"/>
              <w:spacing w:before="0" w:beforeAutospacing="0" w:after="0" w:afterAutospacing="0" w:line="400" w:lineRule="exact"/>
              <w:ind w:left="420" w:right="0"/>
              <w:jc w:val="center"/>
              <w:rPr>
                <w:rFonts w:hint="default"/>
                <w:b/>
                <w:bCs/>
                <w:color w:val="auto"/>
                <w:sz w:val="24"/>
              </w:rPr>
            </w:pPr>
            <w:r>
              <w:rPr>
                <w:rFonts w:hint="eastAsia"/>
                <w:b/>
                <w:bCs/>
                <w:color w:val="auto"/>
                <w:sz w:val="24"/>
              </w:rPr>
              <w:t>表3.1-</w:t>
            </w:r>
            <w:r>
              <w:rPr>
                <w:rFonts w:hint="eastAsia"/>
                <w:b/>
                <w:bCs/>
                <w:color w:val="auto"/>
                <w:sz w:val="24"/>
                <w:lang w:val="en-US" w:eastAsia="zh-CN"/>
              </w:rPr>
              <w:t xml:space="preserve">7 </w:t>
            </w:r>
            <w:r>
              <w:rPr>
                <w:rFonts w:hint="default"/>
                <w:b/>
                <w:bCs/>
                <w:color w:val="auto"/>
                <w:sz w:val="24"/>
              </w:rPr>
              <w:t>声环境现状监测点位布设一览表</w:t>
            </w:r>
          </w:p>
          <w:tbl>
            <w:tblPr>
              <w:tblStyle w:val="27"/>
              <w:tblW w:w="85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3896"/>
              <w:gridCol w:w="2615"/>
            </w:tblGrid>
            <w:tr w14:paraId="46939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17" w:type="dxa"/>
                  <w:noWrap w:val="0"/>
                  <w:vAlign w:val="center"/>
                </w:tcPr>
                <w:p w14:paraId="6366F35F">
                  <w:pPr>
                    <w:keepNext w:val="0"/>
                    <w:keepLines w:val="0"/>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szCs w:val="21"/>
                    </w:rPr>
                    <w:t>点位编号</w:t>
                  </w:r>
                </w:p>
              </w:tc>
              <w:tc>
                <w:tcPr>
                  <w:tcW w:w="3896" w:type="dxa"/>
                  <w:noWrap w:val="0"/>
                  <w:vAlign w:val="center"/>
                </w:tcPr>
                <w:p w14:paraId="66773A62">
                  <w:pPr>
                    <w:keepNext w:val="0"/>
                    <w:keepLines w:val="0"/>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szCs w:val="21"/>
                    </w:rPr>
                    <w:t>点位名称</w:t>
                  </w:r>
                </w:p>
              </w:tc>
              <w:tc>
                <w:tcPr>
                  <w:tcW w:w="2615" w:type="dxa"/>
                  <w:noWrap w:val="0"/>
                  <w:vAlign w:val="center"/>
                </w:tcPr>
                <w:p w14:paraId="4DCAC885">
                  <w:pPr>
                    <w:keepNext w:val="0"/>
                    <w:keepLines w:val="0"/>
                    <w:suppressLineNumbers w:val="0"/>
                    <w:spacing w:before="0" w:beforeAutospacing="0" w:after="0" w:afterAutospacing="0"/>
                    <w:ind w:left="0" w:right="0"/>
                    <w:jc w:val="center"/>
                    <w:textAlignment w:val="center"/>
                    <w:rPr>
                      <w:rFonts w:hint="default"/>
                      <w:b/>
                      <w:bCs/>
                      <w:color w:val="auto"/>
                      <w:szCs w:val="21"/>
                    </w:rPr>
                  </w:pPr>
                  <w:r>
                    <w:rPr>
                      <w:rFonts w:hint="default"/>
                      <w:b/>
                      <w:bCs/>
                      <w:color w:val="auto"/>
                      <w:szCs w:val="21"/>
                    </w:rPr>
                    <w:t>环境功能</w:t>
                  </w:r>
                </w:p>
              </w:tc>
            </w:tr>
            <w:tr w14:paraId="15F21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17" w:type="dxa"/>
                  <w:noWrap w:val="0"/>
                  <w:vAlign w:val="center"/>
                </w:tcPr>
                <w:p w14:paraId="07341491">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N1</w:t>
                  </w:r>
                </w:p>
              </w:tc>
              <w:tc>
                <w:tcPr>
                  <w:tcW w:w="3896" w:type="dxa"/>
                  <w:noWrap w:val="0"/>
                  <w:vAlign w:val="center"/>
                </w:tcPr>
                <w:p w14:paraId="45C20C0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东厂界外1m</w:t>
                  </w:r>
                </w:p>
              </w:tc>
              <w:tc>
                <w:tcPr>
                  <w:tcW w:w="2615" w:type="dxa"/>
                  <w:noWrap w:val="0"/>
                  <w:vAlign w:val="center"/>
                </w:tcPr>
                <w:p w14:paraId="177FFD72">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3类</w:t>
                  </w:r>
                </w:p>
              </w:tc>
            </w:tr>
            <w:tr w14:paraId="34202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17" w:type="dxa"/>
                  <w:noWrap w:val="0"/>
                  <w:vAlign w:val="center"/>
                </w:tcPr>
                <w:p w14:paraId="6F52DD6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N2</w:t>
                  </w:r>
                </w:p>
              </w:tc>
              <w:tc>
                <w:tcPr>
                  <w:tcW w:w="3896" w:type="dxa"/>
                  <w:noWrap w:val="0"/>
                  <w:vAlign w:val="center"/>
                </w:tcPr>
                <w:p w14:paraId="5063374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南厂界外1m</w:t>
                  </w:r>
                </w:p>
              </w:tc>
              <w:tc>
                <w:tcPr>
                  <w:tcW w:w="2615" w:type="dxa"/>
                  <w:noWrap w:val="0"/>
                  <w:vAlign w:val="center"/>
                </w:tcPr>
                <w:p w14:paraId="24AD82DA">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3类</w:t>
                  </w:r>
                </w:p>
              </w:tc>
            </w:tr>
            <w:tr w14:paraId="48083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17" w:type="dxa"/>
                  <w:noWrap w:val="0"/>
                  <w:vAlign w:val="center"/>
                </w:tcPr>
                <w:p w14:paraId="614964F5">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N3</w:t>
                  </w:r>
                </w:p>
              </w:tc>
              <w:tc>
                <w:tcPr>
                  <w:tcW w:w="3896" w:type="dxa"/>
                  <w:noWrap w:val="0"/>
                  <w:vAlign w:val="center"/>
                </w:tcPr>
                <w:p w14:paraId="57D9AAF3">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西厂界外1m</w:t>
                  </w:r>
                </w:p>
              </w:tc>
              <w:tc>
                <w:tcPr>
                  <w:tcW w:w="2615" w:type="dxa"/>
                  <w:noWrap w:val="0"/>
                  <w:vAlign w:val="center"/>
                </w:tcPr>
                <w:p w14:paraId="191461E6">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3类</w:t>
                  </w:r>
                </w:p>
              </w:tc>
            </w:tr>
            <w:tr w14:paraId="678F7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017" w:type="dxa"/>
                  <w:noWrap w:val="0"/>
                  <w:vAlign w:val="center"/>
                </w:tcPr>
                <w:p w14:paraId="74B65338">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N4</w:t>
                  </w:r>
                </w:p>
              </w:tc>
              <w:tc>
                <w:tcPr>
                  <w:tcW w:w="3896" w:type="dxa"/>
                  <w:noWrap w:val="0"/>
                  <w:vAlign w:val="center"/>
                </w:tcPr>
                <w:p w14:paraId="28BE3751">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北厂界外1m</w:t>
                  </w:r>
                </w:p>
              </w:tc>
              <w:tc>
                <w:tcPr>
                  <w:tcW w:w="2615" w:type="dxa"/>
                  <w:noWrap w:val="0"/>
                  <w:vAlign w:val="center"/>
                </w:tcPr>
                <w:p w14:paraId="639ACCF9">
                  <w:pPr>
                    <w:keepNext w:val="0"/>
                    <w:keepLines w:val="0"/>
                    <w:suppressLineNumbers w:val="0"/>
                    <w:spacing w:before="0" w:beforeAutospacing="0" w:after="0" w:afterAutospacing="0"/>
                    <w:ind w:left="0" w:right="0"/>
                    <w:jc w:val="center"/>
                    <w:textAlignment w:val="center"/>
                    <w:rPr>
                      <w:rFonts w:hint="default"/>
                      <w:color w:val="auto"/>
                      <w:szCs w:val="21"/>
                    </w:rPr>
                  </w:pPr>
                  <w:r>
                    <w:rPr>
                      <w:rFonts w:hint="default"/>
                      <w:color w:val="auto"/>
                      <w:szCs w:val="21"/>
                    </w:rPr>
                    <w:t>3类</w:t>
                  </w:r>
                </w:p>
              </w:tc>
            </w:tr>
          </w:tbl>
          <w:p w14:paraId="650C65C3">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（3）监测时间与监测频次</w:t>
            </w:r>
          </w:p>
          <w:p w14:paraId="0C0A9206">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202</w:t>
            </w:r>
            <w:r>
              <w:rPr>
                <w:rFonts w:hint="eastAsia"/>
                <w:color w:val="auto"/>
                <w:sz w:val="24"/>
                <w:lang w:val="en-US" w:eastAsia="zh-CN"/>
              </w:rPr>
              <w:t>5</w:t>
            </w:r>
            <w:r>
              <w:rPr>
                <w:rFonts w:hint="default"/>
                <w:color w:val="auto"/>
                <w:sz w:val="24"/>
              </w:rPr>
              <w:t>年</w:t>
            </w:r>
            <w:r>
              <w:rPr>
                <w:rFonts w:hint="eastAsia"/>
                <w:color w:val="auto"/>
                <w:sz w:val="24"/>
                <w:lang w:val="en-US" w:eastAsia="zh-CN"/>
              </w:rPr>
              <w:t>6</w:t>
            </w:r>
            <w:r>
              <w:rPr>
                <w:rFonts w:hint="default"/>
                <w:color w:val="auto"/>
                <w:sz w:val="24"/>
              </w:rPr>
              <w:t>月</w:t>
            </w:r>
            <w:r>
              <w:rPr>
                <w:rFonts w:hint="eastAsia"/>
                <w:color w:val="auto"/>
                <w:sz w:val="24"/>
              </w:rPr>
              <w:t>1</w:t>
            </w:r>
            <w:r>
              <w:rPr>
                <w:rFonts w:hint="eastAsia"/>
                <w:color w:val="auto"/>
                <w:sz w:val="24"/>
                <w:lang w:val="en-US" w:eastAsia="zh-CN"/>
              </w:rPr>
              <w:t>1</w:t>
            </w:r>
            <w:r>
              <w:rPr>
                <w:rFonts w:hint="default"/>
                <w:color w:val="auto"/>
                <w:sz w:val="24"/>
              </w:rPr>
              <w:t>日</w:t>
            </w:r>
            <w:r>
              <w:rPr>
                <w:rFonts w:hint="eastAsia"/>
                <w:color w:val="auto"/>
                <w:sz w:val="24"/>
              </w:rPr>
              <w:t>、</w:t>
            </w:r>
            <w:r>
              <w:rPr>
                <w:rFonts w:hint="default"/>
                <w:color w:val="auto"/>
                <w:sz w:val="24"/>
              </w:rPr>
              <w:t>202</w:t>
            </w:r>
            <w:r>
              <w:rPr>
                <w:rFonts w:hint="eastAsia"/>
                <w:color w:val="auto"/>
                <w:sz w:val="24"/>
                <w:lang w:val="en-US" w:eastAsia="zh-CN"/>
              </w:rPr>
              <w:t>5</w:t>
            </w:r>
            <w:r>
              <w:rPr>
                <w:rFonts w:hint="default"/>
                <w:color w:val="auto"/>
                <w:sz w:val="24"/>
              </w:rPr>
              <w:t>年</w:t>
            </w:r>
            <w:r>
              <w:rPr>
                <w:rFonts w:hint="eastAsia"/>
                <w:color w:val="auto"/>
                <w:sz w:val="24"/>
                <w:lang w:val="en-US" w:eastAsia="zh-CN"/>
              </w:rPr>
              <w:t>6</w:t>
            </w:r>
            <w:r>
              <w:rPr>
                <w:rFonts w:hint="default"/>
                <w:color w:val="auto"/>
                <w:sz w:val="24"/>
              </w:rPr>
              <w:t>月</w:t>
            </w:r>
            <w:r>
              <w:rPr>
                <w:rFonts w:hint="eastAsia"/>
                <w:color w:val="auto"/>
                <w:sz w:val="24"/>
                <w:lang w:val="en-US" w:eastAsia="zh-CN"/>
              </w:rPr>
              <w:t>12</w:t>
            </w:r>
            <w:r>
              <w:rPr>
                <w:rFonts w:hint="default"/>
                <w:color w:val="auto"/>
                <w:sz w:val="24"/>
              </w:rPr>
              <w:t>日监测2天，昼、夜各监测一次。根据《中华人民共和国噪声污染防治法》，“昼间”是指06:00至22:00之间的时段；“夜间”是指22:00至次日06:00之间的时段。</w:t>
            </w:r>
          </w:p>
          <w:p w14:paraId="032002E8">
            <w:pPr>
              <w:keepNext w:val="0"/>
              <w:keepLines w:val="0"/>
              <w:widowControl/>
              <w:suppressLineNumbers w:val="0"/>
              <w:spacing w:before="0" w:beforeAutospacing="0" w:after="0" w:afterAutospacing="0" w:line="480" w:lineRule="exact"/>
              <w:ind w:left="0" w:right="0" w:firstLine="480" w:firstLineChars="200"/>
              <w:jc w:val="left"/>
              <w:rPr>
                <w:rFonts w:hint="default"/>
                <w:color w:val="auto"/>
                <w:sz w:val="24"/>
              </w:rPr>
            </w:pPr>
            <w:r>
              <w:rPr>
                <w:rFonts w:hint="default"/>
                <w:color w:val="auto"/>
                <w:sz w:val="24"/>
              </w:rPr>
              <w:t>（4）评价方法</w:t>
            </w:r>
          </w:p>
          <w:p w14:paraId="46394D99">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评价方法：采用与评价标准对比的方法进行评价。</w:t>
            </w:r>
          </w:p>
          <w:p w14:paraId="37D1A72F">
            <w:pPr>
              <w:keepNext w:val="0"/>
              <w:keepLines w:val="0"/>
              <w:widowControl/>
              <w:suppressLineNumbers w:val="0"/>
              <w:spacing w:before="0" w:beforeAutospacing="0" w:after="0" w:afterAutospacing="0" w:line="480" w:lineRule="exact"/>
              <w:ind w:left="0" w:right="0" w:firstLine="480" w:firstLineChars="200"/>
              <w:jc w:val="left"/>
              <w:rPr>
                <w:rFonts w:hint="default"/>
                <w:color w:val="auto"/>
                <w:sz w:val="24"/>
              </w:rPr>
            </w:pPr>
            <w:r>
              <w:rPr>
                <w:rFonts w:hint="default"/>
                <w:color w:val="auto"/>
                <w:sz w:val="24"/>
              </w:rPr>
              <w:t>（5）监测结果及评价</w:t>
            </w:r>
          </w:p>
          <w:p w14:paraId="4280B299">
            <w:pPr>
              <w:keepNext w:val="0"/>
              <w:keepLines w:val="0"/>
              <w:widowControl/>
              <w:suppressLineNumbers w:val="0"/>
              <w:spacing w:before="0" w:beforeAutospacing="0" w:after="0" w:afterAutospacing="0" w:line="480" w:lineRule="exact"/>
              <w:ind w:left="0" w:right="0" w:firstLine="480" w:firstLineChars="200"/>
              <w:jc w:val="left"/>
              <w:rPr>
                <w:rFonts w:hint="default"/>
                <w:color w:val="auto"/>
                <w:sz w:val="24"/>
              </w:rPr>
            </w:pPr>
            <w:r>
              <w:rPr>
                <w:rFonts w:hint="default"/>
                <w:color w:val="auto"/>
                <w:sz w:val="24"/>
              </w:rPr>
              <w:t>根据</w:t>
            </w:r>
            <w:r>
              <w:rPr>
                <w:rFonts w:hint="eastAsia"/>
                <w:color w:val="auto"/>
                <w:kern w:val="0"/>
                <w:sz w:val="24"/>
                <w:lang w:val="en-US" w:eastAsia="zh-CN"/>
              </w:rPr>
              <w:t>江苏云居检测技术</w:t>
            </w:r>
            <w:r>
              <w:rPr>
                <w:rFonts w:hint="default"/>
                <w:color w:val="auto"/>
                <w:kern w:val="0"/>
                <w:sz w:val="24"/>
              </w:rPr>
              <w:t>有限公司</w:t>
            </w:r>
            <w:r>
              <w:rPr>
                <w:rFonts w:hint="default"/>
                <w:color w:val="auto"/>
                <w:sz w:val="24"/>
              </w:rPr>
              <w:t>现场监测数据，声环境质量现状监测结果及评价见</w:t>
            </w:r>
            <w:r>
              <w:rPr>
                <w:rFonts w:hint="eastAsia"/>
                <w:color w:val="auto"/>
                <w:sz w:val="24"/>
              </w:rPr>
              <w:t>表3.1</w:t>
            </w:r>
            <w:r>
              <w:rPr>
                <w:rFonts w:hint="default"/>
                <w:color w:val="auto"/>
                <w:sz w:val="24"/>
              </w:rPr>
              <w:t>-</w:t>
            </w:r>
            <w:r>
              <w:rPr>
                <w:rFonts w:hint="eastAsia"/>
                <w:color w:val="auto"/>
                <w:sz w:val="24"/>
                <w:lang w:val="en-US" w:eastAsia="zh-CN"/>
              </w:rPr>
              <w:t>8</w:t>
            </w:r>
            <w:r>
              <w:rPr>
                <w:rFonts w:hint="default"/>
                <w:color w:val="auto"/>
                <w:sz w:val="24"/>
              </w:rPr>
              <w:t>。</w:t>
            </w:r>
          </w:p>
          <w:p w14:paraId="52C1240C">
            <w:pPr>
              <w:keepNext w:val="0"/>
              <w:keepLines w:val="0"/>
              <w:suppressLineNumbers w:val="0"/>
              <w:spacing w:before="0" w:beforeAutospacing="0" w:after="0" w:afterAutospacing="0"/>
              <w:ind w:left="0" w:right="0" w:firstLine="482"/>
              <w:jc w:val="center"/>
              <w:rPr>
                <w:rFonts w:hint="default"/>
                <w:b/>
                <w:color w:val="auto"/>
                <w:sz w:val="24"/>
              </w:rPr>
            </w:pPr>
            <w:r>
              <w:rPr>
                <w:rFonts w:hint="eastAsia"/>
                <w:b/>
                <w:color w:val="auto"/>
                <w:sz w:val="24"/>
              </w:rPr>
              <w:t>表3.1</w:t>
            </w:r>
            <w:r>
              <w:rPr>
                <w:rFonts w:hint="default"/>
                <w:b/>
                <w:color w:val="auto"/>
                <w:sz w:val="24"/>
              </w:rPr>
              <w:t>-</w:t>
            </w:r>
            <w:r>
              <w:rPr>
                <w:rFonts w:hint="eastAsia"/>
                <w:b/>
                <w:color w:val="auto"/>
                <w:sz w:val="24"/>
                <w:lang w:val="en-US" w:eastAsia="zh-CN"/>
              </w:rPr>
              <w:t>8</w:t>
            </w:r>
            <w:r>
              <w:rPr>
                <w:rFonts w:hint="eastAsia"/>
                <w:b/>
                <w:color w:val="auto"/>
                <w:sz w:val="24"/>
              </w:rPr>
              <w:t xml:space="preserve">  </w:t>
            </w:r>
            <w:r>
              <w:rPr>
                <w:rFonts w:hint="default"/>
                <w:b/>
                <w:color w:val="auto"/>
                <w:sz w:val="24"/>
              </w:rPr>
              <w:t>噪声现状监测结果统计表单位：dB（A）</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523"/>
              <w:gridCol w:w="1250"/>
              <w:gridCol w:w="1477"/>
              <w:gridCol w:w="1183"/>
              <w:gridCol w:w="1296"/>
            </w:tblGrid>
            <w:tr w14:paraId="05F45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noWrap w:val="0"/>
                  <w:vAlign w:val="center"/>
                </w:tcPr>
                <w:p w14:paraId="32C1BCC5">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监测点位编号</w:t>
                  </w:r>
                </w:p>
              </w:tc>
              <w:tc>
                <w:tcPr>
                  <w:tcW w:w="1646" w:type="pct"/>
                  <w:gridSpan w:val="2"/>
                  <w:noWrap w:val="0"/>
                  <w:vAlign w:val="center"/>
                </w:tcPr>
                <w:p w14:paraId="6FB5F13B">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测量时段</w:t>
                  </w:r>
                </w:p>
              </w:tc>
              <w:tc>
                <w:tcPr>
                  <w:tcW w:w="877" w:type="pct"/>
                  <w:noWrap w:val="0"/>
                  <w:vAlign w:val="center"/>
                </w:tcPr>
                <w:p w14:paraId="51DBA392">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等效声级</w:t>
                  </w:r>
                </w:p>
              </w:tc>
              <w:tc>
                <w:tcPr>
                  <w:tcW w:w="702" w:type="pct"/>
                  <w:noWrap w:val="0"/>
                  <w:vAlign w:val="center"/>
                </w:tcPr>
                <w:p w14:paraId="635240F9">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评价标准</w:t>
                  </w:r>
                </w:p>
              </w:tc>
              <w:tc>
                <w:tcPr>
                  <w:tcW w:w="769" w:type="pct"/>
                  <w:noWrap w:val="0"/>
                  <w:vAlign w:val="center"/>
                </w:tcPr>
                <w:p w14:paraId="1F060390">
                  <w:pPr>
                    <w:pStyle w:val="61"/>
                    <w:keepNext w:val="0"/>
                    <w:keepLines w:val="0"/>
                    <w:suppressLineNumbers w:val="0"/>
                    <w:spacing w:before="0" w:beforeAutospacing="0" w:after="0" w:afterAutospacing="0"/>
                    <w:ind w:left="0" w:right="0"/>
                    <w:rPr>
                      <w:rFonts w:hint="default"/>
                      <w:b/>
                      <w:bCs/>
                      <w:color w:val="auto"/>
                    </w:rPr>
                  </w:pPr>
                  <w:r>
                    <w:rPr>
                      <w:rFonts w:hint="default"/>
                      <w:b/>
                      <w:bCs/>
                      <w:color w:val="auto"/>
                    </w:rPr>
                    <w:t>达标情况</w:t>
                  </w:r>
                </w:p>
              </w:tc>
            </w:tr>
            <w:tr w14:paraId="01B30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4C38D1E9">
                  <w:pPr>
                    <w:pStyle w:val="61"/>
                    <w:keepNext w:val="0"/>
                    <w:keepLines w:val="0"/>
                    <w:suppressLineNumbers w:val="0"/>
                    <w:spacing w:before="0" w:beforeAutospacing="0" w:after="0" w:afterAutospacing="0"/>
                    <w:ind w:left="0" w:right="0"/>
                    <w:rPr>
                      <w:rFonts w:hint="default"/>
                      <w:color w:val="auto"/>
                    </w:rPr>
                  </w:pPr>
                  <w:r>
                    <w:rPr>
                      <w:rFonts w:hint="default"/>
                      <w:color w:val="auto"/>
                    </w:rPr>
                    <w:t>N1（东厂界）</w:t>
                  </w:r>
                </w:p>
              </w:tc>
              <w:tc>
                <w:tcPr>
                  <w:tcW w:w="904" w:type="pct"/>
                  <w:vMerge w:val="restart"/>
                  <w:noWrap w:val="0"/>
                  <w:vAlign w:val="center"/>
                </w:tcPr>
                <w:p w14:paraId="13F5DD2C">
                  <w:pPr>
                    <w:pStyle w:val="61"/>
                    <w:keepNext w:val="0"/>
                    <w:keepLines w:val="0"/>
                    <w:suppressLineNumbers w:val="0"/>
                    <w:spacing w:before="0" w:beforeAutospacing="0" w:after="0" w:afterAutospacing="0"/>
                    <w:ind w:left="0" w:right="0"/>
                    <w:rPr>
                      <w:rFonts w:hint="default" w:eastAsia="宋体"/>
                      <w:color w:val="auto"/>
                      <w:lang w:val="en-US" w:eastAsia="zh-CN"/>
                    </w:rPr>
                  </w:pPr>
                  <w:r>
                    <w:rPr>
                      <w:rFonts w:hint="default"/>
                      <w:color w:val="auto"/>
                    </w:rPr>
                    <w:t>202</w:t>
                  </w:r>
                  <w:r>
                    <w:rPr>
                      <w:rFonts w:hint="eastAsia"/>
                      <w:color w:val="auto"/>
                      <w:lang w:val="en-US" w:eastAsia="zh-CN"/>
                    </w:rPr>
                    <w:t>5.6.11</w:t>
                  </w:r>
                </w:p>
              </w:tc>
              <w:tc>
                <w:tcPr>
                  <w:tcW w:w="742" w:type="pct"/>
                  <w:noWrap w:val="0"/>
                  <w:vAlign w:val="center"/>
                </w:tcPr>
                <w:p w14:paraId="5158B2FC">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3AD3F8C0">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55</w:t>
                  </w:r>
                </w:p>
              </w:tc>
              <w:tc>
                <w:tcPr>
                  <w:tcW w:w="702" w:type="pct"/>
                  <w:noWrap w:val="0"/>
                  <w:vAlign w:val="center"/>
                </w:tcPr>
                <w:p w14:paraId="37388F6D">
                  <w:pPr>
                    <w:pStyle w:val="61"/>
                    <w:keepNext w:val="0"/>
                    <w:keepLines w:val="0"/>
                    <w:suppressLineNumbers w:val="0"/>
                    <w:spacing w:before="0" w:beforeAutospacing="0" w:after="0" w:afterAutospacing="0"/>
                    <w:ind w:left="0" w:right="0"/>
                    <w:rPr>
                      <w:rFonts w:hint="eastAsia"/>
                      <w:color w:val="auto"/>
                    </w:rPr>
                  </w:pPr>
                  <w:r>
                    <w:rPr>
                      <w:rFonts w:hint="default"/>
                      <w:color w:val="auto"/>
                    </w:rPr>
                    <w:t>6</w:t>
                  </w:r>
                  <w:r>
                    <w:rPr>
                      <w:rFonts w:hint="eastAsia"/>
                      <w:color w:val="auto"/>
                    </w:rPr>
                    <w:t>5</w:t>
                  </w:r>
                </w:p>
              </w:tc>
              <w:tc>
                <w:tcPr>
                  <w:tcW w:w="769" w:type="pct"/>
                  <w:noWrap w:val="0"/>
                  <w:vAlign w:val="top"/>
                </w:tcPr>
                <w:p w14:paraId="1EB7851A">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761DA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01E9162D">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551DE974">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0B12555B">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233CA63B">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44</w:t>
                  </w:r>
                </w:p>
              </w:tc>
              <w:tc>
                <w:tcPr>
                  <w:tcW w:w="702" w:type="pct"/>
                  <w:noWrap w:val="0"/>
                  <w:vAlign w:val="center"/>
                </w:tcPr>
                <w:p w14:paraId="33A9550B">
                  <w:pPr>
                    <w:pStyle w:val="61"/>
                    <w:keepNext w:val="0"/>
                    <w:keepLines w:val="0"/>
                    <w:suppressLineNumbers w:val="0"/>
                    <w:spacing w:before="0" w:beforeAutospacing="0" w:after="0" w:afterAutospacing="0"/>
                    <w:ind w:left="0" w:right="0"/>
                    <w:rPr>
                      <w:rFonts w:hint="eastAsia"/>
                      <w:color w:val="auto"/>
                    </w:rPr>
                  </w:pPr>
                  <w:r>
                    <w:rPr>
                      <w:rFonts w:hint="default"/>
                      <w:color w:val="auto"/>
                    </w:rPr>
                    <w:t>5</w:t>
                  </w:r>
                  <w:r>
                    <w:rPr>
                      <w:rFonts w:hint="eastAsia"/>
                      <w:color w:val="auto"/>
                    </w:rPr>
                    <w:t>5</w:t>
                  </w:r>
                </w:p>
              </w:tc>
              <w:tc>
                <w:tcPr>
                  <w:tcW w:w="769" w:type="pct"/>
                  <w:noWrap w:val="0"/>
                  <w:vAlign w:val="top"/>
                </w:tcPr>
                <w:p w14:paraId="0306DC57">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27C94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26DF9E87">
                  <w:pPr>
                    <w:pStyle w:val="61"/>
                    <w:keepNext w:val="0"/>
                    <w:keepLines w:val="0"/>
                    <w:suppressLineNumbers w:val="0"/>
                    <w:spacing w:before="0" w:beforeAutospacing="0" w:after="0" w:afterAutospacing="0"/>
                    <w:ind w:left="0" w:right="0"/>
                    <w:rPr>
                      <w:rFonts w:hint="default"/>
                      <w:color w:val="auto"/>
                    </w:rPr>
                  </w:pPr>
                </w:p>
              </w:tc>
              <w:tc>
                <w:tcPr>
                  <w:tcW w:w="904" w:type="pct"/>
                  <w:vMerge w:val="restart"/>
                  <w:noWrap w:val="0"/>
                  <w:vAlign w:val="center"/>
                </w:tcPr>
                <w:p w14:paraId="0DE72BE0">
                  <w:pPr>
                    <w:pStyle w:val="61"/>
                    <w:keepNext w:val="0"/>
                    <w:keepLines w:val="0"/>
                    <w:suppressLineNumbers w:val="0"/>
                    <w:spacing w:before="0" w:beforeAutospacing="0" w:after="0" w:afterAutospacing="0"/>
                    <w:ind w:left="0" w:right="0"/>
                    <w:rPr>
                      <w:rFonts w:hint="default" w:eastAsia="宋体"/>
                      <w:color w:val="auto"/>
                      <w:lang w:val="en-US" w:eastAsia="zh-CN"/>
                    </w:rPr>
                  </w:pPr>
                  <w:r>
                    <w:rPr>
                      <w:rFonts w:hint="default"/>
                      <w:color w:val="auto"/>
                    </w:rPr>
                    <w:t>202</w:t>
                  </w:r>
                  <w:r>
                    <w:rPr>
                      <w:rFonts w:hint="eastAsia"/>
                      <w:color w:val="auto"/>
                      <w:lang w:val="en-US" w:eastAsia="zh-CN"/>
                    </w:rPr>
                    <w:t>5.6.12</w:t>
                  </w:r>
                </w:p>
              </w:tc>
              <w:tc>
                <w:tcPr>
                  <w:tcW w:w="742" w:type="pct"/>
                  <w:noWrap w:val="0"/>
                  <w:vAlign w:val="center"/>
                </w:tcPr>
                <w:p w14:paraId="61E8D560">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0BE9496F">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54</w:t>
                  </w:r>
                </w:p>
              </w:tc>
              <w:tc>
                <w:tcPr>
                  <w:tcW w:w="702" w:type="pct"/>
                  <w:noWrap w:val="0"/>
                  <w:vAlign w:val="center"/>
                </w:tcPr>
                <w:p w14:paraId="1E90BAD7">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7E0BD39F">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75F2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29896A04">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55B38F53">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1165BF23">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3C6FE412">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42</w:t>
                  </w:r>
                </w:p>
              </w:tc>
              <w:tc>
                <w:tcPr>
                  <w:tcW w:w="702" w:type="pct"/>
                  <w:noWrap w:val="0"/>
                  <w:vAlign w:val="center"/>
                </w:tcPr>
                <w:p w14:paraId="426ADB58">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3EDC0919">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3AAD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461C6243">
                  <w:pPr>
                    <w:pStyle w:val="61"/>
                    <w:keepNext w:val="0"/>
                    <w:keepLines w:val="0"/>
                    <w:suppressLineNumbers w:val="0"/>
                    <w:spacing w:before="0" w:beforeAutospacing="0" w:after="0" w:afterAutospacing="0"/>
                    <w:ind w:left="0" w:right="0"/>
                    <w:rPr>
                      <w:rFonts w:hint="default"/>
                      <w:color w:val="auto"/>
                    </w:rPr>
                  </w:pPr>
                  <w:r>
                    <w:rPr>
                      <w:rFonts w:hint="default"/>
                      <w:color w:val="auto"/>
                    </w:rPr>
                    <w:t>N2（南厂界）</w:t>
                  </w:r>
                </w:p>
              </w:tc>
              <w:tc>
                <w:tcPr>
                  <w:tcW w:w="904" w:type="pct"/>
                  <w:vMerge w:val="restart"/>
                  <w:shd w:val="clear" w:color="auto" w:fill="auto"/>
                  <w:noWrap w:val="0"/>
                  <w:vAlign w:val="center"/>
                </w:tcPr>
                <w:p w14:paraId="4BCB6B16">
                  <w:pPr>
                    <w:pStyle w:val="6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1"/>
                      <w:lang w:val="en-US" w:eastAsia="zh-CN" w:bidi="ar-SA"/>
                    </w:rPr>
                  </w:pPr>
                  <w:r>
                    <w:rPr>
                      <w:rFonts w:hint="default"/>
                      <w:color w:val="auto"/>
                    </w:rPr>
                    <w:t>202</w:t>
                  </w:r>
                  <w:r>
                    <w:rPr>
                      <w:rFonts w:hint="eastAsia"/>
                      <w:color w:val="auto"/>
                      <w:lang w:val="en-US" w:eastAsia="zh-CN"/>
                    </w:rPr>
                    <w:t>5.6.11</w:t>
                  </w:r>
                </w:p>
                <w:p w14:paraId="54332E5F">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787A1BE2">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shd w:val="clear" w:color="auto" w:fill="auto"/>
                  <w:noWrap w:val="0"/>
                  <w:vAlign w:val="center"/>
                </w:tcPr>
                <w:p w14:paraId="65D3F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55</w:t>
                  </w:r>
                </w:p>
              </w:tc>
              <w:tc>
                <w:tcPr>
                  <w:tcW w:w="702" w:type="pct"/>
                  <w:noWrap w:val="0"/>
                  <w:vAlign w:val="center"/>
                </w:tcPr>
                <w:p w14:paraId="4A2B04F7">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3F3A861E">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353CD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59C8E0B7">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441A6CBC">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167547C8">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shd w:val="clear" w:color="auto" w:fill="auto"/>
                  <w:noWrap w:val="0"/>
                  <w:vAlign w:val="center"/>
                </w:tcPr>
                <w:p w14:paraId="65975F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40</w:t>
                  </w:r>
                </w:p>
              </w:tc>
              <w:tc>
                <w:tcPr>
                  <w:tcW w:w="702" w:type="pct"/>
                  <w:noWrap w:val="0"/>
                  <w:vAlign w:val="center"/>
                </w:tcPr>
                <w:p w14:paraId="48D2CE2B">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284931F4">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281C8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7D15E374">
                  <w:pPr>
                    <w:pStyle w:val="61"/>
                    <w:keepNext w:val="0"/>
                    <w:keepLines w:val="0"/>
                    <w:suppressLineNumbers w:val="0"/>
                    <w:spacing w:before="0" w:beforeAutospacing="0" w:after="0" w:afterAutospacing="0"/>
                    <w:ind w:left="0" w:right="0"/>
                    <w:rPr>
                      <w:rFonts w:hint="default"/>
                      <w:color w:val="auto"/>
                    </w:rPr>
                  </w:pPr>
                </w:p>
              </w:tc>
              <w:tc>
                <w:tcPr>
                  <w:tcW w:w="904" w:type="pct"/>
                  <w:vMerge w:val="restart"/>
                  <w:shd w:val="clear" w:color="auto" w:fill="auto"/>
                  <w:noWrap w:val="0"/>
                  <w:vAlign w:val="center"/>
                </w:tcPr>
                <w:p w14:paraId="4D9EAE94">
                  <w:pPr>
                    <w:pStyle w:val="61"/>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auto"/>
                      <w:kern w:val="2"/>
                      <w:sz w:val="21"/>
                      <w:szCs w:val="21"/>
                      <w:lang w:val="en-US" w:eastAsia="zh-CN" w:bidi="ar-SA"/>
                    </w:rPr>
                  </w:pPr>
                  <w:r>
                    <w:rPr>
                      <w:rFonts w:hint="default"/>
                      <w:color w:val="auto"/>
                    </w:rPr>
                    <w:t>202</w:t>
                  </w:r>
                  <w:r>
                    <w:rPr>
                      <w:rFonts w:hint="eastAsia"/>
                      <w:color w:val="auto"/>
                      <w:lang w:val="en-US" w:eastAsia="zh-CN"/>
                    </w:rPr>
                    <w:t>5.6.12</w:t>
                  </w:r>
                </w:p>
              </w:tc>
              <w:tc>
                <w:tcPr>
                  <w:tcW w:w="742" w:type="pct"/>
                  <w:noWrap w:val="0"/>
                  <w:vAlign w:val="center"/>
                </w:tcPr>
                <w:p w14:paraId="3EFE47A2">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291A48DD">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56</w:t>
                  </w:r>
                </w:p>
              </w:tc>
              <w:tc>
                <w:tcPr>
                  <w:tcW w:w="702" w:type="pct"/>
                  <w:noWrap w:val="0"/>
                  <w:vAlign w:val="center"/>
                </w:tcPr>
                <w:p w14:paraId="64E41ABF">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4E50B669">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13BC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1D55E322">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425BC606">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27E1A8B6">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7707107F">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42</w:t>
                  </w:r>
                </w:p>
              </w:tc>
              <w:tc>
                <w:tcPr>
                  <w:tcW w:w="702" w:type="pct"/>
                  <w:noWrap w:val="0"/>
                  <w:vAlign w:val="center"/>
                </w:tcPr>
                <w:p w14:paraId="0EE42091">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530CCF24">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E930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5D52D7AC">
                  <w:pPr>
                    <w:pStyle w:val="61"/>
                    <w:keepNext w:val="0"/>
                    <w:keepLines w:val="0"/>
                    <w:suppressLineNumbers w:val="0"/>
                    <w:spacing w:before="0" w:beforeAutospacing="0" w:after="0" w:afterAutospacing="0"/>
                    <w:ind w:left="0" w:right="0"/>
                    <w:rPr>
                      <w:rFonts w:hint="default"/>
                      <w:color w:val="auto"/>
                    </w:rPr>
                  </w:pPr>
                  <w:r>
                    <w:rPr>
                      <w:rFonts w:hint="default"/>
                      <w:color w:val="auto"/>
                    </w:rPr>
                    <w:t>N3（西厂界）</w:t>
                  </w:r>
                </w:p>
              </w:tc>
              <w:tc>
                <w:tcPr>
                  <w:tcW w:w="904" w:type="pct"/>
                  <w:vMerge w:val="restart"/>
                  <w:noWrap w:val="0"/>
                  <w:vAlign w:val="center"/>
                </w:tcPr>
                <w:p w14:paraId="3D3598F4">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5.6.11</w:t>
                  </w:r>
                </w:p>
              </w:tc>
              <w:tc>
                <w:tcPr>
                  <w:tcW w:w="742" w:type="pct"/>
                  <w:noWrap w:val="0"/>
                  <w:vAlign w:val="center"/>
                </w:tcPr>
                <w:p w14:paraId="71A423F5">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1D4603F7">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56</w:t>
                  </w:r>
                </w:p>
              </w:tc>
              <w:tc>
                <w:tcPr>
                  <w:tcW w:w="702" w:type="pct"/>
                  <w:noWrap w:val="0"/>
                  <w:vAlign w:val="center"/>
                </w:tcPr>
                <w:p w14:paraId="509E4B86">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499D973A">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5EFC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748CD225">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071F405A">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2593AEA8">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194E8933">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44</w:t>
                  </w:r>
                </w:p>
              </w:tc>
              <w:tc>
                <w:tcPr>
                  <w:tcW w:w="702" w:type="pct"/>
                  <w:noWrap w:val="0"/>
                  <w:vAlign w:val="center"/>
                </w:tcPr>
                <w:p w14:paraId="7EFBA311">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44099EDE">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21B7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4DE36B99">
                  <w:pPr>
                    <w:pStyle w:val="61"/>
                    <w:keepNext w:val="0"/>
                    <w:keepLines w:val="0"/>
                    <w:suppressLineNumbers w:val="0"/>
                    <w:spacing w:before="0" w:beforeAutospacing="0" w:after="0" w:afterAutospacing="0"/>
                    <w:ind w:left="0" w:right="0"/>
                    <w:rPr>
                      <w:rFonts w:hint="default"/>
                      <w:color w:val="auto"/>
                    </w:rPr>
                  </w:pPr>
                </w:p>
              </w:tc>
              <w:tc>
                <w:tcPr>
                  <w:tcW w:w="904" w:type="pct"/>
                  <w:vMerge w:val="restart"/>
                  <w:noWrap w:val="0"/>
                  <w:vAlign w:val="center"/>
                </w:tcPr>
                <w:p w14:paraId="088DFE25">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5.6.12</w:t>
                  </w:r>
                </w:p>
              </w:tc>
              <w:tc>
                <w:tcPr>
                  <w:tcW w:w="742" w:type="pct"/>
                  <w:noWrap w:val="0"/>
                  <w:vAlign w:val="center"/>
                </w:tcPr>
                <w:p w14:paraId="6410F8A5">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7A5C06C6">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59</w:t>
                  </w:r>
                </w:p>
              </w:tc>
              <w:tc>
                <w:tcPr>
                  <w:tcW w:w="702" w:type="pct"/>
                  <w:noWrap w:val="0"/>
                  <w:vAlign w:val="center"/>
                </w:tcPr>
                <w:p w14:paraId="672906F4">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5DF38C82">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0AF92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19F14EC6">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5B032B3D">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282B6B0E">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29DE188B">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42</w:t>
                  </w:r>
                </w:p>
              </w:tc>
              <w:tc>
                <w:tcPr>
                  <w:tcW w:w="702" w:type="pct"/>
                  <w:noWrap w:val="0"/>
                  <w:vAlign w:val="center"/>
                </w:tcPr>
                <w:p w14:paraId="16BDBCB1">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62C249A2">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3ADA4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restart"/>
                  <w:noWrap w:val="0"/>
                  <w:vAlign w:val="center"/>
                </w:tcPr>
                <w:p w14:paraId="451A8773">
                  <w:pPr>
                    <w:pStyle w:val="61"/>
                    <w:keepNext w:val="0"/>
                    <w:keepLines w:val="0"/>
                    <w:suppressLineNumbers w:val="0"/>
                    <w:spacing w:before="0" w:beforeAutospacing="0" w:after="0" w:afterAutospacing="0"/>
                    <w:ind w:left="0" w:right="0"/>
                    <w:rPr>
                      <w:rFonts w:hint="default"/>
                      <w:color w:val="auto"/>
                    </w:rPr>
                  </w:pPr>
                  <w:r>
                    <w:rPr>
                      <w:rFonts w:hint="default"/>
                      <w:color w:val="auto"/>
                    </w:rPr>
                    <w:t>N4（北厂界）</w:t>
                  </w:r>
                </w:p>
              </w:tc>
              <w:tc>
                <w:tcPr>
                  <w:tcW w:w="904" w:type="pct"/>
                  <w:vMerge w:val="restart"/>
                  <w:noWrap w:val="0"/>
                  <w:vAlign w:val="center"/>
                </w:tcPr>
                <w:p w14:paraId="26A283C7">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5.6.11</w:t>
                  </w:r>
                </w:p>
              </w:tc>
              <w:tc>
                <w:tcPr>
                  <w:tcW w:w="742" w:type="pct"/>
                  <w:noWrap w:val="0"/>
                  <w:vAlign w:val="center"/>
                </w:tcPr>
                <w:p w14:paraId="0D567E45">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4330E7FE">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57</w:t>
                  </w:r>
                </w:p>
              </w:tc>
              <w:tc>
                <w:tcPr>
                  <w:tcW w:w="702" w:type="pct"/>
                  <w:noWrap w:val="0"/>
                  <w:vAlign w:val="center"/>
                </w:tcPr>
                <w:p w14:paraId="58D8A33A">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59152565">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4D2BF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489692D6">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2BD7B1B5">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3159FB3D">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05E2F670">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44</w:t>
                  </w:r>
                </w:p>
              </w:tc>
              <w:tc>
                <w:tcPr>
                  <w:tcW w:w="702" w:type="pct"/>
                  <w:noWrap w:val="0"/>
                  <w:vAlign w:val="center"/>
                </w:tcPr>
                <w:p w14:paraId="775AABC0">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7B0CE1D1">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2DF88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094E6B71">
                  <w:pPr>
                    <w:pStyle w:val="61"/>
                    <w:keepNext w:val="0"/>
                    <w:keepLines w:val="0"/>
                    <w:suppressLineNumbers w:val="0"/>
                    <w:spacing w:before="0" w:beforeAutospacing="0" w:after="0" w:afterAutospacing="0"/>
                    <w:ind w:left="0" w:right="0"/>
                    <w:rPr>
                      <w:rFonts w:hint="default"/>
                      <w:color w:val="auto"/>
                    </w:rPr>
                  </w:pPr>
                </w:p>
              </w:tc>
              <w:tc>
                <w:tcPr>
                  <w:tcW w:w="904" w:type="pct"/>
                  <w:vMerge w:val="restart"/>
                  <w:noWrap w:val="0"/>
                  <w:vAlign w:val="center"/>
                </w:tcPr>
                <w:p w14:paraId="2AFFB105">
                  <w:pPr>
                    <w:pStyle w:val="61"/>
                    <w:keepNext w:val="0"/>
                    <w:keepLines w:val="0"/>
                    <w:suppressLineNumbers w:val="0"/>
                    <w:spacing w:before="0" w:beforeAutospacing="0" w:after="0" w:afterAutospacing="0"/>
                    <w:ind w:left="0" w:right="0" w:firstLine="0" w:firstLineChars="0"/>
                    <w:rPr>
                      <w:rFonts w:hint="default"/>
                      <w:color w:val="auto"/>
                    </w:rPr>
                  </w:pPr>
                  <w:r>
                    <w:rPr>
                      <w:rFonts w:hint="default"/>
                      <w:color w:val="auto"/>
                    </w:rPr>
                    <w:t>202</w:t>
                  </w:r>
                  <w:r>
                    <w:rPr>
                      <w:rFonts w:hint="eastAsia"/>
                      <w:color w:val="auto"/>
                      <w:lang w:val="en-US" w:eastAsia="zh-CN"/>
                    </w:rPr>
                    <w:t>5.6.12</w:t>
                  </w:r>
                </w:p>
              </w:tc>
              <w:tc>
                <w:tcPr>
                  <w:tcW w:w="742" w:type="pct"/>
                  <w:noWrap w:val="0"/>
                  <w:vAlign w:val="center"/>
                </w:tcPr>
                <w:p w14:paraId="5C5B6B87">
                  <w:pPr>
                    <w:pStyle w:val="61"/>
                    <w:keepNext w:val="0"/>
                    <w:keepLines w:val="0"/>
                    <w:suppressLineNumbers w:val="0"/>
                    <w:spacing w:before="0" w:beforeAutospacing="0" w:after="0" w:afterAutospacing="0"/>
                    <w:ind w:left="0" w:right="0"/>
                    <w:rPr>
                      <w:rFonts w:hint="default"/>
                      <w:color w:val="auto"/>
                    </w:rPr>
                  </w:pPr>
                  <w:r>
                    <w:rPr>
                      <w:rFonts w:hint="default"/>
                      <w:color w:val="auto"/>
                    </w:rPr>
                    <w:t>昼间</w:t>
                  </w:r>
                </w:p>
              </w:tc>
              <w:tc>
                <w:tcPr>
                  <w:tcW w:w="877" w:type="pct"/>
                  <w:noWrap w:val="0"/>
                  <w:vAlign w:val="center"/>
                </w:tcPr>
                <w:p w14:paraId="3B7A78E1">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55</w:t>
                  </w:r>
                </w:p>
              </w:tc>
              <w:tc>
                <w:tcPr>
                  <w:tcW w:w="702" w:type="pct"/>
                  <w:noWrap w:val="0"/>
                  <w:vAlign w:val="center"/>
                </w:tcPr>
                <w:p w14:paraId="193D50C4">
                  <w:pPr>
                    <w:pStyle w:val="61"/>
                    <w:keepNext w:val="0"/>
                    <w:keepLines w:val="0"/>
                    <w:suppressLineNumbers w:val="0"/>
                    <w:spacing w:before="0" w:beforeAutospacing="0" w:after="0" w:afterAutospacing="0"/>
                    <w:ind w:left="0" w:right="0"/>
                    <w:rPr>
                      <w:rFonts w:hint="default"/>
                      <w:color w:val="auto"/>
                    </w:rPr>
                  </w:pPr>
                  <w:r>
                    <w:rPr>
                      <w:rFonts w:hint="default"/>
                      <w:color w:val="auto"/>
                    </w:rPr>
                    <w:t>6</w:t>
                  </w:r>
                  <w:r>
                    <w:rPr>
                      <w:rFonts w:hint="eastAsia"/>
                      <w:color w:val="auto"/>
                    </w:rPr>
                    <w:t>5</w:t>
                  </w:r>
                </w:p>
              </w:tc>
              <w:tc>
                <w:tcPr>
                  <w:tcW w:w="769" w:type="pct"/>
                  <w:noWrap w:val="0"/>
                  <w:vAlign w:val="top"/>
                </w:tcPr>
                <w:p w14:paraId="70D333F7">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r w14:paraId="6F99AE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1004" w:type="pct"/>
                  <w:vMerge w:val="continue"/>
                  <w:noWrap w:val="0"/>
                  <w:vAlign w:val="center"/>
                </w:tcPr>
                <w:p w14:paraId="28C6B22F">
                  <w:pPr>
                    <w:pStyle w:val="61"/>
                    <w:keepNext w:val="0"/>
                    <w:keepLines w:val="0"/>
                    <w:suppressLineNumbers w:val="0"/>
                    <w:spacing w:before="0" w:beforeAutospacing="0" w:after="0" w:afterAutospacing="0"/>
                    <w:ind w:left="0" w:right="0"/>
                    <w:rPr>
                      <w:rFonts w:hint="default"/>
                      <w:color w:val="auto"/>
                    </w:rPr>
                  </w:pPr>
                </w:p>
              </w:tc>
              <w:tc>
                <w:tcPr>
                  <w:tcW w:w="904" w:type="pct"/>
                  <w:vMerge w:val="continue"/>
                  <w:noWrap w:val="0"/>
                  <w:vAlign w:val="center"/>
                </w:tcPr>
                <w:p w14:paraId="04487F4F">
                  <w:pPr>
                    <w:pStyle w:val="61"/>
                    <w:keepNext w:val="0"/>
                    <w:keepLines w:val="0"/>
                    <w:suppressLineNumbers w:val="0"/>
                    <w:spacing w:before="0" w:beforeAutospacing="0" w:after="0" w:afterAutospacing="0"/>
                    <w:ind w:left="0" w:right="0"/>
                    <w:rPr>
                      <w:rFonts w:hint="default"/>
                      <w:color w:val="auto"/>
                    </w:rPr>
                  </w:pPr>
                </w:p>
              </w:tc>
              <w:tc>
                <w:tcPr>
                  <w:tcW w:w="742" w:type="pct"/>
                  <w:noWrap w:val="0"/>
                  <w:vAlign w:val="center"/>
                </w:tcPr>
                <w:p w14:paraId="1E64BDBE">
                  <w:pPr>
                    <w:pStyle w:val="61"/>
                    <w:keepNext w:val="0"/>
                    <w:keepLines w:val="0"/>
                    <w:suppressLineNumbers w:val="0"/>
                    <w:spacing w:before="0" w:beforeAutospacing="0" w:after="0" w:afterAutospacing="0"/>
                    <w:ind w:left="0" w:right="0"/>
                    <w:rPr>
                      <w:rFonts w:hint="default"/>
                      <w:color w:val="auto"/>
                    </w:rPr>
                  </w:pPr>
                  <w:r>
                    <w:rPr>
                      <w:rFonts w:hint="default"/>
                      <w:color w:val="auto"/>
                    </w:rPr>
                    <w:t>夜间</w:t>
                  </w:r>
                </w:p>
              </w:tc>
              <w:tc>
                <w:tcPr>
                  <w:tcW w:w="877" w:type="pct"/>
                  <w:noWrap w:val="0"/>
                  <w:vAlign w:val="center"/>
                </w:tcPr>
                <w:p w14:paraId="4BAE8955">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lang w:val="en-US" w:eastAsia="zh-CN"/>
                    </w:rPr>
                    <w:t>47</w:t>
                  </w:r>
                </w:p>
              </w:tc>
              <w:tc>
                <w:tcPr>
                  <w:tcW w:w="702" w:type="pct"/>
                  <w:noWrap w:val="0"/>
                  <w:vAlign w:val="center"/>
                </w:tcPr>
                <w:p w14:paraId="7F3021CF">
                  <w:pPr>
                    <w:pStyle w:val="61"/>
                    <w:keepNext w:val="0"/>
                    <w:keepLines w:val="0"/>
                    <w:suppressLineNumbers w:val="0"/>
                    <w:spacing w:before="0" w:beforeAutospacing="0" w:after="0" w:afterAutospacing="0"/>
                    <w:ind w:left="0" w:right="0"/>
                    <w:rPr>
                      <w:rFonts w:hint="default"/>
                      <w:color w:val="auto"/>
                    </w:rPr>
                  </w:pPr>
                  <w:r>
                    <w:rPr>
                      <w:rFonts w:hint="default"/>
                      <w:color w:val="auto"/>
                    </w:rPr>
                    <w:t>5</w:t>
                  </w:r>
                  <w:r>
                    <w:rPr>
                      <w:rFonts w:hint="eastAsia"/>
                      <w:color w:val="auto"/>
                    </w:rPr>
                    <w:t>5</w:t>
                  </w:r>
                </w:p>
              </w:tc>
              <w:tc>
                <w:tcPr>
                  <w:tcW w:w="769" w:type="pct"/>
                  <w:noWrap w:val="0"/>
                  <w:vAlign w:val="top"/>
                </w:tcPr>
                <w:p w14:paraId="3569D373">
                  <w:pPr>
                    <w:pStyle w:val="61"/>
                    <w:keepNext w:val="0"/>
                    <w:keepLines w:val="0"/>
                    <w:suppressLineNumbers w:val="0"/>
                    <w:spacing w:before="0" w:beforeAutospacing="0" w:after="0" w:afterAutospacing="0"/>
                    <w:ind w:left="0" w:right="0"/>
                    <w:rPr>
                      <w:rFonts w:hint="default"/>
                      <w:color w:val="auto"/>
                    </w:rPr>
                  </w:pPr>
                  <w:r>
                    <w:rPr>
                      <w:rFonts w:hint="default"/>
                      <w:color w:val="auto"/>
                    </w:rPr>
                    <w:t>达标</w:t>
                  </w:r>
                </w:p>
              </w:tc>
            </w:tr>
          </w:tbl>
          <w:p w14:paraId="5CAEE5B9">
            <w:pPr>
              <w:pStyle w:val="124"/>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auto"/>
                <w:kern w:val="0"/>
                <w:sz w:val="24"/>
                <w:lang w:val="en-US" w:bidi="ar-SA"/>
              </w:rPr>
            </w:pPr>
            <w:r>
              <w:rPr>
                <w:rFonts w:hint="default" w:ascii="Times New Roman" w:hAnsi="Times New Roman" w:cs="Times New Roman"/>
                <w:color w:val="auto"/>
                <w:kern w:val="0"/>
                <w:sz w:val="24"/>
                <w:lang w:val="en-US" w:bidi="ar-SA"/>
              </w:rPr>
              <w:t>监测结果表明，项目所在地经东、南、西、北厂界噪声均符合《声环境质量标准》（GB3096-2008）中的</w:t>
            </w:r>
            <w:r>
              <w:rPr>
                <w:rFonts w:hint="eastAsia" w:ascii="Times New Roman" w:hAnsi="Times New Roman" w:cs="Times New Roman"/>
                <w:color w:val="auto"/>
                <w:kern w:val="0"/>
                <w:sz w:val="24"/>
                <w:lang w:val="en-US" w:bidi="ar-SA"/>
              </w:rPr>
              <w:t>3</w:t>
            </w:r>
            <w:r>
              <w:rPr>
                <w:rFonts w:hint="default" w:ascii="Times New Roman" w:hAnsi="Times New Roman" w:cs="Times New Roman"/>
                <w:color w:val="auto"/>
                <w:kern w:val="0"/>
                <w:sz w:val="24"/>
                <w:lang w:val="en-US" w:bidi="ar-SA"/>
              </w:rPr>
              <w:t>类标准。</w:t>
            </w:r>
          </w:p>
          <w:p w14:paraId="742BD063">
            <w:pPr>
              <w:keepNext w:val="0"/>
              <w:keepLines w:val="0"/>
              <w:suppressLineNumbers w:val="0"/>
              <w:spacing w:before="0" w:beforeAutospacing="0" w:after="0" w:afterAutospacing="0" w:line="460" w:lineRule="exact"/>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rPr>
              <w:t>4、土壤、地下水环境质量现状</w:t>
            </w:r>
          </w:p>
          <w:p w14:paraId="22F94047">
            <w:pPr>
              <w:pStyle w:val="13"/>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hint="default" w:ascii="Times New Roman" w:hAnsi="Times New Roman" w:cs="Times New Roman"/>
                <w:color w:val="auto"/>
                <w:sz w:val="24"/>
                <w:szCs w:val="24"/>
                <w:lang w:eastAsia="zh-CN"/>
              </w:rPr>
              <w:t>。</w:t>
            </w:r>
          </w:p>
          <w:p w14:paraId="6561AB9C">
            <w:pPr>
              <w:pStyle w:val="13"/>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本项目运营期土壤环境影响识别主要针对本项目产生的废气和废水。本项目</w:t>
            </w:r>
            <w:r>
              <w:rPr>
                <w:rFonts w:hint="eastAsia" w:ascii="Times New Roman" w:hAnsi="Times New Roman" w:cs="Times New Roman"/>
                <w:color w:val="auto"/>
                <w:sz w:val="24"/>
                <w:szCs w:val="24"/>
                <w:lang w:val="en-US" w:eastAsia="zh-CN"/>
              </w:rPr>
              <w:t>冷却水循环使用，不外排</w:t>
            </w:r>
            <w:r>
              <w:rPr>
                <w:rFonts w:hint="default" w:ascii="Times New Roman" w:hAnsi="Times New Roman" w:cs="Times New Roman"/>
                <w:color w:val="auto"/>
                <w:sz w:val="24"/>
                <w:szCs w:val="24"/>
              </w:rPr>
              <w:t>。废气中的主要污染物为颗粒物，</w:t>
            </w:r>
            <w:r>
              <w:rPr>
                <w:rFonts w:hint="eastAsia" w:ascii="Times New Roman" w:hAnsi="Times New Roman" w:cs="Times New Roman"/>
                <w:color w:val="auto"/>
                <w:sz w:val="24"/>
                <w:szCs w:val="24"/>
                <w:lang w:val="en-US" w:eastAsia="zh-CN"/>
              </w:rPr>
              <w:t>厂区液态原料库、</w:t>
            </w:r>
            <w:r>
              <w:rPr>
                <w:rFonts w:hint="default" w:ascii="Times New Roman" w:hAnsi="Times New Roman" w:cs="Times New Roman"/>
                <w:color w:val="auto"/>
                <w:sz w:val="24"/>
                <w:szCs w:val="24"/>
              </w:rPr>
              <w:t>危废库为重点防渗区，</w:t>
            </w:r>
            <w:r>
              <w:rPr>
                <w:rFonts w:hint="default" w:ascii="Times New Roman" w:hAnsi="Times New Roman" w:cs="Times New Roman"/>
                <w:color w:val="auto"/>
                <w:sz w:val="24"/>
                <w:szCs w:val="24"/>
                <w:lang w:val="en-US" w:eastAsia="zh-CN"/>
              </w:rPr>
              <w:t>均为现浇</w:t>
            </w:r>
            <w:r>
              <w:rPr>
                <w:rFonts w:hint="default" w:ascii="Times New Roman" w:hAnsi="Times New Roman" w:cs="Times New Roman"/>
                <w:color w:val="auto"/>
                <w:sz w:val="24"/>
                <w:szCs w:val="24"/>
              </w:rPr>
              <w:t>混凝土</w:t>
            </w:r>
            <w:r>
              <w:rPr>
                <w:rFonts w:hint="default" w:ascii="Times New Roman" w:hAnsi="Times New Roman" w:cs="Times New Roman"/>
                <w:color w:val="auto"/>
                <w:sz w:val="24"/>
                <w:szCs w:val="24"/>
                <w:lang w:val="en-US" w:eastAsia="zh-CN"/>
              </w:rPr>
              <w:t>地面，并采用</w:t>
            </w:r>
            <w:r>
              <w:rPr>
                <w:rFonts w:hint="default" w:ascii="Times New Roman" w:hAnsi="Times New Roman" w:cs="Times New Roman"/>
                <w:color w:val="auto"/>
                <w:sz w:val="24"/>
                <w:szCs w:val="24"/>
              </w:rPr>
              <w:t>环氧地坪进行地面防渗处理</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其余生产区为一般防渗区，</w:t>
            </w:r>
            <w:r>
              <w:rPr>
                <w:rFonts w:hint="default" w:ascii="Times New Roman" w:hAnsi="Times New Roman" w:cs="Times New Roman"/>
                <w:color w:val="auto"/>
                <w:sz w:val="24"/>
                <w:szCs w:val="24"/>
                <w:lang w:val="en-US" w:eastAsia="zh-CN"/>
              </w:rPr>
              <w:t>均为现浇</w:t>
            </w:r>
            <w:r>
              <w:rPr>
                <w:rFonts w:hint="default" w:ascii="Times New Roman" w:hAnsi="Times New Roman" w:cs="Times New Roman"/>
                <w:color w:val="auto"/>
                <w:sz w:val="24"/>
                <w:szCs w:val="24"/>
              </w:rPr>
              <w:t>混凝土</w:t>
            </w:r>
            <w:r>
              <w:rPr>
                <w:rFonts w:hint="default" w:ascii="Times New Roman" w:hAnsi="Times New Roman" w:cs="Times New Roman"/>
                <w:color w:val="auto"/>
                <w:sz w:val="24"/>
                <w:szCs w:val="24"/>
                <w:lang w:val="en-US" w:eastAsia="zh-CN"/>
              </w:rPr>
              <w:t>地面，并采用</w:t>
            </w:r>
            <w:r>
              <w:rPr>
                <w:rFonts w:hint="default" w:ascii="Times New Roman" w:hAnsi="Times New Roman" w:cs="Times New Roman"/>
                <w:color w:val="auto"/>
                <w:sz w:val="24"/>
                <w:szCs w:val="24"/>
              </w:rPr>
              <w:t>环氧地坪进行地面防渗处理，办公区、道路等均进行地面硬化处理，</w:t>
            </w:r>
            <w:r>
              <w:rPr>
                <w:rFonts w:hint="default" w:ascii="Times New Roman" w:hAnsi="Times New Roman" w:cs="Times New Roman"/>
                <w:color w:val="auto"/>
                <w:sz w:val="24"/>
                <w:szCs w:val="24"/>
                <w:lang w:val="en-US" w:eastAsia="zh-CN"/>
              </w:rPr>
              <w:t>故</w:t>
            </w:r>
            <w:r>
              <w:rPr>
                <w:rFonts w:hint="default" w:ascii="Times New Roman" w:hAnsi="Times New Roman" w:cs="Times New Roman"/>
                <w:color w:val="auto"/>
                <w:sz w:val="24"/>
                <w:szCs w:val="24"/>
              </w:rPr>
              <w:t>不存在土壤、地下水环境垂直入渗、漫流等污染途径，因此，可不开展地下水、土壤现状评价工作。</w:t>
            </w:r>
          </w:p>
          <w:p w14:paraId="03B7C069">
            <w:pPr>
              <w:keepNext w:val="0"/>
              <w:keepLines w:val="0"/>
              <w:suppressLineNumbers w:val="0"/>
              <w:spacing w:before="0" w:beforeAutospacing="0" w:after="0" w:afterAutospacing="0" w:line="480" w:lineRule="exact"/>
              <w:ind w:left="0" w:right="0" w:firstLine="482" w:firstLineChars="200"/>
              <w:jc w:val="left"/>
              <w:rPr>
                <w:rFonts w:hint="default" w:ascii="Times New Roman" w:hAnsi="Times New Roman" w:eastAsia="宋体"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、生态环境</w:t>
            </w:r>
          </w:p>
          <w:p w14:paraId="27BA3FD4">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rPr>
              <w:t>本项目用地范围内不涉及生态环境保护目标，因此本项目不</w:t>
            </w:r>
            <w:r>
              <w:rPr>
                <w:rFonts w:hint="eastAsia" w:ascii="Times New Roman" w:hAnsi="Times New Roman" w:cs="Times New Roman"/>
                <w:color w:val="auto"/>
                <w:sz w:val="24"/>
                <w:szCs w:val="24"/>
                <w:lang w:eastAsia="zh-CN"/>
              </w:rPr>
              <w:t>开展</w:t>
            </w:r>
            <w:r>
              <w:rPr>
                <w:rFonts w:hint="eastAsia" w:ascii="Times New Roman" w:hAnsi="Times New Roman" w:cs="Times New Roman"/>
                <w:color w:val="auto"/>
                <w:sz w:val="24"/>
                <w:szCs w:val="24"/>
              </w:rPr>
              <w:t>生态现状调查</w:t>
            </w:r>
            <w:r>
              <w:rPr>
                <w:rFonts w:hint="default" w:ascii="Times New Roman" w:hAnsi="Times New Roman" w:eastAsia="宋体" w:cs="Times New Roman"/>
                <w:color w:val="auto"/>
                <w:sz w:val="24"/>
                <w:szCs w:val="24"/>
                <w:lang w:val="en-US" w:eastAsia="zh-CN"/>
              </w:rPr>
              <w:t>。</w:t>
            </w:r>
          </w:p>
          <w:p w14:paraId="75F40569">
            <w:pPr>
              <w:keepNext w:val="0"/>
              <w:keepLines w:val="0"/>
              <w:suppressLineNumbers w:val="0"/>
              <w:spacing w:before="0" w:beforeAutospacing="0" w:after="0" w:afterAutospacing="0" w:line="480" w:lineRule="exact"/>
              <w:ind w:left="0" w:right="0" w:firstLine="482" w:firstLineChars="200"/>
              <w:jc w:val="left"/>
              <w:rPr>
                <w:rFonts w:hint="default" w:ascii="Times New Roman" w:hAnsi="Times New Roman" w:eastAsia="宋体" w:cs="Times New Roman"/>
                <w:b/>
                <w:bCs/>
                <w:color w:val="auto"/>
                <w:sz w:val="24"/>
                <w:szCs w:val="24"/>
              </w:rPr>
            </w:pPr>
            <w:r>
              <w:rPr>
                <w:rFonts w:hint="eastAsia" w:ascii="Times New Roman" w:hAnsi="Times New Roman"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、电磁辐射</w:t>
            </w:r>
          </w:p>
          <w:p w14:paraId="65419604">
            <w:pPr>
              <w:pStyle w:val="5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本项目不属于广播电台、差转台、电视塔台、卫星地球上行站、雷达等电磁辐射类项目。</w:t>
            </w:r>
          </w:p>
          <w:p w14:paraId="54E6DB9B">
            <w:pPr>
              <w:pStyle w:val="59"/>
              <w:keepNext w:val="0"/>
              <w:keepLines w:val="0"/>
              <w:suppressLineNumbers w:val="0"/>
              <w:spacing w:before="0" w:beforeAutospacing="0" w:after="0" w:afterAutospacing="0" w:line="360" w:lineRule="auto"/>
              <w:ind w:left="0" w:leftChars="0" w:right="0" w:firstLine="0" w:firstLineChars="0"/>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bCs/>
                <w:color w:val="auto"/>
                <w:sz w:val="24"/>
                <w:lang w:val="en-US" w:eastAsia="zh-CN"/>
              </w:rPr>
              <w:t xml:space="preserve"> </w:t>
            </w:r>
          </w:p>
        </w:tc>
      </w:tr>
      <w:tr w14:paraId="2AEC3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8" w:hRule="atLeast"/>
          <w:jc w:val="center"/>
        </w:trPr>
        <w:tc>
          <w:tcPr>
            <w:tcW w:w="420" w:type="dxa"/>
            <w:noWrap w:val="0"/>
            <w:vAlign w:val="center"/>
          </w:tcPr>
          <w:p w14:paraId="16BB094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w:t>
            </w:r>
          </w:p>
          <w:p w14:paraId="127A0E8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保护</w:t>
            </w:r>
          </w:p>
          <w:p w14:paraId="7E9601C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目标</w:t>
            </w:r>
          </w:p>
        </w:tc>
        <w:tc>
          <w:tcPr>
            <w:tcW w:w="8641" w:type="dxa"/>
            <w:noWrap w:val="0"/>
            <w:vAlign w:val="center"/>
          </w:tcPr>
          <w:p w14:paraId="4A372EEE">
            <w:pPr>
              <w:keepNext w:val="0"/>
              <w:keepLines w:val="0"/>
              <w:numPr>
                <w:ilvl w:val="0"/>
                <w:numId w:val="8"/>
              </w:numPr>
              <w:suppressLineNumbers w:val="0"/>
              <w:spacing w:before="0" w:beforeAutospacing="0" w:after="0" w:afterAutospacing="0"/>
              <w:ind w:left="0" w:right="0" w:firstLine="482" w:firstLineChars="200"/>
              <w:jc w:val="left"/>
              <w:rPr>
                <w:rFonts w:hint="eastAsia" w:ascii="Times New Roman" w:hAnsi="Times New Roman" w:cs="Times New Roman"/>
                <w:b/>
                <w:bCs/>
                <w:color w:val="auto"/>
                <w:sz w:val="24"/>
              </w:rPr>
            </w:pPr>
            <w:r>
              <w:rPr>
                <w:rFonts w:hint="eastAsia" w:ascii="Times New Roman" w:hAnsi="Times New Roman" w:cs="Times New Roman"/>
                <w:b/>
                <w:bCs/>
                <w:color w:val="auto"/>
                <w:sz w:val="24"/>
              </w:rPr>
              <w:t>大气环境保护目标</w:t>
            </w:r>
          </w:p>
          <w:p w14:paraId="02537B7A">
            <w:pPr>
              <w:pStyle w:val="60"/>
              <w:keepNext w:val="0"/>
              <w:keepLines w:val="0"/>
              <w:widowControl/>
              <w:suppressLineNumbers w:val="0"/>
              <w:spacing w:beforeAutospacing="0" w:after="0" w:afterAutospacing="0" w:line="240" w:lineRule="auto"/>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表3</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rPr>
              <w:t>主要环境保护目标</w:t>
            </w:r>
          </w:p>
          <w:tbl>
            <w:tblPr>
              <w:tblStyle w:val="28"/>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707"/>
              <w:gridCol w:w="743"/>
              <w:gridCol w:w="743"/>
              <w:gridCol w:w="1107"/>
              <w:gridCol w:w="851"/>
              <w:gridCol w:w="766"/>
              <w:gridCol w:w="935"/>
              <w:gridCol w:w="937"/>
            </w:tblGrid>
            <w:tr w14:paraId="519C2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72" w:type="pct"/>
                  <w:vMerge w:val="restart"/>
                  <w:tcBorders>
                    <w:tl2br w:val="nil"/>
                    <w:tr2bl w:val="nil"/>
                  </w:tcBorders>
                  <w:noWrap w:val="0"/>
                  <w:vAlign w:val="center"/>
                </w:tcPr>
                <w:p w14:paraId="077407A4">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环境要素</w:t>
                  </w:r>
                </w:p>
              </w:tc>
              <w:tc>
                <w:tcPr>
                  <w:tcW w:w="1014" w:type="pct"/>
                  <w:vMerge w:val="restart"/>
                  <w:tcBorders>
                    <w:tl2br w:val="nil"/>
                    <w:tr2bl w:val="nil"/>
                  </w:tcBorders>
                  <w:noWrap w:val="0"/>
                  <w:vAlign w:val="center"/>
                </w:tcPr>
                <w:p w14:paraId="79A658E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882" w:type="pct"/>
                  <w:gridSpan w:val="2"/>
                  <w:tcBorders>
                    <w:tl2br w:val="nil"/>
                    <w:tr2bl w:val="nil"/>
                  </w:tcBorders>
                  <w:noWrap w:val="0"/>
                  <w:vAlign w:val="center"/>
                </w:tcPr>
                <w:p w14:paraId="5ADBD17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坐标/m</w:t>
                  </w:r>
                </w:p>
              </w:tc>
              <w:tc>
                <w:tcPr>
                  <w:tcW w:w="657" w:type="pct"/>
                  <w:vMerge w:val="restart"/>
                  <w:tcBorders>
                    <w:tl2br w:val="nil"/>
                    <w:tr2bl w:val="nil"/>
                  </w:tcBorders>
                  <w:noWrap w:val="0"/>
                  <w:vAlign w:val="center"/>
                </w:tcPr>
                <w:p w14:paraId="1930460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w:t>
                  </w:r>
                </w:p>
                <w:p w14:paraId="079F4412">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对象</w:t>
                  </w:r>
                </w:p>
              </w:tc>
              <w:tc>
                <w:tcPr>
                  <w:tcW w:w="505" w:type="pct"/>
                  <w:vMerge w:val="restart"/>
                  <w:tcBorders>
                    <w:tl2br w:val="nil"/>
                    <w:tr2bl w:val="nil"/>
                  </w:tcBorders>
                  <w:noWrap w:val="0"/>
                  <w:vAlign w:val="center"/>
                </w:tcPr>
                <w:p w14:paraId="674621A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w:t>
                  </w:r>
                </w:p>
                <w:p w14:paraId="085B421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内容</w:t>
                  </w:r>
                </w:p>
              </w:tc>
              <w:tc>
                <w:tcPr>
                  <w:tcW w:w="455" w:type="pct"/>
                  <w:vMerge w:val="restart"/>
                  <w:tcBorders>
                    <w:tl2br w:val="nil"/>
                    <w:tr2bl w:val="nil"/>
                  </w:tcBorders>
                  <w:noWrap w:val="0"/>
                  <w:vAlign w:val="center"/>
                </w:tcPr>
                <w:p w14:paraId="32B6AD6A">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环境功</w:t>
                  </w:r>
                </w:p>
                <w:p w14:paraId="122A2907">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能区</w:t>
                  </w:r>
                </w:p>
              </w:tc>
              <w:tc>
                <w:tcPr>
                  <w:tcW w:w="555" w:type="pct"/>
                  <w:vMerge w:val="restart"/>
                  <w:tcBorders>
                    <w:tl2br w:val="nil"/>
                    <w:tr2bl w:val="nil"/>
                  </w:tcBorders>
                  <w:noWrap w:val="0"/>
                  <w:vAlign w:val="center"/>
                </w:tcPr>
                <w:p w14:paraId="193A73BB">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556" w:type="pct"/>
                  <w:vMerge w:val="restart"/>
                  <w:tcBorders>
                    <w:tl2br w:val="nil"/>
                    <w:tr2bl w:val="nil"/>
                  </w:tcBorders>
                  <w:noWrap w:val="0"/>
                  <w:vAlign w:val="center"/>
                </w:tcPr>
                <w:p w14:paraId="53478DC6">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相对厂界距离/m</w:t>
                  </w:r>
                </w:p>
              </w:tc>
            </w:tr>
            <w:tr w14:paraId="24CC4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72" w:type="pct"/>
                  <w:vMerge w:val="continue"/>
                  <w:tcBorders>
                    <w:tl2br w:val="nil"/>
                    <w:tr2bl w:val="nil"/>
                  </w:tcBorders>
                  <w:noWrap w:val="0"/>
                  <w:vAlign w:val="center"/>
                </w:tcPr>
                <w:p w14:paraId="3BA4AE3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014" w:type="pct"/>
                  <w:vMerge w:val="continue"/>
                  <w:tcBorders>
                    <w:tl2br w:val="nil"/>
                    <w:tr2bl w:val="nil"/>
                  </w:tcBorders>
                  <w:noWrap w:val="0"/>
                  <w:vAlign w:val="center"/>
                </w:tcPr>
                <w:p w14:paraId="1016722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441" w:type="pct"/>
                  <w:tcBorders>
                    <w:tl2br w:val="nil"/>
                    <w:tr2bl w:val="nil"/>
                  </w:tcBorders>
                  <w:noWrap w:val="0"/>
                  <w:vAlign w:val="center"/>
                </w:tcPr>
                <w:p w14:paraId="664C2190">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441" w:type="pct"/>
                  <w:tcBorders>
                    <w:tl2br w:val="nil"/>
                    <w:tr2bl w:val="nil"/>
                  </w:tcBorders>
                  <w:noWrap w:val="0"/>
                  <w:vAlign w:val="center"/>
                </w:tcPr>
                <w:p w14:paraId="7DF06C9E">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657" w:type="pct"/>
                  <w:vMerge w:val="continue"/>
                  <w:tcBorders>
                    <w:tl2br w:val="nil"/>
                    <w:tr2bl w:val="nil"/>
                  </w:tcBorders>
                  <w:noWrap w:val="0"/>
                  <w:vAlign w:val="center"/>
                </w:tcPr>
                <w:p w14:paraId="7FD2228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505" w:type="pct"/>
                  <w:vMerge w:val="continue"/>
                  <w:tcBorders>
                    <w:tl2br w:val="nil"/>
                    <w:tr2bl w:val="nil"/>
                  </w:tcBorders>
                  <w:noWrap w:val="0"/>
                  <w:vAlign w:val="center"/>
                </w:tcPr>
                <w:p w14:paraId="3553C4C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455" w:type="pct"/>
                  <w:vMerge w:val="continue"/>
                  <w:tcBorders>
                    <w:tl2br w:val="nil"/>
                    <w:tr2bl w:val="nil"/>
                  </w:tcBorders>
                  <w:noWrap w:val="0"/>
                  <w:vAlign w:val="center"/>
                </w:tcPr>
                <w:p w14:paraId="68EA47E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555" w:type="pct"/>
                  <w:vMerge w:val="continue"/>
                  <w:tcBorders>
                    <w:tl2br w:val="nil"/>
                    <w:tr2bl w:val="nil"/>
                  </w:tcBorders>
                  <w:noWrap w:val="0"/>
                  <w:vAlign w:val="center"/>
                </w:tcPr>
                <w:p w14:paraId="5A802F7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c>
                <w:tcPr>
                  <w:tcW w:w="556" w:type="pct"/>
                  <w:vMerge w:val="continue"/>
                  <w:tcBorders>
                    <w:tl2br w:val="nil"/>
                    <w:tr2bl w:val="nil"/>
                  </w:tcBorders>
                  <w:noWrap w:val="0"/>
                  <w:vAlign w:val="center"/>
                </w:tcPr>
                <w:p w14:paraId="7B9B695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p>
              </w:tc>
            </w:tr>
            <w:tr w14:paraId="367B2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restart"/>
                  <w:tcBorders>
                    <w:tl2br w:val="nil"/>
                    <w:tr2bl w:val="nil"/>
                  </w:tcBorders>
                  <w:noWrap w:val="0"/>
                  <w:vAlign w:val="center"/>
                </w:tcPr>
                <w:p w14:paraId="402D95F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大气环境</w:t>
                  </w:r>
                </w:p>
              </w:tc>
              <w:tc>
                <w:tcPr>
                  <w:tcW w:w="1014" w:type="pct"/>
                  <w:tcBorders>
                    <w:tl2br w:val="nil"/>
                    <w:tr2bl w:val="nil"/>
                  </w:tcBorders>
                  <w:shd w:val="clear" w:color="auto" w:fill="auto"/>
                  <w:noWrap w:val="0"/>
                  <w:vAlign w:val="center"/>
                </w:tcPr>
                <w:p w14:paraId="52FC1CBA">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宋体"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白米塘</w:t>
                  </w:r>
                </w:p>
              </w:tc>
              <w:tc>
                <w:tcPr>
                  <w:tcW w:w="441" w:type="pct"/>
                  <w:tcBorders>
                    <w:tl2br w:val="nil"/>
                    <w:tr2bl w:val="nil"/>
                  </w:tcBorders>
                  <w:shd w:val="clear" w:color="auto" w:fill="auto"/>
                  <w:noWrap w:val="0"/>
                  <w:vAlign w:val="center"/>
                </w:tcPr>
                <w:p w14:paraId="1225D69E">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Times New Roman"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0</w:t>
                  </w:r>
                </w:p>
              </w:tc>
              <w:tc>
                <w:tcPr>
                  <w:tcW w:w="441" w:type="pct"/>
                  <w:tcBorders>
                    <w:tl2br w:val="nil"/>
                    <w:tr2bl w:val="nil"/>
                  </w:tcBorders>
                  <w:shd w:val="clear" w:color="auto" w:fill="auto"/>
                  <w:noWrap w:val="0"/>
                  <w:vAlign w:val="center"/>
                </w:tcPr>
                <w:p w14:paraId="3DED9AAC">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203</w:t>
                  </w:r>
                </w:p>
              </w:tc>
              <w:tc>
                <w:tcPr>
                  <w:tcW w:w="657" w:type="pct"/>
                  <w:tcBorders>
                    <w:tl2br w:val="nil"/>
                    <w:tr2bl w:val="nil"/>
                  </w:tcBorders>
                  <w:shd w:val="clear" w:color="auto" w:fill="auto"/>
                  <w:noWrap w:val="0"/>
                  <w:vAlign w:val="center"/>
                </w:tcPr>
                <w:p w14:paraId="746F11F7">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3652D215">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sz w:val="21"/>
                      <w:szCs w:val="21"/>
                      <w:highlight w:val="none"/>
                      <w:lang w:val="en-US" w:eastAsia="zh-CN"/>
                    </w:rPr>
                    <w:t>58户</w:t>
                  </w:r>
                </w:p>
              </w:tc>
              <w:tc>
                <w:tcPr>
                  <w:tcW w:w="455" w:type="pct"/>
                  <w:tcBorders>
                    <w:tl2br w:val="nil"/>
                    <w:tr2bl w:val="nil"/>
                  </w:tcBorders>
                  <w:noWrap w:val="0"/>
                  <w:vAlign w:val="center"/>
                </w:tcPr>
                <w:p w14:paraId="152DE3D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57DA4D7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t>
                  </w:r>
                </w:p>
              </w:tc>
              <w:tc>
                <w:tcPr>
                  <w:tcW w:w="556" w:type="pct"/>
                  <w:tcBorders>
                    <w:tl2br w:val="nil"/>
                    <w:tr2bl w:val="nil"/>
                  </w:tcBorders>
                  <w:shd w:val="clear" w:color="auto" w:fill="auto"/>
                  <w:noWrap w:val="0"/>
                  <w:vAlign w:val="center"/>
                </w:tcPr>
                <w:p w14:paraId="180E5D04">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203</w:t>
                  </w:r>
                </w:p>
              </w:tc>
            </w:tr>
            <w:tr w14:paraId="1BDC4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2" w:type="pct"/>
                  <w:vMerge w:val="continue"/>
                  <w:tcBorders>
                    <w:tl2br w:val="nil"/>
                    <w:tr2bl w:val="nil"/>
                  </w:tcBorders>
                  <w:noWrap w:val="0"/>
                  <w:vAlign w:val="center"/>
                </w:tcPr>
                <w:p w14:paraId="1080A3A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5E7A16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河庄村</w:t>
                  </w:r>
                </w:p>
              </w:tc>
              <w:tc>
                <w:tcPr>
                  <w:tcW w:w="441" w:type="pct"/>
                  <w:tcBorders>
                    <w:tl2br w:val="nil"/>
                    <w:tr2bl w:val="nil"/>
                  </w:tcBorders>
                  <w:shd w:val="clear" w:color="auto" w:fill="auto"/>
                  <w:noWrap w:val="0"/>
                  <w:vAlign w:val="center"/>
                </w:tcPr>
                <w:p w14:paraId="2E15CAD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-225</w:t>
                  </w:r>
                </w:p>
              </w:tc>
              <w:tc>
                <w:tcPr>
                  <w:tcW w:w="441" w:type="pct"/>
                  <w:tcBorders>
                    <w:tl2br w:val="nil"/>
                    <w:tr2bl w:val="nil"/>
                  </w:tcBorders>
                  <w:shd w:val="clear" w:color="auto" w:fill="auto"/>
                  <w:noWrap w:val="0"/>
                  <w:vAlign w:val="center"/>
                </w:tcPr>
                <w:p w14:paraId="26AC83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480</w:t>
                  </w:r>
                </w:p>
              </w:tc>
              <w:tc>
                <w:tcPr>
                  <w:tcW w:w="657" w:type="pct"/>
                  <w:tcBorders>
                    <w:tl2br w:val="nil"/>
                    <w:tr2bl w:val="nil"/>
                  </w:tcBorders>
                  <w:shd w:val="clear" w:color="auto" w:fill="auto"/>
                  <w:noWrap w:val="0"/>
                  <w:vAlign w:val="center"/>
                </w:tcPr>
                <w:p w14:paraId="21A8869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2BCC799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25户</w:t>
                  </w:r>
                </w:p>
              </w:tc>
              <w:tc>
                <w:tcPr>
                  <w:tcW w:w="455" w:type="pct"/>
                  <w:tcBorders>
                    <w:tl2br w:val="nil"/>
                    <w:tr2bl w:val="nil"/>
                  </w:tcBorders>
                  <w:noWrap w:val="0"/>
                  <w:vAlign w:val="center"/>
                </w:tcPr>
                <w:p w14:paraId="48CA6D8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7E5EDD3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shd w:val="clear" w:color="auto" w:fill="auto"/>
                  <w:noWrap w:val="0"/>
                  <w:vAlign w:val="center"/>
                </w:tcPr>
                <w:p w14:paraId="790D4A49">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cs="Times New Roman"/>
                      <w:color w:val="auto"/>
                      <w:kern w:val="0"/>
                      <w:sz w:val="21"/>
                      <w:szCs w:val="21"/>
                      <w:highlight w:val="none"/>
                      <w:lang w:val="en-US" w:eastAsia="zh-CN" w:bidi="ar-SA"/>
                    </w:rPr>
                    <w:t>455</w:t>
                  </w:r>
                </w:p>
              </w:tc>
            </w:tr>
            <w:tr w14:paraId="6911D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2" w:type="pct"/>
                  <w:vMerge w:val="continue"/>
                  <w:tcBorders>
                    <w:tl2br w:val="nil"/>
                    <w:tr2bl w:val="nil"/>
                  </w:tcBorders>
                  <w:noWrap w:val="0"/>
                  <w:vAlign w:val="center"/>
                </w:tcPr>
                <w:p w14:paraId="405E2FD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6ADCE0C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下杨庄</w:t>
                  </w:r>
                </w:p>
              </w:tc>
              <w:tc>
                <w:tcPr>
                  <w:tcW w:w="441" w:type="pct"/>
                  <w:tcBorders>
                    <w:tl2br w:val="nil"/>
                    <w:tr2bl w:val="nil"/>
                  </w:tcBorders>
                  <w:noWrap w:val="0"/>
                  <w:vAlign w:val="center"/>
                </w:tcPr>
                <w:p w14:paraId="6B97758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390</w:t>
                  </w:r>
                </w:p>
              </w:tc>
              <w:tc>
                <w:tcPr>
                  <w:tcW w:w="441" w:type="pct"/>
                  <w:tcBorders>
                    <w:tl2br w:val="nil"/>
                    <w:tr2bl w:val="nil"/>
                  </w:tcBorders>
                  <w:noWrap w:val="0"/>
                  <w:vAlign w:val="center"/>
                </w:tcPr>
                <w:p w14:paraId="2030945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-163</w:t>
                  </w:r>
                </w:p>
              </w:tc>
              <w:tc>
                <w:tcPr>
                  <w:tcW w:w="657" w:type="pct"/>
                  <w:tcBorders>
                    <w:tl2br w:val="nil"/>
                    <w:tr2bl w:val="nil"/>
                  </w:tcBorders>
                  <w:noWrap w:val="0"/>
                  <w:vAlign w:val="center"/>
                </w:tcPr>
                <w:p w14:paraId="0142F4B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03D57C1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85户</w:t>
                  </w:r>
                </w:p>
              </w:tc>
              <w:tc>
                <w:tcPr>
                  <w:tcW w:w="455" w:type="pct"/>
                  <w:tcBorders>
                    <w:tl2br w:val="nil"/>
                    <w:tr2bl w:val="nil"/>
                  </w:tcBorders>
                  <w:noWrap w:val="0"/>
                  <w:vAlign w:val="center"/>
                </w:tcPr>
                <w:p w14:paraId="3CEAAAD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434C81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SE</w:t>
                  </w:r>
                </w:p>
              </w:tc>
              <w:tc>
                <w:tcPr>
                  <w:tcW w:w="556" w:type="pct"/>
                  <w:tcBorders>
                    <w:tl2br w:val="nil"/>
                    <w:tr2bl w:val="nil"/>
                  </w:tcBorders>
                  <w:noWrap w:val="0"/>
                  <w:vAlign w:val="center"/>
                </w:tcPr>
                <w:p w14:paraId="713A94C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330</w:t>
                  </w:r>
                </w:p>
              </w:tc>
            </w:tr>
            <w:tr w14:paraId="7FF52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372" w:type="pct"/>
                  <w:vMerge w:val="continue"/>
                  <w:tcBorders>
                    <w:tl2br w:val="nil"/>
                    <w:tr2bl w:val="nil"/>
                  </w:tcBorders>
                  <w:noWrap w:val="0"/>
                  <w:vAlign w:val="center"/>
                </w:tcPr>
                <w:p w14:paraId="5BC0CD4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1014" w:type="pct"/>
                  <w:tcBorders>
                    <w:tl2br w:val="nil"/>
                    <w:tr2bl w:val="nil"/>
                  </w:tcBorders>
                  <w:noWrap w:val="0"/>
                  <w:vAlign w:val="center"/>
                </w:tcPr>
                <w:p w14:paraId="328BDCB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五里庙</w:t>
                  </w:r>
                </w:p>
              </w:tc>
              <w:tc>
                <w:tcPr>
                  <w:tcW w:w="441" w:type="pct"/>
                  <w:tcBorders>
                    <w:tl2br w:val="nil"/>
                    <w:tr2bl w:val="nil"/>
                  </w:tcBorders>
                  <w:noWrap w:val="0"/>
                  <w:vAlign w:val="center"/>
                </w:tcPr>
                <w:p w14:paraId="6F560DC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noWrap w:val="0"/>
                  <w:vAlign w:val="center"/>
                </w:tcPr>
                <w:p w14:paraId="1D023FD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-255</w:t>
                  </w:r>
                </w:p>
              </w:tc>
              <w:tc>
                <w:tcPr>
                  <w:tcW w:w="657" w:type="pct"/>
                  <w:tcBorders>
                    <w:tl2br w:val="nil"/>
                    <w:tr2bl w:val="nil"/>
                  </w:tcBorders>
                  <w:noWrap w:val="0"/>
                  <w:vAlign w:val="center"/>
                </w:tcPr>
                <w:p w14:paraId="6529D85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12797A1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30户</w:t>
                  </w:r>
                </w:p>
              </w:tc>
              <w:tc>
                <w:tcPr>
                  <w:tcW w:w="455" w:type="pct"/>
                  <w:tcBorders>
                    <w:tl2br w:val="nil"/>
                    <w:tr2bl w:val="nil"/>
                  </w:tcBorders>
                  <w:noWrap w:val="0"/>
                  <w:vAlign w:val="center"/>
                </w:tcPr>
                <w:p w14:paraId="34E6FA6B">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0C8F33B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3B13484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255</w:t>
                  </w:r>
                </w:p>
              </w:tc>
            </w:tr>
            <w:tr w14:paraId="29421A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72" w:type="pct"/>
                  <w:vMerge w:val="continue"/>
                  <w:tcBorders>
                    <w:tl2br w:val="nil"/>
                    <w:tr2bl w:val="nil"/>
                  </w:tcBorders>
                  <w:noWrap w:val="0"/>
                  <w:vAlign w:val="center"/>
                </w:tcPr>
                <w:p w14:paraId="6F694FE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05BEF88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学士沟村</w:t>
                  </w:r>
                </w:p>
              </w:tc>
              <w:tc>
                <w:tcPr>
                  <w:tcW w:w="441" w:type="pct"/>
                  <w:tcBorders>
                    <w:tl2br w:val="nil"/>
                    <w:tr2bl w:val="nil"/>
                  </w:tcBorders>
                  <w:noWrap w:val="0"/>
                  <w:vAlign w:val="center"/>
                </w:tcPr>
                <w:p w14:paraId="0513E06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-195</w:t>
                  </w:r>
                </w:p>
              </w:tc>
              <w:tc>
                <w:tcPr>
                  <w:tcW w:w="441" w:type="pct"/>
                  <w:tcBorders>
                    <w:tl2br w:val="nil"/>
                    <w:tr2bl w:val="nil"/>
                  </w:tcBorders>
                  <w:noWrap w:val="0"/>
                  <w:vAlign w:val="center"/>
                </w:tcPr>
                <w:p w14:paraId="475A3C6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-230</w:t>
                  </w:r>
                </w:p>
              </w:tc>
              <w:tc>
                <w:tcPr>
                  <w:tcW w:w="657" w:type="pct"/>
                  <w:tcBorders>
                    <w:tl2br w:val="nil"/>
                    <w:tr2bl w:val="nil"/>
                  </w:tcBorders>
                  <w:noWrap w:val="0"/>
                  <w:vAlign w:val="center"/>
                </w:tcPr>
                <w:p w14:paraId="159A4E5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00277D9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24户</w:t>
                  </w:r>
                </w:p>
              </w:tc>
              <w:tc>
                <w:tcPr>
                  <w:tcW w:w="455" w:type="pct"/>
                  <w:tcBorders>
                    <w:tl2br w:val="nil"/>
                    <w:tr2bl w:val="nil"/>
                  </w:tcBorders>
                  <w:noWrap w:val="0"/>
                  <w:vAlign w:val="center"/>
                </w:tcPr>
                <w:p w14:paraId="600CF32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F5A8B6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noWrap w:val="0"/>
                  <w:vAlign w:val="center"/>
                </w:tcPr>
                <w:p w14:paraId="314C83A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250</w:t>
                  </w:r>
                </w:p>
              </w:tc>
            </w:tr>
            <w:tr w14:paraId="45F9E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1192C8D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8624E4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新河村</w:t>
                  </w:r>
                </w:p>
              </w:tc>
              <w:tc>
                <w:tcPr>
                  <w:tcW w:w="441" w:type="pct"/>
                  <w:tcBorders>
                    <w:tl2br w:val="nil"/>
                    <w:tr2bl w:val="nil"/>
                  </w:tcBorders>
                  <w:noWrap w:val="0"/>
                  <w:vAlign w:val="center"/>
                </w:tcPr>
                <w:p w14:paraId="243056F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-403</w:t>
                  </w:r>
                </w:p>
              </w:tc>
              <w:tc>
                <w:tcPr>
                  <w:tcW w:w="441" w:type="pct"/>
                  <w:tcBorders>
                    <w:tl2br w:val="nil"/>
                    <w:tr2bl w:val="nil"/>
                  </w:tcBorders>
                  <w:noWrap w:val="0"/>
                  <w:vAlign w:val="center"/>
                </w:tcPr>
                <w:p w14:paraId="7CC4142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-130</w:t>
                  </w:r>
                </w:p>
              </w:tc>
              <w:tc>
                <w:tcPr>
                  <w:tcW w:w="657" w:type="pct"/>
                  <w:tcBorders>
                    <w:tl2br w:val="nil"/>
                    <w:tr2bl w:val="nil"/>
                  </w:tcBorders>
                  <w:noWrap w:val="0"/>
                  <w:vAlign w:val="center"/>
                </w:tcPr>
                <w:p w14:paraId="2AEB601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9D3324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35户</w:t>
                  </w:r>
                </w:p>
              </w:tc>
              <w:tc>
                <w:tcPr>
                  <w:tcW w:w="455" w:type="pct"/>
                  <w:tcBorders>
                    <w:tl2br w:val="nil"/>
                    <w:tr2bl w:val="nil"/>
                  </w:tcBorders>
                  <w:noWrap w:val="0"/>
                  <w:vAlign w:val="center"/>
                </w:tcPr>
                <w:p w14:paraId="3A4CC21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D3DDB6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noWrap w:val="0"/>
                  <w:vAlign w:val="center"/>
                </w:tcPr>
                <w:p w14:paraId="0DAF19C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405</w:t>
                  </w:r>
                </w:p>
              </w:tc>
            </w:tr>
            <w:tr w14:paraId="102248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D36372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2968F72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新河村</w:t>
                  </w:r>
                </w:p>
              </w:tc>
              <w:tc>
                <w:tcPr>
                  <w:tcW w:w="441" w:type="pct"/>
                  <w:tcBorders>
                    <w:tl2br w:val="nil"/>
                    <w:tr2bl w:val="nil"/>
                  </w:tcBorders>
                  <w:noWrap w:val="0"/>
                  <w:vAlign w:val="center"/>
                </w:tcPr>
                <w:p w14:paraId="334DCF3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-420</w:t>
                  </w:r>
                </w:p>
              </w:tc>
              <w:tc>
                <w:tcPr>
                  <w:tcW w:w="441" w:type="pct"/>
                  <w:tcBorders>
                    <w:tl2br w:val="nil"/>
                    <w:tr2bl w:val="nil"/>
                  </w:tcBorders>
                  <w:noWrap w:val="0"/>
                  <w:vAlign w:val="center"/>
                </w:tcPr>
                <w:p w14:paraId="3ED2E1D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-170</w:t>
                  </w:r>
                </w:p>
              </w:tc>
              <w:tc>
                <w:tcPr>
                  <w:tcW w:w="657" w:type="pct"/>
                  <w:tcBorders>
                    <w:tl2br w:val="nil"/>
                    <w:tr2bl w:val="nil"/>
                  </w:tcBorders>
                  <w:noWrap w:val="0"/>
                  <w:vAlign w:val="center"/>
                </w:tcPr>
                <w:p w14:paraId="7633354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4C1B0EE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6户</w:t>
                  </w:r>
                </w:p>
              </w:tc>
              <w:tc>
                <w:tcPr>
                  <w:tcW w:w="455" w:type="pct"/>
                  <w:tcBorders>
                    <w:tl2br w:val="nil"/>
                    <w:tr2bl w:val="nil"/>
                  </w:tcBorders>
                  <w:noWrap w:val="0"/>
                  <w:vAlign w:val="center"/>
                </w:tcPr>
                <w:p w14:paraId="1BCB861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0BB0381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noWrap w:val="0"/>
                  <w:vAlign w:val="center"/>
                </w:tcPr>
                <w:p w14:paraId="18D49CE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355</w:t>
                  </w:r>
                </w:p>
              </w:tc>
            </w:tr>
            <w:tr w14:paraId="4921B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477BE06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62606C8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上杨庄</w:t>
                  </w:r>
                </w:p>
              </w:tc>
              <w:tc>
                <w:tcPr>
                  <w:tcW w:w="441" w:type="pct"/>
                  <w:tcBorders>
                    <w:tl2br w:val="nil"/>
                    <w:tr2bl w:val="nil"/>
                  </w:tcBorders>
                  <w:noWrap w:val="0"/>
                  <w:vAlign w:val="center"/>
                </w:tcPr>
                <w:p w14:paraId="70AD536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685</w:t>
                  </w:r>
                </w:p>
              </w:tc>
              <w:tc>
                <w:tcPr>
                  <w:tcW w:w="441" w:type="pct"/>
                  <w:tcBorders>
                    <w:tl2br w:val="nil"/>
                    <w:tr2bl w:val="nil"/>
                  </w:tcBorders>
                  <w:noWrap w:val="0"/>
                  <w:vAlign w:val="center"/>
                </w:tcPr>
                <w:p w14:paraId="2E0B55E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-170</w:t>
                  </w:r>
                </w:p>
              </w:tc>
              <w:tc>
                <w:tcPr>
                  <w:tcW w:w="657" w:type="pct"/>
                  <w:tcBorders>
                    <w:tl2br w:val="nil"/>
                    <w:tr2bl w:val="nil"/>
                  </w:tcBorders>
                  <w:noWrap w:val="0"/>
                  <w:vAlign w:val="center"/>
                </w:tcPr>
                <w:p w14:paraId="39E5646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55B1AA1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125户</w:t>
                  </w:r>
                </w:p>
              </w:tc>
              <w:tc>
                <w:tcPr>
                  <w:tcW w:w="455" w:type="pct"/>
                  <w:tcBorders>
                    <w:tl2br w:val="nil"/>
                    <w:tr2bl w:val="nil"/>
                  </w:tcBorders>
                  <w:noWrap w:val="0"/>
                  <w:vAlign w:val="center"/>
                </w:tcPr>
                <w:p w14:paraId="22AE8F0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4FE8425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SE</w:t>
                  </w:r>
                </w:p>
              </w:tc>
              <w:tc>
                <w:tcPr>
                  <w:tcW w:w="556" w:type="pct"/>
                  <w:tcBorders>
                    <w:tl2br w:val="nil"/>
                    <w:tr2bl w:val="nil"/>
                  </w:tcBorders>
                  <w:noWrap w:val="0"/>
                  <w:vAlign w:val="center"/>
                </w:tcPr>
                <w:p w14:paraId="0B6750F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615</w:t>
                  </w:r>
                </w:p>
              </w:tc>
            </w:tr>
            <w:tr w14:paraId="69270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D142F0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9EA675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唐陵村</w:t>
                  </w:r>
                </w:p>
              </w:tc>
              <w:tc>
                <w:tcPr>
                  <w:tcW w:w="441" w:type="pct"/>
                  <w:tcBorders>
                    <w:tl2br w:val="nil"/>
                    <w:tr2bl w:val="nil"/>
                  </w:tcBorders>
                  <w:noWrap w:val="0"/>
                  <w:vAlign w:val="center"/>
                </w:tcPr>
                <w:p w14:paraId="1F996CB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-370</w:t>
                  </w:r>
                </w:p>
              </w:tc>
              <w:tc>
                <w:tcPr>
                  <w:tcW w:w="441" w:type="pct"/>
                  <w:tcBorders>
                    <w:tl2br w:val="nil"/>
                    <w:tr2bl w:val="nil"/>
                  </w:tcBorders>
                  <w:noWrap w:val="0"/>
                  <w:vAlign w:val="center"/>
                </w:tcPr>
                <w:p w14:paraId="743DE2C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-720</w:t>
                  </w:r>
                </w:p>
              </w:tc>
              <w:tc>
                <w:tcPr>
                  <w:tcW w:w="657" w:type="pct"/>
                  <w:tcBorders>
                    <w:tl2br w:val="nil"/>
                    <w:tr2bl w:val="nil"/>
                  </w:tcBorders>
                  <w:noWrap w:val="0"/>
                  <w:vAlign w:val="center"/>
                </w:tcPr>
                <w:p w14:paraId="0F39239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3BC34E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177户</w:t>
                  </w:r>
                </w:p>
              </w:tc>
              <w:tc>
                <w:tcPr>
                  <w:tcW w:w="455" w:type="pct"/>
                  <w:tcBorders>
                    <w:tl2br w:val="nil"/>
                    <w:tr2bl w:val="nil"/>
                  </w:tcBorders>
                  <w:noWrap w:val="0"/>
                  <w:vAlign w:val="center"/>
                </w:tcPr>
                <w:p w14:paraId="1462F7E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3EF2AA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noWrap w:val="0"/>
                  <w:vAlign w:val="center"/>
                </w:tcPr>
                <w:p w14:paraId="483161C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762</w:t>
                  </w:r>
                </w:p>
              </w:tc>
            </w:tr>
            <w:tr w14:paraId="52632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126F54B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89F0A1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洮西</w:t>
                  </w:r>
                </w:p>
              </w:tc>
              <w:tc>
                <w:tcPr>
                  <w:tcW w:w="441" w:type="pct"/>
                  <w:tcBorders>
                    <w:tl2br w:val="nil"/>
                    <w:tr2bl w:val="nil"/>
                  </w:tcBorders>
                  <w:noWrap w:val="0"/>
                  <w:vAlign w:val="center"/>
                </w:tcPr>
                <w:p w14:paraId="3005484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noWrap w:val="0"/>
                  <w:vAlign w:val="center"/>
                </w:tcPr>
                <w:p w14:paraId="2AC52D6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-980</w:t>
                  </w:r>
                </w:p>
              </w:tc>
              <w:tc>
                <w:tcPr>
                  <w:tcW w:w="657" w:type="pct"/>
                  <w:tcBorders>
                    <w:tl2br w:val="nil"/>
                    <w:tr2bl w:val="nil"/>
                  </w:tcBorders>
                  <w:noWrap w:val="0"/>
                  <w:vAlign w:val="center"/>
                </w:tcPr>
                <w:p w14:paraId="0265D65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1772ECB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400户</w:t>
                  </w:r>
                </w:p>
              </w:tc>
              <w:tc>
                <w:tcPr>
                  <w:tcW w:w="455" w:type="pct"/>
                  <w:tcBorders>
                    <w:tl2br w:val="nil"/>
                    <w:tr2bl w:val="nil"/>
                  </w:tcBorders>
                  <w:noWrap w:val="0"/>
                  <w:vAlign w:val="center"/>
                </w:tcPr>
                <w:p w14:paraId="636ACE5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07F3096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1EFA0D0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980</w:t>
                  </w:r>
                </w:p>
              </w:tc>
            </w:tr>
            <w:tr w14:paraId="0DFDB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0843FBB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39EEFE0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下河新村</w:t>
                  </w:r>
                </w:p>
              </w:tc>
              <w:tc>
                <w:tcPr>
                  <w:tcW w:w="441" w:type="pct"/>
                  <w:tcBorders>
                    <w:tl2br w:val="nil"/>
                    <w:tr2bl w:val="nil"/>
                  </w:tcBorders>
                  <w:noWrap w:val="0"/>
                  <w:vAlign w:val="center"/>
                </w:tcPr>
                <w:p w14:paraId="613D501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noWrap w:val="0"/>
                  <w:vAlign w:val="center"/>
                </w:tcPr>
                <w:p w14:paraId="17AA7DD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-1170</w:t>
                  </w:r>
                </w:p>
              </w:tc>
              <w:tc>
                <w:tcPr>
                  <w:tcW w:w="657" w:type="pct"/>
                  <w:tcBorders>
                    <w:tl2br w:val="nil"/>
                    <w:tr2bl w:val="nil"/>
                  </w:tcBorders>
                  <w:noWrap w:val="0"/>
                  <w:vAlign w:val="center"/>
                </w:tcPr>
                <w:p w14:paraId="7C805D7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3748F78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180户</w:t>
                  </w:r>
                </w:p>
              </w:tc>
              <w:tc>
                <w:tcPr>
                  <w:tcW w:w="455" w:type="pct"/>
                  <w:tcBorders>
                    <w:tl2br w:val="nil"/>
                    <w:tr2bl w:val="nil"/>
                  </w:tcBorders>
                  <w:noWrap w:val="0"/>
                  <w:vAlign w:val="center"/>
                </w:tcPr>
                <w:p w14:paraId="2B7E7A49">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335B8E2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18EE851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1170</w:t>
                  </w:r>
                </w:p>
              </w:tc>
            </w:tr>
            <w:tr w14:paraId="7044D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33FA83A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7EDD1ED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洮西小学</w:t>
                  </w:r>
                </w:p>
              </w:tc>
              <w:tc>
                <w:tcPr>
                  <w:tcW w:w="441" w:type="pct"/>
                  <w:tcBorders>
                    <w:tl2br w:val="nil"/>
                    <w:tr2bl w:val="nil"/>
                  </w:tcBorders>
                  <w:shd w:val="clear" w:color="auto" w:fill="auto"/>
                  <w:noWrap w:val="0"/>
                  <w:vAlign w:val="center"/>
                </w:tcPr>
                <w:p w14:paraId="74120B0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shd w:val="clear" w:color="auto" w:fill="auto"/>
                  <w:noWrap w:val="0"/>
                  <w:vAlign w:val="center"/>
                </w:tcPr>
                <w:p w14:paraId="4C6ACC0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-1030</w:t>
                  </w:r>
                </w:p>
              </w:tc>
              <w:tc>
                <w:tcPr>
                  <w:tcW w:w="657" w:type="pct"/>
                  <w:tcBorders>
                    <w:tl2br w:val="nil"/>
                    <w:tr2bl w:val="nil"/>
                  </w:tcBorders>
                  <w:noWrap w:val="0"/>
                  <w:vAlign w:val="center"/>
                </w:tcPr>
                <w:p w14:paraId="083D018C">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学校</w:t>
                  </w:r>
                </w:p>
              </w:tc>
              <w:tc>
                <w:tcPr>
                  <w:tcW w:w="505" w:type="pct"/>
                  <w:tcBorders>
                    <w:tl2br w:val="nil"/>
                    <w:tr2bl w:val="nil"/>
                  </w:tcBorders>
                  <w:noWrap w:val="0"/>
                  <w:vAlign w:val="center"/>
                </w:tcPr>
                <w:p w14:paraId="159E0F9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500人</w:t>
                  </w:r>
                </w:p>
              </w:tc>
              <w:tc>
                <w:tcPr>
                  <w:tcW w:w="455" w:type="pct"/>
                  <w:tcBorders>
                    <w:tl2br w:val="nil"/>
                    <w:tr2bl w:val="nil"/>
                  </w:tcBorders>
                  <w:noWrap w:val="0"/>
                  <w:vAlign w:val="center"/>
                </w:tcPr>
                <w:p w14:paraId="6BCA4043">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99CE05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01B5035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1030</w:t>
                  </w:r>
                </w:p>
              </w:tc>
            </w:tr>
            <w:tr w14:paraId="35BC9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170D0EA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00D1660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东兴村</w:t>
                  </w:r>
                </w:p>
              </w:tc>
              <w:tc>
                <w:tcPr>
                  <w:tcW w:w="441" w:type="pct"/>
                  <w:tcBorders>
                    <w:tl2br w:val="nil"/>
                    <w:tr2bl w:val="nil"/>
                  </w:tcBorders>
                  <w:noWrap w:val="0"/>
                  <w:vAlign w:val="center"/>
                </w:tcPr>
                <w:p w14:paraId="445C8A0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noWrap w:val="0"/>
                  <w:vAlign w:val="center"/>
                </w:tcPr>
                <w:p w14:paraId="44A3AE5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-1250</w:t>
                  </w:r>
                </w:p>
              </w:tc>
              <w:tc>
                <w:tcPr>
                  <w:tcW w:w="657" w:type="pct"/>
                  <w:tcBorders>
                    <w:tl2br w:val="nil"/>
                    <w:tr2bl w:val="nil"/>
                  </w:tcBorders>
                  <w:noWrap w:val="0"/>
                  <w:vAlign w:val="center"/>
                </w:tcPr>
                <w:p w14:paraId="68F8492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577445B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30户</w:t>
                  </w:r>
                </w:p>
              </w:tc>
              <w:tc>
                <w:tcPr>
                  <w:tcW w:w="455" w:type="pct"/>
                  <w:tcBorders>
                    <w:tl2br w:val="nil"/>
                    <w:tr2bl w:val="nil"/>
                  </w:tcBorders>
                  <w:noWrap w:val="0"/>
                  <w:vAlign w:val="center"/>
                </w:tcPr>
                <w:p w14:paraId="5031B9CB">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6A087A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279E3A0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1250</w:t>
                  </w:r>
                </w:p>
              </w:tc>
            </w:tr>
            <w:tr w14:paraId="7376C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vMerge w:val="continue"/>
                  <w:tcBorders>
                    <w:tl2br w:val="nil"/>
                    <w:tr2bl w:val="nil"/>
                  </w:tcBorders>
                  <w:noWrap w:val="0"/>
                  <w:vAlign w:val="center"/>
                </w:tcPr>
                <w:p w14:paraId="65CC5E5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4F61FFD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河南村</w:t>
                  </w:r>
                </w:p>
              </w:tc>
              <w:tc>
                <w:tcPr>
                  <w:tcW w:w="441" w:type="pct"/>
                  <w:tcBorders>
                    <w:tl2br w:val="nil"/>
                    <w:tr2bl w:val="nil"/>
                  </w:tcBorders>
                  <w:shd w:val="clear" w:color="auto" w:fill="auto"/>
                  <w:noWrap w:val="0"/>
                  <w:vAlign w:val="center"/>
                </w:tcPr>
                <w:p w14:paraId="7B57782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shd w:val="clear" w:color="auto" w:fill="auto"/>
                  <w:noWrap w:val="0"/>
                  <w:vAlign w:val="center"/>
                </w:tcPr>
                <w:p w14:paraId="1A1CE26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-1330</w:t>
                  </w:r>
                </w:p>
              </w:tc>
              <w:tc>
                <w:tcPr>
                  <w:tcW w:w="657" w:type="pct"/>
                  <w:tcBorders>
                    <w:tl2br w:val="nil"/>
                    <w:tr2bl w:val="nil"/>
                  </w:tcBorders>
                  <w:noWrap w:val="0"/>
                  <w:vAlign w:val="center"/>
                </w:tcPr>
                <w:p w14:paraId="1CA562C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1BC9974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80户</w:t>
                  </w:r>
                </w:p>
              </w:tc>
              <w:tc>
                <w:tcPr>
                  <w:tcW w:w="455" w:type="pct"/>
                  <w:tcBorders>
                    <w:tl2br w:val="nil"/>
                    <w:tr2bl w:val="nil"/>
                  </w:tcBorders>
                  <w:noWrap w:val="0"/>
                  <w:vAlign w:val="center"/>
                </w:tcPr>
                <w:p w14:paraId="15D747E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51A10073">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2C4F3AE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1330</w:t>
                  </w:r>
                </w:p>
              </w:tc>
            </w:tr>
            <w:tr w14:paraId="3B0F2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2A09D4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31BE3F98">
                  <w:pPr>
                    <w:pStyle w:val="109"/>
                    <w:keepNext w:val="0"/>
                    <w:keepLines w:val="0"/>
                    <w:pageBreakBefore w:val="0"/>
                    <w:widowControl w:val="0"/>
                    <w:suppressLineNumbers w:val="0"/>
                    <w:kinsoku/>
                    <w:wordWrap/>
                    <w:overflowPunct/>
                    <w:topLinePunct w:val="0"/>
                    <w:bidi w:val="0"/>
                    <w:spacing w:before="0" w:beforeAutospacing="0" w:after="0" w:afterAutospacing="0" w:line="240" w:lineRule="auto"/>
                    <w:ind w:left="0" w:right="0"/>
                    <w:rPr>
                      <w:rFonts w:hint="default" w:ascii="宋体" w:hAnsi="Times New Roman" w:eastAsia="宋体" w:cs="Times New Roman"/>
                      <w:color w:val="auto"/>
                      <w:kern w:val="0"/>
                      <w:sz w:val="21"/>
                      <w:szCs w:val="21"/>
                      <w:highlight w:val="none"/>
                      <w:lang w:val="en-US" w:eastAsia="zh-CN" w:bidi="ar-SA"/>
                    </w:rPr>
                  </w:pPr>
                  <w:r>
                    <w:rPr>
                      <w:rFonts w:hint="default" w:ascii="宋体" w:hAnsi="Times New Roman" w:eastAsia="宋体" w:cs="Times New Roman"/>
                      <w:color w:val="auto"/>
                      <w:kern w:val="0"/>
                      <w:sz w:val="21"/>
                      <w:szCs w:val="21"/>
                      <w:highlight w:val="none"/>
                      <w:lang w:val="en-US" w:eastAsia="zh-CN" w:bidi="ar-SA"/>
                    </w:rPr>
                    <w:t>沿塘村</w:t>
                  </w:r>
                </w:p>
              </w:tc>
              <w:tc>
                <w:tcPr>
                  <w:tcW w:w="441" w:type="pct"/>
                  <w:tcBorders>
                    <w:tl2br w:val="nil"/>
                    <w:tr2bl w:val="nil"/>
                  </w:tcBorders>
                  <w:shd w:val="clear" w:color="auto" w:fill="auto"/>
                  <w:noWrap w:val="0"/>
                  <w:vAlign w:val="center"/>
                </w:tcPr>
                <w:p w14:paraId="3C7A919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630</w:t>
                  </w:r>
                </w:p>
              </w:tc>
              <w:tc>
                <w:tcPr>
                  <w:tcW w:w="441" w:type="pct"/>
                  <w:tcBorders>
                    <w:tl2br w:val="nil"/>
                    <w:tr2bl w:val="nil"/>
                  </w:tcBorders>
                  <w:shd w:val="clear" w:color="auto" w:fill="auto"/>
                  <w:noWrap w:val="0"/>
                  <w:vAlign w:val="center"/>
                </w:tcPr>
                <w:p w14:paraId="678BD84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-596</w:t>
                  </w:r>
                </w:p>
              </w:tc>
              <w:tc>
                <w:tcPr>
                  <w:tcW w:w="657" w:type="pct"/>
                  <w:tcBorders>
                    <w:tl2br w:val="nil"/>
                    <w:tr2bl w:val="nil"/>
                  </w:tcBorders>
                  <w:noWrap w:val="0"/>
                  <w:vAlign w:val="center"/>
                </w:tcPr>
                <w:p w14:paraId="6F3A8EE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2FEA6F6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8户</w:t>
                  </w:r>
                </w:p>
              </w:tc>
              <w:tc>
                <w:tcPr>
                  <w:tcW w:w="455" w:type="pct"/>
                  <w:tcBorders>
                    <w:tl2br w:val="nil"/>
                    <w:tr2bl w:val="nil"/>
                  </w:tcBorders>
                  <w:noWrap w:val="0"/>
                  <w:vAlign w:val="center"/>
                </w:tcPr>
                <w:p w14:paraId="0850E0A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51F1007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SE</w:t>
                  </w:r>
                </w:p>
              </w:tc>
              <w:tc>
                <w:tcPr>
                  <w:tcW w:w="556" w:type="pct"/>
                  <w:tcBorders>
                    <w:tl2br w:val="nil"/>
                    <w:tr2bl w:val="nil"/>
                  </w:tcBorders>
                  <w:noWrap w:val="0"/>
                  <w:vAlign w:val="center"/>
                </w:tcPr>
                <w:p w14:paraId="44EB1F5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830</w:t>
                  </w:r>
                </w:p>
              </w:tc>
            </w:tr>
            <w:tr w14:paraId="49176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33A708F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73424D7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马厂</w:t>
                  </w:r>
                </w:p>
              </w:tc>
              <w:tc>
                <w:tcPr>
                  <w:tcW w:w="441" w:type="pct"/>
                  <w:tcBorders>
                    <w:tl2br w:val="nil"/>
                    <w:tr2bl w:val="nil"/>
                  </w:tcBorders>
                  <w:noWrap w:val="0"/>
                  <w:vAlign w:val="center"/>
                </w:tcPr>
                <w:p w14:paraId="3C44DE1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518</w:t>
                  </w:r>
                </w:p>
              </w:tc>
              <w:tc>
                <w:tcPr>
                  <w:tcW w:w="441" w:type="pct"/>
                  <w:tcBorders>
                    <w:tl2br w:val="nil"/>
                    <w:tr2bl w:val="nil"/>
                  </w:tcBorders>
                  <w:noWrap w:val="0"/>
                  <w:vAlign w:val="center"/>
                </w:tcPr>
                <w:p w14:paraId="023B30F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230</w:t>
                  </w:r>
                </w:p>
              </w:tc>
              <w:tc>
                <w:tcPr>
                  <w:tcW w:w="657" w:type="pct"/>
                  <w:tcBorders>
                    <w:tl2br w:val="nil"/>
                    <w:tr2bl w:val="nil"/>
                  </w:tcBorders>
                  <w:noWrap w:val="0"/>
                  <w:vAlign w:val="center"/>
                </w:tcPr>
                <w:p w14:paraId="19E162F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4A41954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60户</w:t>
                  </w:r>
                </w:p>
              </w:tc>
              <w:tc>
                <w:tcPr>
                  <w:tcW w:w="455" w:type="pct"/>
                  <w:tcBorders>
                    <w:tl2br w:val="nil"/>
                    <w:tr2bl w:val="nil"/>
                  </w:tcBorders>
                  <w:noWrap w:val="0"/>
                  <w:vAlign w:val="center"/>
                </w:tcPr>
                <w:p w14:paraId="7F08437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52BBEBB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0530A72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530</w:t>
                  </w:r>
                </w:p>
              </w:tc>
            </w:tr>
            <w:tr w14:paraId="6E997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97E897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4669F97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周舍村</w:t>
                  </w:r>
                </w:p>
              </w:tc>
              <w:tc>
                <w:tcPr>
                  <w:tcW w:w="441" w:type="pct"/>
                  <w:tcBorders>
                    <w:tl2br w:val="nil"/>
                    <w:tr2bl w:val="nil"/>
                  </w:tcBorders>
                  <w:noWrap w:val="0"/>
                  <w:vAlign w:val="center"/>
                </w:tcPr>
                <w:p w14:paraId="24C6BCD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255</w:t>
                  </w:r>
                </w:p>
              </w:tc>
              <w:tc>
                <w:tcPr>
                  <w:tcW w:w="441" w:type="pct"/>
                  <w:tcBorders>
                    <w:tl2br w:val="nil"/>
                    <w:tr2bl w:val="nil"/>
                  </w:tcBorders>
                  <w:noWrap w:val="0"/>
                  <w:vAlign w:val="center"/>
                </w:tcPr>
                <w:p w14:paraId="614D861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624</w:t>
                  </w:r>
                </w:p>
              </w:tc>
              <w:tc>
                <w:tcPr>
                  <w:tcW w:w="657" w:type="pct"/>
                  <w:tcBorders>
                    <w:tl2br w:val="nil"/>
                    <w:tr2bl w:val="nil"/>
                  </w:tcBorders>
                  <w:noWrap w:val="0"/>
                  <w:vAlign w:val="center"/>
                </w:tcPr>
                <w:p w14:paraId="07BB6EA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638BABC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50户</w:t>
                  </w:r>
                </w:p>
              </w:tc>
              <w:tc>
                <w:tcPr>
                  <w:tcW w:w="455" w:type="pct"/>
                  <w:tcBorders>
                    <w:tl2br w:val="nil"/>
                    <w:tr2bl w:val="nil"/>
                  </w:tcBorders>
                  <w:noWrap w:val="0"/>
                  <w:vAlign w:val="center"/>
                </w:tcPr>
                <w:p w14:paraId="20C9AFD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4DABDA8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4961C06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600</w:t>
                  </w:r>
                </w:p>
              </w:tc>
            </w:tr>
            <w:tr w14:paraId="109252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vMerge w:val="continue"/>
                  <w:tcBorders>
                    <w:tl2br w:val="nil"/>
                    <w:tr2bl w:val="nil"/>
                  </w:tcBorders>
                  <w:noWrap w:val="0"/>
                  <w:vAlign w:val="center"/>
                </w:tcPr>
                <w:p w14:paraId="54BB318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2AB9D37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东庄</w:t>
                  </w:r>
                </w:p>
              </w:tc>
              <w:tc>
                <w:tcPr>
                  <w:tcW w:w="441" w:type="pct"/>
                  <w:tcBorders>
                    <w:tl2br w:val="nil"/>
                    <w:tr2bl w:val="nil"/>
                  </w:tcBorders>
                  <w:noWrap w:val="0"/>
                  <w:vAlign w:val="center"/>
                </w:tcPr>
                <w:p w14:paraId="33A4B33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780</w:t>
                  </w:r>
                </w:p>
              </w:tc>
              <w:tc>
                <w:tcPr>
                  <w:tcW w:w="441" w:type="pct"/>
                  <w:tcBorders>
                    <w:tl2br w:val="nil"/>
                    <w:tr2bl w:val="nil"/>
                  </w:tcBorders>
                  <w:noWrap w:val="0"/>
                  <w:vAlign w:val="center"/>
                </w:tcPr>
                <w:p w14:paraId="482E749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775</w:t>
                  </w:r>
                </w:p>
              </w:tc>
              <w:tc>
                <w:tcPr>
                  <w:tcW w:w="657" w:type="pct"/>
                  <w:tcBorders>
                    <w:tl2br w:val="nil"/>
                    <w:tr2bl w:val="nil"/>
                  </w:tcBorders>
                  <w:noWrap w:val="0"/>
                  <w:vAlign w:val="center"/>
                </w:tcPr>
                <w:p w14:paraId="0A71EFD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1629299">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55户</w:t>
                  </w:r>
                </w:p>
              </w:tc>
              <w:tc>
                <w:tcPr>
                  <w:tcW w:w="455" w:type="pct"/>
                  <w:tcBorders>
                    <w:tl2br w:val="nil"/>
                    <w:tr2bl w:val="nil"/>
                  </w:tcBorders>
                  <w:noWrap w:val="0"/>
                  <w:vAlign w:val="center"/>
                </w:tcPr>
                <w:p w14:paraId="667B393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03425D2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7688F6A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1070</w:t>
                  </w:r>
                </w:p>
              </w:tc>
            </w:tr>
            <w:tr w14:paraId="59D0CA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3EABAA2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01E6629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崔家棚</w:t>
                  </w:r>
                </w:p>
              </w:tc>
              <w:tc>
                <w:tcPr>
                  <w:tcW w:w="441" w:type="pct"/>
                  <w:tcBorders>
                    <w:tl2br w:val="nil"/>
                    <w:tr2bl w:val="nil"/>
                  </w:tcBorders>
                  <w:noWrap w:val="0"/>
                  <w:vAlign w:val="center"/>
                </w:tcPr>
                <w:p w14:paraId="52037E4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1180</w:t>
                  </w:r>
                </w:p>
              </w:tc>
              <w:tc>
                <w:tcPr>
                  <w:tcW w:w="441" w:type="pct"/>
                  <w:tcBorders>
                    <w:tl2br w:val="nil"/>
                    <w:tr2bl w:val="nil"/>
                  </w:tcBorders>
                  <w:noWrap w:val="0"/>
                  <w:vAlign w:val="center"/>
                </w:tcPr>
                <w:p w14:paraId="44BF1B9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540</w:t>
                  </w:r>
                </w:p>
              </w:tc>
              <w:tc>
                <w:tcPr>
                  <w:tcW w:w="657" w:type="pct"/>
                  <w:tcBorders>
                    <w:tl2br w:val="nil"/>
                    <w:tr2bl w:val="nil"/>
                  </w:tcBorders>
                  <w:noWrap w:val="0"/>
                  <w:vAlign w:val="center"/>
                </w:tcPr>
                <w:p w14:paraId="2AE8900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1B39CEE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30户</w:t>
                  </w:r>
                </w:p>
              </w:tc>
              <w:tc>
                <w:tcPr>
                  <w:tcW w:w="455" w:type="pct"/>
                  <w:tcBorders>
                    <w:tl2br w:val="nil"/>
                    <w:tr2bl w:val="nil"/>
                  </w:tcBorders>
                  <w:noWrap w:val="0"/>
                  <w:vAlign w:val="center"/>
                </w:tcPr>
                <w:p w14:paraId="12676AA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7328429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34C0F6A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1270</w:t>
                  </w:r>
                </w:p>
              </w:tc>
            </w:tr>
            <w:tr w14:paraId="342D9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 w:type="pct"/>
                  <w:vMerge w:val="continue"/>
                  <w:tcBorders>
                    <w:tl2br w:val="nil"/>
                    <w:tr2bl w:val="nil"/>
                  </w:tcBorders>
                  <w:noWrap w:val="0"/>
                  <w:vAlign w:val="center"/>
                </w:tcPr>
                <w:p w14:paraId="72609F9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7CEFD9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何家棚</w:t>
                  </w:r>
                </w:p>
              </w:tc>
              <w:tc>
                <w:tcPr>
                  <w:tcW w:w="441" w:type="pct"/>
                  <w:tcBorders>
                    <w:tl2br w:val="nil"/>
                    <w:tr2bl w:val="nil"/>
                  </w:tcBorders>
                  <w:noWrap w:val="0"/>
                  <w:vAlign w:val="center"/>
                </w:tcPr>
                <w:p w14:paraId="0027D4B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1350</w:t>
                  </w:r>
                </w:p>
              </w:tc>
              <w:tc>
                <w:tcPr>
                  <w:tcW w:w="441" w:type="pct"/>
                  <w:tcBorders>
                    <w:tl2br w:val="nil"/>
                    <w:tr2bl w:val="nil"/>
                  </w:tcBorders>
                  <w:noWrap w:val="0"/>
                  <w:vAlign w:val="center"/>
                </w:tcPr>
                <w:p w14:paraId="2CFF5FE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1265</w:t>
                  </w:r>
                </w:p>
              </w:tc>
              <w:tc>
                <w:tcPr>
                  <w:tcW w:w="657" w:type="pct"/>
                  <w:tcBorders>
                    <w:tl2br w:val="nil"/>
                    <w:tr2bl w:val="nil"/>
                  </w:tcBorders>
                  <w:noWrap w:val="0"/>
                  <w:vAlign w:val="center"/>
                </w:tcPr>
                <w:p w14:paraId="5189FEA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7784A6C">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22户</w:t>
                  </w:r>
                </w:p>
              </w:tc>
              <w:tc>
                <w:tcPr>
                  <w:tcW w:w="455" w:type="pct"/>
                  <w:tcBorders>
                    <w:tl2br w:val="nil"/>
                    <w:tr2bl w:val="nil"/>
                  </w:tcBorders>
                  <w:noWrap w:val="0"/>
                  <w:vAlign w:val="center"/>
                </w:tcPr>
                <w:p w14:paraId="0355B00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31B450E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74DD0A3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1690</w:t>
                  </w:r>
                </w:p>
              </w:tc>
            </w:tr>
            <w:tr w14:paraId="50CB6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3F5E7B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4E127F1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方边村</w:t>
                  </w:r>
                </w:p>
              </w:tc>
              <w:tc>
                <w:tcPr>
                  <w:tcW w:w="441" w:type="pct"/>
                  <w:tcBorders>
                    <w:tl2br w:val="nil"/>
                    <w:tr2bl w:val="nil"/>
                  </w:tcBorders>
                  <w:noWrap w:val="0"/>
                  <w:vAlign w:val="center"/>
                </w:tcPr>
                <w:p w14:paraId="536C44F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1775</w:t>
                  </w:r>
                </w:p>
              </w:tc>
              <w:tc>
                <w:tcPr>
                  <w:tcW w:w="441" w:type="pct"/>
                  <w:tcBorders>
                    <w:tl2br w:val="nil"/>
                    <w:tr2bl w:val="nil"/>
                  </w:tcBorders>
                  <w:noWrap w:val="0"/>
                  <w:vAlign w:val="center"/>
                </w:tcPr>
                <w:p w14:paraId="68CA397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810</w:t>
                  </w:r>
                </w:p>
              </w:tc>
              <w:tc>
                <w:tcPr>
                  <w:tcW w:w="657" w:type="pct"/>
                  <w:tcBorders>
                    <w:tl2br w:val="nil"/>
                    <w:tr2bl w:val="nil"/>
                  </w:tcBorders>
                  <w:noWrap w:val="0"/>
                  <w:vAlign w:val="center"/>
                </w:tcPr>
                <w:p w14:paraId="66B02EC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4339E4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280户</w:t>
                  </w:r>
                </w:p>
              </w:tc>
              <w:tc>
                <w:tcPr>
                  <w:tcW w:w="455" w:type="pct"/>
                  <w:tcBorders>
                    <w:tl2br w:val="nil"/>
                    <w:tr2bl w:val="nil"/>
                  </w:tcBorders>
                  <w:noWrap w:val="0"/>
                  <w:vAlign w:val="center"/>
                </w:tcPr>
                <w:p w14:paraId="3AF1FDD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134B94F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5FDD707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1900</w:t>
                  </w:r>
                </w:p>
              </w:tc>
            </w:tr>
            <w:tr w14:paraId="0619A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vMerge w:val="continue"/>
                  <w:tcBorders>
                    <w:tl2br w:val="nil"/>
                    <w:tr2bl w:val="nil"/>
                  </w:tcBorders>
                  <w:noWrap w:val="0"/>
                  <w:vAlign w:val="center"/>
                </w:tcPr>
                <w:p w14:paraId="0370F84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900A04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官庄</w:t>
                  </w:r>
                </w:p>
              </w:tc>
              <w:tc>
                <w:tcPr>
                  <w:tcW w:w="441" w:type="pct"/>
                  <w:tcBorders>
                    <w:tl2br w:val="nil"/>
                    <w:tr2bl w:val="nil"/>
                  </w:tcBorders>
                  <w:noWrap w:val="0"/>
                  <w:vAlign w:val="center"/>
                </w:tcPr>
                <w:p w14:paraId="28D6D3C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2380</w:t>
                  </w:r>
                </w:p>
              </w:tc>
              <w:tc>
                <w:tcPr>
                  <w:tcW w:w="441" w:type="pct"/>
                  <w:tcBorders>
                    <w:tl2br w:val="nil"/>
                    <w:tr2bl w:val="nil"/>
                  </w:tcBorders>
                  <w:noWrap w:val="0"/>
                  <w:vAlign w:val="center"/>
                </w:tcPr>
                <w:p w14:paraId="5014A5D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600</w:t>
                  </w:r>
                </w:p>
              </w:tc>
              <w:tc>
                <w:tcPr>
                  <w:tcW w:w="657" w:type="pct"/>
                  <w:tcBorders>
                    <w:tl2br w:val="nil"/>
                    <w:tr2bl w:val="nil"/>
                  </w:tcBorders>
                  <w:noWrap w:val="0"/>
                  <w:vAlign w:val="center"/>
                </w:tcPr>
                <w:p w14:paraId="6C54CB4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D45F19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55户</w:t>
                  </w:r>
                </w:p>
              </w:tc>
              <w:tc>
                <w:tcPr>
                  <w:tcW w:w="455" w:type="pct"/>
                  <w:tcBorders>
                    <w:tl2br w:val="nil"/>
                    <w:tr2bl w:val="nil"/>
                  </w:tcBorders>
                  <w:noWrap w:val="0"/>
                  <w:vAlign w:val="center"/>
                </w:tcPr>
                <w:p w14:paraId="1A3FC0A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584AA0F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39C7079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2450</w:t>
                  </w:r>
                </w:p>
              </w:tc>
            </w:tr>
            <w:tr w14:paraId="5AAB8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4A2EDCE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D9C116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方边村史馆</w:t>
                  </w:r>
                </w:p>
              </w:tc>
              <w:tc>
                <w:tcPr>
                  <w:tcW w:w="441" w:type="pct"/>
                  <w:tcBorders>
                    <w:tl2br w:val="nil"/>
                    <w:tr2bl w:val="nil"/>
                  </w:tcBorders>
                  <w:noWrap w:val="0"/>
                  <w:vAlign w:val="center"/>
                </w:tcPr>
                <w:p w14:paraId="50E7E9F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2110</w:t>
                  </w:r>
                </w:p>
              </w:tc>
              <w:tc>
                <w:tcPr>
                  <w:tcW w:w="441" w:type="pct"/>
                  <w:tcBorders>
                    <w:tl2br w:val="nil"/>
                    <w:tr2bl w:val="nil"/>
                  </w:tcBorders>
                  <w:noWrap w:val="0"/>
                  <w:vAlign w:val="center"/>
                </w:tcPr>
                <w:p w14:paraId="17D6414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1430</w:t>
                  </w:r>
                </w:p>
              </w:tc>
              <w:tc>
                <w:tcPr>
                  <w:tcW w:w="657" w:type="pct"/>
                  <w:tcBorders>
                    <w:tl2br w:val="nil"/>
                    <w:tr2bl w:val="nil"/>
                  </w:tcBorders>
                  <w:noWrap w:val="0"/>
                  <w:vAlign w:val="center"/>
                </w:tcPr>
                <w:p w14:paraId="6F19139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旅游区</w:t>
                  </w:r>
                </w:p>
              </w:tc>
              <w:tc>
                <w:tcPr>
                  <w:tcW w:w="505" w:type="pct"/>
                  <w:tcBorders>
                    <w:tl2br w:val="nil"/>
                    <w:tr2bl w:val="nil"/>
                  </w:tcBorders>
                  <w:noWrap w:val="0"/>
                  <w:vAlign w:val="center"/>
                </w:tcPr>
                <w:p w14:paraId="79562AA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20人</w:t>
                  </w:r>
                </w:p>
              </w:tc>
              <w:tc>
                <w:tcPr>
                  <w:tcW w:w="455" w:type="pct"/>
                  <w:tcBorders>
                    <w:tl2br w:val="nil"/>
                    <w:tr2bl w:val="nil"/>
                  </w:tcBorders>
                  <w:noWrap w:val="0"/>
                  <w:vAlign w:val="center"/>
                </w:tcPr>
                <w:p w14:paraId="47469EA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CEAB8A3">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1F0451E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2600</w:t>
                  </w:r>
                </w:p>
              </w:tc>
            </w:tr>
            <w:tr w14:paraId="22104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7A93BA8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09E4ECB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上孙庄</w:t>
                  </w:r>
                </w:p>
              </w:tc>
              <w:tc>
                <w:tcPr>
                  <w:tcW w:w="441" w:type="pct"/>
                  <w:tcBorders>
                    <w:tl2br w:val="nil"/>
                    <w:tr2bl w:val="nil"/>
                  </w:tcBorders>
                  <w:noWrap w:val="0"/>
                  <w:vAlign w:val="center"/>
                </w:tcPr>
                <w:p w14:paraId="4E21C7A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1460</w:t>
                  </w:r>
                </w:p>
              </w:tc>
              <w:tc>
                <w:tcPr>
                  <w:tcW w:w="441" w:type="pct"/>
                  <w:tcBorders>
                    <w:tl2br w:val="nil"/>
                    <w:tr2bl w:val="nil"/>
                  </w:tcBorders>
                  <w:noWrap w:val="0"/>
                  <w:vAlign w:val="center"/>
                </w:tcPr>
                <w:p w14:paraId="60B1F69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657" w:type="pct"/>
                  <w:tcBorders>
                    <w:tl2br w:val="nil"/>
                    <w:tr2bl w:val="nil"/>
                  </w:tcBorders>
                  <w:noWrap w:val="0"/>
                  <w:vAlign w:val="center"/>
                </w:tcPr>
                <w:p w14:paraId="64F960B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52924669">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30户</w:t>
                  </w:r>
                </w:p>
              </w:tc>
              <w:tc>
                <w:tcPr>
                  <w:tcW w:w="455" w:type="pct"/>
                  <w:tcBorders>
                    <w:tl2br w:val="nil"/>
                    <w:tr2bl w:val="nil"/>
                  </w:tcBorders>
                  <w:noWrap w:val="0"/>
                  <w:vAlign w:val="center"/>
                </w:tcPr>
                <w:p w14:paraId="73B99FB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02A44F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E</w:t>
                  </w:r>
                </w:p>
              </w:tc>
              <w:tc>
                <w:tcPr>
                  <w:tcW w:w="556" w:type="pct"/>
                  <w:tcBorders>
                    <w:tl2br w:val="nil"/>
                    <w:tr2bl w:val="nil"/>
                  </w:tcBorders>
                  <w:noWrap w:val="0"/>
                  <w:vAlign w:val="center"/>
                </w:tcPr>
                <w:p w14:paraId="415A99F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1460</w:t>
                  </w:r>
                </w:p>
              </w:tc>
            </w:tr>
            <w:tr w14:paraId="26E39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7604F91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5227A73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芦庄</w:t>
                  </w:r>
                </w:p>
              </w:tc>
              <w:tc>
                <w:tcPr>
                  <w:tcW w:w="441" w:type="pct"/>
                  <w:tcBorders>
                    <w:tl2br w:val="nil"/>
                    <w:tr2bl w:val="nil"/>
                  </w:tcBorders>
                  <w:noWrap w:val="0"/>
                  <w:vAlign w:val="center"/>
                </w:tcPr>
                <w:p w14:paraId="4FFD64A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1400</w:t>
                  </w:r>
                </w:p>
              </w:tc>
              <w:tc>
                <w:tcPr>
                  <w:tcW w:w="441" w:type="pct"/>
                  <w:tcBorders>
                    <w:tl2br w:val="nil"/>
                    <w:tr2bl w:val="nil"/>
                  </w:tcBorders>
                  <w:noWrap w:val="0"/>
                  <w:vAlign w:val="center"/>
                </w:tcPr>
                <w:p w14:paraId="6894068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-1140</w:t>
                  </w:r>
                </w:p>
              </w:tc>
              <w:tc>
                <w:tcPr>
                  <w:tcW w:w="657" w:type="pct"/>
                  <w:tcBorders>
                    <w:tl2br w:val="nil"/>
                    <w:tr2bl w:val="nil"/>
                  </w:tcBorders>
                  <w:noWrap w:val="0"/>
                  <w:vAlign w:val="center"/>
                </w:tcPr>
                <w:p w14:paraId="267DFC7B">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69D587C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90户</w:t>
                  </w:r>
                </w:p>
              </w:tc>
              <w:tc>
                <w:tcPr>
                  <w:tcW w:w="455" w:type="pct"/>
                  <w:tcBorders>
                    <w:tl2br w:val="nil"/>
                    <w:tr2bl w:val="nil"/>
                  </w:tcBorders>
                  <w:noWrap w:val="0"/>
                  <w:vAlign w:val="center"/>
                </w:tcPr>
                <w:p w14:paraId="3BB4B1FC">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10AB1E8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SE</w:t>
                  </w:r>
                </w:p>
              </w:tc>
              <w:tc>
                <w:tcPr>
                  <w:tcW w:w="556" w:type="pct"/>
                  <w:tcBorders>
                    <w:tl2br w:val="nil"/>
                    <w:tr2bl w:val="nil"/>
                  </w:tcBorders>
                  <w:noWrap w:val="0"/>
                  <w:vAlign w:val="center"/>
                </w:tcPr>
                <w:p w14:paraId="76A9EE0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1730</w:t>
                  </w:r>
                </w:p>
              </w:tc>
            </w:tr>
            <w:tr w14:paraId="365BC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54D596B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505555B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管家棚</w:t>
                  </w:r>
                </w:p>
              </w:tc>
              <w:tc>
                <w:tcPr>
                  <w:tcW w:w="441" w:type="pct"/>
                  <w:tcBorders>
                    <w:tl2br w:val="nil"/>
                    <w:tr2bl w:val="nil"/>
                  </w:tcBorders>
                  <w:noWrap w:val="0"/>
                  <w:vAlign w:val="center"/>
                </w:tcPr>
                <w:p w14:paraId="7C8EEEA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-590</w:t>
                  </w:r>
                </w:p>
              </w:tc>
              <w:tc>
                <w:tcPr>
                  <w:tcW w:w="441" w:type="pct"/>
                  <w:tcBorders>
                    <w:tl2br w:val="nil"/>
                    <w:tr2bl w:val="nil"/>
                  </w:tcBorders>
                  <w:noWrap w:val="0"/>
                  <w:vAlign w:val="center"/>
                </w:tcPr>
                <w:p w14:paraId="7BCCE3C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-1570</w:t>
                  </w:r>
                </w:p>
              </w:tc>
              <w:tc>
                <w:tcPr>
                  <w:tcW w:w="657" w:type="pct"/>
                  <w:tcBorders>
                    <w:tl2br w:val="nil"/>
                    <w:tr2bl w:val="nil"/>
                  </w:tcBorders>
                  <w:noWrap w:val="0"/>
                  <w:vAlign w:val="center"/>
                </w:tcPr>
                <w:p w14:paraId="58AD2BD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644B5E0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15户</w:t>
                  </w:r>
                </w:p>
              </w:tc>
              <w:tc>
                <w:tcPr>
                  <w:tcW w:w="455" w:type="pct"/>
                  <w:tcBorders>
                    <w:tl2br w:val="nil"/>
                    <w:tr2bl w:val="nil"/>
                  </w:tcBorders>
                  <w:noWrap w:val="0"/>
                  <w:vAlign w:val="center"/>
                </w:tcPr>
                <w:p w14:paraId="3A6875A3">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17F98B4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noWrap w:val="0"/>
                  <w:vAlign w:val="center"/>
                </w:tcPr>
                <w:p w14:paraId="7559F99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1315</w:t>
                  </w:r>
                </w:p>
              </w:tc>
            </w:tr>
            <w:tr w14:paraId="77F11E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17E2002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632695E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于家棚</w:t>
                  </w:r>
                </w:p>
              </w:tc>
              <w:tc>
                <w:tcPr>
                  <w:tcW w:w="441" w:type="pct"/>
                  <w:tcBorders>
                    <w:tl2br w:val="nil"/>
                    <w:tr2bl w:val="nil"/>
                  </w:tcBorders>
                  <w:noWrap w:val="0"/>
                  <w:vAlign w:val="center"/>
                </w:tcPr>
                <w:p w14:paraId="527DF08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noWrap w:val="0"/>
                  <w:vAlign w:val="center"/>
                </w:tcPr>
                <w:p w14:paraId="1404C2F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-2160</w:t>
                  </w:r>
                </w:p>
              </w:tc>
              <w:tc>
                <w:tcPr>
                  <w:tcW w:w="657" w:type="pct"/>
                  <w:tcBorders>
                    <w:tl2br w:val="nil"/>
                    <w:tr2bl w:val="nil"/>
                  </w:tcBorders>
                  <w:noWrap w:val="0"/>
                  <w:vAlign w:val="center"/>
                </w:tcPr>
                <w:p w14:paraId="05557C8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40538CA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17户</w:t>
                  </w:r>
                </w:p>
              </w:tc>
              <w:tc>
                <w:tcPr>
                  <w:tcW w:w="455" w:type="pct"/>
                  <w:tcBorders>
                    <w:tl2br w:val="nil"/>
                    <w:tr2bl w:val="nil"/>
                  </w:tcBorders>
                  <w:noWrap w:val="0"/>
                  <w:vAlign w:val="center"/>
                </w:tcPr>
                <w:p w14:paraId="7716C63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CCCD80C">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3FB2B88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2160</w:t>
                  </w:r>
                </w:p>
              </w:tc>
            </w:tr>
            <w:tr w14:paraId="09AD13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76B14FB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667AE44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后庙村</w:t>
                  </w:r>
                </w:p>
              </w:tc>
              <w:tc>
                <w:tcPr>
                  <w:tcW w:w="441" w:type="pct"/>
                  <w:tcBorders>
                    <w:tl2br w:val="nil"/>
                    <w:tr2bl w:val="nil"/>
                  </w:tcBorders>
                  <w:noWrap w:val="0"/>
                  <w:vAlign w:val="center"/>
                </w:tcPr>
                <w:p w14:paraId="3641BB5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441" w:type="pct"/>
                  <w:tcBorders>
                    <w:tl2br w:val="nil"/>
                    <w:tr2bl w:val="nil"/>
                  </w:tcBorders>
                  <w:noWrap w:val="0"/>
                  <w:vAlign w:val="center"/>
                </w:tcPr>
                <w:p w14:paraId="5FE1B78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-2115</w:t>
                  </w:r>
                </w:p>
              </w:tc>
              <w:tc>
                <w:tcPr>
                  <w:tcW w:w="657" w:type="pct"/>
                  <w:tcBorders>
                    <w:tl2br w:val="nil"/>
                    <w:tr2bl w:val="nil"/>
                  </w:tcBorders>
                  <w:noWrap w:val="0"/>
                  <w:vAlign w:val="center"/>
                </w:tcPr>
                <w:p w14:paraId="07DFE14B">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45C1A81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10户</w:t>
                  </w:r>
                </w:p>
              </w:tc>
              <w:tc>
                <w:tcPr>
                  <w:tcW w:w="455" w:type="pct"/>
                  <w:tcBorders>
                    <w:tl2br w:val="nil"/>
                    <w:tr2bl w:val="nil"/>
                  </w:tcBorders>
                  <w:noWrap w:val="0"/>
                  <w:vAlign w:val="center"/>
                </w:tcPr>
                <w:p w14:paraId="488230F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10E428F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t>
                  </w:r>
                </w:p>
              </w:tc>
              <w:tc>
                <w:tcPr>
                  <w:tcW w:w="556" w:type="pct"/>
                  <w:tcBorders>
                    <w:tl2br w:val="nil"/>
                    <w:tr2bl w:val="nil"/>
                  </w:tcBorders>
                  <w:noWrap w:val="0"/>
                  <w:vAlign w:val="center"/>
                </w:tcPr>
                <w:p w14:paraId="4ED5170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2115</w:t>
                  </w:r>
                </w:p>
              </w:tc>
            </w:tr>
            <w:tr w14:paraId="7850A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9912B0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5109BF4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陈家棚</w:t>
                  </w:r>
                </w:p>
              </w:tc>
              <w:tc>
                <w:tcPr>
                  <w:tcW w:w="441" w:type="pct"/>
                  <w:tcBorders>
                    <w:tl2br w:val="nil"/>
                    <w:tr2bl w:val="nil"/>
                  </w:tcBorders>
                  <w:noWrap w:val="0"/>
                  <w:vAlign w:val="center"/>
                </w:tcPr>
                <w:p w14:paraId="4121D91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-610</w:t>
                  </w:r>
                </w:p>
              </w:tc>
              <w:tc>
                <w:tcPr>
                  <w:tcW w:w="441" w:type="pct"/>
                  <w:tcBorders>
                    <w:tl2br w:val="nil"/>
                    <w:tr2bl w:val="nil"/>
                  </w:tcBorders>
                  <w:noWrap w:val="0"/>
                  <w:vAlign w:val="center"/>
                </w:tcPr>
                <w:p w14:paraId="0349C60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-290</w:t>
                  </w:r>
                </w:p>
              </w:tc>
              <w:tc>
                <w:tcPr>
                  <w:tcW w:w="657" w:type="pct"/>
                  <w:tcBorders>
                    <w:tl2br w:val="nil"/>
                    <w:tr2bl w:val="nil"/>
                  </w:tcBorders>
                  <w:noWrap w:val="0"/>
                  <w:vAlign w:val="center"/>
                </w:tcPr>
                <w:p w14:paraId="1CF00F6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613EF4B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12户</w:t>
                  </w:r>
                </w:p>
              </w:tc>
              <w:tc>
                <w:tcPr>
                  <w:tcW w:w="455" w:type="pct"/>
                  <w:tcBorders>
                    <w:tl2br w:val="nil"/>
                    <w:tr2bl w:val="nil"/>
                  </w:tcBorders>
                  <w:noWrap w:val="0"/>
                  <w:vAlign w:val="center"/>
                </w:tcPr>
                <w:p w14:paraId="2CEDF243">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77DAF7F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noWrap w:val="0"/>
                  <w:vAlign w:val="center"/>
                </w:tcPr>
                <w:p w14:paraId="20D859D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580</w:t>
                  </w:r>
                </w:p>
              </w:tc>
            </w:tr>
            <w:tr w14:paraId="78064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5C05F9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34E962D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大桥口</w:t>
                  </w:r>
                </w:p>
              </w:tc>
              <w:tc>
                <w:tcPr>
                  <w:tcW w:w="441" w:type="pct"/>
                  <w:tcBorders>
                    <w:tl2br w:val="nil"/>
                    <w:tr2bl w:val="nil"/>
                  </w:tcBorders>
                  <w:noWrap w:val="0"/>
                  <w:vAlign w:val="center"/>
                </w:tcPr>
                <w:p w14:paraId="2BAC4C2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-915</w:t>
                  </w:r>
                </w:p>
              </w:tc>
              <w:tc>
                <w:tcPr>
                  <w:tcW w:w="441" w:type="pct"/>
                  <w:tcBorders>
                    <w:tl2br w:val="nil"/>
                    <w:tr2bl w:val="nil"/>
                  </w:tcBorders>
                  <w:noWrap w:val="0"/>
                  <w:vAlign w:val="center"/>
                </w:tcPr>
                <w:p w14:paraId="279C7AE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657" w:type="pct"/>
                  <w:tcBorders>
                    <w:tl2br w:val="nil"/>
                    <w:tr2bl w:val="nil"/>
                  </w:tcBorders>
                  <w:noWrap w:val="0"/>
                  <w:vAlign w:val="center"/>
                </w:tcPr>
                <w:p w14:paraId="1970963F">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2E6E5C5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20户</w:t>
                  </w:r>
                </w:p>
              </w:tc>
              <w:tc>
                <w:tcPr>
                  <w:tcW w:w="455" w:type="pct"/>
                  <w:tcBorders>
                    <w:tl2br w:val="nil"/>
                    <w:tr2bl w:val="nil"/>
                  </w:tcBorders>
                  <w:noWrap w:val="0"/>
                  <w:vAlign w:val="center"/>
                </w:tcPr>
                <w:p w14:paraId="331DAE6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455E2DA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W</w:t>
                  </w:r>
                </w:p>
              </w:tc>
              <w:tc>
                <w:tcPr>
                  <w:tcW w:w="556" w:type="pct"/>
                  <w:tcBorders>
                    <w:tl2br w:val="nil"/>
                    <w:tr2bl w:val="nil"/>
                  </w:tcBorders>
                  <w:noWrap w:val="0"/>
                  <w:vAlign w:val="center"/>
                </w:tcPr>
                <w:p w14:paraId="553A0A0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915</w:t>
                  </w:r>
                </w:p>
              </w:tc>
            </w:tr>
            <w:tr w14:paraId="65F40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EE8114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05390DC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王母观</w:t>
                  </w:r>
                </w:p>
              </w:tc>
              <w:tc>
                <w:tcPr>
                  <w:tcW w:w="441" w:type="pct"/>
                  <w:tcBorders>
                    <w:tl2br w:val="nil"/>
                    <w:tr2bl w:val="nil"/>
                  </w:tcBorders>
                  <w:noWrap w:val="0"/>
                  <w:vAlign w:val="center"/>
                </w:tcPr>
                <w:p w14:paraId="70616A7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-1270</w:t>
                  </w:r>
                </w:p>
              </w:tc>
              <w:tc>
                <w:tcPr>
                  <w:tcW w:w="441" w:type="pct"/>
                  <w:tcBorders>
                    <w:tl2br w:val="nil"/>
                    <w:tr2bl w:val="nil"/>
                  </w:tcBorders>
                  <w:noWrap w:val="0"/>
                  <w:vAlign w:val="center"/>
                </w:tcPr>
                <w:p w14:paraId="2EC54F0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657" w:type="pct"/>
                  <w:tcBorders>
                    <w:tl2br w:val="nil"/>
                    <w:tr2bl w:val="nil"/>
                  </w:tcBorders>
                  <w:noWrap w:val="0"/>
                  <w:vAlign w:val="center"/>
                </w:tcPr>
                <w:p w14:paraId="24E5348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6FAFC4F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120户</w:t>
                  </w:r>
                </w:p>
              </w:tc>
              <w:tc>
                <w:tcPr>
                  <w:tcW w:w="455" w:type="pct"/>
                  <w:tcBorders>
                    <w:tl2br w:val="nil"/>
                    <w:tr2bl w:val="nil"/>
                  </w:tcBorders>
                  <w:noWrap w:val="0"/>
                  <w:vAlign w:val="center"/>
                </w:tcPr>
                <w:p w14:paraId="6D89E95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50D7CE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W</w:t>
                  </w:r>
                </w:p>
              </w:tc>
              <w:tc>
                <w:tcPr>
                  <w:tcW w:w="556" w:type="pct"/>
                  <w:tcBorders>
                    <w:tl2br w:val="nil"/>
                    <w:tr2bl w:val="nil"/>
                  </w:tcBorders>
                  <w:noWrap w:val="0"/>
                  <w:vAlign w:val="center"/>
                </w:tcPr>
                <w:p w14:paraId="39165F9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1270</w:t>
                  </w:r>
                </w:p>
              </w:tc>
            </w:tr>
            <w:tr w14:paraId="324C8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20445F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16C725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上溪圩</w:t>
                  </w:r>
                </w:p>
              </w:tc>
              <w:tc>
                <w:tcPr>
                  <w:tcW w:w="441" w:type="pct"/>
                  <w:tcBorders>
                    <w:tl2br w:val="nil"/>
                    <w:tr2bl w:val="nil"/>
                  </w:tcBorders>
                  <w:noWrap w:val="0"/>
                  <w:vAlign w:val="center"/>
                </w:tcPr>
                <w:p w14:paraId="730B9D7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-1810</w:t>
                  </w:r>
                </w:p>
              </w:tc>
              <w:tc>
                <w:tcPr>
                  <w:tcW w:w="441" w:type="pct"/>
                  <w:tcBorders>
                    <w:tl2br w:val="nil"/>
                    <w:tr2bl w:val="nil"/>
                  </w:tcBorders>
                  <w:noWrap w:val="0"/>
                  <w:vAlign w:val="center"/>
                </w:tcPr>
                <w:p w14:paraId="6E835D3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657" w:type="pct"/>
                  <w:tcBorders>
                    <w:tl2br w:val="nil"/>
                    <w:tr2bl w:val="nil"/>
                  </w:tcBorders>
                  <w:noWrap w:val="0"/>
                  <w:vAlign w:val="center"/>
                </w:tcPr>
                <w:p w14:paraId="60BA6DB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5064E3F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40户</w:t>
                  </w:r>
                </w:p>
              </w:tc>
              <w:tc>
                <w:tcPr>
                  <w:tcW w:w="455" w:type="pct"/>
                  <w:tcBorders>
                    <w:tl2br w:val="nil"/>
                    <w:tr2bl w:val="nil"/>
                  </w:tcBorders>
                  <w:noWrap w:val="0"/>
                  <w:vAlign w:val="center"/>
                </w:tcPr>
                <w:p w14:paraId="2096F663">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2D1A4F4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W</w:t>
                  </w:r>
                </w:p>
              </w:tc>
              <w:tc>
                <w:tcPr>
                  <w:tcW w:w="556" w:type="pct"/>
                  <w:tcBorders>
                    <w:tl2br w:val="nil"/>
                    <w:tr2bl w:val="nil"/>
                  </w:tcBorders>
                  <w:noWrap w:val="0"/>
                  <w:vAlign w:val="center"/>
                </w:tcPr>
                <w:p w14:paraId="31A40A1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1810</w:t>
                  </w:r>
                </w:p>
              </w:tc>
            </w:tr>
            <w:tr w14:paraId="45680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1CE5FA0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2C49820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大河庄</w:t>
                  </w:r>
                </w:p>
              </w:tc>
              <w:tc>
                <w:tcPr>
                  <w:tcW w:w="441" w:type="pct"/>
                  <w:tcBorders>
                    <w:tl2br w:val="nil"/>
                    <w:tr2bl w:val="nil"/>
                  </w:tcBorders>
                  <w:noWrap w:val="0"/>
                  <w:vAlign w:val="center"/>
                </w:tcPr>
                <w:p w14:paraId="11349BC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-580</w:t>
                  </w:r>
                </w:p>
              </w:tc>
              <w:tc>
                <w:tcPr>
                  <w:tcW w:w="441" w:type="pct"/>
                  <w:tcBorders>
                    <w:tl2br w:val="nil"/>
                    <w:tr2bl w:val="nil"/>
                  </w:tcBorders>
                  <w:noWrap w:val="0"/>
                  <w:vAlign w:val="center"/>
                </w:tcPr>
                <w:p w14:paraId="32FD500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720</w:t>
                  </w:r>
                </w:p>
              </w:tc>
              <w:tc>
                <w:tcPr>
                  <w:tcW w:w="657" w:type="pct"/>
                  <w:tcBorders>
                    <w:tl2br w:val="nil"/>
                    <w:tr2bl w:val="nil"/>
                  </w:tcBorders>
                  <w:noWrap w:val="0"/>
                  <w:vAlign w:val="center"/>
                </w:tcPr>
                <w:p w14:paraId="01F7D102">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4CBD090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35户</w:t>
                  </w:r>
                </w:p>
              </w:tc>
              <w:tc>
                <w:tcPr>
                  <w:tcW w:w="455" w:type="pct"/>
                  <w:tcBorders>
                    <w:tl2br w:val="nil"/>
                    <w:tr2bl w:val="nil"/>
                  </w:tcBorders>
                  <w:noWrap w:val="0"/>
                  <w:vAlign w:val="center"/>
                </w:tcPr>
                <w:p w14:paraId="6AC40FA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753AF29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noWrap w:val="0"/>
                  <w:vAlign w:val="center"/>
                </w:tcPr>
                <w:p w14:paraId="7374DA2D">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850</w:t>
                  </w:r>
                </w:p>
              </w:tc>
            </w:tr>
            <w:tr w14:paraId="2D6F7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5F6CB92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3301F18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庄房村</w:t>
                  </w:r>
                </w:p>
              </w:tc>
              <w:tc>
                <w:tcPr>
                  <w:tcW w:w="441" w:type="pct"/>
                  <w:tcBorders>
                    <w:tl2br w:val="nil"/>
                    <w:tr2bl w:val="nil"/>
                  </w:tcBorders>
                  <w:noWrap w:val="0"/>
                  <w:vAlign w:val="center"/>
                </w:tcPr>
                <w:p w14:paraId="5FA7DC3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-800</w:t>
                  </w:r>
                </w:p>
              </w:tc>
              <w:tc>
                <w:tcPr>
                  <w:tcW w:w="441" w:type="pct"/>
                  <w:tcBorders>
                    <w:tl2br w:val="nil"/>
                    <w:tr2bl w:val="nil"/>
                  </w:tcBorders>
                  <w:noWrap w:val="0"/>
                  <w:vAlign w:val="center"/>
                </w:tcPr>
                <w:p w14:paraId="34A26A0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955</w:t>
                  </w:r>
                </w:p>
              </w:tc>
              <w:tc>
                <w:tcPr>
                  <w:tcW w:w="657" w:type="pct"/>
                  <w:tcBorders>
                    <w:tl2br w:val="nil"/>
                    <w:tr2bl w:val="nil"/>
                  </w:tcBorders>
                  <w:noWrap w:val="0"/>
                  <w:vAlign w:val="center"/>
                </w:tcPr>
                <w:p w14:paraId="4E11BE5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E10BB5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20户</w:t>
                  </w:r>
                </w:p>
              </w:tc>
              <w:tc>
                <w:tcPr>
                  <w:tcW w:w="455" w:type="pct"/>
                  <w:tcBorders>
                    <w:tl2br w:val="nil"/>
                    <w:tr2bl w:val="nil"/>
                  </w:tcBorders>
                  <w:noWrap w:val="0"/>
                  <w:vAlign w:val="center"/>
                </w:tcPr>
                <w:p w14:paraId="01CF86E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CC1E1F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noWrap w:val="0"/>
                  <w:vAlign w:val="center"/>
                </w:tcPr>
                <w:p w14:paraId="61689C9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1215</w:t>
                  </w:r>
                </w:p>
              </w:tc>
            </w:tr>
            <w:tr w14:paraId="7410B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11B11AC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7F8EA6D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后溪圩村</w:t>
                  </w:r>
                </w:p>
              </w:tc>
              <w:tc>
                <w:tcPr>
                  <w:tcW w:w="441" w:type="pct"/>
                  <w:tcBorders>
                    <w:tl2br w:val="nil"/>
                    <w:tr2bl w:val="nil"/>
                  </w:tcBorders>
                  <w:noWrap w:val="0"/>
                  <w:vAlign w:val="center"/>
                </w:tcPr>
                <w:p w14:paraId="6C30E5D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-1660</w:t>
                  </w:r>
                </w:p>
              </w:tc>
              <w:tc>
                <w:tcPr>
                  <w:tcW w:w="441" w:type="pct"/>
                  <w:tcBorders>
                    <w:tl2br w:val="nil"/>
                    <w:tr2bl w:val="nil"/>
                  </w:tcBorders>
                  <w:noWrap w:val="0"/>
                  <w:vAlign w:val="center"/>
                </w:tcPr>
                <w:p w14:paraId="3C6B380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1070</w:t>
                  </w:r>
                </w:p>
              </w:tc>
              <w:tc>
                <w:tcPr>
                  <w:tcW w:w="657" w:type="pct"/>
                  <w:tcBorders>
                    <w:tl2br w:val="nil"/>
                    <w:tr2bl w:val="nil"/>
                  </w:tcBorders>
                  <w:noWrap w:val="0"/>
                  <w:vAlign w:val="center"/>
                </w:tcPr>
                <w:p w14:paraId="24BD66D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7890A12C">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50户</w:t>
                  </w:r>
                </w:p>
              </w:tc>
              <w:tc>
                <w:tcPr>
                  <w:tcW w:w="455" w:type="pct"/>
                  <w:tcBorders>
                    <w:tl2br w:val="nil"/>
                    <w:tr2bl w:val="nil"/>
                  </w:tcBorders>
                  <w:noWrap w:val="0"/>
                  <w:vAlign w:val="center"/>
                </w:tcPr>
                <w:p w14:paraId="63E73DA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3C3499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noWrap w:val="0"/>
                  <w:vAlign w:val="center"/>
                </w:tcPr>
                <w:p w14:paraId="35A74DD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1970</w:t>
                  </w:r>
                </w:p>
              </w:tc>
            </w:tr>
            <w:tr w14:paraId="3B600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0DD7544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noWrap w:val="0"/>
                  <w:vAlign w:val="center"/>
                </w:tcPr>
                <w:p w14:paraId="1DF8E2D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东杨巷</w:t>
                  </w:r>
                </w:p>
              </w:tc>
              <w:tc>
                <w:tcPr>
                  <w:tcW w:w="441" w:type="pct"/>
                  <w:tcBorders>
                    <w:tl2br w:val="nil"/>
                    <w:tr2bl w:val="nil"/>
                  </w:tcBorders>
                  <w:noWrap w:val="0"/>
                  <w:vAlign w:val="center"/>
                </w:tcPr>
                <w:p w14:paraId="1482BCE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1480</w:t>
                  </w:r>
                </w:p>
              </w:tc>
              <w:tc>
                <w:tcPr>
                  <w:tcW w:w="441" w:type="pct"/>
                  <w:tcBorders>
                    <w:tl2br w:val="nil"/>
                    <w:tr2bl w:val="nil"/>
                  </w:tcBorders>
                  <w:noWrap w:val="0"/>
                  <w:vAlign w:val="center"/>
                </w:tcPr>
                <w:p w14:paraId="73B1ED1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1680</w:t>
                  </w:r>
                </w:p>
              </w:tc>
              <w:tc>
                <w:tcPr>
                  <w:tcW w:w="657" w:type="pct"/>
                  <w:tcBorders>
                    <w:tl2br w:val="nil"/>
                    <w:tr2bl w:val="nil"/>
                  </w:tcBorders>
                  <w:noWrap w:val="0"/>
                  <w:vAlign w:val="center"/>
                </w:tcPr>
                <w:p w14:paraId="09C526E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noWrap w:val="0"/>
                  <w:vAlign w:val="center"/>
                </w:tcPr>
                <w:p w14:paraId="21A7DDFB">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25户</w:t>
                  </w:r>
                </w:p>
              </w:tc>
              <w:tc>
                <w:tcPr>
                  <w:tcW w:w="455" w:type="pct"/>
                  <w:tcBorders>
                    <w:tl2br w:val="nil"/>
                    <w:tr2bl w:val="nil"/>
                  </w:tcBorders>
                  <w:noWrap w:val="0"/>
                  <w:vAlign w:val="center"/>
                </w:tcPr>
                <w:p w14:paraId="0B14E56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noWrap w:val="0"/>
                  <w:vAlign w:val="center"/>
                </w:tcPr>
                <w:p w14:paraId="6F95CFA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noWrap w:val="0"/>
                  <w:vAlign w:val="center"/>
                </w:tcPr>
                <w:p w14:paraId="6027AC3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2130</w:t>
                  </w:r>
                </w:p>
              </w:tc>
            </w:tr>
            <w:tr w14:paraId="4F1D1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AE9379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20BB7DE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西杨巷</w:t>
                  </w:r>
                </w:p>
              </w:tc>
              <w:tc>
                <w:tcPr>
                  <w:tcW w:w="441" w:type="pct"/>
                  <w:tcBorders>
                    <w:tl2br w:val="nil"/>
                    <w:tr2bl w:val="nil"/>
                  </w:tcBorders>
                  <w:shd w:val="clear" w:color="auto" w:fill="auto"/>
                  <w:noWrap w:val="0"/>
                  <w:vAlign w:val="center"/>
                </w:tcPr>
                <w:p w14:paraId="183844D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1030</w:t>
                  </w:r>
                </w:p>
              </w:tc>
              <w:tc>
                <w:tcPr>
                  <w:tcW w:w="441" w:type="pct"/>
                  <w:tcBorders>
                    <w:tl2br w:val="nil"/>
                    <w:tr2bl w:val="nil"/>
                  </w:tcBorders>
                  <w:shd w:val="clear" w:color="auto" w:fill="auto"/>
                  <w:noWrap w:val="0"/>
                  <w:vAlign w:val="center"/>
                </w:tcPr>
                <w:p w14:paraId="1D998D4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1630</w:t>
                  </w:r>
                </w:p>
              </w:tc>
              <w:tc>
                <w:tcPr>
                  <w:tcW w:w="657" w:type="pct"/>
                  <w:tcBorders>
                    <w:tl2br w:val="nil"/>
                    <w:tr2bl w:val="nil"/>
                  </w:tcBorders>
                  <w:shd w:val="clear" w:color="auto" w:fill="auto"/>
                  <w:noWrap w:val="0"/>
                  <w:vAlign w:val="center"/>
                </w:tcPr>
                <w:p w14:paraId="2B34FFA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6BF25249">
                  <w:pPr>
                    <w:keepNext w:val="0"/>
                    <w:keepLines w:val="0"/>
                    <w:suppressLineNumbers w:val="0"/>
                    <w:spacing w:before="0" w:beforeLines="0" w:beforeAutospacing="0" w:after="0" w:afterAutospacing="0" w:line="240" w:lineRule="auto"/>
                    <w:ind w:left="0" w:right="0"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45户</w:t>
                  </w:r>
                </w:p>
              </w:tc>
              <w:tc>
                <w:tcPr>
                  <w:tcW w:w="455" w:type="pct"/>
                  <w:tcBorders>
                    <w:tl2br w:val="nil"/>
                    <w:tr2bl w:val="nil"/>
                  </w:tcBorders>
                  <w:shd w:val="clear" w:color="auto" w:fill="auto"/>
                  <w:noWrap w:val="0"/>
                  <w:vAlign w:val="center"/>
                </w:tcPr>
                <w:p w14:paraId="681217E6">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53AA307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NE</w:t>
                  </w:r>
                </w:p>
              </w:tc>
              <w:tc>
                <w:tcPr>
                  <w:tcW w:w="556" w:type="pct"/>
                  <w:tcBorders>
                    <w:tl2br w:val="nil"/>
                    <w:tr2bl w:val="nil"/>
                  </w:tcBorders>
                  <w:shd w:val="clear" w:color="auto" w:fill="auto"/>
                  <w:noWrap w:val="0"/>
                  <w:vAlign w:val="center"/>
                </w:tcPr>
                <w:p w14:paraId="2D38CD4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1915</w:t>
                  </w:r>
                </w:p>
              </w:tc>
            </w:tr>
            <w:tr w14:paraId="3EF71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F834A2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769D326D">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东巷</w:t>
                  </w:r>
                </w:p>
              </w:tc>
              <w:tc>
                <w:tcPr>
                  <w:tcW w:w="441" w:type="pct"/>
                  <w:tcBorders>
                    <w:tl2br w:val="nil"/>
                    <w:tr2bl w:val="nil"/>
                  </w:tcBorders>
                  <w:shd w:val="clear" w:color="auto" w:fill="auto"/>
                  <w:noWrap w:val="0"/>
                  <w:vAlign w:val="center"/>
                </w:tcPr>
                <w:p w14:paraId="391928F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1630</w:t>
                  </w:r>
                </w:p>
              </w:tc>
              <w:tc>
                <w:tcPr>
                  <w:tcW w:w="441" w:type="pct"/>
                  <w:tcBorders>
                    <w:tl2br w:val="nil"/>
                    <w:tr2bl w:val="nil"/>
                  </w:tcBorders>
                  <w:shd w:val="clear" w:color="auto" w:fill="auto"/>
                  <w:noWrap w:val="0"/>
                  <w:vAlign w:val="center"/>
                </w:tcPr>
                <w:p w14:paraId="31CAAA1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657" w:type="pct"/>
                  <w:tcBorders>
                    <w:tl2br w:val="nil"/>
                    <w:tr2bl w:val="nil"/>
                  </w:tcBorders>
                  <w:shd w:val="clear" w:color="auto" w:fill="auto"/>
                  <w:noWrap w:val="0"/>
                  <w:vAlign w:val="center"/>
                </w:tcPr>
                <w:p w14:paraId="1B11736D">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5CF3A865">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100户</w:t>
                  </w:r>
                </w:p>
              </w:tc>
              <w:tc>
                <w:tcPr>
                  <w:tcW w:w="455" w:type="pct"/>
                  <w:tcBorders>
                    <w:tl2br w:val="nil"/>
                    <w:tr2bl w:val="nil"/>
                  </w:tcBorders>
                  <w:shd w:val="clear" w:color="auto" w:fill="auto"/>
                  <w:noWrap w:val="0"/>
                  <w:vAlign w:val="center"/>
                </w:tcPr>
                <w:p w14:paraId="11E28720">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1A180507">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t>
                  </w:r>
                </w:p>
              </w:tc>
              <w:tc>
                <w:tcPr>
                  <w:tcW w:w="556" w:type="pct"/>
                  <w:tcBorders>
                    <w:tl2br w:val="nil"/>
                    <w:tr2bl w:val="nil"/>
                  </w:tcBorders>
                  <w:shd w:val="clear" w:color="auto" w:fill="auto"/>
                  <w:noWrap w:val="0"/>
                  <w:vAlign w:val="center"/>
                </w:tcPr>
                <w:p w14:paraId="12AD4500">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1630</w:t>
                  </w:r>
                </w:p>
              </w:tc>
            </w:tr>
            <w:tr w14:paraId="0164C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3B0A039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676A29F5">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岳阳村</w:t>
                  </w:r>
                </w:p>
              </w:tc>
              <w:tc>
                <w:tcPr>
                  <w:tcW w:w="752" w:type="dxa"/>
                  <w:tcBorders>
                    <w:tl2br w:val="nil"/>
                    <w:tr2bl w:val="nil"/>
                  </w:tcBorders>
                  <w:shd w:val="clear" w:color="auto" w:fill="auto"/>
                  <w:noWrap w:val="0"/>
                  <w:vAlign w:val="center"/>
                </w:tcPr>
                <w:p w14:paraId="3E51794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1685</w:t>
                  </w:r>
                </w:p>
              </w:tc>
              <w:tc>
                <w:tcPr>
                  <w:tcW w:w="441" w:type="pct"/>
                  <w:tcBorders>
                    <w:tl2br w:val="nil"/>
                    <w:tr2bl w:val="nil"/>
                  </w:tcBorders>
                  <w:shd w:val="clear" w:color="auto" w:fill="auto"/>
                  <w:noWrap w:val="0"/>
                  <w:vAlign w:val="center"/>
                </w:tcPr>
                <w:p w14:paraId="501EC1CB">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w:t>
                  </w:r>
                </w:p>
              </w:tc>
              <w:tc>
                <w:tcPr>
                  <w:tcW w:w="657" w:type="pct"/>
                  <w:tcBorders>
                    <w:tl2br w:val="nil"/>
                    <w:tr2bl w:val="nil"/>
                  </w:tcBorders>
                  <w:shd w:val="clear" w:color="auto" w:fill="auto"/>
                  <w:noWrap w:val="0"/>
                  <w:vAlign w:val="center"/>
                </w:tcPr>
                <w:p w14:paraId="7397FAB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2963FD55">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25户</w:t>
                  </w:r>
                </w:p>
              </w:tc>
              <w:tc>
                <w:tcPr>
                  <w:tcW w:w="455" w:type="pct"/>
                  <w:tcBorders>
                    <w:tl2br w:val="nil"/>
                    <w:tr2bl w:val="nil"/>
                  </w:tcBorders>
                  <w:shd w:val="clear" w:color="auto" w:fill="auto"/>
                  <w:noWrap w:val="0"/>
                  <w:vAlign w:val="center"/>
                </w:tcPr>
                <w:p w14:paraId="69957D49">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668D1F37">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t>
                  </w:r>
                </w:p>
              </w:tc>
              <w:tc>
                <w:tcPr>
                  <w:tcW w:w="556" w:type="pct"/>
                  <w:tcBorders>
                    <w:tl2br w:val="nil"/>
                    <w:tr2bl w:val="nil"/>
                  </w:tcBorders>
                  <w:shd w:val="clear" w:color="auto" w:fill="auto"/>
                  <w:noWrap w:val="0"/>
                  <w:vAlign w:val="center"/>
                </w:tcPr>
                <w:p w14:paraId="360671A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1685</w:t>
                  </w:r>
                </w:p>
              </w:tc>
            </w:tr>
            <w:tr w14:paraId="1A41CC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31B724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3D8B6E93">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中段村</w:t>
                  </w:r>
                </w:p>
              </w:tc>
              <w:tc>
                <w:tcPr>
                  <w:tcW w:w="752" w:type="dxa"/>
                  <w:tcBorders>
                    <w:tl2br w:val="nil"/>
                    <w:tr2bl w:val="nil"/>
                  </w:tcBorders>
                  <w:shd w:val="clear" w:color="auto" w:fill="auto"/>
                  <w:noWrap w:val="0"/>
                  <w:vAlign w:val="center"/>
                </w:tcPr>
                <w:p w14:paraId="7F887BD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1740</w:t>
                  </w:r>
                </w:p>
              </w:tc>
              <w:tc>
                <w:tcPr>
                  <w:tcW w:w="441" w:type="pct"/>
                  <w:tcBorders>
                    <w:tl2br w:val="nil"/>
                    <w:tr2bl w:val="nil"/>
                  </w:tcBorders>
                  <w:shd w:val="clear" w:color="auto" w:fill="auto"/>
                  <w:noWrap w:val="0"/>
                  <w:vAlign w:val="center"/>
                </w:tcPr>
                <w:p w14:paraId="4A99BAD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0</w:t>
                  </w:r>
                </w:p>
              </w:tc>
              <w:tc>
                <w:tcPr>
                  <w:tcW w:w="657" w:type="pct"/>
                  <w:tcBorders>
                    <w:tl2br w:val="nil"/>
                    <w:tr2bl w:val="nil"/>
                  </w:tcBorders>
                  <w:shd w:val="clear" w:color="auto" w:fill="auto"/>
                  <w:noWrap w:val="0"/>
                  <w:vAlign w:val="center"/>
                </w:tcPr>
                <w:p w14:paraId="5D20E51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6B9FA66C">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80户</w:t>
                  </w:r>
                </w:p>
              </w:tc>
              <w:tc>
                <w:tcPr>
                  <w:tcW w:w="455" w:type="pct"/>
                  <w:tcBorders>
                    <w:tl2br w:val="nil"/>
                    <w:tr2bl w:val="nil"/>
                  </w:tcBorders>
                  <w:shd w:val="clear" w:color="auto" w:fill="auto"/>
                  <w:noWrap w:val="0"/>
                  <w:vAlign w:val="center"/>
                </w:tcPr>
                <w:p w14:paraId="6B741D1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6BB277B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w:t>
                  </w:r>
                </w:p>
              </w:tc>
              <w:tc>
                <w:tcPr>
                  <w:tcW w:w="556" w:type="pct"/>
                  <w:tcBorders>
                    <w:tl2br w:val="nil"/>
                    <w:tr2bl w:val="nil"/>
                  </w:tcBorders>
                  <w:shd w:val="clear" w:color="auto" w:fill="auto"/>
                  <w:noWrap w:val="0"/>
                  <w:vAlign w:val="center"/>
                </w:tcPr>
                <w:p w14:paraId="48842687">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1740</w:t>
                  </w:r>
                </w:p>
              </w:tc>
            </w:tr>
            <w:tr w14:paraId="6648F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42B3F4DF">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6EA214B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西王村</w:t>
                  </w:r>
                </w:p>
              </w:tc>
              <w:tc>
                <w:tcPr>
                  <w:tcW w:w="752" w:type="dxa"/>
                  <w:tcBorders>
                    <w:tl2br w:val="nil"/>
                    <w:tr2bl w:val="nil"/>
                  </w:tcBorders>
                  <w:shd w:val="clear" w:color="auto" w:fill="auto"/>
                  <w:noWrap w:val="0"/>
                  <w:vAlign w:val="center"/>
                </w:tcPr>
                <w:p w14:paraId="0F14D7D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1960</w:t>
                  </w:r>
                </w:p>
              </w:tc>
              <w:tc>
                <w:tcPr>
                  <w:tcW w:w="441" w:type="pct"/>
                  <w:tcBorders>
                    <w:tl2br w:val="nil"/>
                    <w:tr2bl w:val="nil"/>
                  </w:tcBorders>
                  <w:shd w:val="clear" w:color="auto" w:fill="auto"/>
                  <w:noWrap w:val="0"/>
                  <w:vAlign w:val="center"/>
                </w:tcPr>
                <w:p w14:paraId="6D4D894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0</w:t>
                  </w:r>
                </w:p>
              </w:tc>
              <w:tc>
                <w:tcPr>
                  <w:tcW w:w="657" w:type="pct"/>
                  <w:tcBorders>
                    <w:tl2br w:val="nil"/>
                    <w:tr2bl w:val="nil"/>
                  </w:tcBorders>
                  <w:shd w:val="clear" w:color="auto" w:fill="auto"/>
                  <w:noWrap w:val="0"/>
                  <w:vAlign w:val="center"/>
                </w:tcPr>
                <w:p w14:paraId="72387E39">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755C056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75户</w:t>
                  </w:r>
                </w:p>
              </w:tc>
              <w:tc>
                <w:tcPr>
                  <w:tcW w:w="455" w:type="pct"/>
                  <w:tcBorders>
                    <w:tl2br w:val="nil"/>
                    <w:tr2bl w:val="nil"/>
                  </w:tcBorders>
                  <w:shd w:val="clear" w:color="auto" w:fill="auto"/>
                  <w:noWrap w:val="0"/>
                  <w:vAlign w:val="center"/>
                </w:tcPr>
                <w:p w14:paraId="7295DA8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7B0823E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w:t>
                  </w:r>
                </w:p>
              </w:tc>
              <w:tc>
                <w:tcPr>
                  <w:tcW w:w="556" w:type="pct"/>
                  <w:tcBorders>
                    <w:tl2br w:val="nil"/>
                    <w:tr2bl w:val="nil"/>
                  </w:tcBorders>
                  <w:shd w:val="clear" w:color="auto" w:fill="auto"/>
                  <w:noWrap w:val="0"/>
                  <w:vAlign w:val="center"/>
                </w:tcPr>
                <w:p w14:paraId="2AACE191">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1960</w:t>
                  </w:r>
                </w:p>
              </w:tc>
            </w:tr>
            <w:tr w14:paraId="7FACA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60F8D2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133FB9E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油榨头</w:t>
                  </w:r>
                </w:p>
              </w:tc>
              <w:tc>
                <w:tcPr>
                  <w:tcW w:w="441" w:type="pct"/>
                  <w:tcBorders>
                    <w:tl2br w:val="nil"/>
                    <w:tr2bl w:val="nil"/>
                  </w:tcBorders>
                  <w:shd w:val="clear" w:color="auto" w:fill="auto"/>
                  <w:noWrap w:val="0"/>
                  <w:vAlign w:val="center"/>
                </w:tcPr>
                <w:p w14:paraId="18310A5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-360</w:t>
                  </w:r>
                </w:p>
              </w:tc>
              <w:tc>
                <w:tcPr>
                  <w:tcW w:w="441" w:type="pct"/>
                  <w:tcBorders>
                    <w:tl2br w:val="nil"/>
                    <w:tr2bl w:val="nil"/>
                  </w:tcBorders>
                  <w:shd w:val="clear" w:color="auto" w:fill="auto"/>
                  <w:noWrap w:val="0"/>
                  <w:vAlign w:val="center"/>
                </w:tcPr>
                <w:p w14:paraId="19A46B2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2350</w:t>
                  </w:r>
                </w:p>
              </w:tc>
              <w:tc>
                <w:tcPr>
                  <w:tcW w:w="657" w:type="pct"/>
                  <w:tcBorders>
                    <w:tl2br w:val="nil"/>
                    <w:tr2bl w:val="nil"/>
                  </w:tcBorders>
                  <w:shd w:val="clear" w:color="auto" w:fill="auto"/>
                  <w:noWrap w:val="0"/>
                  <w:vAlign w:val="center"/>
                </w:tcPr>
                <w:p w14:paraId="2D6DD7E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3C1045D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23户</w:t>
                  </w:r>
                </w:p>
              </w:tc>
              <w:tc>
                <w:tcPr>
                  <w:tcW w:w="455" w:type="pct"/>
                  <w:tcBorders>
                    <w:tl2br w:val="nil"/>
                    <w:tr2bl w:val="nil"/>
                  </w:tcBorders>
                  <w:shd w:val="clear" w:color="auto" w:fill="auto"/>
                  <w:noWrap w:val="0"/>
                  <w:vAlign w:val="center"/>
                </w:tcPr>
                <w:p w14:paraId="58FC6D3E">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1E94E2F8">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NW</w:t>
                  </w:r>
                </w:p>
              </w:tc>
              <w:tc>
                <w:tcPr>
                  <w:tcW w:w="556" w:type="pct"/>
                  <w:tcBorders>
                    <w:tl2br w:val="nil"/>
                    <w:tr2bl w:val="nil"/>
                  </w:tcBorders>
                  <w:shd w:val="clear" w:color="auto" w:fill="auto"/>
                  <w:noWrap w:val="0"/>
                  <w:vAlign w:val="center"/>
                </w:tcPr>
                <w:p w14:paraId="260D0F32">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2250</w:t>
                  </w:r>
                </w:p>
              </w:tc>
            </w:tr>
            <w:tr w14:paraId="2E8CC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14A6CA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3184AC2A">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徐家</w:t>
                  </w:r>
                </w:p>
              </w:tc>
              <w:tc>
                <w:tcPr>
                  <w:tcW w:w="441" w:type="pct"/>
                  <w:tcBorders>
                    <w:tl2br w:val="nil"/>
                    <w:tr2bl w:val="nil"/>
                  </w:tcBorders>
                  <w:shd w:val="clear" w:color="auto" w:fill="auto"/>
                  <w:noWrap w:val="0"/>
                  <w:vAlign w:val="center"/>
                </w:tcPr>
                <w:p w14:paraId="1B87B30B">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-570</w:t>
                  </w:r>
                </w:p>
              </w:tc>
              <w:tc>
                <w:tcPr>
                  <w:tcW w:w="441" w:type="pct"/>
                  <w:tcBorders>
                    <w:tl2br w:val="nil"/>
                    <w:tr2bl w:val="nil"/>
                  </w:tcBorders>
                  <w:shd w:val="clear" w:color="auto" w:fill="auto"/>
                  <w:noWrap w:val="0"/>
                  <w:vAlign w:val="center"/>
                </w:tcPr>
                <w:p w14:paraId="085799F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1625</w:t>
                  </w:r>
                </w:p>
              </w:tc>
              <w:tc>
                <w:tcPr>
                  <w:tcW w:w="657" w:type="pct"/>
                  <w:tcBorders>
                    <w:tl2br w:val="nil"/>
                    <w:tr2bl w:val="nil"/>
                  </w:tcBorders>
                  <w:shd w:val="clear" w:color="auto" w:fill="auto"/>
                  <w:noWrap w:val="0"/>
                  <w:vAlign w:val="center"/>
                </w:tcPr>
                <w:p w14:paraId="16F0E49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shd w:val="clear" w:color="auto" w:fill="auto"/>
                      <w:lang w:val="en-US" w:eastAsia="zh-CN" w:bidi="ar-SA"/>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32F3799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18户</w:t>
                  </w:r>
                </w:p>
              </w:tc>
              <w:tc>
                <w:tcPr>
                  <w:tcW w:w="455" w:type="pct"/>
                  <w:tcBorders>
                    <w:tl2br w:val="nil"/>
                    <w:tr2bl w:val="nil"/>
                  </w:tcBorders>
                  <w:shd w:val="clear" w:color="auto" w:fill="auto"/>
                  <w:noWrap w:val="0"/>
                  <w:vAlign w:val="center"/>
                </w:tcPr>
                <w:p w14:paraId="08A8DB54">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42113F15">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NW</w:t>
                  </w:r>
                </w:p>
              </w:tc>
              <w:tc>
                <w:tcPr>
                  <w:tcW w:w="556" w:type="pct"/>
                  <w:tcBorders>
                    <w:tl2br w:val="nil"/>
                    <w:tr2bl w:val="nil"/>
                  </w:tcBorders>
                  <w:shd w:val="clear" w:color="auto" w:fill="auto"/>
                  <w:noWrap w:val="0"/>
                  <w:vAlign w:val="center"/>
                </w:tcPr>
                <w:p w14:paraId="75D95410">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1620</w:t>
                  </w:r>
                </w:p>
              </w:tc>
            </w:tr>
            <w:tr w14:paraId="410BD8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5941C7A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46C87D34">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金段村</w:t>
                  </w:r>
                </w:p>
              </w:tc>
              <w:tc>
                <w:tcPr>
                  <w:tcW w:w="441" w:type="pct"/>
                  <w:tcBorders>
                    <w:tl2br w:val="nil"/>
                    <w:tr2bl w:val="nil"/>
                  </w:tcBorders>
                  <w:shd w:val="clear" w:color="auto" w:fill="auto"/>
                  <w:noWrap w:val="0"/>
                  <w:vAlign w:val="center"/>
                </w:tcPr>
                <w:p w14:paraId="7006DC5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-1400</w:t>
                  </w:r>
                </w:p>
              </w:tc>
              <w:tc>
                <w:tcPr>
                  <w:tcW w:w="441" w:type="pct"/>
                  <w:tcBorders>
                    <w:tl2br w:val="nil"/>
                    <w:tr2bl w:val="nil"/>
                  </w:tcBorders>
                  <w:shd w:val="clear" w:color="auto" w:fill="auto"/>
                  <w:noWrap w:val="0"/>
                  <w:vAlign w:val="center"/>
                </w:tcPr>
                <w:p w14:paraId="1E1D162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1850</w:t>
                  </w:r>
                </w:p>
              </w:tc>
              <w:tc>
                <w:tcPr>
                  <w:tcW w:w="657" w:type="pct"/>
                  <w:tcBorders>
                    <w:tl2br w:val="nil"/>
                    <w:tr2bl w:val="nil"/>
                  </w:tcBorders>
                  <w:shd w:val="clear" w:color="auto" w:fill="auto"/>
                  <w:noWrap w:val="0"/>
                  <w:vAlign w:val="center"/>
                </w:tcPr>
                <w:p w14:paraId="3A14BEB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45341B9F">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50户</w:t>
                  </w:r>
                </w:p>
              </w:tc>
              <w:tc>
                <w:tcPr>
                  <w:tcW w:w="455" w:type="pct"/>
                  <w:tcBorders>
                    <w:tl2br w:val="nil"/>
                    <w:tr2bl w:val="nil"/>
                  </w:tcBorders>
                  <w:shd w:val="clear" w:color="auto" w:fill="auto"/>
                  <w:noWrap w:val="0"/>
                  <w:vAlign w:val="center"/>
                </w:tcPr>
                <w:p w14:paraId="4366C03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46D1EA9A">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shd w:val="clear" w:color="auto" w:fill="auto"/>
                  <w:noWrap w:val="0"/>
                  <w:vAlign w:val="center"/>
                </w:tcPr>
                <w:p w14:paraId="2B590A4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2255</w:t>
                  </w:r>
                </w:p>
              </w:tc>
            </w:tr>
            <w:tr w14:paraId="16BDC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59CC141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31410C24">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周家渡</w:t>
                  </w:r>
                </w:p>
              </w:tc>
              <w:tc>
                <w:tcPr>
                  <w:tcW w:w="441" w:type="pct"/>
                  <w:tcBorders>
                    <w:tl2br w:val="nil"/>
                    <w:tr2bl w:val="nil"/>
                  </w:tcBorders>
                  <w:shd w:val="clear" w:color="auto" w:fill="auto"/>
                  <w:noWrap w:val="0"/>
                  <w:vAlign w:val="center"/>
                </w:tcPr>
                <w:p w14:paraId="27EB0A5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-1470</w:t>
                  </w:r>
                </w:p>
              </w:tc>
              <w:tc>
                <w:tcPr>
                  <w:tcW w:w="441" w:type="pct"/>
                  <w:tcBorders>
                    <w:tl2br w:val="nil"/>
                    <w:tr2bl w:val="nil"/>
                  </w:tcBorders>
                  <w:shd w:val="clear" w:color="auto" w:fill="auto"/>
                  <w:noWrap w:val="0"/>
                  <w:vAlign w:val="center"/>
                </w:tcPr>
                <w:p w14:paraId="09CB7F3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2430</w:t>
                  </w:r>
                </w:p>
              </w:tc>
              <w:tc>
                <w:tcPr>
                  <w:tcW w:w="657" w:type="pct"/>
                  <w:tcBorders>
                    <w:tl2br w:val="nil"/>
                    <w:tr2bl w:val="nil"/>
                  </w:tcBorders>
                  <w:shd w:val="clear" w:color="auto" w:fill="auto"/>
                  <w:noWrap w:val="0"/>
                  <w:vAlign w:val="center"/>
                </w:tcPr>
                <w:p w14:paraId="4183F80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5AD9FA4E">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15户</w:t>
                  </w:r>
                </w:p>
              </w:tc>
              <w:tc>
                <w:tcPr>
                  <w:tcW w:w="455" w:type="pct"/>
                  <w:tcBorders>
                    <w:tl2br w:val="nil"/>
                    <w:tr2bl w:val="nil"/>
                  </w:tcBorders>
                  <w:shd w:val="clear" w:color="auto" w:fill="auto"/>
                  <w:noWrap w:val="0"/>
                  <w:vAlign w:val="center"/>
                </w:tcPr>
                <w:p w14:paraId="7252D09B">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1A8F0BB9">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shd w:val="clear" w:color="auto" w:fill="auto"/>
                  <w:noWrap w:val="0"/>
                  <w:vAlign w:val="center"/>
                </w:tcPr>
                <w:p w14:paraId="2B5C5D71">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2830</w:t>
                  </w:r>
                </w:p>
              </w:tc>
            </w:tr>
            <w:tr w14:paraId="5D9F1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0C73971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04BC162D">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东圩</w:t>
                  </w:r>
                </w:p>
              </w:tc>
              <w:tc>
                <w:tcPr>
                  <w:tcW w:w="441" w:type="pct"/>
                  <w:tcBorders>
                    <w:tl2br w:val="nil"/>
                    <w:tr2bl w:val="nil"/>
                  </w:tcBorders>
                  <w:shd w:val="clear" w:color="auto" w:fill="auto"/>
                  <w:noWrap w:val="0"/>
                  <w:vAlign w:val="center"/>
                </w:tcPr>
                <w:p w14:paraId="66B3C6C3">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-2270</w:t>
                  </w:r>
                </w:p>
              </w:tc>
              <w:tc>
                <w:tcPr>
                  <w:tcW w:w="441" w:type="pct"/>
                  <w:tcBorders>
                    <w:tl2br w:val="nil"/>
                    <w:tr2bl w:val="nil"/>
                  </w:tcBorders>
                  <w:shd w:val="clear" w:color="auto" w:fill="auto"/>
                  <w:noWrap w:val="0"/>
                  <w:vAlign w:val="center"/>
                </w:tcPr>
                <w:p w14:paraId="266D515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1500</w:t>
                  </w:r>
                </w:p>
              </w:tc>
              <w:tc>
                <w:tcPr>
                  <w:tcW w:w="657" w:type="pct"/>
                  <w:tcBorders>
                    <w:tl2br w:val="nil"/>
                    <w:tr2bl w:val="nil"/>
                  </w:tcBorders>
                  <w:shd w:val="clear" w:color="auto" w:fill="auto"/>
                  <w:noWrap w:val="0"/>
                  <w:vAlign w:val="center"/>
                </w:tcPr>
                <w:p w14:paraId="2A91D5E9">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60D87C5A">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18户</w:t>
                  </w:r>
                </w:p>
              </w:tc>
              <w:tc>
                <w:tcPr>
                  <w:tcW w:w="455" w:type="pct"/>
                  <w:tcBorders>
                    <w:tl2br w:val="nil"/>
                    <w:tr2bl w:val="nil"/>
                  </w:tcBorders>
                  <w:shd w:val="clear" w:color="auto" w:fill="auto"/>
                  <w:noWrap w:val="0"/>
                  <w:vAlign w:val="center"/>
                </w:tcPr>
                <w:p w14:paraId="6689DB4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72E5BBDE">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NW</w:t>
                  </w:r>
                </w:p>
              </w:tc>
              <w:tc>
                <w:tcPr>
                  <w:tcW w:w="556" w:type="pct"/>
                  <w:tcBorders>
                    <w:tl2br w:val="nil"/>
                    <w:tr2bl w:val="nil"/>
                  </w:tcBorders>
                  <w:shd w:val="clear" w:color="auto" w:fill="auto"/>
                  <w:noWrap w:val="0"/>
                  <w:vAlign w:val="center"/>
                </w:tcPr>
                <w:p w14:paraId="0115E75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2700</w:t>
                  </w:r>
                </w:p>
              </w:tc>
            </w:tr>
            <w:tr w14:paraId="1BF21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2B4C715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2A56F0D2">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西坝头</w:t>
                  </w:r>
                </w:p>
              </w:tc>
              <w:tc>
                <w:tcPr>
                  <w:tcW w:w="441" w:type="pct"/>
                  <w:tcBorders>
                    <w:tl2br w:val="nil"/>
                    <w:tr2bl w:val="nil"/>
                  </w:tcBorders>
                  <w:shd w:val="clear" w:color="auto" w:fill="auto"/>
                  <w:noWrap w:val="0"/>
                  <w:vAlign w:val="center"/>
                </w:tcPr>
                <w:p w14:paraId="0085D63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-2270</w:t>
                  </w:r>
                </w:p>
              </w:tc>
              <w:tc>
                <w:tcPr>
                  <w:tcW w:w="441" w:type="pct"/>
                  <w:tcBorders>
                    <w:tl2br w:val="nil"/>
                    <w:tr2bl w:val="nil"/>
                  </w:tcBorders>
                  <w:shd w:val="clear" w:color="auto" w:fill="auto"/>
                  <w:noWrap w:val="0"/>
                  <w:vAlign w:val="center"/>
                </w:tcPr>
                <w:p w14:paraId="3F6F86D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-480</w:t>
                  </w:r>
                </w:p>
              </w:tc>
              <w:tc>
                <w:tcPr>
                  <w:tcW w:w="657" w:type="pct"/>
                  <w:tcBorders>
                    <w:tl2br w:val="nil"/>
                    <w:tr2bl w:val="nil"/>
                  </w:tcBorders>
                  <w:shd w:val="clear" w:color="auto" w:fill="auto"/>
                  <w:noWrap w:val="0"/>
                  <w:vAlign w:val="center"/>
                </w:tcPr>
                <w:p w14:paraId="226DE4DA">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37DD336C">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38户</w:t>
                  </w:r>
                </w:p>
              </w:tc>
              <w:tc>
                <w:tcPr>
                  <w:tcW w:w="455" w:type="pct"/>
                  <w:tcBorders>
                    <w:tl2br w:val="nil"/>
                    <w:tr2bl w:val="nil"/>
                  </w:tcBorders>
                  <w:shd w:val="clear" w:color="auto" w:fill="auto"/>
                  <w:noWrap w:val="0"/>
                  <w:vAlign w:val="center"/>
                </w:tcPr>
                <w:p w14:paraId="54F6D26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7C477D43">
                  <w:pPr>
                    <w:keepNext w:val="0"/>
                    <w:keepLines w:val="0"/>
                    <w:suppressLineNumbers w:val="0"/>
                    <w:spacing w:before="0" w:beforeLines="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shd w:val="clear" w:color="auto" w:fill="auto"/>
                  <w:noWrap w:val="0"/>
                  <w:vAlign w:val="center"/>
                </w:tcPr>
                <w:p w14:paraId="70122FA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2305</w:t>
                  </w:r>
                </w:p>
              </w:tc>
            </w:tr>
            <w:tr w14:paraId="35489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7CE26C5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1C6D5CCD">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神塘湾</w:t>
                  </w:r>
                </w:p>
              </w:tc>
              <w:tc>
                <w:tcPr>
                  <w:tcW w:w="441" w:type="pct"/>
                  <w:tcBorders>
                    <w:tl2br w:val="nil"/>
                    <w:tr2bl w:val="nil"/>
                  </w:tcBorders>
                  <w:shd w:val="clear" w:color="auto" w:fill="auto"/>
                  <w:noWrap w:val="0"/>
                  <w:vAlign w:val="center"/>
                </w:tcPr>
                <w:p w14:paraId="347A67D7">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-1720</w:t>
                  </w:r>
                </w:p>
              </w:tc>
              <w:tc>
                <w:tcPr>
                  <w:tcW w:w="441" w:type="pct"/>
                  <w:tcBorders>
                    <w:tl2br w:val="nil"/>
                    <w:tr2bl w:val="nil"/>
                  </w:tcBorders>
                  <w:shd w:val="clear" w:color="auto" w:fill="auto"/>
                  <w:noWrap w:val="0"/>
                  <w:vAlign w:val="center"/>
                </w:tcPr>
                <w:p w14:paraId="613FBAF8">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-905</w:t>
                  </w:r>
                </w:p>
              </w:tc>
              <w:tc>
                <w:tcPr>
                  <w:tcW w:w="657" w:type="pct"/>
                  <w:tcBorders>
                    <w:tl2br w:val="nil"/>
                    <w:tr2bl w:val="nil"/>
                  </w:tcBorders>
                  <w:shd w:val="clear" w:color="auto" w:fill="auto"/>
                  <w:noWrap w:val="0"/>
                  <w:vAlign w:val="center"/>
                </w:tcPr>
                <w:p w14:paraId="114E95A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207A5D59">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40户</w:t>
                  </w:r>
                </w:p>
              </w:tc>
              <w:tc>
                <w:tcPr>
                  <w:tcW w:w="455" w:type="pct"/>
                  <w:tcBorders>
                    <w:tl2br w:val="nil"/>
                    <w:tr2bl w:val="nil"/>
                  </w:tcBorders>
                  <w:shd w:val="clear" w:color="auto" w:fill="auto"/>
                  <w:noWrap w:val="0"/>
                  <w:vAlign w:val="center"/>
                </w:tcPr>
                <w:p w14:paraId="5C324D55">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0B3D9A5F">
                  <w:pPr>
                    <w:keepNext w:val="0"/>
                    <w:keepLines w:val="0"/>
                    <w:suppressLineNumbers w:val="0"/>
                    <w:spacing w:before="0" w:beforeLines="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shd w:val="clear" w:color="auto" w:fill="auto"/>
                  <w:noWrap w:val="0"/>
                  <w:vAlign w:val="center"/>
                </w:tcPr>
                <w:p w14:paraId="5ED2236F">
                  <w:pPr>
                    <w:pStyle w:val="107"/>
                    <w:keepNext w:val="0"/>
                    <w:keepLines w:val="0"/>
                    <w:suppressLineNumbers w:val="0"/>
                    <w:tabs>
                      <w:tab w:val="left" w:pos="508"/>
                    </w:tabs>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1937</w:t>
                  </w:r>
                </w:p>
              </w:tc>
            </w:tr>
            <w:tr w14:paraId="5D6B2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4F0C0A6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5B17C89B">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韭菜塘</w:t>
                  </w:r>
                </w:p>
              </w:tc>
              <w:tc>
                <w:tcPr>
                  <w:tcW w:w="441" w:type="pct"/>
                  <w:tcBorders>
                    <w:tl2br w:val="nil"/>
                    <w:tr2bl w:val="nil"/>
                  </w:tcBorders>
                  <w:shd w:val="clear" w:color="auto" w:fill="auto"/>
                  <w:noWrap w:val="0"/>
                  <w:vAlign w:val="center"/>
                </w:tcPr>
                <w:p w14:paraId="694F8A1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-1540</w:t>
                  </w:r>
                </w:p>
              </w:tc>
              <w:tc>
                <w:tcPr>
                  <w:tcW w:w="441" w:type="pct"/>
                  <w:tcBorders>
                    <w:tl2br w:val="nil"/>
                    <w:tr2bl w:val="nil"/>
                  </w:tcBorders>
                  <w:shd w:val="clear" w:color="auto" w:fill="auto"/>
                  <w:noWrap w:val="0"/>
                  <w:vAlign w:val="center"/>
                </w:tcPr>
                <w:p w14:paraId="60E8D9D4">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-1130</w:t>
                  </w:r>
                </w:p>
              </w:tc>
              <w:tc>
                <w:tcPr>
                  <w:tcW w:w="657" w:type="pct"/>
                  <w:tcBorders>
                    <w:tl2br w:val="nil"/>
                    <w:tr2bl w:val="nil"/>
                  </w:tcBorders>
                  <w:shd w:val="clear" w:color="auto" w:fill="auto"/>
                  <w:noWrap w:val="0"/>
                  <w:vAlign w:val="center"/>
                </w:tcPr>
                <w:p w14:paraId="58AB8C48">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18C9D373">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15户</w:t>
                  </w:r>
                </w:p>
              </w:tc>
              <w:tc>
                <w:tcPr>
                  <w:tcW w:w="455" w:type="pct"/>
                  <w:tcBorders>
                    <w:tl2br w:val="nil"/>
                    <w:tr2bl w:val="nil"/>
                  </w:tcBorders>
                  <w:shd w:val="clear" w:color="auto" w:fill="auto"/>
                  <w:noWrap w:val="0"/>
                  <w:vAlign w:val="center"/>
                </w:tcPr>
                <w:p w14:paraId="59C80287">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709513C7">
                  <w:pPr>
                    <w:keepNext w:val="0"/>
                    <w:keepLines w:val="0"/>
                    <w:suppressLineNumbers w:val="0"/>
                    <w:spacing w:before="0" w:beforeLines="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shd w:val="clear" w:color="auto" w:fill="auto"/>
                  <w:noWrap w:val="0"/>
                  <w:vAlign w:val="center"/>
                </w:tcPr>
                <w:p w14:paraId="341D577E">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1840</w:t>
                  </w:r>
                </w:p>
              </w:tc>
            </w:tr>
            <w:tr w14:paraId="5ED8F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43198F7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1EF1F87A">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大家圩村</w:t>
                  </w:r>
                </w:p>
              </w:tc>
              <w:tc>
                <w:tcPr>
                  <w:tcW w:w="441" w:type="pct"/>
                  <w:tcBorders>
                    <w:tl2br w:val="nil"/>
                    <w:tr2bl w:val="nil"/>
                  </w:tcBorders>
                  <w:shd w:val="clear" w:color="auto" w:fill="auto"/>
                  <w:noWrap w:val="0"/>
                  <w:vAlign w:val="center"/>
                </w:tcPr>
                <w:p w14:paraId="3C869D2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-1090</w:t>
                  </w:r>
                </w:p>
              </w:tc>
              <w:tc>
                <w:tcPr>
                  <w:tcW w:w="441" w:type="pct"/>
                  <w:tcBorders>
                    <w:tl2br w:val="nil"/>
                    <w:tr2bl w:val="nil"/>
                  </w:tcBorders>
                  <w:shd w:val="clear" w:color="auto" w:fill="auto"/>
                  <w:noWrap w:val="0"/>
                  <w:vAlign w:val="center"/>
                </w:tcPr>
                <w:p w14:paraId="4B9738B6">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-800</w:t>
                  </w:r>
                </w:p>
              </w:tc>
              <w:tc>
                <w:tcPr>
                  <w:tcW w:w="657" w:type="pct"/>
                  <w:tcBorders>
                    <w:tl2br w:val="nil"/>
                    <w:tr2bl w:val="nil"/>
                  </w:tcBorders>
                  <w:shd w:val="clear" w:color="auto" w:fill="auto"/>
                  <w:noWrap w:val="0"/>
                  <w:vAlign w:val="center"/>
                </w:tcPr>
                <w:p w14:paraId="7CBD9111">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0DBE6190">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40户</w:t>
                  </w:r>
                </w:p>
              </w:tc>
              <w:tc>
                <w:tcPr>
                  <w:tcW w:w="455" w:type="pct"/>
                  <w:tcBorders>
                    <w:tl2br w:val="nil"/>
                    <w:tr2bl w:val="nil"/>
                  </w:tcBorders>
                  <w:shd w:val="clear" w:color="auto" w:fill="auto"/>
                  <w:noWrap w:val="0"/>
                  <w:vAlign w:val="center"/>
                </w:tcPr>
                <w:p w14:paraId="033FFC3E">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1853ACB7">
                  <w:pPr>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shd w:val="clear" w:color="auto" w:fill="auto"/>
                  <w:noWrap w:val="0"/>
                  <w:vAlign w:val="center"/>
                </w:tcPr>
                <w:p w14:paraId="404DE09C">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1385</w:t>
                  </w:r>
                </w:p>
              </w:tc>
            </w:tr>
            <w:tr w14:paraId="36AC3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vMerge w:val="continue"/>
                  <w:tcBorders>
                    <w:tl2br w:val="nil"/>
                    <w:tr2bl w:val="nil"/>
                  </w:tcBorders>
                  <w:noWrap w:val="0"/>
                  <w:vAlign w:val="center"/>
                </w:tcPr>
                <w:p w14:paraId="64E58202">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p>
              </w:tc>
              <w:tc>
                <w:tcPr>
                  <w:tcW w:w="1014" w:type="pct"/>
                  <w:tcBorders>
                    <w:tl2br w:val="nil"/>
                    <w:tr2bl w:val="nil"/>
                  </w:tcBorders>
                  <w:shd w:val="clear" w:color="auto" w:fill="auto"/>
                  <w:noWrap w:val="0"/>
                  <w:vAlign w:val="center"/>
                </w:tcPr>
                <w:p w14:paraId="43A1DF39">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下阴坟</w:t>
                  </w:r>
                </w:p>
              </w:tc>
              <w:tc>
                <w:tcPr>
                  <w:tcW w:w="441" w:type="pct"/>
                  <w:tcBorders>
                    <w:tl2br w:val="nil"/>
                    <w:tr2bl w:val="nil"/>
                  </w:tcBorders>
                  <w:shd w:val="clear" w:color="auto" w:fill="auto"/>
                  <w:noWrap w:val="0"/>
                  <w:vAlign w:val="center"/>
                </w:tcPr>
                <w:p w14:paraId="05752D49">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-1610</w:t>
                  </w:r>
                </w:p>
              </w:tc>
              <w:tc>
                <w:tcPr>
                  <w:tcW w:w="441" w:type="pct"/>
                  <w:tcBorders>
                    <w:tl2br w:val="nil"/>
                    <w:tr2bl w:val="nil"/>
                  </w:tcBorders>
                  <w:shd w:val="clear" w:color="auto" w:fill="auto"/>
                  <w:noWrap w:val="0"/>
                  <w:vAlign w:val="center"/>
                </w:tcPr>
                <w:p w14:paraId="5CD64BDA">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-1460</w:t>
                  </w:r>
                </w:p>
              </w:tc>
              <w:tc>
                <w:tcPr>
                  <w:tcW w:w="657" w:type="pct"/>
                  <w:tcBorders>
                    <w:tl2br w:val="nil"/>
                    <w:tr2bl w:val="nil"/>
                  </w:tcBorders>
                  <w:shd w:val="clear" w:color="auto" w:fill="auto"/>
                  <w:noWrap w:val="0"/>
                  <w:vAlign w:val="center"/>
                </w:tcPr>
                <w:p w14:paraId="1108183C">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居民区</w:t>
                  </w:r>
                </w:p>
              </w:tc>
              <w:tc>
                <w:tcPr>
                  <w:tcW w:w="505" w:type="pct"/>
                  <w:tcBorders>
                    <w:tl2br w:val="nil"/>
                    <w:tr2bl w:val="nil"/>
                  </w:tcBorders>
                  <w:shd w:val="clear" w:color="auto" w:fill="auto"/>
                  <w:noWrap w:val="0"/>
                  <w:vAlign w:val="center"/>
                </w:tcPr>
                <w:p w14:paraId="31F7DBCC">
                  <w:pPr>
                    <w:pStyle w:val="107"/>
                    <w:keepNext w:val="0"/>
                    <w:keepLines w:val="0"/>
                    <w:suppressLineNumbers w:val="0"/>
                    <w:spacing w:before="0" w:beforeLines="0" w:beforeAutospacing="0" w:after="0" w:afterAutospacing="0" w:line="240" w:lineRule="auto"/>
                    <w:ind w:left="0" w:right="0" w:firstLine="0" w:firstLineChars="0"/>
                    <w:jc w:val="center"/>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50户</w:t>
                  </w:r>
                </w:p>
              </w:tc>
              <w:tc>
                <w:tcPr>
                  <w:tcW w:w="455" w:type="pct"/>
                  <w:tcBorders>
                    <w:tl2br w:val="nil"/>
                    <w:tr2bl w:val="nil"/>
                  </w:tcBorders>
                  <w:shd w:val="clear" w:color="auto" w:fill="auto"/>
                  <w:noWrap w:val="0"/>
                  <w:vAlign w:val="center"/>
                </w:tcPr>
                <w:p w14:paraId="73524304">
                  <w:pPr>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二类</w:t>
                  </w:r>
                </w:p>
              </w:tc>
              <w:tc>
                <w:tcPr>
                  <w:tcW w:w="555" w:type="pct"/>
                  <w:tcBorders>
                    <w:tl2br w:val="nil"/>
                    <w:tr2bl w:val="nil"/>
                  </w:tcBorders>
                  <w:shd w:val="clear" w:color="auto" w:fill="auto"/>
                  <w:noWrap w:val="0"/>
                  <w:vAlign w:val="center"/>
                </w:tcPr>
                <w:p w14:paraId="0E685B5E">
                  <w:pPr>
                    <w:keepNext w:val="0"/>
                    <w:keepLines w:val="0"/>
                    <w:suppressLineNumbers w:val="0"/>
                    <w:spacing w:before="0" w:beforeLines="0" w:beforeAutospacing="0" w:after="0" w:afterAutospacing="0" w:line="240" w:lineRule="auto"/>
                    <w:ind w:left="0" w:right="0" w:firstLine="0" w:firstLineChars="0"/>
                    <w:jc w:val="center"/>
                    <w:rPr>
                      <w:rFonts w:hint="eastAsia" w:cs="Times New Roman"/>
                      <w:bCs/>
                      <w:color w:val="auto"/>
                      <w:kern w:val="2"/>
                      <w:sz w:val="21"/>
                      <w:szCs w:val="21"/>
                      <w:lang w:val="en-US" w:eastAsia="zh-CN" w:bidi="ar-SA"/>
                    </w:rPr>
                  </w:pPr>
                  <w:r>
                    <w:rPr>
                      <w:rFonts w:hint="eastAsia" w:cs="Times New Roman"/>
                      <w:bCs/>
                      <w:color w:val="auto"/>
                      <w:kern w:val="2"/>
                      <w:sz w:val="21"/>
                      <w:szCs w:val="21"/>
                      <w:lang w:val="en-US" w:eastAsia="zh-CN" w:bidi="ar-SA"/>
                    </w:rPr>
                    <w:t>SW</w:t>
                  </w:r>
                </w:p>
              </w:tc>
              <w:tc>
                <w:tcPr>
                  <w:tcW w:w="556" w:type="pct"/>
                  <w:tcBorders>
                    <w:tl2br w:val="nil"/>
                    <w:tr2bl w:val="nil"/>
                  </w:tcBorders>
                  <w:shd w:val="clear" w:color="auto" w:fill="auto"/>
                  <w:noWrap w:val="0"/>
                  <w:vAlign w:val="center"/>
                </w:tcPr>
                <w:p w14:paraId="55B83F35">
                  <w:pPr>
                    <w:pStyle w:val="107"/>
                    <w:keepNext w:val="0"/>
                    <w:keepLines w:val="0"/>
                    <w:suppressLineNumbers w:val="0"/>
                    <w:spacing w:before="0" w:beforeLines="0" w:beforeAutospacing="0" w:after="0" w:afterAutospacing="0" w:line="240" w:lineRule="auto"/>
                    <w:ind w:left="0" w:right="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2200</w:t>
                  </w:r>
                </w:p>
              </w:tc>
            </w:tr>
          </w:tbl>
          <w:p w14:paraId="0575F0DC">
            <w:pPr>
              <w:pStyle w:val="107"/>
              <w:keepNext w:val="0"/>
              <w:keepLines w:val="0"/>
              <w:pageBreakBefore w:val="0"/>
              <w:widowControl w:val="0"/>
              <w:suppressLineNumbers w:val="0"/>
              <w:kinsoku/>
              <w:wordWrap/>
              <w:overflowPunct/>
              <w:topLinePunct w:val="0"/>
              <w:autoSpaceDE w:val="0"/>
              <w:autoSpaceDN w:val="0"/>
              <w:bidi w:val="0"/>
              <w:adjustRightInd w:val="0"/>
              <w:snapToGrid w:val="0"/>
              <w:spacing w:before="0" w:beforeLines="0" w:beforeAutospacing="0" w:after="0" w:afterAutospacing="0" w:line="240" w:lineRule="auto"/>
              <w:ind w:left="0" w:right="0" w:firstLine="0" w:firstLineChars="0"/>
              <w:textAlignment w:val="auto"/>
              <w:rPr>
                <w:rFonts w:hint="default" w:ascii="Times New Roman" w:hAnsi="Times New Roman" w:eastAsia="宋体" w:cs="Times New Roman"/>
                <w:bCs/>
                <w:color w:val="auto"/>
                <w:sz w:val="21"/>
                <w:szCs w:val="21"/>
              </w:rPr>
            </w:pPr>
            <w:r>
              <w:rPr>
                <w:rFonts w:hint="eastAsia" w:cs="Times New Roman"/>
                <w:b/>
                <w:bCs/>
                <w:color w:val="auto"/>
                <w:sz w:val="21"/>
                <w:szCs w:val="21"/>
                <w:lang w:val="en-US" w:eastAsia="zh-CN"/>
              </w:rPr>
              <w:t>备注：</w:t>
            </w:r>
            <w:r>
              <w:rPr>
                <w:rFonts w:hint="eastAsia" w:cs="Times New Roman"/>
                <w:bCs/>
                <w:color w:val="auto"/>
                <w:sz w:val="21"/>
                <w:szCs w:val="21"/>
                <w:lang w:val="en-US" w:eastAsia="zh-CN"/>
              </w:rPr>
              <w:t>①</w:t>
            </w:r>
            <w:r>
              <w:rPr>
                <w:rFonts w:hint="default" w:ascii="Times New Roman" w:hAnsi="Times New Roman" w:eastAsia="宋体" w:cs="Times New Roman"/>
                <w:bCs/>
                <w:color w:val="auto"/>
                <w:sz w:val="21"/>
                <w:szCs w:val="21"/>
              </w:rPr>
              <w:t>（0,0）点坐标为厂区中心，相对距离指敏感目标到厂界最近直线距离。</w:t>
            </w:r>
          </w:p>
          <w:p w14:paraId="7C8DB980">
            <w:pPr>
              <w:keepNext w:val="0"/>
              <w:keepLines w:val="0"/>
              <w:numPr>
                <w:ilvl w:val="0"/>
                <w:numId w:val="0"/>
              </w:numPr>
              <w:suppressLineNumbers w:val="0"/>
              <w:spacing w:before="0" w:beforeAutospacing="0" w:after="0" w:afterAutospacing="0" w:line="240" w:lineRule="auto"/>
              <w:ind w:left="420" w:leftChars="200" w:right="0" w:rightChars="0"/>
              <w:jc w:val="left"/>
              <w:rPr>
                <w:rFonts w:hint="default" w:ascii="Times New Roman" w:hAnsi="Times New Roman" w:eastAsia="宋体" w:cs="Times New Roman"/>
                <w:b/>
                <w:bCs/>
                <w:color w:val="auto"/>
                <w:sz w:val="21"/>
                <w:szCs w:val="21"/>
                <w:lang w:val="en-US" w:eastAsia="zh-CN"/>
              </w:rPr>
            </w:pPr>
            <w:r>
              <w:rPr>
                <w:rFonts w:hint="eastAsia" w:cs="Times New Roman"/>
                <w:b w:val="0"/>
                <w:bCs/>
                <w:color w:val="auto"/>
                <w:sz w:val="21"/>
                <w:szCs w:val="21"/>
                <w:lang w:val="en-US" w:eastAsia="zh-CN"/>
              </w:rPr>
              <w:t>②</w:t>
            </w:r>
            <w:r>
              <w:rPr>
                <w:rFonts w:hint="default" w:ascii="Times New Roman" w:hAnsi="Times New Roman" w:cs="Times New Roman"/>
                <w:b w:val="0"/>
                <w:bCs/>
                <w:color w:val="auto"/>
                <w:sz w:val="21"/>
                <w:szCs w:val="21"/>
                <w:lang w:val="en-US" w:eastAsia="zh-CN"/>
              </w:rPr>
              <w:t>大气环境保护范围内无对氟化物敏感的经济作物类（烟草、茶叶、甘蔗）。</w:t>
            </w:r>
          </w:p>
          <w:p w14:paraId="2BF8CFC1">
            <w:pPr>
              <w:keepNext w:val="0"/>
              <w:keepLines w:val="0"/>
              <w:numPr>
                <w:ilvl w:val="0"/>
                <w:numId w:val="8"/>
              </w:numPr>
              <w:suppressLineNumbers w:val="0"/>
              <w:spacing w:before="0" w:beforeAutospacing="0" w:after="0" w:afterAutospacing="0" w:line="480" w:lineRule="exact"/>
              <w:ind w:left="0" w:right="0" w:firstLine="482" w:firstLineChars="200"/>
              <w:jc w:val="left"/>
              <w:rPr>
                <w:rFonts w:hint="eastAsia" w:ascii="Times New Roman" w:hAnsi="Times New Roman" w:cs="Times New Roman"/>
                <w:b/>
                <w:bCs/>
                <w:color w:val="auto"/>
                <w:sz w:val="24"/>
              </w:rPr>
            </w:pPr>
            <w:r>
              <w:rPr>
                <w:rFonts w:hint="eastAsia" w:ascii="Times New Roman" w:hAnsi="Times New Roman" w:cs="Times New Roman"/>
                <w:b/>
                <w:bCs/>
                <w:color w:val="auto"/>
                <w:sz w:val="24"/>
              </w:rPr>
              <w:t>声环境保护目标</w:t>
            </w:r>
          </w:p>
          <w:p w14:paraId="5E82A436">
            <w:pPr>
              <w:keepNext w:val="0"/>
              <w:keepLines w:val="0"/>
              <w:suppressLineNumbers w:val="0"/>
              <w:adjustRightInd w:val="0"/>
              <w:snapToGrid w:val="0"/>
              <w:spacing w:before="0" w:beforeAutospacing="0" w:after="0" w:afterAutospacing="0" w:line="480" w:lineRule="exact"/>
              <w:ind w:left="0" w:right="0" w:firstLine="482"/>
              <w:jc w:val="left"/>
              <w:rPr>
                <w:rFonts w:hint="eastAsia" w:ascii="Times New Roman" w:hAnsi="Times New Roman" w:cs="Times New Roman"/>
                <w:bCs/>
                <w:color w:val="auto"/>
                <w:sz w:val="24"/>
                <w:lang w:bidi="ar"/>
              </w:rPr>
            </w:pPr>
            <w:r>
              <w:rPr>
                <w:rFonts w:hint="eastAsia" w:ascii="Times New Roman" w:hAnsi="Times New Roman" w:cs="Times New Roman"/>
                <w:bCs/>
                <w:color w:val="auto"/>
                <w:sz w:val="24"/>
                <w:lang w:bidi="ar"/>
              </w:rPr>
              <w:t>厂界外50m范围内无声环境保护目标。</w:t>
            </w:r>
          </w:p>
          <w:p w14:paraId="54C2C549">
            <w:pPr>
              <w:keepNext w:val="0"/>
              <w:keepLines w:val="0"/>
              <w:pageBreakBefore w:val="0"/>
              <w:numPr>
                <w:ilvl w:val="0"/>
                <w:numId w:val="8"/>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2" w:firstLineChars="200"/>
              <w:jc w:val="left"/>
              <w:textAlignment w:val="auto"/>
              <w:rPr>
                <w:rFonts w:hint="default"/>
                <w:b/>
                <w:color w:val="auto"/>
                <w:sz w:val="24"/>
                <w:szCs w:val="24"/>
              </w:rPr>
            </w:pPr>
            <w:r>
              <w:rPr>
                <w:rFonts w:hint="eastAsia"/>
                <w:b/>
                <w:color w:val="auto"/>
                <w:sz w:val="24"/>
                <w:szCs w:val="24"/>
                <w:lang w:val="en-US" w:eastAsia="zh-CN"/>
              </w:rPr>
              <w:t>地表水环境保护目标</w:t>
            </w:r>
          </w:p>
          <w:p w14:paraId="2EF1B7D1">
            <w:pPr>
              <w:pStyle w:val="60"/>
              <w:keepNext w:val="0"/>
              <w:keepLines w:val="0"/>
              <w:pageBreakBefore w:val="0"/>
              <w:widowControl/>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lang w:val="en-US" w:eastAsia="zh-CN"/>
              </w:rPr>
              <w:t>3.2</w:t>
            </w:r>
            <w:r>
              <w:rPr>
                <w:rFonts w:hint="default" w:ascii="Times New Roman" w:hAnsi="Times New Roman" w:eastAsia="宋体" w:cs="Times New Roman"/>
                <w:b/>
                <w:color w:val="auto"/>
                <w:sz w:val="24"/>
                <w:szCs w:val="24"/>
                <w:highlight w:val="none"/>
              </w:rPr>
              <w:t>-2  地表水环境保护目标情况一览表</w:t>
            </w:r>
          </w:p>
          <w:tbl>
            <w:tblPr>
              <w:tblStyle w:val="27"/>
              <w:tblW w:w="8104"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306"/>
              <w:gridCol w:w="710"/>
              <w:gridCol w:w="806"/>
              <w:gridCol w:w="2162"/>
              <w:gridCol w:w="914"/>
              <w:gridCol w:w="871"/>
              <w:gridCol w:w="671"/>
            </w:tblGrid>
            <w:tr w14:paraId="10D93F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664" w:type="dxa"/>
                  <w:vMerge w:val="restart"/>
                  <w:noWrap w:val="0"/>
                  <w:vAlign w:val="center"/>
                </w:tcPr>
                <w:p w14:paraId="6A3794D0">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环境</w:t>
                  </w:r>
                </w:p>
                <w:p w14:paraId="11733E5D">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要素</w:t>
                  </w:r>
                </w:p>
              </w:tc>
              <w:tc>
                <w:tcPr>
                  <w:tcW w:w="1306" w:type="dxa"/>
                  <w:vMerge w:val="restart"/>
                  <w:noWrap w:val="0"/>
                  <w:vAlign w:val="center"/>
                </w:tcPr>
                <w:p w14:paraId="2D31401B">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保护对象名称</w:t>
                  </w:r>
                </w:p>
              </w:tc>
              <w:tc>
                <w:tcPr>
                  <w:tcW w:w="1516" w:type="dxa"/>
                  <w:gridSpan w:val="2"/>
                  <w:noWrap w:val="0"/>
                  <w:vAlign w:val="center"/>
                </w:tcPr>
                <w:p w14:paraId="53A04204">
                  <w:pPr>
                    <w:keepNext w:val="0"/>
                    <w:keepLines w:val="0"/>
                    <w:widowControl/>
                    <w:suppressLineNumbers w:val="0"/>
                    <w:spacing w:before="0" w:beforeAutospacing="0" w:after="0" w:afterAutospacing="0" w:line="240" w:lineRule="auto"/>
                    <w:ind w:left="0" w:right="0"/>
                    <w:jc w:val="center"/>
                    <w:textAlignment w:val="center"/>
                    <w:rPr>
                      <w:rFonts w:hint="default" w:ascii="Times New Roman"/>
                      <w:b/>
                      <w:color w:val="auto"/>
                      <w:sz w:val="21"/>
                      <w:szCs w:val="21"/>
                    </w:rPr>
                  </w:pPr>
                  <w:r>
                    <w:rPr>
                      <w:rFonts w:hint="default" w:ascii="Times New Roman"/>
                      <w:b/>
                      <w:color w:val="auto"/>
                      <w:sz w:val="21"/>
                      <w:szCs w:val="21"/>
                    </w:rPr>
                    <w:t>坐标/m</w:t>
                  </w:r>
                </w:p>
              </w:tc>
              <w:tc>
                <w:tcPr>
                  <w:tcW w:w="2162" w:type="dxa"/>
                  <w:vMerge w:val="restart"/>
                  <w:noWrap w:val="0"/>
                  <w:vAlign w:val="center"/>
                </w:tcPr>
                <w:p w14:paraId="7383176E">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环境类别</w:t>
                  </w:r>
                </w:p>
              </w:tc>
              <w:tc>
                <w:tcPr>
                  <w:tcW w:w="914" w:type="dxa"/>
                  <w:vMerge w:val="restart"/>
                  <w:noWrap w:val="0"/>
                  <w:vAlign w:val="center"/>
                </w:tcPr>
                <w:p w14:paraId="5FAC2C7E">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相对厂址方位</w:t>
                  </w:r>
                </w:p>
              </w:tc>
              <w:tc>
                <w:tcPr>
                  <w:tcW w:w="871" w:type="dxa"/>
                  <w:vMerge w:val="restart"/>
                  <w:noWrap w:val="0"/>
                  <w:vAlign w:val="center"/>
                </w:tcPr>
                <w:p w14:paraId="118E4D01">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相对距离/m</w:t>
                  </w:r>
                </w:p>
              </w:tc>
              <w:tc>
                <w:tcPr>
                  <w:tcW w:w="671" w:type="dxa"/>
                  <w:vMerge w:val="restart"/>
                  <w:noWrap w:val="0"/>
                  <w:vAlign w:val="center"/>
                </w:tcPr>
                <w:p w14:paraId="332FFB62">
                  <w:pPr>
                    <w:keepNext w:val="0"/>
                    <w:keepLines w:val="0"/>
                    <w:widowControl/>
                    <w:suppressLineNumbers w:val="0"/>
                    <w:spacing w:before="0" w:beforeAutospacing="0" w:after="0" w:afterAutospacing="0" w:line="240" w:lineRule="auto"/>
                    <w:ind w:left="0" w:right="0"/>
                    <w:jc w:val="center"/>
                    <w:textAlignment w:val="center"/>
                    <w:rPr>
                      <w:rFonts w:hint="default" w:ascii="Times New Roman"/>
                      <w:b/>
                      <w:color w:val="auto"/>
                      <w:sz w:val="21"/>
                      <w:szCs w:val="21"/>
                      <w:lang w:bidi="ar"/>
                    </w:rPr>
                  </w:pPr>
                  <w:r>
                    <w:rPr>
                      <w:rFonts w:hint="default" w:ascii="Times New Roman"/>
                      <w:b/>
                      <w:color w:val="auto"/>
                      <w:sz w:val="21"/>
                      <w:szCs w:val="21"/>
                      <w:lang w:bidi="ar"/>
                    </w:rPr>
                    <w:t>高差</w:t>
                  </w:r>
                  <w:r>
                    <w:rPr>
                      <w:rFonts w:hint="default" w:ascii="Times New Roman"/>
                      <w:b/>
                      <w:color w:val="auto"/>
                      <w:sz w:val="21"/>
                      <w:szCs w:val="21"/>
                    </w:rPr>
                    <w:t>/m</w:t>
                  </w:r>
                </w:p>
              </w:tc>
            </w:tr>
            <w:tr w14:paraId="2EE6C1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664" w:type="dxa"/>
                  <w:vMerge w:val="continue"/>
                  <w:noWrap w:val="0"/>
                  <w:vAlign w:val="center"/>
                </w:tcPr>
                <w:p w14:paraId="7AA0D8DB">
                  <w:pPr>
                    <w:pStyle w:val="127"/>
                    <w:keepNext w:val="0"/>
                    <w:keepLines w:val="0"/>
                    <w:suppressLineNumbers w:val="0"/>
                    <w:spacing w:before="0" w:beforeAutospacing="0" w:after="0" w:afterAutospacing="0" w:line="240" w:lineRule="auto"/>
                    <w:ind w:left="0" w:right="0"/>
                    <w:rPr>
                      <w:rFonts w:hint="default" w:ascii="Times New Roman" w:hAnsi="Times New Roman"/>
                      <w:b/>
                      <w:color w:val="auto"/>
                      <w:sz w:val="21"/>
                      <w:szCs w:val="21"/>
                    </w:rPr>
                  </w:pPr>
                </w:p>
              </w:tc>
              <w:tc>
                <w:tcPr>
                  <w:tcW w:w="1306" w:type="dxa"/>
                  <w:vMerge w:val="continue"/>
                  <w:noWrap w:val="0"/>
                  <w:vAlign w:val="center"/>
                </w:tcPr>
                <w:p w14:paraId="7CF33A0E">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p>
              </w:tc>
              <w:tc>
                <w:tcPr>
                  <w:tcW w:w="710" w:type="dxa"/>
                  <w:noWrap w:val="0"/>
                  <w:vAlign w:val="center"/>
                </w:tcPr>
                <w:p w14:paraId="112F828B">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X</w:t>
                  </w:r>
                </w:p>
              </w:tc>
              <w:tc>
                <w:tcPr>
                  <w:tcW w:w="806" w:type="dxa"/>
                  <w:noWrap w:val="0"/>
                  <w:vAlign w:val="center"/>
                </w:tcPr>
                <w:p w14:paraId="5598BD0B">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r>
                    <w:rPr>
                      <w:rFonts w:hint="default" w:ascii="Times New Roman"/>
                      <w:b/>
                      <w:color w:val="auto"/>
                      <w:sz w:val="21"/>
                      <w:szCs w:val="21"/>
                    </w:rPr>
                    <w:t>Y</w:t>
                  </w:r>
                </w:p>
              </w:tc>
              <w:tc>
                <w:tcPr>
                  <w:tcW w:w="2162" w:type="dxa"/>
                  <w:vMerge w:val="continue"/>
                  <w:noWrap w:val="0"/>
                  <w:vAlign w:val="center"/>
                </w:tcPr>
                <w:p w14:paraId="66559473">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p>
              </w:tc>
              <w:tc>
                <w:tcPr>
                  <w:tcW w:w="914" w:type="dxa"/>
                  <w:vMerge w:val="continue"/>
                  <w:noWrap w:val="0"/>
                  <w:vAlign w:val="center"/>
                </w:tcPr>
                <w:p w14:paraId="6CBDC7DF">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p>
              </w:tc>
              <w:tc>
                <w:tcPr>
                  <w:tcW w:w="871" w:type="dxa"/>
                  <w:vMerge w:val="continue"/>
                  <w:noWrap w:val="0"/>
                  <w:vAlign w:val="center"/>
                </w:tcPr>
                <w:p w14:paraId="7BA184F3">
                  <w:pPr>
                    <w:keepNext w:val="0"/>
                    <w:keepLines w:val="0"/>
                    <w:suppressLineNumbers w:val="0"/>
                    <w:spacing w:before="0" w:beforeAutospacing="0" w:after="0" w:afterAutospacing="0" w:line="240" w:lineRule="auto"/>
                    <w:ind w:left="0" w:right="0"/>
                    <w:jc w:val="center"/>
                    <w:rPr>
                      <w:rFonts w:hint="default" w:ascii="Times New Roman"/>
                      <w:b/>
                      <w:color w:val="auto"/>
                      <w:sz w:val="21"/>
                      <w:szCs w:val="21"/>
                    </w:rPr>
                  </w:pPr>
                </w:p>
              </w:tc>
              <w:tc>
                <w:tcPr>
                  <w:tcW w:w="671" w:type="dxa"/>
                  <w:vMerge w:val="continue"/>
                  <w:noWrap w:val="0"/>
                  <w:vAlign w:val="center"/>
                </w:tcPr>
                <w:p w14:paraId="6454AD19">
                  <w:pPr>
                    <w:keepNext w:val="0"/>
                    <w:keepLines w:val="0"/>
                    <w:widowControl/>
                    <w:suppressLineNumbers w:val="0"/>
                    <w:spacing w:before="0" w:beforeAutospacing="0" w:after="0" w:afterAutospacing="0" w:line="240" w:lineRule="auto"/>
                    <w:ind w:left="0" w:right="0"/>
                    <w:jc w:val="center"/>
                    <w:textAlignment w:val="center"/>
                    <w:rPr>
                      <w:rFonts w:hint="default" w:ascii="Times New Roman"/>
                      <w:b/>
                      <w:color w:val="auto"/>
                      <w:sz w:val="21"/>
                      <w:szCs w:val="21"/>
                      <w:lang w:bidi="ar"/>
                    </w:rPr>
                  </w:pPr>
                </w:p>
              </w:tc>
            </w:tr>
            <w:tr w14:paraId="6C4A60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4" w:type="dxa"/>
                  <w:vMerge w:val="restart"/>
                  <w:noWrap w:val="0"/>
                  <w:vAlign w:val="center"/>
                </w:tcPr>
                <w:p w14:paraId="488B8DF2">
                  <w:pPr>
                    <w:pStyle w:val="127"/>
                    <w:keepNext w:val="0"/>
                    <w:keepLines w:val="0"/>
                    <w:suppressLineNumbers w:val="0"/>
                    <w:spacing w:before="0" w:beforeAutospacing="0" w:after="0" w:afterAutospacing="0" w:line="240" w:lineRule="auto"/>
                    <w:ind w:left="0" w:right="0"/>
                    <w:rPr>
                      <w:rFonts w:hint="default" w:ascii="Times New Roman" w:hAnsi="Times New Roman"/>
                      <w:color w:val="auto"/>
                      <w:sz w:val="21"/>
                      <w:szCs w:val="21"/>
                    </w:rPr>
                  </w:pPr>
                  <w:r>
                    <w:rPr>
                      <w:rFonts w:hint="default" w:ascii="Times New Roman" w:hAnsi="Times New Roman"/>
                      <w:color w:val="auto"/>
                      <w:sz w:val="21"/>
                      <w:szCs w:val="21"/>
                    </w:rPr>
                    <w:t>水环境</w:t>
                  </w:r>
                </w:p>
              </w:tc>
              <w:tc>
                <w:tcPr>
                  <w:tcW w:w="1306" w:type="dxa"/>
                  <w:noWrap w:val="0"/>
                  <w:vAlign w:val="center"/>
                </w:tcPr>
                <w:p w14:paraId="02DDF308">
                  <w:pPr>
                    <w:keepNext w:val="0"/>
                    <w:keepLines w:val="0"/>
                    <w:suppressLineNumbers w:val="0"/>
                    <w:spacing w:before="0" w:beforeAutospacing="0" w:after="0" w:afterAutospacing="0" w:line="240" w:lineRule="auto"/>
                    <w:ind w:left="0" w:right="0"/>
                    <w:jc w:val="center"/>
                    <w:rPr>
                      <w:rFonts w:hint="default" w:ascii="Times New Roman" w:eastAsia="宋体"/>
                      <w:color w:val="auto"/>
                      <w:sz w:val="21"/>
                      <w:szCs w:val="21"/>
                      <w:lang w:val="en-US" w:eastAsia="zh-CN"/>
                    </w:rPr>
                  </w:pPr>
                  <w:r>
                    <w:rPr>
                      <w:rFonts w:hint="eastAsia"/>
                      <w:color w:val="auto"/>
                      <w:sz w:val="21"/>
                      <w:szCs w:val="21"/>
                      <w:lang w:val="en-US" w:eastAsia="zh-CN"/>
                    </w:rPr>
                    <w:t>丹金溧漕河</w:t>
                  </w:r>
                </w:p>
              </w:tc>
              <w:tc>
                <w:tcPr>
                  <w:tcW w:w="710" w:type="dxa"/>
                  <w:noWrap w:val="0"/>
                  <w:vAlign w:val="center"/>
                </w:tcPr>
                <w:p w14:paraId="44635B51">
                  <w:pPr>
                    <w:keepNext w:val="0"/>
                    <w:keepLines w:val="0"/>
                    <w:widowControl/>
                    <w:suppressLineNumbers w:val="0"/>
                    <w:spacing w:before="0" w:beforeAutospacing="0" w:after="0" w:afterAutospacing="0" w:line="240" w:lineRule="auto"/>
                    <w:ind w:left="0" w:right="0"/>
                    <w:jc w:val="center"/>
                    <w:textAlignment w:val="center"/>
                    <w:rPr>
                      <w:rFonts w:hint="default" w:ascii="Times New Roman" w:eastAsia="宋体"/>
                      <w:color w:val="auto"/>
                      <w:sz w:val="21"/>
                      <w:szCs w:val="21"/>
                      <w:lang w:val="en-US" w:eastAsia="zh-CN"/>
                    </w:rPr>
                  </w:pPr>
                  <w:r>
                    <w:rPr>
                      <w:rFonts w:hint="eastAsia"/>
                      <w:color w:val="auto"/>
                      <w:sz w:val="21"/>
                      <w:szCs w:val="21"/>
                      <w:lang w:val="en-US" w:eastAsia="zh-CN"/>
                    </w:rPr>
                    <w:t>-953</w:t>
                  </w:r>
                </w:p>
              </w:tc>
              <w:tc>
                <w:tcPr>
                  <w:tcW w:w="806" w:type="dxa"/>
                  <w:noWrap w:val="0"/>
                  <w:vAlign w:val="center"/>
                </w:tcPr>
                <w:p w14:paraId="1F153F07">
                  <w:pPr>
                    <w:keepNext w:val="0"/>
                    <w:keepLines w:val="0"/>
                    <w:widowControl/>
                    <w:suppressLineNumbers w:val="0"/>
                    <w:spacing w:before="0" w:beforeAutospacing="0" w:after="0" w:afterAutospacing="0" w:line="240" w:lineRule="auto"/>
                    <w:ind w:left="0" w:right="0"/>
                    <w:jc w:val="center"/>
                    <w:textAlignment w:val="center"/>
                    <w:rPr>
                      <w:rFonts w:hint="default" w:ascii="Times New Roman"/>
                      <w:color w:val="auto"/>
                      <w:sz w:val="21"/>
                      <w:szCs w:val="21"/>
                      <w:lang w:val="en-US"/>
                    </w:rPr>
                  </w:pPr>
                  <w:r>
                    <w:rPr>
                      <w:rFonts w:hint="eastAsia"/>
                      <w:color w:val="auto"/>
                      <w:sz w:val="21"/>
                      <w:szCs w:val="21"/>
                      <w:lang w:val="en-US" w:eastAsia="zh-CN"/>
                    </w:rPr>
                    <w:t>0</w:t>
                  </w:r>
                </w:p>
              </w:tc>
              <w:tc>
                <w:tcPr>
                  <w:tcW w:w="2162" w:type="dxa"/>
                  <w:vMerge w:val="restart"/>
                  <w:noWrap w:val="0"/>
                  <w:vAlign w:val="center"/>
                </w:tcPr>
                <w:p w14:paraId="388267AC">
                  <w:pPr>
                    <w:keepNext w:val="0"/>
                    <w:keepLines w:val="0"/>
                    <w:suppressLineNumbers w:val="0"/>
                    <w:spacing w:before="0" w:beforeAutospacing="0" w:after="0" w:afterAutospacing="0" w:line="240" w:lineRule="auto"/>
                    <w:ind w:left="0" w:right="0"/>
                    <w:jc w:val="center"/>
                    <w:rPr>
                      <w:rFonts w:hint="default" w:ascii="Times New Roman"/>
                      <w:color w:val="auto"/>
                      <w:sz w:val="21"/>
                      <w:szCs w:val="21"/>
                    </w:rPr>
                  </w:pPr>
                  <w:r>
                    <w:rPr>
                      <w:rFonts w:hint="default" w:ascii="Times New Roman"/>
                      <w:color w:val="auto"/>
                      <w:sz w:val="21"/>
                      <w:szCs w:val="21"/>
                    </w:rPr>
                    <w:t>《地表水环境质量标准》（GB3838-2002）Ⅲ类</w:t>
                  </w:r>
                </w:p>
              </w:tc>
              <w:tc>
                <w:tcPr>
                  <w:tcW w:w="914" w:type="dxa"/>
                  <w:noWrap w:val="0"/>
                  <w:vAlign w:val="center"/>
                </w:tcPr>
                <w:p w14:paraId="6DF10AEF">
                  <w:pPr>
                    <w:keepNext w:val="0"/>
                    <w:keepLines w:val="0"/>
                    <w:suppressLineNumbers w:val="0"/>
                    <w:spacing w:before="0" w:beforeAutospacing="0" w:after="0" w:afterAutospacing="0" w:line="240" w:lineRule="auto"/>
                    <w:ind w:left="0" w:right="0"/>
                    <w:jc w:val="center"/>
                    <w:rPr>
                      <w:rFonts w:hint="eastAsia" w:ascii="Times New Roman" w:eastAsia="宋体"/>
                      <w:color w:val="auto"/>
                      <w:sz w:val="21"/>
                      <w:szCs w:val="21"/>
                      <w:lang w:eastAsia="zh-CN"/>
                    </w:rPr>
                  </w:pPr>
                  <w:r>
                    <w:rPr>
                      <w:rFonts w:hint="eastAsia"/>
                      <w:color w:val="auto"/>
                      <w:sz w:val="21"/>
                      <w:szCs w:val="21"/>
                      <w:lang w:val="en-US" w:eastAsia="zh-CN"/>
                    </w:rPr>
                    <w:t>西</w:t>
                  </w:r>
                </w:p>
              </w:tc>
              <w:tc>
                <w:tcPr>
                  <w:tcW w:w="871" w:type="dxa"/>
                  <w:noWrap w:val="0"/>
                  <w:vAlign w:val="center"/>
                </w:tcPr>
                <w:p w14:paraId="4FE00527">
                  <w:pPr>
                    <w:keepNext w:val="0"/>
                    <w:keepLines w:val="0"/>
                    <w:suppressLineNumbers w:val="0"/>
                    <w:spacing w:before="0" w:beforeAutospacing="0" w:after="0" w:afterAutospacing="0" w:line="240" w:lineRule="auto"/>
                    <w:ind w:left="0" w:right="0"/>
                    <w:jc w:val="center"/>
                    <w:rPr>
                      <w:rFonts w:hint="default" w:ascii="Times New Roman" w:eastAsia="宋体"/>
                      <w:color w:val="auto"/>
                      <w:sz w:val="21"/>
                      <w:szCs w:val="21"/>
                      <w:lang w:val="en-US" w:eastAsia="zh-CN"/>
                    </w:rPr>
                  </w:pPr>
                  <w:r>
                    <w:rPr>
                      <w:rFonts w:hint="eastAsia"/>
                      <w:color w:val="auto"/>
                      <w:spacing w:val="1"/>
                      <w:sz w:val="21"/>
                      <w:szCs w:val="21"/>
                      <w:lang w:val="en-US" w:eastAsia="zh-CN"/>
                    </w:rPr>
                    <w:t>953</w:t>
                  </w:r>
                </w:p>
              </w:tc>
              <w:tc>
                <w:tcPr>
                  <w:tcW w:w="671" w:type="dxa"/>
                  <w:noWrap w:val="0"/>
                  <w:vAlign w:val="center"/>
                </w:tcPr>
                <w:p w14:paraId="6573F024">
                  <w:pPr>
                    <w:keepNext w:val="0"/>
                    <w:keepLines w:val="0"/>
                    <w:widowControl/>
                    <w:suppressLineNumbers w:val="0"/>
                    <w:spacing w:before="0" w:beforeAutospacing="0" w:after="0" w:afterAutospacing="0" w:line="240" w:lineRule="auto"/>
                    <w:ind w:left="0" w:right="0"/>
                    <w:jc w:val="center"/>
                    <w:textAlignment w:val="center"/>
                    <w:rPr>
                      <w:rFonts w:hint="default" w:ascii="Times New Roman"/>
                      <w:color w:val="auto"/>
                      <w:sz w:val="21"/>
                      <w:szCs w:val="21"/>
                      <w:lang w:bidi="ar"/>
                    </w:rPr>
                  </w:pPr>
                  <w:r>
                    <w:rPr>
                      <w:rFonts w:hint="default" w:ascii="Times New Roman"/>
                      <w:color w:val="auto"/>
                      <w:sz w:val="21"/>
                      <w:szCs w:val="21"/>
                      <w:lang w:bidi="ar"/>
                    </w:rPr>
                    <w:t>1</w:t>
                  </w:r>
                </w:p>
              </w:tc>
            </w:tr>
            <w:tr w14:paraId="1F29B0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4" w:type="dxa"/>
                  <w:vMerge w:val="continue"/>
                  <w:noWrap w:val="0"/>
                  <w:vAlign w:val="center"/>
                </w:tcPr>
                <w:p w14:paraId="6AAB14E2">
                  <w:pPr>
                    <w:pStyle w:val="127"/>
                    <w:keepNext w:val="0"/>
                    <w:keepLines w:val="0"/>
                    <w:suppressLineNumbers w:val="0"/>
                    <w:spacing w:before="0" w:beforeAutospacing="0" w:after="0" w:afterAutospacing="0" w:line="240" w:lineRule="auto"/>
                    <w:ind w:left="0" w:right="0"/>
                    <w:rPr>
                      <w:rFonts w:hint="default" w:ascii="Times New Roman" w:hAnsi="Times New Roman"/>
                      <w:color w:val="auto"/>
                      <w:sz w:val="21"/>
                      <w:szCs w:val="21"/>
                    </w:rPr>
                  </w:pPr>
                </w:p>
              </w:tc>
              <w:tc>
                <w:tcPr>
                  <w:tcW w:w="1306" w:type="dxa"/>
                  <w:noWrap w:val="0"/>
                  <w:vAlign w:val="center"/>
                </w:tcPr>
                <w:p w14:paraId="59F034AA">
                  <w:pPr>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新河港</w:t>
                  </w:r>
                </w:p>
              </w:tc>
              <w:tc>
                <w:tcPr>
                  <w:tcW w:w="710" w:type="dxa"/>
                  <w:noWrap w:val="0"/>
                  <w:vAlign w:val="center"/>
                </w:tcPr>
                <w:p w14:paraId="456DB7E5">
                  <w:pPr>
                    <w:keepNext w:val="0"/>
                    <w:keepLines w:val="0"/>
                    <w:widowControl/>
                    <w:suppressLineNumbers w:val="0"/>
                    <w:spacing w:before="0" w:beforeAutospacing="0" w:after="0" w:afterAutospacing="0" w:line="240" w:lineRule="auto"/>
                    <w:ind w:left="0" w:right="0"/>
                    <w:jc w:val="center"/>
                    <w:textAlignment w:val="center"/>
                    <w:rPr>
                      <w:rFonts w:hint="default"/>
                      <w:color w:val="auto"/>
                      <w:sz w:val="21"/>
                      <w:szCs w:val="21"/>
                      <w:lang w:val="en-US" w:eastAsia="zh-CN"/>
                    </w:rPr>
                  </w:pPr>
                  <w:r>
                    <w:rPr>
                      <w:rFonts w:hint="eastAsia"/>
                      <w:color w:val="auto"/>
                      <w:sz w:val="21"/>
                      <w:szCs w:val="21"/>
                      <w:lang w:val="en-US" w:eastAsia="zh-CN"/>
                    </w:rPr>
                    <w:t>0</w:t>
                  </w:r>
                </w:p>
              </w:tc>
              <w:tc>
                <w:tcPr>
                  <w:tcW w:w="806" w:type="dxa"/>
                  <w:noWrap w:val="0"/>
                  <w:vAlign w:val="center"/>
                </w:tcPr>
                <w:p w14:paraId="1195909B">
                  <w:pPr>
                    <w:keepNext w:val="0"/>
                    <w:keepLines w:val="0"/>
                    <w:widowControl/>
                    <w:suppressLineNumbers w:val="0"/>
                    <w:spacing w:before="0" w:beforeAutospacing="0" w:after="0" w:afterAutospacing="0" w:line="240" w:lineRule="auto"/>
                    <w:ind w:left="0" w:right="0"/>
                    <w:jc w:val="center"/>
                    <w:textAlignment w:val="center"/>
                    <w:rPr>
                      <w:rFonts w:hint="default"/>
                      <w:color w:val="auto"/>
                      <w:sz w:val="21"/>
                      <w:szCs w:val="21"/>
                      <w:lang w:val="en-US" w:eastAsia="zh-CN"/>
                    </w:rPr>
                  </w:pPr>
                  <w:r>
                    <w:rPr>
                      <w:rFonts w:hint="eastAsia"/>
                      <w:color w:val="auto"/>
                      <w:sz w:val="21"/>
                      <w:szCs w:val="21"/>
                      <w:lang w:val="en-US" w:eastAsia="zh-CN"/>
                    </w:rPr>
                    <w:t>-1300</w:t>
                  </w:r>
                </w:p>
              </w:tc>
              <w:tc>
                <w:tcPr>
                  <w:tcW w:w="2162" w:type="dxa"/>
                  <w:vMerge w:val="continue"/>
                  <w:noWrap w:val="0"/>
                  <w:vAlign w:val="center"/>
                </w:tcPr>
                <w:p w14:paraId="3782C5A9">
                  <w:pPr>
                    <w:keepNext w:val="0"/>
                    <w:keepLines w:val="0"/>
                    <w:suppressLineNumbers w:val="0"/>
                    <w:spacing w:before="0" w:beforeAutospacing="0" w:after="0" w:afterAutospacing="0" w:line="240" w:lineRule="auto"/>
                    <w:ind w:left="0" w:right="0"/>
                    <w:jc w:val="center"/>
                    <w:rPr>
                      <w:rFonts w:hint="default" w:ascii="Times New Roman"/>
                      <w:color w:val="auto"/>
                      <w:sz w:val="21"/>
                      <w:szCs w:val="21"/>
                    </w:rPr>
                  </w:pPr>
                </w:p>
              </w:tc>
              <w:tc>
                <w:tcPr>
                  <w:tcW w:w="914" w:type="dxa"/>
                  <w:noWrap w:val="0"/>
                  <w:vAlign w:val="center"/>
                </w:tcPr>
                <w:p w14:paraId="24037899">
                  <w:pPr>
                    <w:keepNext w:val="0"/>
                    <w:keepLines w:val="0"/>
                    <w:suppressLineNumbers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南</w:t>
                  </w:r>
                </w:p>
              </w:tc>
              <w:tc>
                <w:tcPr>
                  <w:tcW w:w="871" w:type="dxa"/>
                  <w:noWrap w:val="0"/>
                  <w:vAlign w:val="center"/>
                </w:tcPr>
                <w:p w14:paraId="51F68E0B">
                  <w:pPr>
                    <w:keepNext w:val="0"/>
                    <w:keepLines w:val="0"/>
                    <w:suppressLineNumbers w:val="0"/>
                    <w:spacing w:before="0" w:beforeAutospacing="0" w:after="0" w:afterAutospacing="0" w:line="240" w:lineRule="auto"/>
                    <w:ind w:left="0" w:right="0"/>
                    <w:jc w:val="center"/>
                    <w:rPr>
                      <w:rFonts w:hint="default"/>
                      <w:color w:val="auto"/>
                      <w:spacing w:val="1"/>
                      <w:sz w:val="21"/>
                      <w:szCs w:val="21"/>
                      <w:lang w:val="en-US" w:eastAsia="zh-CN"/>
                    </w:rPr>
                  </w:pPr>
                  <w:r>
                    <w:rPr>
                      <w:rFonts w:hint="eastAsia"/>
                      <w:color w:val="auto"/>
                      <w:spacing w:val="1"/>
                      <w:sz w:val="21"/>
                      <w:szCs w:val="21"/>
                      <w:lang w:val="en-US" w:eastAsia="zh-CN"/>
                    </w:rPr>
                    <w:t>1300</w:t>
                  </w:r>
                </w:p>
              </w:tc>
              <w:tc>
                <w:tcPr>
                  <w:tcW w:w="671" w:type="dxa"/>
                  <w:noWrap w:val="0"/>
                  <w:vAlign w:val="center"/>
                </w:tcPr>
                <w:p w14:paraId="2DF941DD">
                  <w:pPr>
                    <w:keepNext w:val="0"/>
                    <w:keepLines w:val="0"/>
                    <w:widowControl/>
                    <w:suppressLineNumbers w:val="0"/>
                    <w:spacing w:before="0" w:beforeAutospacing="0" w:after="0" w:afterAutospacing="0" w:line="240" w:lineRule="auto"/>
                    <w:ind w:left="0" w:right="0"/>
                    <w:jc w:val="center"/>
                    <w:textAlignment w:val="center"/>
                    <w:rPr>
                      <w:rFonts w:hint="eastAsia" w:ascii="Times New Roman" w:eastAsia="宋体"/>
                      <w:color w:val="auto"/>
                      <w:sz w:val="21"/>
                      <w:szCs w:val="21"/>
                      <w:lang w:val="en-US" w:eastAsia="zh-CN" w:bidi="ar"/>
                    </w:rPr>
                  </w:pPr>
                  <w:r>
                    <w:rPr>
                      <w:rFonts w:hint="eastAsia"/>
                      <w:color w:val="auto"/>
                      <w:sz w:val="21"/>
                      <w:szCs w:val="21"/>
                      <w:lang w:val="en-US" w:eastAsia="zh-CN" w:bidi="ar"/>
                    </w:rPr>
                    <w:t>1</w:t>
                  </w:r>
                </w:p>
              </w:tc>
            </w:tr>
            <w:tr w14:paraId="2642DB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64" w:type="dxa"/>
                  <w:vMerge w:val="continue"/>
                  <w:noWrap w:val="0"/>
                  <w:vAlign w:val="center"/>
                </w:tcPr>
                <w:p w14:paraId="567104E9">
                  <w:pPr>
                    <w:pStyle w:val="127"/>
                    <w:keepNext w:val="0"/>
                    <w:keepLines w:val="0"/>
                    <w:suppressLineNumbers w:val="0"/>
                    <w:spacing w:before="0" w:beforeAutospacing="0" w:after="0" w:afterAutospacing="0" w:line="240" w:lineRule="auto"/>
                    <w:ind w:left="0" w:right="0"/>
                    <w:rPr>
                      <w:rFonts w:hint="default" w:ascii="Times New Roman" w:hAnsi="Times New Roman"/>
                      <w:color w:val="auto"/>
                      <w:sz w:val="21"/>
                      <w:szCs w:val="21"/>
                    </w:rPr>
                  </w:pPr>
                </w:p>
              </w:tc>
              <w:tc>
                <w:tcPr>
                  <w:tcW w:w="1306" w:type="dxa"/>
                  <w:noWrap w:val="0"/>
                  <w:vAlign w:val="center"/>
                </w:tcPr>
                <w:p w14:paraId="311A2072">
                  <w:pPr>
                    <w:keepNext w:val="0"/>
                    <w:keepLines w:val="0"/>
                    <w:suppressLineNumbers w:val="0"/>
                    <w:spacing w:before="0" w:beforeAutospacing="0" w:after="0" w:afterAutospacing="0" w:line="240" w:lineRule="auto"/>
                    <w:ind w:left="0" w:right="0"/>
                    <w:jc w:val="center"/>
                    <w:rPr>
                      <w:rFonts w:hint="default" w:ascii="Times New Roman"/>
                      <w:color w:val="auto"/>
                      <w:sz w:val="21"/>
                      <w:szCs w:val="21"/>
                      <w:lang w:val="en-US" w:eastAsia="zh-CN"/>
                    </w:rPr>
                  </w:pPr>
                  <w:r>
                    <w:rPr>
                      <w:rFonts w:hint="eastAsia"/>
                      <w:color w:val="auto"/>
                      <w:sz w:val="21"/>
                      <w:szCs w:val="21"/>
                      <w:lang w:val="en-US" w:eastAsia="zh-CN"/>
                    </w:rPr>
                    <w:t>长荡湖</w:t>
                  </w:r>
                </w:p>
              </w:tc>
              <w:tc>
                <w:tcPr>
                  <w:tcW w:w="710" w:type="dxa"/>
                  <w:noWrap w:val="0"/>
                  <w:vAlign w:val="center"/>
                </w:tcPr>
                <w:p w14:paraId="3B7BE19C">
                  <w:pPr>
                    <w:keepNext w:val="0"/>
                    <w:keepLines w:val="0"/>
                    <w:widowControl/>
                    <w:suppressLineNumbers w:val="0"/>
                    <w:spacing w:before="0" w:beforeAutospacing="0" w:after="0" w:afterAutospacing="0" w:line="240" w:lineRule="auto"/>
                    <w:ind w:left="0" w:right="0"/>
                    <w:jc w:val="center"/>
                    <w:textAlignment w:val="center"/>
                    <w:rPr>
                      <w:rFonts w:hint="default" w:ascii="Times New Roman"/>
                      <w:color w:val="auto"/>
                      <w:sz w:val="21"/>
                      <w:szCs w:val="21"/>
                      <w:lang w:val="en-US" w:eastAsia="zh-CN"/>
                    </w:rPr>
                  </w:pPr>
                  <w:r>
                    <w:rPr>
                      <w:rFonts w:hint="eastAsia"/>
                      <w:color w:val="auto"/>
                      <w:sz w:val="21"/>
                      <w:szCs w:val="21"/>
                      <w:lang w:val="en-US" w:eastAsia="zh-CN"/>
                    </w:rPr>
                    <w:t>240</w:t>
                  </w:r>
                </w:p>
              </w:tc>
              <w:tc>
                <w:tcPr>
                  <w:tcW w:w="806" w:type="dxa"/>
                  <w:noWrap w:val="0"/>
                  <w:vAlign w:val="center"/>
                </w:tcPr>
                <w:p w14:paraId="404E6DFA">
                  <w:pPr>
                    <w:keepNext w:val="0"/>
                    <w:keepLines w:val="0"/>
                    <w:widowControl/>
                    <w:suppressLineNumbers w:val="0"/>
                    <w:spacing w:before="0" w:beforeAutospacing="0" w:after="0" w:afterAutospacing="0" w:line="240" w:lineRule="auto"/>
                    <w:ind w:left="0" w:right="0"/>
                    <w:jc w:val="center"/>
                    <w:textAlignment w:val="center"/>
                    <w:rPr>
                      <w:rFonts w:hint="default" w:ascii="Times New Roman" w:eastAsia="宋体"/>
                      <w:color w:val="auto"/>
                      <w:sz w:val="21"/>
                      <w:szCs w:val="21"/>
                      <w:lang w:val="en-US" w:eastAsia="zh-CN"/>
                    </w:rPr>
                  </w:pPr>
                  <w:r>
                    <w:rPr>
                      <w:rFonts w:hint="eastAsia"/>
                      <w:color w:val="auto"/>
                      <w:sz w:val="21"/>
                      <w:szCs w:val="21"/>
                      <w:lang w:val="en-US" w:eastAsia="zh-CN"/>
                    </w:rPr>
                    <w:t>-1885</w:t>
                  </w:r>
                </w:p>
              </w:tc>
              <w:tc>
                <w:tcPr>
                  <w:tcW w:w="2162" w:type="dxa"/>
                  <w:vMerge w:val="continue"/>
                  <w:noWrap w:val="0"/>
                  <w:vAlign w:val="center"/>
                </w:tcPr>
                <w:p w14:paraId="5110411E">
                  <w:pPr>
                    <w:keepNext w:val="0"/>
                    <w:keepLines w:val="0"/>
                    <w:suppressLineNumbers w:val="0"/>
                    <w:spacing w:before="0" w:beforeAutospacing="0" w:after="0" w:afterAutospacing="0" w:line="240" w:lineRule="auto"/>
                    <w:ind w:left="0" w:right="0"/>
                    <w:jc w:val="center"/>
                    <w:rPr>
                      <w:rFonts w:hint="default" w:ascii="Times New Roman"/>
                      <w:color w:val="auto"/>
                      <w:sz w:val="21"/>
                      <w:szCs w:val="21"/>
                    </w:rPr>
                  </w:pPr>
                </w:p>
              </w:tc>
              <w:tc>
                <w:tcPr>
                  <w:tcW w:w="914" w:type="dxa"/>
                  <w:noWrap w:val="0"/>
                  <w:vAlign w:val="center"/>
                </w:tcPr>
                <w:p w14:paraId="1BB1F5BF">
                  <w:pPr>
                    <w:keepNext w:val="0"/>
                    <w:keepLines w:val="0"/>
                    <w:suppressLineNumbers w:val="0"/>
                    <w:spacing w:before="0" w:beforeAutospacing="0" w:after="0" w:afterAutospacing="0" w:line="240" w:lineRule="auto"/>
                    <w:ind w:left="0" w:right="0"/>
                    <w:jc w:val="center"/>
                    <w:rPr>
                      <w:rFonts w:hint="default" w:ascii="Times New Roman" w:eastAsia="宋体"/>
                      <w:color w:val="auto"/>
                      <w:sz w:val="21"/>
                      <w:szCs w:val="21"/>
                      <w:lang w:val="en-US" w:eastAsia="zh-CN"/>
                    </w:rPr>
                  </w:pPr>
                  <w:r>
                    <w:rPr>
                      <w:rFonts w:hint="eastAsia"/>
                      <w:color w:val="auto"/>
                      <w:sz w:val="21"/>
                      <w:szCs w:val="21"/>
                      <w:lang w:val="en-US" w:eastAsia="zh-CN"/>
                    </w:rPr>
                    <w:t>东南</w:t>
                  </w:r>
                </w:p>
              </w:tc>
              <w:tc>
                <w:tcPr>
                  <w:tcW w:w="871" w:type="dxa"/>
                  <w:noWrap w:val="0"/>
                  <w:vAlign w:val="center"/>
                </w:tcPr>
                <w:p w14:paraId="3DBE5E3C">
                  <w:pPr>
                    <w:keepNext w:val="0"/>
                    <w:keepLines w:val="0"/>
                    <w:suppressLineNumbers w:val="0"/>
                    <w:spacing w:before="0" w:beforeAutospacing="0" w:after="0" w:afterAutospacing="0" w:line="240" w:lineRule="auto"/>
                    <w:ind w:left="0" w:right="0"/>
                    <w:jc w:val="center"/>
                    <w:rPr>
                      <w:rFonts w:hint="default" w:ascii="Times New Roman"/>
                      <w:color w:val="auto"/>
                      <w:spacing w:val="1"/>
                      <w:sz w:val="21"/>
                      <w:szCs w:val="21"/>
                      <w:lang w:val="en-US" w:eastAsia="zh-CN"/>
                    </w:rPr>
                  </w:pPr>
                  <w:r>
                    <w:rPr>
                      <w:rFonts w:hint="eastAsia"/>
                      <w:color w:val="auto"/>
                      <w:spacing w:val="1"/>
                      <w:sz w:val="21"/>
                      <w:szCs w:val="21"/>
                      <w:lang w:val="en-US" w:eastAsia="zh-CN"/>
                    </w:rPr>
                    <w:t>1900</w:t>
                  </w:r>
                </w:p>
              </w:tc>
              <w:tc>
                <w:tcPr>
                  <w:tcW w:w="671" w:type="dxa"/>
                  <w:noWrap w:val="0"/>
                  <w:vAlign w:val="center"/>
                </w:tcPr>
                <w:p w14:paraId="3C8E5B02">
                  <w:pPr>
                    <w:keepNext w:val="0"/>
                    <w:keepLines w:val="0"/>
                    <w:widowControl/>
                    <w:suppressLineNumbers w:val="0"/>
                    <w:spacing w:before="0" w:beforeAutospacing="0" w:after="0" w:afterAutospacing="0" w:line="240" w:lineRule="auto"/>
                    <w:ind w:left="0" w:right="0"/>
                    <w:jc w:val="center"/>
                    <w:textAlignment w:val="center"/>
                    <w:rPr>
                      <w:rFonts w:hint="eastAsia" w:ascii="Times New Roman" w:eastAsia="宋体"/>
                      <w:color w:val="auto"/>
                      <w:sz w:val="21"/>
                      <w:szCs w:val="21"/>
                      <w:lang w:val="en-US" w:eastAsia="zh-CN" w:bidi="ar"/>
                    </w:rPr>
                  </w:pPr>
                  <w:r>
                    <w:rPr>
                      <w:rFonts w:hint="eastAsia" w:ascii="Times New Roman"/>
                      <w:color w:val="auto"/>
                      <w:sz w:val="21"/>
                      <w:szCs w:val="21"/>
                      <w:lang w:val="en-US" w:eastAsia="zh-CN" w:bidi="ar"/>
                    </w:rPr>
                    <w:t>1</w:t>
                  </w:r>
                </w:p>
              </w:tc>
            </w:tr>
          </w:tbl>
          <w:p w14:paraId="32C9C246">
            <w:pPr>
              <w:keepNext w:val="0"/>
              <w:keepLines w:val="0"/>
              <w:numPr>
                <w:ilvl w:val="0"/>
                <w:numId w:val="8"/>
              </w:numPr>
              <w:suppressLineNumbers w:val="0"/>
              <w:adjustRightInd w:val="0"/>
              <w:snapToGrid w:val="0"/>
              <w:spacing w:before="0" w:beforeAutospacing="0" w:after="0" w:afterAutospacing="0" w:line="480" w:lineRule="exact"/>
              <w:ind w:left="0" w:right="0" w:firstLine="482" w:firstLineChars="200"/>
              <w:jc w:val="left"/>
              <w:rPr>
                <w:rFonts w:hint="eastAsia" w:ascii="Times New Roman" w:hAnsi="Times New Roman" w:cs="Times New Roman"/>
                <w:b/>
                <w:color w:val="auto"/>
                <w:sz w:val="24"/>
                <w:lang w:bidi="ar"/>
              </w:rPr>
            </w:pPr>
            <w:r>
              <w:rPr>
                <w:rFonts w:hint="eastAsia" w:ascii="Times New Roman" w:hAnsi="Times New Roman" w:cs="Times New Roman"/>
                <w:b/>
                <w:color w:val="auto"/>
                <w:sz w:val="24"/>
                <w:lang w:bidi="ar"/>
              </w:rPr>
              <w:t>地下水环境保护目标</w:t>
            </w:r>
          </w:p>
          <w:p w14:paraId="1EE1EA73">
            <w:pPr>
              <w:keepNext w:val="0"/>
              <w:keepLines w:val="0"/>
              <w:suppressLineNumbers w:val="0"/>
              <w:adjustRightInd w:val="0"/>
              <w:snapToGrid w:val="0"/>
              <w:spacing w:before="0" w:beforeAutospacing="0" w:after="0" w:afterAutospacing="0" w:line="480" w:lineRule="exact"/>
              <w:ind w:left="0" w:right="0" w:firstLine="482"/>
              <w:jc w:val="left"/>
              <w:rPr>
                <w:rFonts w:hint="eastAsia" w:ascii="Times New Roman" w:hAnsi="Times New Roman" w:cs="Times New Roman"/>
                <w:bCs/>
                <w:color w:val="auto"/>
                <w:sz w:val="24"/>
                <w:lang w:bidi="ar"/>
              </w:rPr>
            </w:pPr>
            <w:r>
              <w:rPr>
                <w:rFonts w:hint="eastAsia" w:ascii="Times New Roman" w:hAnsi="Times New Roman" w:cs="Times New Roman"/>
                <w:bCs/>
                <w:color w:val="auto"/>
                <w:sz w:val="24"/>
                <w:lang w:bidi="ar"/>
              </w:rPr>
              <w:t>经现场勘查，本项目厂界外500m范围内无地下水集中式饮用水水源和热水、矿泉水、温泉等特殊地下水资源。</w:t>
            </w:r>
          </w:p>
          <w:p w14:paraId="6F66DE1A">
            <w:pPr>
              <w:keepNext w:val="0"/>
              <w:keepLines w:val="0"/>
              <w:numPr>
                <w:ilvl w:val="0"/>
                <w:numId w:val="8"/>
              </w:numPr>
              <w:suppressLineNumbers w:val="0"/>
              <w:adjustRightInd w:val="0"/>
              <w:snapToGrid w:val="0"/>
              <w:spacing w:before="0" w:beforeAutospacing="0" w:after="0" w:afterAutospacing="0" w:line="480" w:lineRule="exact"/>
              <w:ind w:left="0" w:right="0" w:firstLine="482" w:firstLineChars="200"/>
              <w:jc w:val="left"/>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lang w:bidi="ar"/>
              </w:rPr>
              <w:t>生态环境保护目标</w:t>
            </w:r>
          </w:p>
          <w:p w14:paraId="312D99BF">
            <w:pPr>
              <w:keepNext w:val="0"/>
              <w:keepLines w:val="0"/>
              <w:suppressLineNumbers w:val="0"/>
              <w:adjustRightInd w:val="0"/>
              <w:snapToGrid w:val="0"/>
              <w:spacing w:before="0" w:beforeAutospacing="0" w:after="0" w:afterAutospacing="0" w:line="480" w:lineRule="exact"/>
              <w:ind w:left="0" w:right="0" w:firstLine="482"/>
              <w:jc w:val="left"/>
              <w:rPr>
                <w:rFonts w:hint="eastAsia" w:ascii="Times New Roman" w:hAnsi="Times New Roman" w:eastAsia="宋体" w:cs="Times New Roman"/>
                <w:bCs/>
                <w:color w:val="auto"/>
                <w:sz w:val="24"/>
                <w:lang w:bidi="ar"/>
              </w:rPr>
            </w:pPr>
            <w:r>
              <w:rPr>
                <w:rFonts w:hint="eastAsia" w:ascii="Times New Roman" w:hAnsi="Times New Roman" w:eastAsia="宋体" w:cs="Times New Roman"/>
                <w:bCs/>
                <w:color w:val="auto"/>
                <w:sz w:val="24"/>
                <w:lang w:bidi="ar"/>
              </w:rPr>
              <w:t>本项目用地范围内无生态环境保护目标。</w:t>
            </w:r>
          </w:p>
          <w:p w14:paraId="1FEDE219">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0"/>
                <w:sz w:val="21"/>
                <w:szCs w:val="21"/>
                <w:highlight w:val="none"/>
                <w:lang w:val="en-US" w:eastAsia="zh-CN"/>
              </w:rPr>
            </w:pPr>
          </w:p>
          <w:p w14:paraId="2F91E6B0">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0"/>
                <w:sz w:val="21"/>
                <w:szCs w:val="21"/>
                <w:highlight w:val="none"/>
                <w:lang w:val="en-US" w:eastAsia="zh-CN"/>
              </w:rPr>
            </w:pPr>
          </w:p>
          <w:p w14:paraId="7CFDFDB8">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jc w:val="both"/>
              <w:textAlignment w:val="auto"/>
              <w:rPr>
                <w:rFonts w:hint="eastAsia" w:cs="Times New Roman"/>
                <w:color w:val="auto"/>
                <w:kern w:val="0"/>
                <w:sz w:val="21"/>
                <w:szCs w:val="21"/>
                <w:highlight w:val="none"/>
                <w:lang w:val="en-US" w:eastAsia="zh-CN"/>
              </w:rPr>
            </w:pPr>
          </w:p>
          <w:p w14:paraId="02ADB724">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jc w:val="both"/>
              <w:textAlignment w:val="auto"/>
              <w:rPr>
                <w:rFonts w:hint="eastAsia" w:cs="Times New Roman"/>
                <w:color w:val="auto"/>
                <w:kern w:val="0"/>
                <w:sz w:val="21"/>
                <w:szCs w:val="21"/>
                <w:highlight w:val="none"/>
                <w:lang w:val="en-US" w:eastAsia="zh-CN"/>
              </w:rPr>
            </w:pPr>
          </w:p>
          <w:p w14:paraId="584DCB2B">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jc w:val="both"/>
              <w:textAlignment w:val="auto"/>
              <w:rPr>
                <w:rFonts w:hint="eastAsia" w:cs="Times New Roman"/>
                <w:color w:val="auto"/>
                <w:kern w:val="0"/>
                <w:sz w:val="21"/>
                <w:szCs w:val="21"/>
                <w:highlight w:val="none"/>
                <w:lang w:val="en-US" w:eastAsia="zh-CN"/>
              </w:rPr>
            </w:pPr>
          </w:p>
          <w:p w14:paraId="59B86797">
            <w:pPr>
              <w:keepNext w:val="0"/>
              <w:keepLines w:val="0"/>
              <w:pageBreakBefore w:val="0"/>
              <w:widowControl w:val="0"/>
              <w:suppressLineNumbers w:val="0"/>
              <w:kinsoku/>
              <w:wordWrap/>
              <w:overflowPunct/>
              <w:topLinePunct w:val="0"/>
              <w:autoSpaceDE/>
              <w:autoSpaceDN/>
              <w:bidi w:val="0"/>
              <w:adjustRightInd w:val="0"/>
              <w:snapToGrid w:val="0"/>
              <w:spacing w:before="120" w:beforeAutospacing="0" w:after="0" w:afterAutospacing="0" w:line="360" w:lineRule="auto"/>
              <w:ind w:left="0" w:right="0"/>
              <w:jc w:val="both"/>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 xml:space="preserve"> </w:t>
            </w:r>
          </w:p>
        </w:tc>
      </w:tr>
      <w:tr w14:paraId="39DAC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23" w:hRule="atLeast"/>
          <w:jc w:val="center"/>
        </w:trPr>
        <w:tc>
          <w:tcPr>
            <w:tcW w:w="420" w:type="dxa"/>
            <w:noWrap w:val="0"/>
            <w:tcMar>
              <w:left w:w="28" w:type="dxa"/>
              <w:right w:w="28" w:type="dxa"/>
            </w:tcMar>
            <w:vAlign w:val="center"/>
          </w:tcPr>
          <w:p w14:paraId="1AB2EC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14:paraId="025CA78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14:paraId="4E1969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14:paraId="45BD67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14:paraId="2CBF8E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4"/>
                <w:szCs w:val="24"/>
                <w:highlight w:val="none"/>
              </w:rPr>
              <w:t>准</w:t>
            </w:r>
          </w:p>
        </w:tc>
        <w:tc>
          <w:tcPr>
            <w:tcW w:w="8641" w:type="dxa"/>
            <w:noWrap w:val="0"/>
            <w:vAlign w:val="center"/>
          </w:tcPr>
          <w:p w14:paraId="1D773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1、水污染排放标准</w:t>
            </w:r>
          </w:p>
          <w:p w14:paraId="23E2CF3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szCs w:val="24"/>
                <w:highlight w:val="none"/>
                <w:lang w:val="en-US" w:eastAsia="zh-CN"/>
              </w:rPr>
              <w:t>本项目冷却水循环使用，不外排；不新增员工，不新增生活污水。原有</w:t>
            </w:r>
            <w:r>
              <w:rPr>
                <w:rFonts w:hint="default" w:ascii="Times New Roman" w:hAnsi="Times New Roman" w:cs="Times New Roman"/>
                <w:color w:val="auto"/>
                <w:sz w:val="24"/>
              </w:rPr>
              <w:t>生活污水</w:t>
            </w:r>
            <w:r>
              <w:rPr>
                <w:rFonts w:hint="eastAsia" w:cs="Times New Roman"/>
                <w:color w:val="auto"/>
                <w:sz w:val="24"/>
                <w:lang w:val="en-US" w:eastAsia="zh-CN"/>
              </w:rPr>
              <w:t>近期</w:t>
            </w:r>
            <w:r>
              <w:rPr>
                <w:rFonts w:hint="default" w:ascii="Times New Roman" w:hAnsi="Times New Roman" w:cs="Times New Roman"/>
                <w:color w:val="auto"/>
                <w:sz w:val="24"/>
              </w:rPr>
              <w:t>由金坛区指前镇新河村委收集后集中处理，尾水自用于农田灌溉，不排到附近河流；远期待符合接管条件时，排放至市政管网</w:t>
            </w:r>
            <w:r>
              <w:rPr>
                <w:rFonts w:hint="eastAsia" w:ascii="Times New Roman" w:hAnsi="宋体" w:cs="Times New Roman"/>
                <w:color w:val="auto"/>
                <w:sz w:val="24"/>
                <w:lang w:val="en-US" w:eastAsia="zh-CN"/>
              </w:rPr>
              <w:t>。</w:t>
            </w:r>
            <w:r>
              <w:rPr>
                <w:rFonts w:hint="default" w:ascii="Times New Roman" w:hAnsi="Times New Roman" w:cs="Times New Roman"/>
                <w:color w:val="auto"/>
                <w:sz w:val="24"/>
                <w:szCs w:val="24"/>
                <w:highlight w:val="none"/>
              </w:rPr>
              <w:t>具体标准见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154926CA">
            <w:pPr>
              <w:pStyle w:val="23"/>
              <w:keepNext w:val="0"/>
              <w:keepLines w:val="0"/>
              <w:suppressLineNumbers w:val="0"/>
              <w:spacing w:before="0" w:beforeAutospacing="0" w:after="0" w:afterAutospacing="0" w:line="440" w:lineRule="exact"/>
              <w:ind w:left="0" w:right="0"/>
              <w:jc w:val="center"/>
              <w:rPr>
                <w:rFonts w:hint="default" w:ascii="Times New Roman" w:hAnsi="Times New Roman" w:cs="Times New Roman"/>
                <w:b/>
                <w:color w:val="auto"/>
              </w:rPr>
            </w:pPr>
            <w:r>
              <w:rPr>
                <w:rFonts w:hint="default" w:ascii="Times New Roman" w:hAnsi="Times New Roman" w:cs="Times New Roman"/>
                <w:b/>
                <w:color w:val="auto"/>
              </w:rPr>
              <w:t>表3</w:t>
            </w:r>
            <w:r>
              <w:rPr>
                <w:rFonts w:hint="eastAsia" w:ascii="Times New Roman" w:hAnsi="Times New Roman" w:cs="Times New Roman"/>
                <w:b/>
                <w:color w:val="auto"/>
                <w:lang w:val="en-US" w:eastAsia="zh-CN"/>
              </w:rPr>
              <w:t xml:space="preserve">.3-1 </w:t>
            </w:r>
            <w:r>
              <w:rPr>
                <w:rFonts w:hint="default" w:ascii="Times New Roman" w:hAnsi="Times New Roman" w:cs="Times New Roman"/>
                <w:b/>
                <w:color w:val="auto"/>
              </w:rPr>
              <w:t>废水接管及排放标准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2175"/>
              <w:gridCol w:w="1672"/>
              <w:gridCol w:w="1815"/>
              <w:gridCol w:w="1270"/>
            </w:tblGrid>
            <w:tr w14:paraId="2B2ED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84" w:type="pct"/>
                  <w:tcBorders>
                    <w:tl2br w:val="nil"/>
                    <w:tr2bl w:val="nil"/>
                  </w:tcBorders>
                  <w:noWrap w:val="0"/>
                  <w:tcMar>
                    <w:left w:w="0" w:type="dxa"/>
                    <w:right w:w="0" w:type="dxa"/>
                  </w:tcMar>
                  <w:vAlign w:val="center"/>
                </w:tcPr>
                <w:p w14:paraId="38743972">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排放口名称</w:t>
                  </w:r>
                </w:p>
              </w:tc>
              <w:tc>
                <w:tcPr>
                  <w:tcW w:w="1291" w:type="pct"/>
                  <w:tcBorders>
                    <w:tl2br w:val="nil"/>
                    <w:tr2bl w:val="nil"/>
                  </w:tcBorders>
                  <w:noWrap w:val="0"/>
                  <w:vAlign w:val="center"/>
                </w:tcPr>
                <w:p w14:paraId="5DDED292">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执行标准</w:t>
                  </w:r>
                </w:p>
              </w:tc>
              <w:tc>
                <w:tcPr>
                  <w:tcW w:w="992" w:type="pct"/>
                  <w:tcBorders>
                    <w:tl2br w:val="nil"/>
                    <w:tr2bl w:val="nil"/>
                  </w:tcBorders>
                  <w:noWrap w:val="0"/>
                  <w:vAlign w:val="center"/>
                </w:tcPr>
                <w:p w14:paraId="2E5F621D">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污染物指标</w:t>
                  </w:r>
                </w:p>
              </w:tc>
              <w:tc>
                <w:tcPr>
                  <w:tcW w:w="1077" w:type="pct"/>
                  <w:tcBorders>
                    <w:tl2br w:val="nil"/>
                    <w:tr2bl w:val="nil"/>
                  </w:tcBorders>
                  <w:noWrap w:val="0"/>
                  <w:vAlign w:val="center"/>
                </w:tcPr>
                <w:p w14:paraId="1E91671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753" w:type="pct"/>
                  <w:tcBorders>
                    <w:tl2br w:val="nil"/>
                    <w:tr2bl w:val="nil"/>
                  </w:tcBorders>
                  <w:noWrap w:val="0"/>
                  <w:vAlign w:val="center"/>
                </w:tcPr>
                <w:p w14:paraId="60D9CB7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标准限值</w:t>
                  </w:r>
                </w:p>
              </w:tc>
            </w:tr>
            <w:tr w14:paraId="2A187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4" w:type="pct"/>
                  <w:vMerge w:val="restart"/>
                  <w:tcBorders>
                    <w:tl2br w:val="nil"/>
                    <w:tr2bl w:val="nil"/>
                  </w:tcBorders>
                  <w:noWrap w:val="0"/>
                  <w:tcMar>
                    <w:left w:w="0" w:type="dxa"/>
                    <w:right w:w="0" w:type="dxa"/>
                  </w:tcMar>
                  <w:vAlign w:val="center"/>
                </w:tcPr>
                <w:p w14:paraId="4B2797B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项目</w:t>
                  </w:r>
                  <w:r>
                    <w:rPr>
                      <w:rFonts w:hint="eastAsia" w:cs="Times New Roman"/>
                      <w:color w:val="auto"/>
                      <w:lang w:val="en-US" w:eastAsia="zh-CN"/>
                    </w:rPr>
                    <w:t>生活污水</w:t>
                  </w:r>
                  <w:r>
                    <w:rPr>
                      <w:rFonts w:hint="default" w:ascii="Times New Roman" w:hAnsi="Times New Roman" w:cs="Times New Roman"/>
                      <w:color w:val="auto"/>
                    </w:rPr>
                    <w:t>排口</w:t>
                  </w:r>
                </w:p>
              </w:tc>
              <w:tc>
                <w:tcPr>
                  <w:tcW w:w="1291" w:type="pct"/>
                  <w:vMerge w:val="restart"/>
                  <w:tcBorders>
                    <w:tl2br w:val="nil"/>
                    <w:tr2bl w:val="nil"/>
                  </w:tcBorders>
                  <w:noWrap w:val="0"/>
                  <w:vAlign w:val="center"/>
                </w:tcPr>
                <w:p w14:paraId="2D46943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eastAsia"/>
                      <w:color w:val="auto"/>
                      <w:highlight w:val="none"/>
                    </w:rPr>
                    <w:t>村委会处理标准</w:t>
                  </w:r>
                </w:p>
              </w:tc>
              <w:tc>
                <w:tcPr>
                  <w:tcW w:w="992" w:type="pct"/>
                  <w:tcBorders>
                    <w:tl2br w:val="nil"/>
                    <w:tr2bl w:val="nil"/>
                  </w:tcBorders>
                  <w:noWrap w:val="0"/>
                  <w:vAlign w:val="center"/>
                </w:tcPr>
                <w:p w14:paraId="01ABD58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pH</w:t>
                  </w:r>
                </w:p>
              </w:tc>
              <w:tc>
                <w:tcPr>
                  <w:tcW w:w="1077" w:type="pct"/>
                  <w:tcBorders>
                    <w:tl2br w:val="nil"/>
                    <w:tr2bl w:val="nil"/>
                  </w:tcBorders>
                  <w:noWrap w:val="0"/>
                  <w:vAlign w:val="center"/>
                </w:tcPr>
                <w:p w14:paraId="6B0F8192">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无量纲</w:t>
                  </w:r>
                </w:p>
              </w:tc>
              <w:tc>
                <w:tcPr>
                  <w:tcW w:w="753" w:type="pct"/>
                  <w:tcBorders>
                    <w:tl2br w:val="nil"/>
                    <w:tr2bl w:val="nil"/>
                  </w:tcBorders>
                  <w:shd w:val="clear" w:color="auto" w:fill="auto"/>
                  <w:noWrap w:val="0"/>
                  <w:vAlign w:val="center"/>
                </w:tcPr>
                <w:p w14:paraId="44C875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6.5~9.5</w:t>
                  </w:r>
                </w:p>
              </w:tc>
            </w:tr>
            <w:tr w14:paraId="62260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84" w:type="pct"/>
                  <w:vMerge w:val="continue"/>
                  <w:tcBorders>
                    <w:tl2br w:val="nil"/>
                    <w:tr2bl w:val="nil"/>
                  </w:tcBorders>
                  <w:noWrap w:val="0"/>
                  <w:vAlign w:val="center"/>
                </w:tcPr>
                <w:p w14:paraId="750E4FD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65F7AC8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tcBorders>
                    <w:tl2br w:val="nil"/>
                    <w:tr2bl w:val="nil"/>
                  </w:tcBorders>
                  <w:noWrap w:val="0"/>
                  <w:vAlign w:val="center"/>
                </w:tcPr>
                <w:p w14:paraId="61AAA06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COD</w:t>
                  </w:r>
                </w:p>
              </w:tc>
              <w:tc>
                <w:tcPr>
                  <w:tcW w:w="1077" w:type="pct"/>
                  <w:vMerge w:val="restart"/>
                  <w:tcBorders>
                    <w:tl2br w:val="nil"/>
                    <w:tr2bl w:val="nil"/>
                  </w:tcBorders>
                  <w:noWrap w:val="0"/>
                  <w:vAlign w:val="center"/>
                </w:tcPr>
                <w:p w14:paraId="6726580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mg/L</w:t>
                  </w:r>
                </w:p>
              </w:tc>
              <w:tc>
                <w:tcPr>
                  <w:tcW w:w="753" w:type="pct"/>
                  <w:tcBorders>
                    <w:tl2br w:val="nil"/>
                    <w:tr2bl w:val="nil"/>
                  </w:tcBorders>
                  <w:shd w:val="clear" w:color="auto" w:fill="auto"/>
                  <w:noWrap w:val="0"/>
                  <w:vAlign w:val="center"/>
                </w:tcPr>
                <w:p w14:paraId="20B79D7C">
                  <w:pPr>
                    <w:keepNext w:val="0"/>
                    <w:keepLines w:val="0"/>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450</w:t>
                  </w:r>
                </w:p>
              </w:tc>
            </w:tr>
            <w:tr w14:paraId="1333D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884" w:type="pct"/>
                  <w:vMerge w:val="continue"/>
                  <w:tcBorders>
                    <w:tl2br w:val="nil"/>
                    <w:tr2bl w:val="nil"/>
                  </w:tcBorders>
                  <w:noWrap w:val="0"/>
                  <w:vAlign w:val="center"/>
                </w:tcPr>
                <w:p w14:paraId="5F85176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71EA6B0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tcBorders>
                    <w:tl2br w:val="nil"/>
                    <w:tr2bl w:val="nil"/>
                  </w:tcBorders>
                  <w:noWrap w:val="0"/>
                  <w:vAlign w:val="center"/>
                </w:tcPr>
                <w:p w14:paraId="0BE5E83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SS</w:t>
                  </w:r>
                </w:p>
              </w:tc>
              <w:tc>
                <w:tcPr>
                  <w:tcW w:w="1077" w:type="pct"/>
                  <w:vMerge w:val="continue"/>
                  <w:tcBorders>
                    <w:tl2br w:val="nil"/>
                    <w:tr2bl w:val="nil"/>
                  </w:tcBorders>
                  <w:noWrap w:val="0"/>
                  <w:vAlign w:val="center"/>
                </w:tcPr>
                <w:p w14:paraId="2CCC263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753" w:type="pct"/>
                  <w:tcBorders>
                    <w:tl2br w:val="nil"/>
                    <w:tr2bl w:val="nil"/>
                  </w:tcBorders>
                  <w:shd w:val="clear" w:color="auto" w:fill="auto"/>
                  <w:noWrap w:val="0"/>
                  <w:vAlign w:val="center"/>
                </w:tcPr>
                <w:p w14:paraId="55D0DC00">
                  <w:pPr>
                    <w:keepNext w:val="0"/>
                    <w:keepLines w:val="0"/>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350</w:t>
                  </w:r>
                </w:p>
              </w:tc>
            </w:tr>
            <w:tr w14:paraId="24853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84" w:type="pct"/>
                  <w:vMerge w:val="continue"/>
                  <w:tcBorders>
                    <w:tl2br w:val="nil"/>
                    <w:tr2bl w:val="nil"/>
                  </w:tcBorders>
                  <w:noWrap w:val="0"/>
                  <w:vAlign w:val="center"/>
                </w:tcPr>
                <w:p w14:paraId="742B1C8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1D79EB4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tcBorders>
                    <w:tl2br w:val="nil"/>
                    <w:tr2bl w:val="nil"/>
                  </w:tcBorders>
                  <w:noWrap w:val="0"/>
                  <w:vAlign w:val="center"/>
                </w:tcPr>
                <w:p w14:paraId="1B70CAC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氨氮</w:t>
                  </w:r>
                </w:p>
              </w:tc>
              <w:tc>
                <w:tcPr>
                  <w:tcW w:w="1077" w:type="pct"/>
                  <w:vMerge w:val="continue"/>
                  <w:tcBorders>
                    <w:tl2br w:val="nil"/>
                    <w:tr2bl w:val="nil"/>
                  </w:tcBorders>
                  <w:noWrap w:val="0"/>
                  <w:vAlign w:val="center"/>
                </w:tcPr>
                <w:p w14:paraId="24CA412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753" w:type="pct"/>
                  <w:tcBorders>
                    <w:tl2br w:val="nil"/>
                    <w:tr2bl w:val="nil"/>
                  </w:tcBorders>
                  <w:shd w:val="clear" w:color="auto" w:fill="auto"/>
                  <w:noWrap w:val="0"/>
                  <w:vAlign w:val="center"/>
                </w:tcPr>
                <w:p w14:paraId="1DF90081">
                  <w:pPr>
                    <w:keepNext w:val="0"/>
                    <w:keepLines w:val="0"/>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40</w:t>
                  </w:r>
                </w:p>
              </w:tc>
            </w:tr>
            <w:tr w14:paraId="78374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884" w:type="pct"/>
                  <w:vMerge w:val="continue"/>
                  <w:tcBorders>
                    <w:tl2br w:val="nil"/>
                    <w:tr2bl w:val="nil"/>
                  </w:tcBorders>
                  <w:noWrap w:val="0"/>
                  <w:vAlign w:val="center"/>
                </w:tcPr>
                <w:p w14:paraId="65EC622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743E2537">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tcBorders>
                    <w:tl2br w:val="nil"/>
                    <w:tr2bl w:val="nil"/>
                  </w:tcBorders>
                  <w:noWrap w:val="0"/>
                  <w:vAlign w:val="center"/>
                </w:tcPr>
                <w:p w14:paraId="42F65EA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TN</w:t>
                  </w:r>
                </w:p>
              </w:tc>
              <w:tc>
                <w:tcPr>
                  <w:tcW w:w="1077" w:type="pct"/>
                  <w:vMerge w:val="continue"/>
                  <w:tcBorders>
                    <w:tl2br w:val="nil"/>
                    <w:tr2bl w:val="nil"/>
                  </w:tcBorders>
                  <w:noWrap w:val="0"/>
                  <w:vAlign w:val="center"/>
                </w:tcPr>
                <w:p w14:paraId="628BE05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753" w:type="pct"/>
                  <w:tcBorders>
                    <w:tl2br w:val="nil"/>
                    <w:tr2bl w:val="nil"/>
                  </w:tcBorders>
                  <w:shd w:val="clear" w:color="auto" w:fill="auto"/>
                  <w:noWrap w:val="0"/>
                  <w:vAlign w:val="center"/>
                </w:tcPr>
                <w:p w14:paraId="72D0D61F">
                  <w:pPr>
                    <w:keepNext w:val="0"/>
                    <w:keepLines w:val="0"/>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70</w:t>
                  </w:r>
                </w:p>
              </w:tc>
            </w:tr>
            <w:tr w14:paraId="00580E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continue"/>
                  <w:tcBorders>
                    <w:tl2br w:val="nil"/>
                    <w:tr2bl w:val="nil"/>
                  </w:tcBorders>
                  <w:noWrap w:val="0"/>
                  <w:vAlign w:val="center"/>
                </w:tcPr>
                <w:p w14:paraId="4D01492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2B92C9C9">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tcBorders>
                    <w:tl2br w:val="nil"/>
                    <w:tr2bl w:val="nil"/>
                  </w:tcBorders>
                  <w:noWrap w:val="0"/>
                  <w:vAlign w:val="center"/>
                </w:tcPr>
                <w:p w14:paraId="225CA38B">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rPr>
                    <w:t>TP</w:t>
                  </w:r>
                </w:p>
              </w:tc>
              <w:tc>
                <w:tcPr>
                  <w:tcW w:w="1077" w:type="pct"/>
                  <w:vMerge w:val="continue"/>
                  <w:tcBorders>
                    <w:tl2br w:val="nil"/>
                    <w:tr2bl w:val="nil"/>
                  </w:tcBorders>
                  <w:noWrap w:val="0"/>
                  <w:vAlign w:val="center"/>
                </w:tcPr>
                <w:p w14:paraId="4CFE049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753" w:type="pct"/>
                  <w:tcBorders>
                    <w:tl2br w:val="nil"/>
                    <w:tr2bl w:val="nil"/>
                  </w:tcBorders>
                  <w:shd w:val="clear" w:color="auto" w:fill="auto"/>
                  <w:noWrap w:val="0"/>
                  <w:vAlign w:val="center"/>
                </w:tcPr>
                <w:p w14:paraId="59525E83">
                  <w:pPr>
                    <w:keepNext w:val="0"/>
                    <w:keepLines w:val="0"/>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8</w:t>
                  </w:r>
                </w:p>
              </w:tc>
            </w:tr>
            <w:tr w14:paraId="49850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restart"/>
                  <w:tcBorders>
                    <w:tl2br w:val="nil"/>
                    <w:tr2bl w:val="nil"/>
                  </w:tcBorders>
                  <w:noWrap w:val="0"/>
                  <w:vAlign w:val="center"/>
                </w:tcPr>
                <w:p w14:paraId="7C75F56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eastAsia"/>
                      <w:color w:val="auto"/>
                      <w:highlight w:val="none"/>
                    </w:rPr>
                    <w:t>村委会水处理排口</w:t>
                  </w:r>
                </w:p>
              </w:tc>
              <w:tc>
                <w:tcPr>
                  <w:tcW w:w="1291" w:type="pct"/>
                  <w:vMerge w:val="restart"/>
                  <w:tcBorders>
                    <w:tl2br w:val="nil"/>
                    <w:tr2bl w:val="nil"/>
                  </w:tcBorders>
                  <w:shd w:val="clear" w:color="auto" w:fill="auto"/>
                  <w:noWrap w:val="0"/>
                  <w:vAlign w:val="center"/>
                </w:tcPr>
                <w:p w14:paraId="540D3234">
                  <w:pPr>
                    <w:keepNext w:val="0"/>
                    <w:keepLines w:val="0"/>
                    <w:widowControl/>
                    <w:suppressLineNumbers w:val="0"/>
                    <w:spacing w:before="48" w:beforeLines="20" w:beforeAutospacing="0" w:after="0" w:afterAutospacing="0"/>
                    <w:ind w:left="0" w:right="0"/>
                    <w:jc w:val="center"/>
                    <w:rPr>
                      <w:rFonts w:hint="default" w:ascii="Times New Roman" w:hAnsi="宋体" w:eastAsia="宋体" w:cs="Times New Roman"/>
                      <w:color w:val="auto"/>
                      <w:kern w:val="2"/>
                      <w:sz w:val="21"/>
                      <w:szCs w:val="24"/>
                      <w:highlight w:val="none"/>
                      <w:lang w:val="en-US" w:eastAsia="zh-CN" w:bidi="ar-SA"/>
                    </w:rPr>
                  </w:pPr>
                  <w:r>
                    <w:rPr>
                      <w:rFonts w:hint="eastAsia" w:hAnsi="宋体"/>
                      <w:color w:val="auto"/>
                      <w:highlight w:val="none"/>
                    </w:rPr>
                    <w:t>《农田灌溉水质标准》（GB 5084-2021）</w:t>
                  </w:r>
                </w:p>
              </w:tc>
              <w:tc>
                <w:tcPr>
                  <w:tcW w:w="992" w:type="pct"/>
                  <w:vMerge w:val="restart"/>
                  <w:tcBorders>
                    <w:tl2br w:val="nil"/>
                    <w:tr2bl w:val="nil"/>
                  </w:tcBorders>
                  <w:shd w:val="clear" w:color="auto" w:fill="auto"/>
                  <w:noWrap w:val="0"/>
                  <w:vAlign w:val="center"/>
                </w:tcPr>
                <w:p w14:paraId="20FB57C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hAnsi="宋体"/>
                      <w:color w:val="auto"/>
                      <w:highlight w:val="none"/>
                    </w:rPr>
                    <w:t>表1旱地作物水质标准</w:t>
                  </w:r>
                </w:p>
              </w:tc>
              <w:tc>
                <w:tcPr>
                  <w:tcW w:w="1077" w:type="pct"/>
                  <w:tcBorders>
                    <w:tl2br w:val="nil"/>
                    <w:tr2bl w:val="nil"/>
                  </w:tcBorders>
                  <w:shd w:val="clear" w:color="auto" w:fill="auto"/>
                  <w:noWrap w:val="0"/>
                  <w:vAlign w:val="center"/>
                </w:tcPr>
                <w:p w14:paraId="10822342">
                  <w:pPr>
                    <w:keepNext w:val="0"/>
                    <w:keepLines w:val="0"/>
                    <w:widowControl/>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pH</w:t>
                  </w:r>
                </w:p>
              </w:tc>
              <w:tc>
                <w:tcPr>
                  <w:tcW w:w="753" w:type="pct"/>
                  <w:tcBorders>
                    <w:tl2br w:val="nil"/>
                    <w:tr2bl w:val="nil"/>
                  </w:tcBorders>
                  <w:shd w:val="clear" w:color="auto" w:fill="auto"/>
                  <w:noWrap w:val="0"/>
                  <w:vAlign w:val="center"/>
                </w:tcPr>
                <w:p w14:paraId="32FA082C">
                  <w:pPr>
                    <w:keepNext w:val="0"/>
                    <w:keepLines w:val="0"/>
                    <w:suppressLineNumbers w:val="0"/>
                    <w:spacing w:before="48" w:beforeLines="2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5.5~8.5</w:t>
                  </w:r>
                </w:p>
              </w:tc>
            </w:tr>
            <w:tr w14:paraId="56896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continue"/>
                  <w:tcBorders>
                    <w:tl2br w:val="nil"/>
                    <w:tr2bl w:val="nil"/>
                  </w:tcBorders>
                  <w:noWrap w:val="0"/>
                  <w:vAlign w:val="center"/>
                </w:tcPr>
                <w:p w14:paraId="3FF04A5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46FC002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vMerge w:val="continue"/>
                  <w:tcBorders>
                    <w:tl2br w:val="nil"/>
                    <w:tr2bl w:val="nil"/>
                  </w:tcBorders>
                  <w:noWrap w:val="0"/>
                  <w:vAlign w:val="center"/>
                </w:tcPr>
                <w:p w14:paraId="503F20C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077" w:type="pct"/>
                  <w:tcBorders>
                    <w:tl2br w:val="nil"/>
                    <w:tr2bl w:val="nil"/>
                  </w:tcBorders>
                  <w:shd w:val="clear" w:color="auto" w:fill="auto"/>
                  <w:noWrap w:val="0"/>
                  <w:vAlign w:val="center"/>
                </w:tcPr>
                <w:p w14:paraId="4EAC110C">
                  <w:pPr>
                    <w:keepNext w:val="0"/>
                    <w:keepLines w:val="0"/>
                    <w:widowControl/>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color w:val="auto"/>
                      <w:highlight w:val="none"/>
                    </w:rPr>
                    <w:t>COD</w:t>
                  </w:r>
                </w:p>
              </w:tc>
              <w:tc>
                <w:tcPr>
                  <w:tcW w:w="753" w:type="pct"/>
                  <w:tcBorders>
                    <w:tl2br w:val="nil"/>
                    <w:tr2bl w:val="nil"/>
                  </w:tcBorders>
                  <w:shd w:val="clear" w:color="auto" w:fill="auto"/>
                  <w:noWrap w:val="0"/>
                  <w:vAlign w:val="center"/>
                </w:tcPr>
                <w:p w14:paraId="79A2B66F">
                  <w:pPr>
                    <w:keepNext w:val="0"/>
                    <w:keepLines w:val="0"/>
                    <w:suppressLineNumbers w:val="0"/>
                    <w:spacing w:before="48" w:beforeLines="2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200</w:t>
                  </w:r>
                </w:p>
              </w:tc>
            </w:tr>
            <w:tr w14:paraId="1F78E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continue"/>
                  <w:tcBorders>
                    <w:tl2br w:val="nil"/>
                    <w:tr2bl w:val="nil"/>
                  </w:tcBorders>
                  <w:noWrap w:val="0"/>
                  <w:vAlign w:val="center"/>
                </w:tcPr>
                <w:p w14:paraId="20FE2F0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432CB11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vMerge w:val="continue"/>
                  <w:tcBorders>
                    <w:tl2br w:val="nil"/>
                    <w:tr2bl w:val="nil"/>
                  </w:tcBorders>
                  <w:noWrap w:val="0"/>
                  <w:vAlign w:val="center"/>
                </w:tcPr>
                <w:p w14:paraId="0666A96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077" w:type="pct"/>
                  <w:tcBorders>
                    <w:tl2br w:val="nil"/>
                    <w:tr2bl w:val="nil"/>
                  </w:tcBorders>
                  <w:shd w:val="clear" w:color="auto" w:fill="auto"/>
                  <w:noWrap w:val="0"/>
                  <w:vAlign w:val="center"/>
                </w:tcPr>
                <w:p w14:paraId="65907392">
                  <w:pPr>
                    <w:keepNext w:val="0"/>
                    <w:keepLines w:val="0"/>
                    <w:widowControl/>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SS</w:t>
                  </w:r>
                </w:p>
              </w:tc>
              <w:tc>
                <w:tcPr>
                  <w:tcW w:w="753" w:type="pct"/>
                  <w:tcBorders>
                    <w:tl2br w:val="nil"/>
                    <w:tr2bl w:val="nil"/>
                  </w:tcBorders>
                  <w:shd w:val="clear" w:color="auto" w:fill="auto"/>
                  <w:noWrap w:val="0"/>
                  <w:vAlign w:val="center"/>
                </w:tcPr>
                <w:p w14:paraId="5B1728BA">
                  <w:pPr>
                    <w:keepNext w:val="0"/>
                    <w:keepLines w:val="0"/>
                    <w:suppressLineNumbers w:val="0"/>
                    <w:spacing w:before="48" w:beforeLines="2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100</w:t>
                  </w:r>
                </w:p>
              </w:tc>
            </w:tr>
            <w:tr w14:paraId="7C7B1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continue"/>
                  <w:tcBorders>
                    <w:tl2br w:val="nil"/>
                    <w:tr2bl w:val="nil"/>
                  </w:tcBorders>
                  <w:noWrap w:val="0"/>
                  <w:vAlign w:val="center"/>
                </w:tcPr>
                <w:p w14:paraId="642BD8B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43794FE6">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vMerge w:val="continue"/>
                  <w:tcBorders>
                    <w:tl2br w:val="nil"/>
                    <w:tr2bl w:val="nil"/>
                  </w:tcBorders>
                  <w:noWrap w:val="0"/>
                  <w:vAlign w:val="center"/>
                </w:tcPr>
                <w:p w14:paraId="64A57D2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077" w:type="pct"/>
                  <w:tcBorders>
                    <w:tl2br w:val="nil"/>
                    <w:tr2bl w:val="nil"/>
                  </w:tcBorders>
                  <w:shd w:val="clear" w:color="auto" w:fill="auto"/>
                  <w:noWrap w:val="0"/>
                  <w:vAlign w:val="center"/>
                </w:tcPr>
                <w:p w14:paraId="284503F5">
                  <w:pPr>
                    <w:keepNext w:val="0"/>
                    <w:keepLines w:val="0"/>
                    <w:widowControl/>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hAnsi="宋体"/>
                      <w:color w:val="auto"/>
                      <w:highlight w:val="none"/>
                    </w:rPr>
                    <w:t>氨氮</w:t>
                  </w:r>
                </w:p>
              </w:tc>
              <w:tc>
                <w:tcPr>
                  <w:tcW w:w="753" w:type="pct"/>
                  <w:tcBorders>
                    <w:tl2br w:val="nil"/>
                    <w:tr2bl w:val="nil"/>
                  </w:tcBorders>
                  <w:shd w:val="clear" w:color="auto" w:fill="auto"/>
                  <w:noWrap w:val="0"/>
                  <w:vAlign w:val="center"/>
                </w:tcPr>
                <w:p w14:paraId="14FC5B1A">
                  <w:pPr>
                    <w:keepNext w:val="0"/>
                    <w:keepLines w:val="0"/>
                    <w:suppressLineNumbers w:val="0"/>
                    <w:spacing w:before="48" w:beforeLines="2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w:t>
                  </w:r>
                </w:p>
              </w:tc>
            </w:tr>
            <w:tr w14:paraId="57443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continue"/>
                  <w:tcBorders>
                    <w:tl2br w:val="nil"/>
                    <w:tr2bl w:val="nil"/>
                  </w:tcBorders>
                  <w:noWrap w:val="0"/>
                  <w:vAlign w:val="center"/>
                </w:tcPr>
                <w:p w14:paraId="2201C34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683995D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vMerge w:val="continue"/>
                  <w:tcBorders>
                    <w:tl2br w:val="nil"/>
                    <w:tr2bl w:val="nil"/>
                  </w:tcBorders>
                  <w:noWrap w:val="0"/>
                  <w:vAlign w:val="center"/>
                </w:tcPr>
                <w:p w14:paraId="70EF07C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077" w:type="pct"/>
                  <w:tcBorders>
                    <w:tl2br w:val="nil"/>
                    <w:tr2bl w:val="nil"/>
                  </w:tcBorders>
                  <w:shd w:val="clear" w:color="auto" w:fill="auto"/>
                  <w:noWrap w:val="0"/>
                  <w:vAlign w:val="center"/>
                </w:tcPr>
                <w:p w14:paraId="58D318D2">
                  <w:pPr>
                    <w:keepNext w:val="0"/>
                    <w:keepLines w:val="0"/>
                    <w:widowControl/>
                    <w:suppressLineNumbers w:val="0"/>
                    <w:spacing w:before="48" w:beforeLines="20" w:beforeAutospacing="0" w:after="0" w:afterAutospacing="0"/>
                    <w:ind w:left="0" w:right="0"/>
                    <w:jc w:val="center"/>
                    <w:rPr>
                      <w:rFonts w:hint="default" w:ascii="Times New Roman" w:hAnsi="Times New Roman" w:eastAsia="宋体" w:cs="Times New Roman"/>
                      <w:color w:val="auto"/>
                      <w:kern w:val="2"/>
                      <w:sz w:val="21"/>
                      <w:szCs w:val="24"/>
                      <w:highlight w:val="none"/>
                      <w:lang w:val="en-US" w:eastAsia="zh-CN" w:bidi="ar-SA"/>
                    </w:rPr>
                  </w:pPr>
                  <w:r>
                    <w:rPr>
                      <w:rFonts w:hint="default" w:hAnsi="宋体"/>
                      <w:color w:val="auto"/>
                      <w:highlight w:val="none"/>
                    </w:rPr>
                    <w:t>总磷</w:t>
                  </w:r>
                </w:p>
              </w:tc>
              <w:tc>
                <w:tcPr>
                  <w:tcW w:w="753" w:type="pct"/>
                  <w:tcBorders>
                    <w:tl2br w:val="nil"/>
                    <w:tr2bl w:val="nil"/>
                  </w:tcBorders>
                  <w:shd w:val="clear" w:color="auto" w:fill="auto"/>
                  <w:noWrap w:val="0"/>
                  <w:vAlign w:val="center"/>
                </w:tcPr>
                <w:p w14:paraId="14C1488D">
                  <w:pPr>
                    <w:keepNext w:val="0"/>
                    <w:keepLines w:val="0"/>
                    <w:suppressLineNumbers w:val="0"/>
                    <w:spacing w:before="48" w:beforeLines="2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w:t>
                  </w:r>
                </w:p>
              </w:tc>
            </w:tr>
            <w:tr w14:paraId="73EEB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4" w:hRule="atLeast"/>
                <w:jc w:val="center"/>
              </w:trPr>
              <w:tc>
                <w:tcPr>
                  <w:tcW w:w="884" w:type="pct"/>
                  <w:vMerge w:val="continue"/>
                  <w:tcBorders>
                    <w:tl2br w:val="nil"/>
                    <w:tr2bl w:val="nil"/>
                  </w:tcBorders>
                  <w:noWrap w:val="0"/>
                  <w:vAlign w:val="center"/>
                </w:tcPr>
                <w:p w14:paraId="07A56CC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291" w:type="pct"/>
                  <w:vMerge w:val="continue"/>
                  <w:tcBorders>
                    <w:tl2br w:val="nil"/>
                    <w:tr2bl w:val="nil"/>
                  </w:tcBorders>
                  <w:noWrap w:val="0"/>
                  <w:vAlign w:val="center"/>
                </w:tcPr>
                <w:p w14:paraId="781C888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992" w:type="pct"/>
                  <w:vMerge w:val="continue"/>
                  <w:tcBorders>
                    <w:tl2br w:val="nil"/>
                    <w:tr2bl w:val="nil"/>
                  </w:tcBorders>
                  <w:noWrap w:val="0"/>
                  <w:vAlign w:val="center"/>
                </w:tcPr>
                <w:p w14:paraId="744E320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p>
              </w:tc>
              <w:tc>
                <w:tcPr>
                  <w:tcW w:w="1077" w:type="pct"/>
                  <w:tcBorders>
                    <w:tl2br w:val="nil"/>
                    <w:tr2bl w:val="nil"/>
                  </w:tcBorders>
                  <w:shd w:val="clear" w:color="auto" w:fill="auto"/>
                  <w:noWrap w:val="0"/>
                  <w:vAlign w:val="center"/>
                </w:tcPr>
                <w:p w14:paraId="5EE4754D">
                  <w:pPr>
                    <w:keepNext w:val="0"/>
                    <w:keepLines w:val="0"/>
                    <w:widowControl/>
                    <w:suppressLineNumbers w:val="0"/>
                    <w:spacing w:before="48" w:beforeLines="20" w:beforeAutospacing="0" w:after="0" w:afterAutospacing="0"/>
                    <w:ind w:left="0" w:right="0"/>
                    <w:jc w:val="center"/>
                    <w:rPr>
                      <w:rFonts w:hint="default" w:ascii="Times New Roman" w:hAnsi="宋体" w:eastAsia="宋体" w:cs="Times New Roman"/>
                      <w:color w:val="auto"/>
                      <w:kern w:val="2"/>
                      <w:sz w:val="21"/>
                      <w:szCs w:val="24"/>
                      <w:highlight w:val="none"/>
                      <w:lang w:val="en-US" w:eastAsia="zh-CN" w:bidi="ar-SA"/>
                    </w:rPr>
                  </w:pPr>
                  <w:r>
                    <w:rPr>
                      <w:rFonts w:hint="default" w:hAnsi="宋体"/>
                      <w:color w:val="auto"/>
                      <w:highlight w:val="none"/>
                    </w:rPr>
                    <w:t>总氮</w:t>
                  </w:r>
                </w:p>
              </w:tc>
              <w:tc>
                <w:tcPr>
                  <w:tcW w:w="753" w:type="pct"/>
                  <w:tcBorders>
                    <w:tl2br w:val="nil"/>
                    <w:tr2bl w:val="nil"/>
                  </w:tcBorders>
                  <w:shd w:val="clear" w:color="auto" w:fill="auto"/>
                  <w:noWrap w:val="0"/>
                  <w:vAlign w:val="center"/>
                </w:tcPr>
                <w:p w14:paraId="639A7CB8">
                  <w:pPr>
                    <w:keepNext w:val="0"/>
                    <w:keepLines w:val="0"/>
                    <w:suppressLineNumbers w:val="0"/>
                    <w:spacing w:before="48" w:beforeLines="20" w:beforeAutospacing="0" w:after="0" w:afterAutospacing="0"/>
                    <w:ind w:left="0" w:right="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w:t>
                  </w:r>
                </w:p>
              </w:tc>
            </w:tr>
          </w:tbl>
          <w:p w14:paraId="28FAD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
                <w:color w:val="auto"/>
                <w:sz w:val="24"/>
                <w:szCs w:val="24"/>
                <w:highlight w:val="none"/>
              </w:rPr>
              <w:t>2、大气污染物排放标准</w:t>
            </w:r>
          </w:p>
          <w:p w14:paraId="780F2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bCs/>
                <w:color w:val="auto"/>
                <w:sz w:val="24"/>
                <w:szCs w:val="24"/>
                <w:highlight w:val="none"/>
                <w:lang w:val="en-US" w:eastAsia="zh-CN"/>
              </w:rPr>
              <w:t>本项目</w:t>
            </w:r>
            <w:r>
              <w:rPr>
                <w:rFonts w:hint="eastAsia" w:cs="Times New Roman"/>
                <w:bCs/>
                <w:color w:val="auto"/>
                <w:sz w:val="24"/>
                <w:szCs w:val="24"/>
                <w:highlight w:val="none"/>
                <w:lang w:val="en-US" w:eastAsia="zh-CN"/>
              </w:rPr>
              <w:t>化渣、熔化过程</w:t>
            </w:r>
            <w:r>
              <w:rPr>
                <w:rFonts w:hint="eastAsia" w:ascii="Times New Roman" w:hAnsi="Times New Roman" w:cs="Times New Roman"/>
                <w:bCs/>
                <w:color w:val="auto"/>
                <w:sz w:val="24"/>
                <w:szCs w:val="24"/>
                <w:highlight w:val="none"/>
                <w:lang w:val="en-US" w:eastAsia="zh-CN"/>
              </w:rPr>
              <w:t>以及原有</w:t>
            </w:r>
            <w:r>
              <w:rPr>
                <w:rFonts w:hint="eastAsia" w:cs="Times New Roman"/>
                <w:bCs/>
                <w:color w:val="auto"/>
                <w:sz w:val="24"/>
                <w:szCs w:val="24"/>
                <w:highlight w:val="none"/>
                <w:lang w:val="en-US" w:eastAsia="zh-CN"/>
              </w:rPr>
              <w:t>项目</w:t>
            </w:r>
            <w:r>
              <w:rPr>
                <w:rFonts w:hint="eastAsia" w:ascii="Times New Roman" w:hAnsi="Times New Roman" w:cs="Times New Roman"/>
                <w:bCs/>
                <w:color w:val="auto"/>
                <w:sz w:val="24"/>
                <w:szCs w:val="24"/>
                <w:highlight w:val="none"/>
                <w:lang w:val="en-US" w:eastAsia="zh-CN"/>
              </w:rPr>
              <w:t>熔化</w:t>
            </w:r>
            <w:r>
              <w:rPr>
                <w:rFonts w:hint="eastAsia" w:cs="Times New Roman"/>
                <w:bCs/>
                <w:color w:val="auto"/>
                <w:sz w:val="24"/>
                <w:szCs w:val="24"/>
                <w:highlight w:val="none"/>
                <w:lang w:val="en-US" w:eastAsia="zh-CN"/>
              </w:rPr>
              <w:t>、精炼</w:t>
            </w:r>
            <w:r>
              <w:rPr>
                <w:rFonts w:hint="eastAsia" w:ascii="Times New Roman" w:hAnsi="Times New Roman" w:cs="Times New Roman"/>
                <w:bCs/>
                <w:color w:val="auto"/>
                <w:sz w:val="24"/>
                <w:szCs w:val="24"/>
                <w:highlight w:val="none"/>
                <w:lang w:val="en-US" w:eastAsia="zh-CN"/>
              </w:rPr>
              <w:t>过程中有组织排放的</w:t>
            </w:r>
            <w:r>
              <w:rPr>
                <w:rFonts w:hint="eastAsia" w:ascii="Times New Roman" w:hAnsi="Times New Roman" w:cs="Times New Roman"/>
                <w:color w:val="auto"/>
                <w:sz w:val="24"/>
                <w:szCs w:val="24"/>
              </w:rPr>
              <w:t>颗粒物执行</w:t>
            </w:r>
            <w:r>
              <w:rPr>
                <w:rFonts w:hint="eastAsia" w:ascii="Times New Roman" w:hAnsi="Times New Roman" w:cs="Times New Roman"/>
                <w:bCs/>
                <w:color w:val="auto"/>
                <w:sz w:val="24"/>
                <w:szCs w:val="24"/>
                <w:highlight w:val="none"/>
                <w:lang w:val="en-US" w:eastAsia="zh-CN"/>
              </w:rPr>
              <w:t>《铸造工业大气污染物排放标准》（GB39726-202</w:t>
            </w:r>
            <w:r>
              <w:rPr>
                <w:rFonts w:hint="eastAsia" w:ascii="Times New Roman" w:hAnsi="Times New Roman" w:eastAsia="宋体" w:cs="Times New Roman"/>
                <w:bCs/>
                <w:color w:val="auto"/>
                <w:sz w:val="24"/>
                <w:szCs w:val="24"/>
                <w:highlight w:val="none"/>
                <w:lang w:val="en-US" w:eastAsia="zh-CN"/>
              </w:rPr>
              <w:t>0）中表1标准，</w:t>
            </w:r>
            <w:r>
              <w:rPr>
                <w:rFonts w:hint="eastAsia" w:cs="Times New Roman"/>
                <w:color w:val="auto"/>
                <w:sz w:val="24"/>
                <w:szCs w:val="24"/>
                <w:lang w:eastAsia="zh-CN"/>
              </w:rPr>
              <w:t>镍及其化合物、铬及其化合物、</w:t>
            </w:r>
            <w:r>
              <w:rPr>
                <w:rFonts w:hint="eastAsia" w:ascii="Times New Roman" w:hAnsi="Times New Roman" w:eastAsia="宋体" w:cs="Times New Roman"/>
                <w:bCs/>
                <w:color w:val="auto"/>
                <w:sz w:val="24"/>
                <w:szCs w:val="24"/>
                <w:highlight w:val="none"/>
                <w:lang w:val="en-US" w:eastAsia="zh-CN"/>
              </w:rPr>
              <w:t>氟化物</w:t>
            </w:r>
            <w:r>
              <w:rPr>
                <w:rFonts w:hint="eastAsia" w:cs="Times New Roman"/>
                <w:bCs/>
                <w:color w:val="auto"/>
                <w:sz w:val="24"/>
                <w:szCs w:val="24"/>
                <w:highlight w:val="none"/>
                <w:lang w:val="en-US" w:eastAsia="zh-CN"/>
              </w:rPr>
              <w:t>、二噁英类</w:t>
            </w:r>
            <w:r>
              <w:rPr>
                <w:rFonts w:hint="eastAsia" w:ascii="Times New Roman" w:hAnsi="Times New Roman" w:eastAsia="宋体" w:cs="Times New Roman"/>
                <w:bCs/>
                <w:color w:val="auto"/>
                <w:sz w:val="24"/>
                <w:szCs w:val="24"/>
                <w:highlight w:val="none"/>
                <w:lang w:val="en-US" w:eastAsia="zh-CN"/>
              </w:rPr>
              <w:t>执行《大气污染物综合排放标准》（DB32/4041-2021）；颗粒物、</w:t>
            </w:r>
            <w:r>
              <w:rPr>
                <w:rFonts w:hint="eastAsia" w:cs="Times New Roman"/>
                <w:color w:val="auto"/>
                <w:sz w:val="24"/>
                <w:szCs w:val="24"/>
                <w:lang w:eastAsia="zh-CN"/>
              </w:rPr>
              <w:t>镍及其化合物、铬及其化合物、</w:t>
            </w:r>
            <w:r>
              <w:rPr>
                <w:rFonts w:hint="eastAsia" w:cs="Times New Roman"/>
                <w:color w:val="auto"/>
                <w:sz w:val="24"/>
                <w:szCs w:val="24"/>
                <w:lang w:val="en-US" w:eastAsia="zh-CN"/>
              </w:rPr>
              <w:t>氟化物的</w:t>
            </w:r>
            <w:r>
              <w:rPr>
                <w:rFonts w:hint="eastAsia" w:ascii="Times New Roman" w:hAnsi="Times New Roman" w:eastAsia="宋体" w:cs="Times New Roman"/>
                <w:bCs/>
                <w:color w:val="auto"/>
                <w:sz w:val="24"/>
                <w:szCs w:val="24"/>
                <w:highlight w:val="none"/>
                <w:lang w:val="en-US" w:eastAsia="zh-CN"/>
              </w:rPr>
              <w:t>无组织排放执行《大气污染物综合排放标准》（DB32/4041-2021）中表3标准；天然气燃烧废气有组织排放执行《铸造工业大气污染物排放标准》（GB39726-2020）表1标准；厂区内颗粒物无组织排放限值执行《铸造工业大气污染物排放</w:t>
            </w:r>
            <w:r>
              <w:rPr>
                <w:rFonts w:hint="eastAsia" w:ascii="Times New Roman" w:hAnsi="Times New Roman" w:cs="Times New Roman"/>
                <w:bCs/>
                <w:color w:val="auto"/>
                <w:sz w:val="24"/>
                <w:szCs w:val="24"/>
                <w:highlight w:val="none"/>
                <w:lang w:val="en-US" w:eastAsia="zh-CN"/>
              </w:rPr>
              <w:t>标准》（GB39726-2020）中</w:t>
            </w:r>
            <w:r>
              <w:rPr>
                <w:rFonts w:hint="eastAsia" w:ascii="Times New Roman" w:hAnsi="Times New Roman" w:cs="Times New Roman"/>
                <w:color w:val="auto"/>
                <w:sz w:val="24"/>
                <w:szCs w:val="24"/>
                <w:lang w:val="en-US" w:eastAsia="zh-CN"/>
              </w:rPr>
              <w:t>表A.1标准。</w:t>
            </w:r>
          </w:p>
          <w:p w14:paraId="74187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lang w:val="en-US" w:bidi="ar"/>
              </w:rPr>
            </w:pPr>
            <w:r>
              <w:rPr>
                <w:rFonts w:hint="eastAsia" w:ascii="Times New Roman" w:hAnsi="Times New Roman" w:cs="Times New Roman"/>
                <w:color w:val="auto"/>
                <w:sz w:val="24"/>
                <w:szCs w:val="24"/>
                <w:lang w:val="en-US" w:eastAsia="zh-CN"/>
              </w:rPr>
              <w:t>具体见下表：</w:t>
            </w:r>
          </w:p>
          <w:p w14:paraId="5C5FE2EF">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p>
          <w:p w14:paraId="56CBFDD9">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p>
          <w:p w14:paraId="48DD183B">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p>
          <w:p w14:paraId="00222C82">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p>
          <w:p w14:paraId="5A1260AD">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p>
          <w:p w14:paraId="41B4EA8E">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p>
          <w:p w14:paraId="0A807553">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w:t>
            </w:r>
            <w:r>
              <w:rPr>
                <w:rFonts w:hint="eastAsia" w:ascii="Times New Roman" w:hAnsi="Times New Roman" w:cs="Times New Roman"/>
                <w:b/>
                <w:color w:val="auto"/>
                <w:kern w:val="2"/>
                <w:sz w:val="24"/>
                <w:szCs w:val="24"/>
                <w:lang w:val="en-US" w:eastAsia="zh-CN"/>
              </w:rPr>
              <w:t>3.3-2</w:t>
            </w:r>
            <w:r>
              <w:rPr>
                <w:rFonts w:hint="default" w:ascii="Times New Roman" w:hAnsi="Times New Roman" w:cs="Times New Roman"/>
                <w:b/>
                <w:color w:val="auto"/>
                <w:kern w:val="2"/>
                <w:sz w:val="24"/>
                <w:szCs w:val="24"/>
              </w:rPr>
              <w:t xml:space="preserve">  </w:t>
            </w:r>
            <w:r>
              <w:rPr>
                <w:rFonts w:hint="eastAsia" w:ascii="Times New Roman" w:hAnsi="Times New Roman" w:cs="Times New Roman"/>
                <w:b/>
                <w:color w:val="auto"/>
                <w:kern w:val="2"/>
                <w:sz w:val="24"/>
                <w:szCs w:val="24"/>
                <w:lang w:val="en-US" w:eastAsia="zh-CN"/>
              </w:rPr>
              <w:t>大气污染物有组织</w:t>
            </w:r>
            <w:r>
              <w:rPr>
                <w:rFonts w:hint="default" w:ascii="Times New Roman" w:hAnsi="Times New Roman" w:cs="Times New Roman"/>
                <w:b/>
                <w:color w:val="auto"/>
                <w:kern w:val="2"/>
                <w:sz w:val="24"/>
                <w:szCs w:val="24"/>
              </w:rPr>
              <w:t>排放标准</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5"/>
              <w:gridCol w:w="526"/>
              <w:gridCol w:w="963"/>
              <w:gridCol w:w="3257"/>
              <w:gridCol w:w="1441"/>
              <w:gridCol w:w="1433"/>
            </w:tblGrid>
            <w:tr w14:paraId="63AFD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4" w:hRule="atLeast"/>
                <w:jc w:val="center"/>
              </w:trPr>
              <w:tc>
                <w:tcPr>
                  <w:tcW w:w="477" w:type="pct"/>
                  <w:noWrap w:val="0"/>
                  <w:vAlign w:val="center"/>
                </w:tcPr>
                <w:p w14:paraId="221FEE5F">
                  <w:pPr>
                    <w:keepNext w:val="0"/>
                    <w:keepLines w:val="0"/>
                    <w:suppressLineNumbers w:val="0"/>
                    <w:spacing w:before="0" w:beforeAutospacing="0" w:after="0" w:afterAutospacing="0"/>
                    <w:ind w:left="0" w:right="0"/>
                    <w:jc w:val="center"/>
                    <w:rPr>
                      <w:rFonts w:hint="eastAsia" w:ascii="Times New Roman" w:hAnsi="Times New Roman" w:cs="Times New Roman"/>
                      <w:b/>
                      <w:bCs/>
                      <w:color w:val="auto"/>
                      <w:szCs w:val="21"/>
                    </w:rPr>
                  </w:pPr>
                  <w:r>
                    <w:rPr>
                      <w:rFonts w:hint="eastAsia" w:ascii="Times New Roman" w:hAnsi="Times New Roman" w:cs="Times New Roman"/>
                      <w:b/>
                      <w:bCs/>
                      <w:color w:val="auto"/>
                      <w:szCs w:val="21"/>
                    </w:rPr>
                    <w:t>排气筒</w:t>
                  </w:r>
                </w:p>
              </w:tc>
              <w:tc>
                <w:tcPr>
                  <w:tcW w:w="312" w:type="pct"/>
                  <w:noWrap w:val="0"/>
                  <w:vAlign w:val="center"/>
                </w:tcPr>
                <w:p w14:paraId="62F78F4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eastAsia" w:ascii="Times New Roman" w:hAnsi="Times New Roman" w:cs="Times New Roman"/>
                      <w:b/>
                      <w:bCs/>
                      <w:color w:val="auto"/>
                      <w:szCs w:val="21"/>
                    </w:rPr>
                    <w:t>工段</w:t>
                  </w:r>
                </w:p>
              </w:tc>
              <w:tc>
                <w:tcPr>
                  <w:tcW w:w="571" w:type="pct"/>
                  <w:noWrap w:val="0"/>
                  <w:vAlign w:val="center"/>
                </w:tcPr>
                <w:p w14:paraId="12B43D2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933" w:type="pct"/>
                  <w:noWrap w:val="0"/>
                  <w:vAlign w:val="center"/>
                </w:tcPr>
                <w:p w14:paraId="7CE8727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c>
                <w:tcPr>
                  <w:tcW w:w="855" w:type="pct"/>
                  <w:noWrap w:val="0"/>
                  <w:vAlign w:val="center"/>
                </w:tcPr>
                <w:p w14:paraId="521C0B0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最高允许排放浓度</w:t>
                  </w:r>
                  <w:r>
                    <w:rPr>
                      <w:rFonts w:hint="eastAsia" w:ascii="Times New Roman" w:hAnsi="Times New Roman" w:cs="Times New Roman"/>
                      <w:b/>
                      <w:bCs/>
                      <w:color w:val="auto"/>
                      <w:szCs w:val="21"/>
                    </w:rPr>
                    <w:t>（</w:t>
                  </w:r>
                  <w:r>
                    <w:rPr>
                      <w:rFonts w:hint="default" w:ascii="Times New Roman" w:hAnsi="Times New Roman" w:cs="Times New Roman"/>
                      <w:b/>
                      <w:bCs/>
                      <w:color w:val="auto"/>
                      <w:szCs w:val="21"/>
                    </w:rPr>
                    <w:t>mg/m</w:t>
                  </w:r>
                  <w:r>
                    <w:rPr>
                      <w:rFonts w:hint="default" w:ascii="Times New Roman" w:hAnsi="Times New Roman" w:cs="Times New Roman"/>
                      <w:b/>
                      <w:bCs/>
                      <w:color w:val="auto"/>
                      <w:szCs w:val="21"/>
                      <w:vertAlign w:val="superscript"/>
                    </w:rPr>
                    <w:t>3</w:t>
                  </w:r>
                  <w:r>
                    <w:rPr>
                      <w:rFonts w:hint="eastAsia" w:ascii="Times New Roman" w:hAnsi="Times New Roman" w:cs="Times New Roman"/>
                      <w:b/>
                      <w:bCs/>
                      <w:color w:val="auto"/>
                      <w:szCs w:val="21"/>
                    </w:rPr>
                    <w:t>）</w:t>
                  </w:r>
                </w:p>
              </w:tc>
              <w:tc>
                <w:tcPr>
                  <w:tcW w:w="850" w:type="pct"/>
                  <w:noWrap w:val="0"/>
                  <w:vAlign w:val="center"/>
                </w:tcPr>
                <w:p w14:paraId="712694E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最高允许排放速率</w:t>
                  </w:r>
                  <w:r>
                    <w:rPr>
                      <w:rFonts w:hint="eastAsia" w:ascii="Times New Roman" w:hAnsi="Times New Roman" w:cs="Times New Roman"/>
                      <w:b/>
                      <w:bCs/>
                      <w:color w:val="auto"/>
                      <w:szCs w:val="21"/>
                    </w:rPr>
                    <w:t>（</w:t>
                  </w:r>
                  <w:r>
                    <w:rPr>
                      <w:rFonts w:hint="default" w:ascii="Times New Roman" w:hAnsi="Times New Roman" w:cs="Times New Roman"/>
                      <w:b/>
                      <w:bCs/>
                      <w:color w:val="auto"/>
                      <w:szCs w:val="21"/>
                    </w:rPr>
                    <w:t>kg/h</w:t>
                  </w:r>
                  <w:r>
                    <w:rPr>
                      <w:rFonts w:hint="eastAsia" w:ascii="Times New Roman" w:hAnsi="Times New Roman" w:cs="Times New Roman"/>
                      <w:b/>
                      <w:bCs/>
                      <w:color w:val="auto"/>
                      <w:szCs w:val="21"/>
                    </w:rPr>
                    <w:t>）</w:t>
                  </w:r>
                </w:p>
              </w:tc>
            </w:tr>
            <w:tr w14:paraId="6642C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restart"/>
                  <w:noWrap w:val="0"/>
                  <w:vAlign w:val="center"/>
                </w:tcPr>
                <w:p w14:paraId="7A70505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rPr>
                    <w:t>1</w:t>
                  </w:r>
                  <w:r>
                    <w:rPr>
                      <w:rFonts w:hint="default" w:ascii="Times New Roman" w:hAnsi="Times New Roman" w:cs="Times New Roman"/>
                      <w:color w:val="auto"/>
                      <w:szCs w:val="21"/>
                    </w:rPr>
                    <w:t>#</w:t>
                  </w:r>
                  <w:r>
                    <w:rPr>
                      <w:rFonts w:hint="eastAsia" w:cs="Times New Roman"/>
                      <w:color w:val="auto"/>
                      <w:szCs w:val="21"/>
                      <w:lang w:eastAsia="zh-CN"/>
                    </w:rPr>
                    <w:t>（原有）</w:t>
                  </w:r>
                </w:p>
              </w:tc>
              <w:tc>
                <w:tcPr>
                  <w:tcW w:w="312" w:type="pct"/>
                  <w:vMerge w:val="restart"/>
                  <w:noWrap w:val="0"/>
                  <w:vAlign w:val="center"/>
                </w:tcPr>
                <w:p w14:paraId="17FCE77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熔化</w:t>
                  </w:r>
                  <w:r>
                    <w:rPr>
                      <w:rFonts w:hint="eastAsia" w:cs="Times New Roman"/>
                      <w:color w:val="auto"/>
                      <w:szCs w:val="21"/>
                      <w:lang w:val="en-US" w:eastAsia="zh-CN"/>
                    </w:rPr>
                    <w:t>、精炼</w:t>
                  </w:r>
                </w:p>
              </w:tc>
              <w:tc>
                <w:tcPr>
                  <w:tcW w:w="571" w:type="pct"/>
                  <w:noWrap w:val="0"/>
                  <w:vAlign w:val="center"/>
                </w:tcPr>
                <w:p w14:paraId="54239D4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933" w:type="pct"/>
                  <w:noWrap w:val="0"/>
                  <w:vAlign w:val="center"/>
                </w:tcPr>
                <w:p w14:paraId="5DBC0AA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bCs/>
                      <w:color w:val="auto"/>
                      <w:sz w:val="21"/>
                      <w:szCs w:val="21"/>
                      <w:highlight w:val="none"/>
                      <w:lang w:val="en-US" w:eastAsia="zh-CN"/>
                    </w:rPr>
                    <w:t>《铸造工业大气污染物排放标准》（GB39726-2020）表1－电弧炉、感应电炉、精炼炉等其它熔炼（化）炉；保温炉</w:t>
                  </w:r>
                </w:p>
              </w:tc>
              <w:tc>
                <w:tcPr>
                  <w:tcW w:w="855" w:type="pct"/>
                  <w:noWrap w:val="0"/>
                  <w:vAlign w:val="center"/>
                </w:tcPr>
                <w:p w14:paraId="32B0CB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c>
                <w:tcPr>
                  <w:tcW w:w="850" w:type="pct"/>
                  <w:noWrap w:val="0"/>
                  <w:vAlign w:val="center"/>
                </w:tcPr>
                <w:p w14:paraId="1B6E588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14:paraId="134B0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5E7E296F">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312" w:type="pct"/>
                  <w:vMerge w:val="continue"/>
                  <w:noWrap w:val="0"/>
                  <w:vAlign w:val="center"/>
                </w:tcPr>
                <w:p w14:paraId="780B13E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71" w:type="pct"/>
                  <w:noWrap w:val="0"/>
                  <w:vAlign w:val="center"/>
                </w:tcPr>
                <w:p w14:paraId="740E18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olor w:val="auto"/>
                      <w:highlight w:val="none"/>
                      <w:lang w:val="en-US" w:eastAsia="zh-CN"/>
                    </w:rPr>
                    <w:t>铬及其化合物</w:t>
                  </w:r>
                </w:p>
              </w:tc>
              <w:tc>
                <w:tcPr>
                  <w:tcW w:w="1933" w:type="pct"/>
                  <w:vMerge w:val="restart"/>
                  <w:noWrap w:val="0"/>
                  <w:vAlign w:val="center"/>
                </w:tcPr>
                <w:p w14:paraId="5B0F7E92">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 w:val="21"/>
                      <w:szCs w:val="21"/>
                      <w:highlight w:val="none"/>
                      <w:lang w:val="en-US" w:eastAsia="zh-CN"/>
                    </w:rPr>
                  </w:pPr>
                  <w:r>
                    <w:rPr>
                      <w:rFonts w:hint="eastAsia"/>
                      <w:color w:val="auto"/>
                      <w:szCs w:val="21"/>
                      <w:highlight w:val="none"/>
                    </w:rPr>
                    <w:t>《大气污染物综合排放标准》（DB32/4041-2021）</w:t>
                  </w:r>
                </w:p>
              </w:tc>
              <w:tc>
                <w:tcPr>
                  <w:tcW w:w="855" w:type="pct"/>
                  <w:noWrap w:val="0"/>
                  <w:vAlign w:val="center"/>
                </w:tcPr>
                <w:p w14:paraId="0BFDA11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850" w:type="pct"/>
                  <w:noWrap w:val="0"/>
                  <w:vAlign w:val="center"/>
                </w:tcPr>
                <w:p w14:paraId="63409E2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0.025</w:t>
                  </w:r>
                </w:p>
              </w:tc>
            </w:tr>
            <w:tr w14:paraId="48BBF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327DA8A5">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312" w:type="pct"/>
                  <w:vMerge w:val="continue"/>
                  <w:noWrap w:val="0"/>
                  <w:vAlign w:val="center"/>
                </w:tcPr>
                <w:p w14:paraId="333BE5D5">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71" w:type="pct"/>
                  <w:noWrap w:val="0"/>
                  <w:vAlign w:val="center"/>
                </w:tcPr>
                <w:p w14:paraId="6A31EAB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olor w:val="auto"/>
                      <w:highlight w:val="none"/>
                      <w:lang w:val="en-US" w:eastAsia="zh-CN"/>
                    </w:rPr>
                    <w:t>镍及其化合物</w:t>
                  </w:r>
                </w:p>
              </w:tc>
              <w:tc>
                <w:tcPr>
                  <w:tcW w:w="1933" w:type="pct"/>
                  <w:vMerge w:val="continue"/>
                  <w:noWrap w:val="0"/>
                  <w:vAlign w:val="center"/>
                </w:tcPr>
                <w:p w14:paraId="4333D3CF">
                  <w:pPr>
                    <w:keepNext w:val="0"/>
                    <w:keepLines w:val="0"/>
                    <w:suppressLineNumbers w:val="0"/>
                    <w:spacing w:before="0" w:beforeAutospacing="0" w:after="0" w:afterAutospacing="0"/>
                    <w:ind w:left="0" w:right="0"/>
                    <w:jc w:val="center"/>
                    <w:rPr>
                      <w:rFonts w:hint="eastAsia" w:ascii="Times New Roman" w:hAnsi="Times New Roman" w:cs="Times New Roman"/>
                      <w:bCs/>
                      <w:color w:val="auto"/>
                      <w:sz w:val="21"/>
                      <w:szCs w:val="21"/>
                      <w:highlight w:val="none"/>
                      <w:lang w:val="en-US" w:eastAsia="zh-CN"/>
                    </w:rPr>
                  </w:pPr>
                </w:p>
              </w:tc>
              <w:tc>
                <w:tcPr>
                  <w:tcW w:w="855" w:type="pct"/>
                  <w:noWrap w:val="0"/>
                  <w:vAlign w:val="center"/>
                </w:tcPr>
                <w:p w14:paraId="2115FCF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850" w:type="pct"/>
                  <w:noWrap w:val="0"/>
                  <w:vAlign w:val="center"/>
                </w:tcPr>
                <w:p w14:paraId="48DC580B">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0.11</w:t>
                  </w:r>
                </w:p>
              </w:tc>
            </w:tr>
            <w:tr w14:paraId="69563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4ADFDB4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312" w:type="pct"/>
                  <w:vMerge w:val="continue"/>
                  <w:noWrap w:val="0"/>
                  <w:vAlign w:val="center"/>
                </w:tcPr>
                <w:p w14:paraId="7513591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71" w:type="pct"/>
                  <w:noWrap w:val="0"/>
                  <w:vAlign w:val="center"/>
                </w:tcPr>
                <w:p w14:paraId="67B517B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color w:val="auto"/>
                      <w:highlight w:val="none"/>
                      <w:lang w:val="en-US" w:eastAsia="zh-CN"/>
                    </w:rPr>
                    <w:t>二噁英类</w:t>
                  </w:r>
                </w:p>
              </w:tc>
              <w:tc>
                <w:tcPr>
                  <w:tcW w:w="1933" w:type="pct"/>
                  <w:vMerge w:val="continue"/>
                  <w:noWrap w:val="0"/>
                  <w:vAlign w:val="center"/>
                </w:tcPr>
                <w:p w14:paraId="66FA258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p>
              </w:tc>
              <w:tc>
                <w:tcPr>
                  <w:tcW w:w="855" w:type="pct"/>
                  <w:noWrap w:val="0"/>
                  <w:vAlign w:val="center"/>
                </w:tcPr>
                <w:p w14:paraId="1FA4AAB1">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0.1ng-TEQ /m</w:t>
                  </w:r>
                  <w:r>
                    <w:rPr>
                      <w:rFonts w:hint="eastAsia" w:cs="Times New Roman"/>
                      <w:color w:val="auto"/>
                      <w:szCs w:val="21"/>
                      <w:vertAlign w:val="superscript"/>
                      <w:lang w:val="en-US" w:eastAsia="zh-CN"/>
                    </w:rPr>
                    <w:t>3</w:t>
                  </w:r>
                </w:p>
              </w:tc>
              <w:tc>
                <w:tcPr>
                  <w:tcW w:w="850" w:type="pct"/>
                  <w:noWrap w:val="0"/>
                  <w:vAlign w:val="center"/>
                </w:tcPr>
                <w:p w14:paraId="4253A910">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w:t>
                  </w:r>
                </w:p>
              </w:tc>
            </w:tr>
            <w:tr w14:paraId="19118A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restart"/>
                  <w:noWrap w:val="0"/>
                  <w:vAlign w:val="center"/>
                </w:tcPr>
                <w:p w14:paraId="537C83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w:t>
                  </w:r>
                  <w:r>
                    <w:rPr>
                      <w:rFonts w:hint="eastAsia" w:cs="Times New Roman"/>
                      <w:color w:val="auto"/>
                      <w:szCs w:val="21"/>
                      <w:lang w:val="en-US" w:eastAsia="zh-CN"/>
                    </w:rPr>
                    <w:t>（本项目）</w:t>
                  </w:r>
                </w:p>
              </w:tc>
              <w:tc>
                <w:tcPr>
                  <w:tcW w:w="312" w:type="pct"/>
                  <w:vMerge w:val="restart"/>
                  <w:noWrap w:val="0"/>
                  <w:vAlign w:val="center"/>
                </w:tcPr>
                <w:p w14:paraId="4CCC9E0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电渣重熔</w:t>
                  </w:r>
                </w:p>
              </w:tc>
              <w:tc>
                <w:tcPr>
                  <w:tcW w:w="571" w:type="pct"/>
                  <w:noWrap w:val="0"/>
                  <w:vAlign w:val="center"/>
                </w:tcPr>
                <w:p w14:paraId="03F2357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933" w:type="pct"/>
                  <w:noWrap w:val="0"/>
                  <w:vAlign w:val="center"/>
                </w:tcPr>
                <w:p w14:paraId="0914BEC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《铸造工业大气污染物排放标准》（GB39726-2020）表1－电弧炉、感应电炉、精炼炉等其它熔炼（化）炉；保温炉</w:t>
                  </w:r>
                </w:p>
              </w:tc>
              <w:tc>
                <w:tcPr>
                  <w:tcW w:w="855" w:type="pct"/>
                  <w:noWrap w:val="0"/>
                  <w:vAlign w:val="center"/>
                </w:tcPr>
                <w:p w14:paraId="4BC1CBC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p>
              </w:tc>
              <w:tc>
                <w:tcPr>
                  <w:tcW w:w="850" w:type="pct"/>
                  <w:noWrap w:val="0"/>
                  <w:vAlign w:val="center"/>
                </w:tcPr>
                <w:p w14:paraId="588B74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r>
            <w:tr w14:paraId="50919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6F4DFDE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312" w:type="pct"/>
                  <w:vMerge w:val="continue"/>
                  <w:noWrap w:val="0"/>
                  <w:vAlign w:val="center"/>
                </w:tcPr>
                <w:p w14:paraId="4733C63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571" w:type="pct"/>
                  <w:noWrap w:val="0"/>
                  <w:vAlign w:val="center"/>
                </w:tcPr>
                <w:p w14:paraId="6DBB899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olor w:val="auto"/>
                      <w:highlight w:val="none"/>
                      <w:lang w:val="en-US" w:eastAsia="zh-CN"/>
                    </w:rPr>
                    <w:t>铬及其化合物</w:t>
                  </w:r>
                </w:p>
              </w:tc>
              <w:tc>
                <w:tcPr>
                  <w:tcW w:w="1933" w:type="pct"/>
                  <w:vMerge w:val="restart"/>
                  <w:noWrap w:val="0"/>
                  <w:vAlign w:val="center"/>
                </w:tcPr>
                <w:p w14:paraId="65E5E7D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r>
                    <w:rPr>
                      <w:rFonts w:hint="eastAsia"/>
                      <w:color w:val="auto"/>
                      <w:szCs w:val="21"/>
                      <w:highlight w:val="none"/>
                    </w:rPr>
                    <w:t>《大气污染物综合排放标准》（DB32/4041-2021）</w:t>
                  </w:r>
                </w:p>
              </w:tc>
              <w:tc>
                <w:tcPr>
                  <w:tcW w:w="855" w:type="pct"/>
                  <w:noWrap w:val="0"/>
                  <w:vAlign w:val="center"/>
                </w:tcPr>
                <w:p w14:paraId="60E55EF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850" w:type="pct"/>
                  <w:noWrap w:val="0"/>
                  <w:vAlign w:val="center"/>
                </w:tcPr>
                <w:p w14:paraId="3F23944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0.025</w:t>
                  </w:r>
                </w:p>
              </w:tc>
            </w:tr>
            <w:tr w14:paraId="63CB1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013D1DC4">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312" w:type="pct"/>
                  <w:vMerge w:val="continue"/>
                  <w:noWrap w:val="0"/>
                  <w:vAlign w:val="center"/>
                </w:tcPr>
                <w:p w14:paraId="54BA733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571" w:type="pct"/>
                  <w:noWrap w:val="0"/>
                  <w:vAlign w:val="center"/>
                </w:tcPr>
                <w:p w14:paraId="70FFE0E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olor w:val="auto"/>
                      <w:highlight w:val="none"/>
                      <w:lang w:val="en-US" w:eastAsia="zh-CN"/>
                    </w:rPr>
                    <w:t>镍及其化合物</w:t>
                  </w:r>
                </w:p>
              </w:tc>
              <w:tc>
                <w:tcPr>
                  <w:tcW w:w="1933" w:type="pct"/>
                  <w:vMerge w:val="continue"/>
                  <w:noWrap w:val="0"/>
                  <w:vAlign w:val="center"/>
                </w:tcPr>
                <w:p w14:paraId="664D1E4F">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p>
              </w:tc>
              <w:tc>
                <w:tcPr>
                  <w:tcW w:w="855" w:type="pct"/>
                  <w:noWrap w:val="0"/>
                  <w:vAlign w:val="center"/>
                </w:tcPr>
                <w:p w14:paraId="48A810B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w:t>
                  </w:r>
                </w:p>
              </w:tc>
              <w:tc>
                <w:tcPr>
                  <w:tcW w:w="850" w:type="pct"/>
                  <w:noWrap w:val="0"/>
                  <w:vAlign w:val="center"/>
                </w:tcPr>
                <w:p w14:paraId="7B70A8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0.11</w:t>
                  </w:r>
                </w:p>
              </w:tc>
            </w:tr>
            <w:tr w14:paraId="1E778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40218913">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312" w:type="pct"/>
                  <w:vMerge w:val="continue"/>
                  <w:noWrap w:val="0"/>
                  <w:vAlign w:val="center"/>
                </w:tcPr>
                <w:p w14:paraId="5053F2D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571" w:type="pct"/>
                  <w:noWrap w:val="0"/>
                  <w:vAlign w:val="center"/>
                </w:tcPr>
                <w:p w14:paraId="06A3721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color w:val="auto"/>
                      <w:highlight w:val="none"/>
                      <w:lang w:val="en-US" w:eastAsia="zh-CN"/>
                    </w:rPr>
                    <w:t>氟化物</w:t>
                  </w:r>
                </w:p>
              </w:tc>
              <w:tc>
                <w:tcPr>
                  <w:tcW w:w="1933" w:type="pct"/>
                  <w:vMerge w:val="continue"/>
                  <w:noWrap w:val="0"/>
                  <w:vAlign w:val="center"/>
                </w:tcPr>
                <w:p w14:paraId="06AECD8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p>
              </w:tc>
              <w:tc>
                <w:tcPr>
                  <w:tcW w:w="855" w:type="pct"/>
                  <w:noWrap w:val="0"/>
                  <w:vAlign w:val="center"/>
                </w:tcPr>
                <w:p w14:paraId="1BAE7B3B">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3</w:t>
                  </w:r>
                </w:p>
              </w:tc>
              <w:tc>
                <w:tcPr>
                  <w:tcW w:w="850" w:type="pct"/>
                  <w:noWrap w:val="0"/>
                  <w:vAlign w:val="center"/>
                </w:tcPr>
                <w:p w14:paraId="0D1DE850">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0.072</w:t>
                  </w:r>
                </w:p>
              </w:tc>
            </w:tr>
            <w:tr w14:paraId="69F8F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6F7E69AA">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312" w:type="pct"/>
                  <w:vMerge w:val="continue"/>
                  <w:noWrap w:val="0"/>
                  <w:vAlign w:val="center"/>
                </w:tcPr>
                <w:p w14:paraId="0D68F71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571" w:type="pct"/>
                  <w:noWrap w:val="0"/>
                  <w:vAlign w:val="center"/>
                </w:tcPr>
                <w:p w14:paraId="779E3CA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color w:val="auto"/>
                      <w:highlight w:val="none"/>
                      <w:lang w:val="en-US" w:eastAsia="zh-CN"/>
                    </w:rPr>
                    <w:t>二噁英类</w:t>
                  </w:r>
                </w:p>
              </w:tc>
              <w:tc>
                <w:tcPr>
                  <w:tcW w:w="1933" w:type="pct"/>
                  <w:vMerge w:val="continue"/>
                  <w:noWrap w:val="0"/>
                  <w:vAlign w:val="center"/>
                </w:tcPr>
                <w:p w14:paraId="4AAD567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p>
              </w:tc>
              <w:tc>
                <w:tcPr>
                  <w:tcW w:w="1422" w:type="dxa"/>
                  <w:noWrap w:val="0"/>
                  <w:vAlign w:val="center"/>
                </w:tcPr>
                <w:p w14:paraId="2DE53836">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0.1ng-TEQ /m</w:t>
                  </w:r>
                  <w:r>
                    <w:rPr>
                      <w:rFonts w:hint="eastAsia" w:cs="Times New Roman"/>
                      <w:color w:val="auto"/>
                      <w:szCs w:val="21"/>
                      <w:vertAlign w:val="superscript"/>
                      <w:lang w:val="en-US" w:eastAsia="zh-CN"/>
                    </w:rPr>
                    <w:t>3</w:t>
                  </w:r>
                </w:p>
              </w:tc>
              <w:tc>
                <w:tcPr>
                  <w:tcW w:w="1414" w:type="dxa"/>
                  <w:noWrap w:val="0"/>
                  <w:vAlign w:val="center"/>
                </w:tcPr>
                <w:p w14:paraId="5E9B5542">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w:t>
                  </w:r>
                </w:p>
              </w:tc>
            </w:tr>
            <w:tr w14:paraId="48155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restart"/>
                  <w:noWrap w:val="0"/>
                  <w:vAlign w:val="center"/>
                </w:tcPr>
                <w:p w14:paraId="1C0E374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3#（本项目）</w:t>
                  </w:r>
                </w:p>
              </w:tc>
              <w:tc>
                <w:tcPr>
                  <w:tcW w:w="312" w:type="pct"/>
                  <w:vMerge w:val="restart"/>
                  <w:noWrap w:val="0"/>
                  <w:vAlign w:val="center"/>
                </w:tcPr>
                <w:p w14:paraId="7CE3B19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天然气燃烧</w:t>
                  </w:r>
                </w:p>
              </w:tc>
              <w:tc>
                <w:tcPr>
                  <w:tcW w:w="571" w:type="pct"/>
                  <w:noWrap w:val="0"/>
                  <w:vAlign w:val="center"/>
                </w:tcPr>
                <w:p w14:paraId="5E6CD69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color w:val="auto"/>
                      <w:highlight w:val="none"/>
                      <w:lang w:val="en-US" w:eastAsia="zh-CN"/>
                    </w:rPr>
                    <w:t>颗粒物</w:t>
                  </w:r>
                </w:p>
              </w:tc>
              <w:tc>
                <w:tcPr>
                  <w:tcW w:w="1933" w:type="pct"/>
                  <w:vMerge w:val="restart"/>
                  <w:noWrap w:val="0"/>
                  <w:vAlign w:val="center"/>
                </w:tcPr>
                <w:p w14:paraId="5EE9CCD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《铸造工业大气污染物排放标准》（GB39726-2020）表1－燃气炉</w:t>
                  </w:r>
                </w:p>
              </w:tc>
              <w:tc>
                <w:tcPr>
                  <w:tcW w:w="855" w:type="pct"/>
                  <w:noWrap w:val="0"/>
                  <w:vAlign w:val="center"/>
                </w:tcPr>
                <w:p w14:paraId="6B473060">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30</w:t>
                  </w:r>
                </w:p>
              </w:tc>
              <w:tc>
                <w:tcPr>
                  <w:tcW w:w="850" w:type="pct"/>
                  <w:noWrap w:val="0"/>
                  <w:vAlign w:val="center"/>
                </w:tcPr>
                <w:p w14:paraId="230AB9DB">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w:t>
                  </w:r>
                </w:p>
              </w:tc>
            </w:tr>
            <w:tr w14:paraId="758C9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1B7396EB">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312" w:type="pct"/>
                  <w:vMerge w:val="continue"/>
                  <w:noWrap w:val="0"/>
                  <w:vAlign w:val="center"/>
                </w:tcPr>
                <w:p w14:paraId="1FF6C86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571" w:type="pct"/>
                  <w:noWrap w:val="0"/>
                  <w:vAlign w:val="center"/>
                </w:tcPr>
                <w:p w14:paraId="5DB7464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color w:val="auto"/>
                      <w:highlight w:val="none"/>
                      <w:lang w:val="en-US" w:eastAsia="zh-CN"/>
                    </w:rPr>
                    <w:t>二氧化硫</w:t>
                  </w:r>
                </w:p>
              </w:tc>
              <w:tc>
                <w:tcPr>
                  <w:tcW w:w="1933" w:type="pct"/>
                  <w:vMerge w:val="continue"/>
                  <w:noWrap w:val="0"/>
                  <w:vAlign w:val="center"/>
                </w:tcPr>
                <w:p w14:paraId="2C59A9A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p>
              </w:tc>
              <w:tc>
                <w:tcPr>
                  <w:tcW w:w="855" w:type="pct"/>
                  <w:noWrap w:val="0"/>
                  <w:vAlign w:val="center"/>
                </w:tcPr>
                <w:p w14:paraId="38973D08">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100</w:t>
                  </w:r>
                </w:p>
              </w:tc>
              <w:tc>
                <w:tcPr>
                  <w:tcW w:w="850" w:type="pct"/>
                  <w:noWrap w:val="0"/>
                  <w:vAlign w:val="center"/>
                </w:tcPr>
                <w:p w14:paraId="463F23D5">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w:t>
                  </w:r>
                </w:p>
              </w:tc>
            </w:tr>
            <w:tr w14:paraId="44B11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77" w:type="pct"/>
                  <w:vMerge w:val="continue"/>
                  <w:noWrap w:val="0"/>
                  <w:vAlign w:val="center"/>
                </w:tcPr>
                <w:p w14:paraId="44262A2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312" w:type="pct"/>
                  <w:vMerge w:val="continue"/>
                  <w:noWrap w:val="0"/>
                  <w:vAlign w:val="center"/>
                </w:tcPr>
                <w:p w14:paraId="2A006B5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571" w:type="pct"/>
                  <w:noWrap w:val="0"/>
                  <w:vAlign w:val="center"/>
                </w:tcPr>
                <w:p w14:paraId="280697E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color w:val="auto"/>
                      <w:highlight w:val="none"/>
                      <w:lang w:val="en-US" w:eastAsia="zh-CN"/>
                    </w:rPr>
                    <w:t>氮氧化物</w:t>
                  </w:r>
                </w:p>
              </w:tc>
              <w:tc>
                <w:tcPr>
                  <w:tcW w:w="1933" w:type="pct"/>
                  <w:vMerge w:val="continue"/>
                  <w:noWrap w:val="0"/>
                  <w:vAlign w:val="center"/>
                </w:tcPr>
                <w:p w14:paraId="2102362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bCs/>
                      <w:color w:val="auto"/>
                      <w:sz w:val="21"/>
                      <w:szCs w:val="21"/>
                      <w:highlight w:val="none"/>
                      <w:lang w:val="en-US" w:eastAsia="zh-CN"/>
                    </w:rPr>
                  </w:pPr>
                </w:p>
              </w:tc>
              <w:tc>
                <w:tcPr>
                  <w:tcW w:w="855" w:type="pct"/>
                  <w:noWrap w:val="0"/>
                  <w:vAlign w:val="center"/>
                </w:tcPr>
                <w:p w14:paraId="3B979A3A">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400</w:t>
                  </w:r>
                </w:p>
              </w:tc>
              <w:tc>
                <w:tcPr>
                  <w:tcW w:w="850" w:type="pct"/>
                  <w:noWrap w:val="0"/>
                  <w:vAlign w:val="center"/>
                </w:tcPr>
                <w:p w14:paraId="118515D8">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w:t>
                  </w:r>
                </w:p>
              </w:tc>
            </w:tr>
          </w:tbl>
          <w:p w14:paraId="4AA5658B">
            <w:pPr>
              <w:keepNext w:val="0"/>
              <w:keepLines w:val="0"/>
              <w:suppressLineNumbers w:val="0"/>
              <w:spacing w:before="0" w:beforeAutospacing="0" w:after="0" w:afterAutospacing="0"/>
              <w:ind w:left="0" w:right="0" w:firstLine="482"/>
              <w:jc w:val="center"/>
              <w:rPr>
                <w:rFonts w:hint="default" w:ascii="Times New Roman" w:hAnsi="Times New Roman" w:cs="Times New Roman"/>
                <w:b/>
                <w:color w:val="auto"/>
                <w:kern w:val="2"/>
                <w:sz w:val="24"/>
                <w:szCs w:val="24"/>
              </w:rPr>
            </w:pPr>
            <w:r>
              <w:rPr>
                <w:rFonts w:hint="default" w:ascii="Times New Roman" w:hAnsi="Times New Roman" w:cs="Times New Roman"/>
                <w:b/>
                <w:color w:val="auto"/>
                <w:kern w:val="2"/>
                <w:sz w:val="24"/>
                <w:szCs w:val="24"/>
              </w:rPr>
              <w:t>表</w:t>
            </w:r>
            <w:r>
              <w:rPr>
                <w:rFonts w:hint="eastAsia" w:ascii="Times New Roman" w:hAnsi="Times New Roman" w:cs="Times New Roman"/>
                <w:b/>
                <w:color w:val="auto"/>
                <w:kern w:val="2"/>
                <w:sz w:val="24"/>
                <w:szCs w:val="24"/>
                <w:lang w:val="en-US" w:eastAsia="zh-CN"/>
              </w:rPr>
              <w:t>3.3-3</w:t>
            </w:r>
            <w:r>
              <w:rPr>
                <w:rFonts w:hint="default" w:ascii="Times New Roman" w:hAnsi="Times New Roman" w:cs="Times New Roman"/>
                <w:b/>
                <w:color w:val="auto"/>
                <w:kern w:val="2"/>
                <w:sz w:val="24"/>
                <w:szCs w:val="24"/>
              </w:rPr>
              <w:t xml:space="preserve">  </w:t>
            </w:r>
            <w:r>
              <w:rPr>
                <w:rFonts w:hint="eastAsia" w:ascii="Times New Roman" w:hAnsi="Times New Roman" w:cs="Times New Roman"/>
                <w:b/>
                <w:color w:val="auto"/>
                <w:kern w:val="2"/>
                <w:sz w:val="24"/>
                <w:szCs w:val="24"/>
                <w:lang w:val="en-US" w:eastAsia="zh-CN"/>
              </w:rPr>
              <w:t>大气污染物无组织</w:t>
            </w:r>
            <w:r>
              <w:rPr>
                <w:rFonts w:hint="default" w:ascii="Times New Roman" w:hAnsi="Times New Roman" w:cs="Times New Roman"/>
                <w:b/>
                <w:color w:val="auto"/>
                <w:kern w:val="2"/>
                <w:sz w:val="24"/>
                <w:szCs w:val="24"/>
              </w:rPr>
              <w:t>排放标准</w:t>
            </w:r>
          </w:p>
          <w:tbl>
            <w:tblPr>
              <w:tblStyle w:val="27"/>
              <w:tblW w:w="492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2692"/>
              <w:gridCol w:w="1750"/>
              <w:gridCol w:w="2384"/>
            </w:tblGrid>
            <w:tr w14:paraId="232E8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vMerge w:val="restart"/>
                  <w:noWrap w:val="0"/>
                  <w:vAlign w:val="center"/>
                </w:tcPr>
                <w:p w14:paraId="44CA586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620" w:type="pct"/>
                  <w:vMerge w:val="restart"/>
                  <w:noWrap w:val="0"/>
                  <w:vAlign w:val="center"/>
                </w:tcPr>
                <w:p w14:paraId="1D42934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c>
                <w:tcPr>
                  <w:tcW w:w="2488" w:type="pct"/>
                  <w:gridSpan w:val="2"/>
                  <w:noWrap w:val="0"/>
                  <w:tcMar>
                    <w:left w:w="0" w:type="dxa"/>
                    <w:right w:w="0" w:type="dxa"/>
                  </w:tcMar>
                  <w:vAlign w:val="center"/>
                </w:tcPr>
                <w:p w14:paraId="24B11AA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无组织排放监控浓度限值</w:t>
                  </w:r>
                </w:p>
              </w:tc>
            </w:tr>
            <w:tr w14:paraId="18A4C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vMerge w:val="continue"/>
                  <w:noWrap w:val="0"/>
                  <w:vAlign w:val="center"/>
                </w:tcPr>
                <w:p w14:paraId="492E7FD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tc>
              <w:tc>
                <w:tcPr>
                  <w:tcW w:w="1620" w:type="pct"/>
                  <w:vMerge w:val="continue"/>
                  <w:noWrap w:val="0"/>
                  <w:vAlign w:val="center"/>
                </w:tcPr>
                <w:p w14:paraId="1C8068D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p>
              </w:tc>
              <w:tc>
                <w:tcPr>
                  <w:tcW w:w="1053" w:type="pct"/>
                  <w:noWrap w:val="0"/>
                  <w:vAlign w:val="center"/>
                </w:tcPr>
                <w:p w14:paraId="6CCA36E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监控点</w:t>
                  </w:r>
                </w:p>
              </w:tc>
              <w:tc>
                <w:tcPr>
                  <w:tcW w:w="1435" w:type="pct"/>
                  <w:noWrap w:val="0"/>
                  <w:vAlign w:val="center"/>
                </w:tcPr>
                <w:p w14:paraId="7F226DB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浓度mg/m</w:t>
                  </w:r>
                  <w:r>
                    <w:rPr>
                      <w:rFonts w:hint="default" w:ascii="Times New Roman" w:hAnsi="Times New Roman" w:cs="Times New Roman"/>
                      <w:b/>
                      <w:bCs/>
                      <w:color w:val="auto"/>
                      <w:szCs w:val="21"/>
                      <w:vertAlign w:val="superscript"/>
                    </w:rPr>
                    <w:t>3</w:t>
                  </w:r>
                </w:p>
              </w:tc>
            </w:tr>
            <w:tr w14:paraId="0FFD0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noWrap w:val="0"/>
                  <w:vAlign w:val="center"/>
                </w:tcPr>
                <w:p w14:paraId="69A1C0C7">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颗粒物</w:t>
                  </w:r>
                </w:p>
              </w:tc>
              <w:tc>
                <w:tcPr>
                  <w:tcW w:w="1620" w:type="pct"/>
                  <w:vMerge w:val="restart"/>
                  <w:noWrap w:val="0"/>
                  <w:vAlign w:val="center"/>
                </w:tcPr>
                <w:p w14:paraId="32424BC2">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《大气污染物综合排放标准》（DB32/4041—2021）</w:t>
                  </w:r>
                  <w:r>
                    <w:rPr>
                      <w:rFonts w:hint="eastAsia" w:ascii="Times New Roman" w:hAnsi="Times New Roman" w:cs="Times New Roman"/>
                      <w:color w:val="auto"/>
                      <w:szCs w:val="21"/>
                      <w:lang w:val="en-US" w:eastAsia="zh-CN"/>
                    </w:rPr>
                    <w:t>表3</w:t>
                  </w:r>
                </w:p>
              </w:tc>
              <w:tc>
                <w:tcPr>
                  <w:tcW w:w="1053" w:type="pct"/>
                  <w:vMerge w:val="restart"/>
                  <w:noWrap w:val="0"/>
                  <w:vAlign w:val="center"/>
                </w:tcPr>
                <w:p w14:paraId="4A4F8E4D">
                  <w:pPr>
                    <w:pStyle w:val="64"/>
                    <w:keepNext w:val="0"/>
                    <w:keepLines w:val="0"/>
                    <w:widowControl w:val="0"/>
                    <w:suppressLineNumbers w:val="0"/>
                    <w:pBdr>
                      <w:bottom w:val="none" w:color="auto" w:sz="0" w:space="0"/>
                    </w:pBdr>
                    <w:spacing w:before="0" w:beforeAutospacing="0" w:after="0" w:afterAutospacing="0"/>
                    <w:ind w:left="0" w:right="0"/>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边界</w:t>
                  </w:r>
                  <w:r>
                    <w:rPr>
                      <w:rFonts w:hint="default" w:ascii="Times New Roman" w:hAnsi="Times New Roman" w:eastAsia="宋体" w:cs="Times New Roman"/>
                      <w:color w:val="auto"/>
                      <w:szCs w:val="21"/>
                    </w:rPr>
                    <w:t>外浓度最高点</w:t>
                  </w:r>
                </w:p>
              </w:tc>
              <w:tc>
                <w:tcPr>
                  <w:tcW w:w="1435" w:type="pct"/>
                  <w:noWrap w:val="0"/>
                  <w:vAlign w:val="center"/>
                </w:tcPr>
                <w:p w14:paraId="147833E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0.5</w:t>
                  </w:r>
                </w:p>
              </w:tc>
            </w:tr>
            <w:tr w14:paraId="69ADD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noWrap w:val="0"/>
                  <w:vAlign w:val="center"/>
                </w:tcPr>
                <w:p w14:paraId="624F5B2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olor w:val="auto"/>
                      <w:highlight w:val="none"/>
                      <w:lang w:val="en-US" w:eastAsia="zh-CN"/>
                    </w:rPr>
                    <w:t>铬及其化合物</w:t>
                  </w:r>
                </w:p>
              </w:tc>
              <w:tc>
                <w:tcPr>
                  <w:tcW w:w="1620" w:type="pct"/>
                  <w:vMerge w:val="continue"/>
                  <w:noWrap w:val="0"/>
                  <w:vAlign w:val="center"/>
                </w:tcPr>
                <w:p w14:paraId="302E8166">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053" w:type="pct"/>
                  <w:vMerge w:val="continue"/>
                  <w:noWrap w:val="0"/>
                  <w:vAlign w:val="center"/>
                </w:tcPr>
                <w:p w14:paraId="532CBB5A">
                  <w:pPr>
                    <w:pStyle w:val="64"/>
                    <w:keepNext w:val="0"/>
                    <w:keepLines w:val="0"/>
                    <w:widowControl w:val="0"/>
                    <w:suppressLineNumbers w:val="0"/>
                    <w:pBdr>
                      <w:bottom w:val="none" w:color="auto" w:sz="0" w:space="0"/>
                    </w:pBdr>
                    <w:spacing w:before="0" w:beforeAutospacing="0" w:after="0" w:afterAutospacing="0"/>
                    <w:ind w:left="0" w:right="0"/>
                    <w:rPr>
                      <w:rFonts w:hint="eastAsia" w:ascii="Times New Roman" w:hAnsi="Times New Roman" w:eastAsia="宋体" w:cs="Times New Roman"/>
                      <w:color w:val="auto"/>
                      <w:szCs w:val="21"/>
                      <w:lang w:val="en-US" w:eastAsia="zh-CN"/>
                    </w:rPr>
                  </w:pPr>
                </w:p>
              </w:tc>
              <w:tc>
                <w:tcPr>
                  <w:tcW w:w="1435" w:type="pct"/>
                  <w:noWrap w:val="0"/>
                  <w:vAlign w:val="center"/>
                </w:tcPr>
                <w:p w14:paraId="415C0A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0.006</w:t>
                  </w:r>
                </w:p>
              </w:tc>
            </w:tr>
            <w:tr w14:paraId="5B3EF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noWrap w:val="0"/>
                  <w:vAlign w:val="center"/>
                </w:tcPr>
                <w:p w14:paraId="15F87F2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olor w:val="auto"/>
                      <w:highlight w:val="none"/>
                      <w:lang w:val="en-US" w:eastAsia="zh-CN"/>
                    </w:rPr>
                    <w:t>镍及其化合物</w:t>
                  </w:r>
                </w:p>
              </w:tc>
              <w:tc>
                <w:tcPr>
                  <w:tcW w:w="1620" w:type="pct"/>
                  <w:vMerge w:val="continue"/>
                  <w:noWrap w:val="0"/>
                  <w:vAlign w:val="center"/>
                </w:tcPr>
                <w:p w14:paraId="14E11687">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053" w:type="pct"/>
                  <w:vMerge w:val="continue"/>
                  <w:noWrap w:val="0"/>
                  <w:vAlign w:val="center"/>
                </w:tcPr>
                <w:p w14:paraId="4123CA42">
                  <w:pPr>
                    <w:pStyle w:val="64"/>
                    <w:keepNext w:val="0"/>
                    <w:keepLines w:val="0"/>
                    <w:widowControl w:val="0"/>
                    <w:suppressLineNumbers w:val="0"/>
                    <w:pBdr>
                      <w:bottom w:val="none" w:color="auto" w:sz="0" w:space="0"/>
                    </w:pBdr>
                    <w:spacing w:before="0" w:beforeAutospacing="0" w:after="0" w:afterAutospacing="0"/>
                    <w:ind w:left="0" w:right="0"/>
                    <w:rPr>
                      <w:rFonts w:hint="eastAsia" w:ascii="Times New Roman" w:hAnsi="Times New Roman" w:eastAsia="宋体" w:cs="Times New Roman"/>
                      <w:color w:val="auto"/>
                      <w:szCs w:val="21"/>
                      <w:lang w:val="en-US" w:eastAsia="zh-CN"/>
                    </w:rPr>
                  </w:pPr>
                </w:p>
              </w:tc>
              <w:tc>
                <w:tcPr>
                  <w:tcW w:w="1435" w:type="pct"/>
                  <w:noWrap w:val="0"/>
                  <w:vAlign w:val="center"/>
                </w:tcPr>
                <w:p w14:paraId="003136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0.02</w:t>
                  </w:r>
                </w:p>
              </w:tc>
            </w:tr>
            <w:tr w14:paraId="76AE0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0" w:type="pct"/>
                  <w:noWrap w:val="0"/>
                  <w:vAlign w:val="center"/>
                </w:tcPr>
                <w:p w14:paraId="5D08E5A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jc w:val="center"/>
                    <w:textAlignment w:val="auto"/>
                    <w:rPr>
                      <w:rFonts w:hint="default"/>
                      <w:color w:val="auto"/>
                      <w:highlight w:val="none"/>
                      <w:lang w:val="en-US" w:eastAsia="zh-CN"/>
                    </w:rPr>
                  </w:pPr>
                  <w:r>
                    <w:rPr>
                      <w:rFonts w:hint="eastAsia"/>
                      <w:color w:val="auto"/>
                      <w:highlight w:val="none"/>
                      <w:lang w:val="en-US" w:eastAsia="zh-CN"/>
                    </w:rPr>
                    <w:t>氟化物</w:t>
                  </w:r>
                </w:p>
              </w:tc>
              <w:tc>
                <w:tcPr>
                  <w:tcW w:w="1620" w:type="pct"/>
                  <w:vMerge w:val="continue"/>
                  <w:noWrap w:val="0"/>
                  <w:vAlign w:val="center"/>
                </w:tcPr>
                <w:p w14:paraId="62BB86F5">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053" w:type="pct"/>
                  <w:vMerge w:val="continue"/>
                  <w:noWrap w:val="0"/>
                  <w:vAlign w:val="center"/>
                </w:tcPr>
                <w:p w14:paraId="52C620E6">
                  <w:pPr>
                    <w:pStyle w:val="64"/>
                    <w:keepNext w:val="0"/>
                    <w:keepLines w:val="0"/>
                    <w:widowControl w:val="0"/>
                    <w:suppressLineNumbers w:val="0"/>
                    <w:pBdr>
                      <w:bottom w:val="none" w:color="auto" w:sz="0" w:space="0"/>
                    </w:pBdr>
                    <w:spacing w:before="0" w:beforeAutospacing="0" w:after="0" w:afterAutospacing="0"/>
                    <w:ind w:left="0" w:right="0"/>
                    <w:rPr>
                      <w:rFonts w:hint="eastAsia" w:ascii="Times New Roman" w:hAnsi="Times New Roman" w:eastAsia="宋体" w:cs="Times New Roman"/>
                      <w:color w:val="auto"/>
                      <w:szCs w:val="21"/>
                      <w:lang w:val="en-US" w:eastAsia="zh-CN"/>
                    </w:rPr>
                  </w:pPr>
                </w:p>
              </w:tc>
              <w:tc>
                <w:tcPr>
                  <w:tcW w:w="1435" w:type="pct"/>
                  <w:noWrap w:val="0"/>
                  <w:vAlign w:val="center"/>
                </w:tcPr>
                <w:p w14:paraId="233D91D7">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0.02</w:t>
                  </w:r>
                </w:p>
              </w:tc>
            </w:tr>
          </w:tbl>
          <w:p w14:paraId="786E38EB">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b/>
                <w:color w:val="auto"/>
                <w:kern w:val="0"/>
                <w:sz w:val="24"/>
                <w:szCs w:val="24"/>
                <w:lang w:val="en-US" w:eastAsia="zh-CN"/>
              </w:rPr>
            </w:pPr>
            <w:r>
              <w:rPr>
                <w:rFonts w:hint="eastAsia" w:ascii="Times New Roman" w:hAnsi="Times New Roman" w:cs="Times New Roman"/>
                <w:b/>
                <w:color w:val="auto"/>
                <w:kern w:val="0"/>
                <w:sz w:val="24"/>
                <w:szCs w:val="24"/>
              </w:rPr>
              <w:t>表</w:t>
            </w:r>
            <w:r>
              <w:rPr>
                <w:rFonts w:hint="eastAsia" w:ascii="Times New Roman" w:hAnsi="Times New Roman" w:cs="Times New Roman"/>
                <w:b/>
                <w:color w:val="auto"/>
                <w:kern w:val="0"/>
                <w:sz w:val="24"/>
                <w:szCs w:val="24"/>
                <w:lang w:val="en-US" w:eastAsia="zh-CN"/>
              </w:rPr>
              <w:t xml:space="preserve">3.3-4 </w:t>
            </w:r>
            <w:r>
              <w:rPr>
                <w:rFonts w:hint="eastAsia" w:ascii="Times New Roman" w:hAnsi="Times New Roman" w:cs="Times New Roman"/>
                <w:b/>
                <w:color w:val="auto"/>
                <w:kern w:val="0"/>
                <w:sz w:val="24"/>
                <w:szCs w:val="24"/>
                <w:lang w:eastAsia="zh-CN"/>
              </w:rPr>
              <w:t>厂区内颗粒物</w:t>
            </w:r>
            <w:r>
              <w:rPr>
                <w:rFonts w:hint="eastAsia" w:ascii="Times New Roman" w:hAnsi="Times New Roman" w:cs="Times New Roman"/>
                <w:b/>
                <w:color w:val="auto"/>
                <w:kern w:val="0"/>
                <w:sz w:val="24"/>
                <w:szCs w:val="24"/>
                <w:lang w:val="en-US" w:eastAsia="zh-CN"/>
              </w:rPr>
              <w:t>无组织排放限</w:t>
            </w:r>
            <w:r>
              <w:rPr>
                <w:rFonts w:hint="eastAsia" w:cs="Times New Roman"/>
                <w:b/>
                <w:color w:val="auto"/>
                <w:kern w:val="0"/>
                <w:sz w:val="24"/>
                <w:szCs w:val="24"/>
                <w:lang w:val="en-US" w:eastAsia="zh-CN"/>
              </w:rPr>
              <w:t>标准</w:t>
            </w:r>
            <w:r>
              <w:rPr>
                <w:rFonts w:hint="eastAsia" w:ascii="Times New Roman" w:hAnsi="Times New Roman" w:cs="Times New Roman"/>
                <w:b/>
                <w:color w:val="auto"/>
                <w:kern w:val="0"/>
                <w:sz w:val="24"/>
                <w:szCs w:val="24"/>
                <w:lang w:val="en-US" w:eastAsia="zh-CN"/>
              </w:rPr>
              <w:t xml:space="preserve">  单位：mg/m</w:t>
            </w:r>
            <w:r>
              <w:rPr>
                <w:rFonts w:hint="eastAsia" w:ascii="Times New Roman" w:hAnsi="Times New Roman" w:cs="Times New Roman"/>
                <w:b/>
                <w:color w:val="auto"/>
                <w:kern w:val="0"/>
                <w:sz w:val="24"/>
                <w:szCs w:val="24"/>
                <w:vertAlign w:val="superscript"/>
                <w:lang w:val="en-US" w:eastAsia="zh-CN"/>
              </w:rPr>
              <w:t>3</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39"/>
              <w:gridCol w:w="1471"/>
              <w:gridCol w:w="2865"/>
              <w:gridCol w:w="2747"/>
            </w:tblGrid>
            <w:tr w14:paraId="7E0BA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795" w:type="pct"/>
                  <w:noWrap w:val="0"/>
                  <w:vAlign w:val="center"/>
                </w:tcPr>
                <w:p w14:paraId="001B6A7B">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rPr>
                    <w:t>污染物</w:t>
                  </w:r>
                  <w:r>
                    <w:rPr>
                      <w:rFonts w:hint="eastAsia" w:ascii="Times New Roman" w:hAnsi="Times New Roman" w:cs="Times New Roman"/>
                      <w:b/>
                      <w:bCs/>
                      <w:color w:val="auto"/>
                      <w:kern w:val="0"/>
                      <w:sz w:val="21"/>
                      <w:szCs w:val="21"/>
                      <w:lang w:eastAsia="zh-CN"/>
                    </w:rPr>
                    <w:t>项目</w:t>
                  </w:r>
                </w:p>
              </w:tc>
              <w:tc>
                <w:tcPr>
                  <w:tcW w:w="873" w:type="pct"/>
                  <w:noWrap w:val="0"/>
                  <w:vAlign w:val="center"/>
                </w:tcPr>
                <w:p w14:paraId="4631F66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cs="Times New Roman"/>
                      <w:b/>
                      <w:bCs/>
                      <w:color w:val="auto"/>
                      <w:kern w:val="0"/>
                      <w:sz w:val="21"/>
                      <w:szCs w:val="21"/>
                      <w:lang w:eastAsia="zh-CN"/>
                    </w:rPr>
                    <w:t>排放</w:t>
                  </w:r>
                  <w:r>
                    <w:rPr>
                      <w:rFonts w:hint="eastAsia" w:cs="Times New Roman"/>
                      <w:b/>
                      <w:bCs/>
                      <w:color w:val="auto"/>
                      <w:kern w:val="0"/>
                      <w:sz w:val="21"/>
                      <w:szCs w:val="21"/>
                      <w:lang w:val="en-US" w:eastAsia="zh-CN"/>
                    </w:rPr>
                    <w:t>限值</w:t>
                  </w:r>
                </w:p>
              </w:tc>
              <w:tc>
                <w:tcPr>
                  <w:tcW w:w="1700" w:type="pct"/>
                  <w:noWrap w:val="0"/>
                  <w:vAlign w:val="center"/>
                </w:tcPr>
                <w:p w14:paraId="1504B52B">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lang w:eastAsia="zh-CN"/>
                    </w:rPr>
                    <w:t>限值含义</w:t>
                  </w:r>
                </w:p>
              </w:tc>
              <w:tc>
                <w:tcPr>
                  <w:tcW w:w="1630" w:type="pct"/>
                  <w:noWrap w:val="0"/>
                  <w:vAlign w:val="center"/>
                </w:tcPr>
                <w:p w14:paraId="3723DA2D">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kern w:val="0"/>
                      <w:sz w:val="21"/>
                      <w:szCs w:val="21"/>
                      <w:lang w:eastAsia="zh-CN"/>
                    </w:rPr>
                  </w:pPr>
                  <w:r>
                    <w:rPr>
                      <w:rFonts w:hint="eastAsia" w:ascii="Times New Roman" w:hAnsi="Times New Roman" w:cs="Times New Roman"/>
                      <w:b/>
                      <w:bCs/>
                      <w:color w:val="auto"/>
                      <w:kern w:val="0"/>
                      <w:sz w:val="21"/>
                      <w:szCs w:val="21"/>
                      <w:lang w:eastAsia="zh-CN"/>
                    </w:rPr>
                    <w:t>无组织排放监控位置</w:t>
                  </w:r>
                </w:p>
              </w:tc>
            </w:tr>
            <w:tr w14:paraId="2745F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795" w:type="pct"/>
                  <w:noWrap w:val="0"/>
                  <w:vAlign w:val="center"/>
                </w:tcPr>
                <w:p w14:paraId="7B51E0C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rPr>
                    <w:t>颗粒物</w:t>
                  </w:r>
                </w:p>
              </w:tc>
              <w:tc>
                <w:tcPr>
                  <w:tcW w:w="873" w:type="pct"/>
                  <w:noWrap w:val="0"/>
                  <w:vAlign w:val="center"/>
                </w:tcPr>
                <w:p w14:paraId="1E8B226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5</w:t>
                  </w:r>
                </w:p>
              </w:tc>
              <w:tc>
                <w:tcPr>
                  <w:tcW w:w="1700" w:type="pct"/>
                  <w:noWrap w:val="0"/>
                  <w:vAlign w:val="center"/>
                </w:tcPr>
                <w:p w14:paraId="1328D4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监控点处1h平均浓度值</w:t>
                  </w:r>
                </w:p>
              </w:tc>
              <w:tc>
                <w:tcPr>
                  <w:tcW w:w="1630" w:type="pct"/>
                  <w:noWrap w:val="0"/>
                  <w:vAlign w:val="center"/>
                </w:tcPr>
                <w:p w14:paraId="3169851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eastAsia="zh-CN"/>
                    </w:rPr>
                    <w:t>在厂房外设置监控点</w:t>
                  </w:r>
                </w:p>
              </w:tc>
            </w:tr>
          </w:tbl>
          <w:p w14:paraId="14FE6E32">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3、噪声排放标准</w:t>
            </w:r>
          </w:p>
          <w:p w14:paraId="3CAE548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rPr>
              <w:t>项目运行期间，厂界噪声执行《工业企业厂界环境噪声排放标准》（GB12348-2008）中的</w:t>
            </w:r>
            <w:r>
              <w:rPr>
                <w:rFonts w:hint="eastAsia"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类</w:t>
            </w:r>
            <w:r>
              <w:rPr>
                <w:rFonts w:hint="eastAsia" w:ascii="Times New Roman" w:hAnsi="Times New Roman" w:cs="Times New Roman"/>
                <w:color w:val="auto"/>
                <w:sz w:val="24"/>
                <w:szCs w:val="24"/>
                <w:highlight w:val="none"/>
                <w:lang w:val="en-US" w:eastAsia="zh-CN"/>
              </w:rPr>
              <w:t>区域标准</w:t>
            </w:r>
            <w:r>
              <w:rPr>
                <w:rFonts w:hint="default" w:ascii="Times New Roman" w:hAnsi="Times New Roman" w:cs="Times New Roman"/>
                <w:color w:val="auto"/>
                <w:sz w:val="24"/>
                <w:szCs w:val="24"/>
                <w:highlight w:val="none"/>
              </w:rPr>
              <w:t>，具体标准值见</w:t>
            </w:r>
            <w:r>
              <w:rPr>
                <w:rFonts w:hint="eastAsia" w:ascii="Times New Roman" w:hAnsi="Times New Roman" w:cs="Times New Roman"/>
                <w:color w:val="auto"/>
                <w:sz w:val="24"/>
                <w:szCs w:val="24"/>
                <w:highlight w:val="none"/>
                <w:lang w:val="en-US" w:eastAsia="zh-CN"/>
              </w:rPr>
              <w:t>下表</w:t>
            </w:r>
            <w:r>
              <w:rPr>
                <w:rFonts w:hint="default" w:ascii="Times New Roman" w:hAnsi="Times New Roman" w:cs="Times New Roman"/>
                <w:color w:val="auto"/>
                <w:sz w:val="24"/>
                <w:szCs w:val="24"/>
                <w:highlight w:val="none"/>
              </w:rPr>
              <w:t>。</w:t>
            </w:r>
          </w:p>
          <w:p w14:paraId="17EFA87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表3</w:t>
            </w:r>
            <w:r>
              <w:rPr>
                <w:rFonts w:hint="eastAsia" w:ascii="Times New Roman" w:hAnsi="Times New Roman" w:cs="Times New Roman"/>
                <w:b/>
                <w:bCs/>
                <w:color w:val="auto"/>
                <w:sz w:val="24"/>
                <w:szCs w:val="24"/>
                <w:highlight w:val="none"/>
                <w:lang w:val="en-US" w:eastAsia="zh-CN"/>
              </w:rPr>
              <w:t>.3-</w:t>
            </w:r>
            <w:r>
              <w:rPr>
                <w:rFonts w:hint="eastAsia" w:cs="Times New Roman"/>
                <w:b/>
                <w:bCs/>
                <w:color w:val="auto"/>
                <w:sz w:val="24"/>
                <w:szCs w:val="24"/>
                <w:highlight w:val="none"/>
                <w:lang w:val="en-US" w:eastAsia="zh-CN"/>
              </w:rPr>
              <w:t>5</w:t>
            </w:r>
            <w:r>
              <w:rPr>
                <w:rFonts w:hint="eastAsia" w:ascii="Times New Roman" w:hAnsi="Times New Roman" w:cs="Times New Roman"/>
                <w:b/>
                <w:bCs/>
                <w:color w:val="auto"/>
                <w:sz w:val="24"/>
                <w:szCs w:val="24"/>
                <w:highlight w:val="none"/>
              </w:rPr>
              <w:t xml:space="preserve"> </w:t>
            </w:r>
            <w:r>
              <w:rPr>
                <w:rFonts w:hint="default" w:ascii="Times New Roman" w:hAnsi="Times New Roman" w:cs="Times New Roman"/>
                <w:b/>
                <w:bCs/>
                <w:color w:val="auto"/>
                <w:sz w:val="24"/>
                <w:szCs w:val="24"/>
                <w:highlight w:val="none"/>
              </w:rPr>
              <w:t>项目厂界噪声标准值（dB（A））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58"/>
              <w:gridCol w:w="3748"/>
              <w:gridCol w:w="929"/>
              <w:gridCol w:w="1072"/>
              <w:gridCol w:w="1215"/>
            </w:tblGrid>
            <w:tr w14:paraId="72E6EA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25" w:hRule="atLeast"/>
                <w:jc w:val="center"/>
              </w:trPr>
              <w:tc>
                <w:tcPr>
                  <w:tcW w:w="865" w:type="pct"/>
                  <w:vMerge w:val="restart"/>
                  <w:noWrap w:val="0"/>
                  <w:vAlign w:val="center"/>
                </w:tcPr>
                <w:p w14:paraId="61B9701F">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边界名</w:t>
                  </w:r>
                </w:p>
              </w:tc>
              <w:tc>
                <w:tcPr>
                  <w:tcW w:w="2224" w:type="pct"/>
                  <w:vMerge w:val="restart"/>
                  <w:noWrap w:val="0"/>
                  <w:vAlign w:val="center"/>
                </w:tcPr>
                <w:p w14:paraId="35905E47">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c>
                <w:tcPr>
                  <w:tcW w:w="551" w:type="pct"/>
                  <w:vMerge w:val="restart"/>
                  <w:noWrap w:val="0"/>
                  <w:vAlign w:val="center"/>
                </w:tcPr>
                <w:p w14:paraId="0ADE4BF4">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级别</w:t>
                  </w:r>
                </w:p>
              </w:tc>
              <w:tc>
                <w:tcPr>
                  <w:tcW w:w="1357" w:type="pct"/>
                  <w:gridSpan w:val="2"/>
                  <w:noWrap w:val="0"/>
                  <w:vAlign w:val="center"/>
                </w:tcPr>
                <w:p w14:paraId="7882AB8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标准限值dB(A)</w:t>
                  </w:r>
                </w:p>
              </w:tc>
            </w:tr>
            <w:tr w14:paraId="385B36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93" w:hRule="atLeast"/>
                <w:jc w:val="center"/>
              </w:trPr>
              <w:tc>
                <w:tcPr>
                  <w:tcW w:w="865" w:type="pct"/>
                  <w:vMerge w:val="continue"/>
                  <w:noWrap w:val="0"/>
                  <w:vAlign w:val="center"/>
                </w:tcPr>
                <w:p w14:paraId="19AA014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p>
              </w:tc>
              <w:tc>
                <w:tcPr>
                  <w:tcW w:w="2224" w:type="pct"/>
                  <w:vMerge w:val="continue"/>
                  <w:noWrap w:val="0"/>
                  <w:vAlign w:val="center"/>
                </w:tcPr>
                <w:p w14:paraId="24C01C95">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p>
              </w:tc>
              <w:tc>
                <w:tcPr>
                  <w:tcW w:w="551" w:type="pct"/>
                  <w:vMerge w:val="continue"/>
                  <w:noWrap w:val="0"/>
                  <w:vAlign w:val="center"/>
                </w:tcPr>
                <w:p w14:paraId="2FD41B9C">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p>
              </w:tc>
              <w:tc>
                <w:tcPr>
                  <w:tcW w:w="636" w:type="pct"/>
                  <w:noWrap w:val="0"/>
                  <w:vAlign w:val="center"/>
                </w:tcPr>
                <w:p w14:paraId="2BDF3631">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w:t>
                  </w:r>
                </w:p>
              </w:tc>
              <w:tc>
                <w:tcPr>
                  <w:tcW w:w="721" w:type="pct"/>
                  <w:noWrap w:val="0"/>
                  <w:vAlign w:val="center"/>
                </w:tcPr>
                <w:p w14:paraId="7ADA4D84">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w:t>
                  </w:r>
                </w:p>
              </w:tc>
            </w:tr>
            <w:tr w14:paraId="6626D72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865" w:type="pct"/>
                  <w:noWrap w:val="0"/>
                  <w:vAlign w:val="center"/>
                </w:tcPr>
                <w:p w14:paraId="7CEDB650">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项目东、南、西、北厂界</w:t>
                  </w:r>
                </w:p>
              </w:tc>
              <w:tc>
                <w:tcPr>
                  <w:tcW w:w="2224" w:type="pct"/>
                  <w:noWrap w:val="0"/>
                  <w:vAlign w:val="center"/>
                </w:tcPr>
                <w:p w14:paraId="0E6935C6">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w:t>
                  </w:r>
                </w:p>
                <w:p w14:paraId="2795A81B">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（GB12348-2008）</w:t>
                  </w:r>
                </w:p>
              </w:tc>
              <w:tc>
                <w:tcPr>
                  <w:tcW w:w="551" w:type="pct"/>
                  <w:noWrap w:val="0"/>
                  <w:vAlign w:val="center"/>
                </w:tcPr>
                <w:p w14:paraId="67CD0929">
                  <w:pPr>
                    <w:keepNext w:val="0"/>
                    <w:keepLines w:val="0"/>
                    <w:suppressLineNumbers w:val="0"/>
                    <w:adjustRightInd w:val="0"/>
                    <w:snapToGrid w:val="0"/>
                    <w:spacing w:before="0" w:beforeAutospacing="0" w:after="0" w:afterAutospacing="0" w:line="280" w:lineRule="exact"/>
                    <w:ind w:left="0" w:right="0"/>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类</w:t>
                  </w:r>
                </w:p>
              </w:tc>
              <w:tc>
                <w:tcPr>
                  <w:tcW w:w="636" w:type="pct"/>
                  <w:noWrap w:val="0"/>
                  <w:vAlign w:val="center"/>
                </w:tcPr>
                <w:p w14:paraId="4D5D0143">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6</w:t>
                  </w:r>
                  <w:r>
                    <w:rPr>
                      <w:rFonts w:hint="eastAsia" w:ascii="Times New Roman" w:hAnsi="Times New Roman" w:cs="Times New Roman"/>
                      <w:color w:val="auto"/>
                      <w:sz w:val="21"/>
                      <w:szCs w:val="21"/>
                      <w:highlight w:val="none"/>
                      <w:lang w:val="en-US" w:eastAsia="zh-CN"/>
                    </w:rPr>
                    <w:t>5</w:t>
                  </w:r>
                </w:p>
              </w:tc>
              <w:tc>
                <w:tcPr>
                  <w:tcW w:w="721" w:type="pct"/>
                  <w:noWrap w:val="0"/>
                  <w:vAlign w:val="center"/>
                </w:tcPr>
                <w:p w14:paraId="15C89D27">
                  <w:pPr>
                    <w:keepNext w:val="0"/>
                    <w:keepLines w:val="0"/>
                    <w:suppressLineNumbers w:val="0"/>
                    <w:adjustRightInd w:val="0"/>
                    <w:snapToGrid w:val="0"/>
                    <w:spacing w:before="0" w:beforeAutospacing="0" w:after="0" w:afterAutospacing="0" w:line="280" w:lineRule="exact"/>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5</w:t>
                  </w:r>
                  <w:r>
                    <w:rPr>
                      <w:rFonts w:hint="eastAsia" w:ascii="Times New Roman" w:hAnsi="Times New Roman" w:cs="Times New Roman"/>
                      <w:color w:val="auto"/>
                      <w:sz w:val="21"/>
                      <w:szCs w:val="21"/>
                      <w:highlight w:val="none"/>
                      <w:lang w:val="en-US" w:eastAsia="zh-CN"/>
                    </w:rPr>
                    <w:t>5</w:t>
                  </w:r>
                </w:p>
              </w:tc>
            </w:tr>
          </w:tbl>
          <w:p w14:paraId="36F4717B">
            <w:pPr>
              <w:keepNext w:val="0"/>
              <w:keepLines w:val="0"/>
              <w:suppressLineNumbers w:val="0"/>
              <w:spacing w:before="120" w:beforeLines="50" w:beforeAutospacing="0" w:after="0" w:afterAutospacing="0" w:line="360" w:lineRule="auto"/>
              <w:ind w:left="0" w:right="0" w:firstLine="482" w:firstLineChars="200"/>
              <w:rPr>
                <w:rFonts w:hint="eastAsia"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rPr>
              <w:t>4、固废排放标准</w:t>
            </w:r>
          </w:p>
          <w:p w14:paraId="0F862E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bookmarkStart w:id="4" w:name="OLE_LINK101"/>
            <w:r>
              <w:rPr>
                <w:rFonts w:hint="default" w:ascii="Times New Roman" w:hAnsi="Times New Roman" w:cs="Times New Roman"/>
                <w:color w:val="auto"/>
                <w:sz w:val="24"/>
              </w:rPr>
              <w:t>本项目所产生的危险废物、一般工业废物应执行以下标准：</w:t>
            </w:r>
          </w:p>
          <w:bookmarkEnd w:id="4"/>
          <w:p w14:paraId="23D5630C">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《危险废物贮存污染控制标准》（GB18597-20</w:t>
            </w:r>
            <w:r>
              <w:rPr>
                <w:rFonts w:hint="default" w:ascii="Times New Roman" w:hAnsi="Times New Roman" w:cs="Times New Roman"/>
                <w:color w:val="auto"/>
                <w:sz w:val="24"/>
              </w:rPr>
              <w:t>23</w:t>
            </w:r>
            <w:r>
              <w:rPr>
                <w:rFonts w:hint="eastAsia" w:ascii="Times New Roman" w:hAnsi="Times New Roman" w:cs="Times New Roman"/>
                <w:color w:val="auto"/>
                <w:sz w:val="24"/>
              </w:rPr>
              <w:t>）、《一般工业固体废物贮存和填埋污染控制标准》（</w:t>
            </w:r>
            <w:r>
              <w:rPr>
                <w:rFonts w:hint="default" w:ascii="Times New Roman" w:hAnsi="Times New Roman" w:cs="Times New Roman"/>
                <w:color w:val="auto"/>
                <w:sz w:val="24"/>
              </w:rPr>
              <w:t>GB 18599-2020</w:t>
            </w:r>
            <w:r>
              <w:rPr>
                <w:rFonts w:hint="eastAsia" w:ascii="Times New Roman" w:hAnsi="Times New Roman" w:cs="Times New Roman"/>
                <w:color w:val="auto"/>
                <w:sz w:val="24"/>
              </w:rPr>
              <w:t>）。</w:t>
            </w:r>
          </w:p>
          <w:p w14:paraId="30B2B310">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0D34A07A">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487F2A0F">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1A905B86">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1BDDAA4B">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46565672">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0C50A01">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7B222B2D">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597A508">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14EB626D">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5E4150E2">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77B20700">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7E6CDF6">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DAD4F29">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7519EBD">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56E6A6CB">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E7CB5D3">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90E5282">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4300FD24">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04A150B4">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540DD55">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04C50C7">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0B4003E9">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48A67C6C">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C748113">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A594EF8">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1C5583FD">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5477F03">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08FA1862">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7B77E647">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32D631B">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352A0C43">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24128BF8">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18611EDD">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66B75CA3">
            <w:pPr>
              <w:pStyle w:val="3"/>
              <w:keepNext w:val="0"/>
              <w:keepLines w:val="0"/>
              <w:widowControl w:val="0"/>
              <w:numPr>
                <w:ilvl w:val="0"/>
                <w:numId w:val="0"/>
              </w:numPr>
              <w:suppressLineNumbers w:val="0"/>
              <w:spacing w:before="0" w:beforeAutospacing="0" w:after="0" w:afterAutospacing="0"/>
              <w:ind w:left="0" w:right="0"/>
              <w:jc w:val="both"/>
              <w:rPr>
                <w:rFonts w:hint="eastAsia" w:cs="Times New Roman"/>
                <w:color w:val="auto"/>
                <w:sz w:val="24"/>
                <w:lang w:eastAsia="zh-CN"/>
              </w:rPr>
            </w:pPr>
          </w:p>
          <w:p w14:paraId="6804B01F">
            <w:pPr>
              <w:pStyle w:val="3"/>
              <w:keepNext w:val="0"/>
              <w:keepLines w:val="0"/>
              <w:widowControl w:val="0"/>
              <w:numPr>
                <w:ilvl w:val="0"/>
                <w:numId w:val="0"/>
              </w:numPr>
              <w:suppressLineNumbers w:val="0"/>
              <w:spacing w:before="0" w:beforeAutospacing="0" w:after="0" w:afterAutospacing="0"/>
              <w:ind w:left="0" w:right="0"/>
              <w:jc w:val="both"/>
              <w:rPr>
                <w:rFonts w:hint="eastAsia" w:ascii="Times New Roman" w:hAnsi="Times New Roman" w:eastAsia="宋体" w:cs="Times New Roman"/>
                <w:color w:val="auto"/>
                <w:sz w:val="24"/>
                <w:lang w:eastAsia="zh-CN"/>
              </w:rPr>
            </w:pPr>
          </w:p>
        </w:tc>
      </w:tr>
      <w:tr w14:paraId="466E3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0" w:type="dxa"/>
            <w:noWrap w:val="0"/>
            <w:vAlign w:val="center"/>
          </w:tcPr>
          <w:p w14:paraId="5930C2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总量</w:t>
            </w:r>
          </w:p>
          <w:p w14:paraId="2FF0DD6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控制</w:t>
            </w:r>
          </w:p>
          <w:p w14:paraId="0628EF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指标</w:t>
            </w:r>
          </w:p>
        </w:tc>
        <w:tc>
          <w:tcPr>
            <w:tcW w:w="8641" w:type="dxa"/>
            <w:noWrap w:val="0"/>
            <w:vAlign w:val="center"/>
          </w:tcPr>
          <w:p w14:paraId="6D37E910">
            <w:pPr>
              <w:keepNext w:val="0"/>
              <w:keepLines w:val="0"/>
              <w:suppressLineNumbers w:val="0"/>
              <w:adjustRightInd w:val="0"/>
              <w:snapToGrid w:val="0"/>
              <w:spacing w:before="0" w:beforeAutospacing="0" w:after="0" w:afterAutospacing="0" w:line="480" w:lineRule="exact"/>
              <w:ind w:left="0" w:right="0" w:firstLine="482" w:firstLineChars="200"/>
              <w:rPr>
                <w:rFonts w:hint="default" w:ascii="Times New Roman" w:hAnsi="Times New Roman" w:cs="Times New Roman"/>
                <w:b/>
                <w:bCs/>
                <w:color w:val="auto"/>
                <w:kern w:val="0"/>
                <w:sz w:val="24"/>
              </w:rPr>
            </w:pPr>
            <w:r>
              <w:rPr>
                <w:rFonts w:hint="eastAsia" w:ascii="Times New Roman" w:hAnsi="Times New Roman" w:cs="Times New Roman"/>
                <w:b/>
                <w:bCs/>
                <w:color w:val="auto"/>
                <w:kern w:val="0"/>
                <w:sz w:val="24"/>
              </w:rPr>
              <w:t>1、</w:t>
            </w:r>
            <w:r>
              <w:rPr>
                <w:rFonts w:hint="default" w:ascii="Times New Roman" w:hAnsi="Times New Roman" w:cs="Times New Roman"/>
                <w:b/>
                <w:bCs/>
                <w:color w:val="auto"/>
                <w:kern w:val="0"/>
                <w:sz w:val="24"/>
              </w:rPr>
              <w:t>总量控制指标</w:t>
            </w:r>
          </w:p>
          <w:p w14:paraId="77697F3F">
            <w:pPr>
              <w:keepNext w:val="0"/>
              <w:keepLines w:val="0"/>
              <w:pageBreakBefore w:val="0"/>
              <w:widowControl w:val="0"/>
              <w:suppressLineNumbers w:val="0"/>
              <w:kinsoku/>
              <w:wordWrap/>
              <w:overflowPunct/>
              <w:topLinePunct w:val="0"/>
              <w:autoSpaceDE/>
              <w:autoSpaceDN/>
              <w:bidi w:val="0"/>
              <w:adjustRightInd/>
              <w:snapToGrid/>
              <w:spacing w:before="120" w:beforeAutospacing="0" w:after="0" w:afterAutospacing="0"/>
              <w:ind w:left="0" w:right="0" w:firstLine="482" w:firstLineChars="200"/>
              <w:jc w:val="center"/>
              <w:textAlignment w:val="auto"/>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表</w:t>
            </w:r>
            <w:r>
              <w:rPr>
                <w:rFonts w:hint="eastAsia" w:ascii="Times New Roman" w:hAnsi="Times New Roman" w:cs="Times New Roman"/>
                <w:b/>
                <w:bCs/>
                <w:color w:val="auto"/>
                <w:kern w:val="0"/>
                <w:sz w:val="24"/>
                <w:szCs w:val="24"/>
                <w:highlight w:val="none"/>
                <w:lang w:val="en-US" w:eastAsia="zh-CN"/>
              </w:rPr>
              <w:t>3.4-1</w:t>
            </w:r>
            <w:r>
              <w:rPr>
                <w:rFonts w:hint="eastAsia" w:ascii="Times New Roman" w:hAnsi="Times New Roman" w:cs="Times New Roman"/>
                <w:b/>
                <w:bCs/>
                <w:color w:val="auto"/>
                <w:kern w:val="0"/>
                <w:sz w:val="24"/>
                <w:szCs w:val="24"/>
                <w:highlight w:val="none"/>
              </w:rPr>
              <w:t xml:space="preserve">  </w:t>
            </w:r>
            <w:r>
              <w:rPr>
                <w:rFonts w:hint="default" w:ascii="Times New Roman" w:hAnsi="Times New Roman" w:cs="Times New Roman"/>
                <w:b/>
                <w:color w:val="auto"/>
                <w:sz w:val="24"/>
              </w:rPr>
              <w:t>本项目污染物控制指标一览表</w:t>
            </w:r>
            <w:r>
              <w:rPr>
                <w:rFonts w:hint="default" w:ascii="Times New Roman" w:hAnsi="Times New Roman" w:cs="Times New Roman"/>
                <w:b/>
                <w:bCs/>
                <w:color w:val="auto"/>
                <w:kern w:val="0"/>
                <w:sz w:val="24"/>
                <w:szCs w:val="24"/>
                <w:highlight w:val="none"/>
              </w:rPr>
              <w:t>（单位：t/a）</w:t>
            </w:r>
          </w:p>
          <w:tbl>
            <w:tblPr>
              <w:tblStyle w:val="27"/>
              <w:tblpPr w:leftFromText="181" w:rightFromText="181" w:vertAnchor="text" w:horzAnchor="page" w:tblpXSpec="center" w:tblpY="120"/>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5"/>
              <w:gridCol w:w="1016"/>
              <w:gridCol w:w="764"/>
              <w:gridCol w:w="764"/>
              <w:gridCol w:w="764"/>
              <w:gridCol w:w="764"/>
              <w:gridCol w:w="764"/>
              <w:gridCol w:w="764"/>
              <w:gridCol w:w="764"/>
              <w:gridCol w:w="764"/>
              <w:gridCol w:w="767"/>
            </w:tblGrid>
            <w:tr w14:paraId="0BC18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1" w:type="pct"/>
                  <w:vMerge w:val="restart"/>
                  <w:noWrap w:val="0"/>
                  <w:vAlign w:val="center"/>
                </w:tcPr>
                <w:p w14:paraId="6B93C11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种类</w:t>
                  </w:r>
                </w:p>
              </w:tc>
              <w:tc>
                <w:tcPr>
                  <w:tcW w:w="603" w:type="pct"/>
                  <w:vMerge w:val="restart"/>
                  <w:noWrap w:val="0"/>
                  <w:vAlign w:val="center"/>
                </w:tcPr>
                <w:p w14:paraId="2FB2A03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污染物名称</w:t>
                  </w:r>
                </w:p>
              </w:tc>
              <w:tc>
                <w:tcPr>
                  <w:tcW w:w="453" w:type="pct"/>
                  <w:vMerge w:val="restart"/>
                  <w:tcBorders>
                    <w:right w:val="single" w:color="000000" w:sz="4" w:space="0"/>
                  </w:tcBorders>
                  <w:noWrap w:val="0"/>
                  <w:vAlign w:val="center"/>
                </w:tcPr>
                <w:p w14:paraId="153395C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宋体" w:cs="Times New Roman"/>
                      <w:b/>
                      <w:color w:val="auto"/>
                      <w:sz w:val="21"/>
                      <w:szCs w:val="21"/>
                      <w:highlight w:val="none"/>
                      <w:lang w:val="en-US" w:eastAsia="zh-CN"/>
                    </w:rPr>
                  </w:pPr>
                  <w:r>
                    <w:rPr>
                      <w:rFonts w:hint="eastAsia" w:ascii="Times New Roman" w:hAnsi="宋体" w:cs="Times New Roman"/>
                      <w:b/>
                      <w:color w:val="auto"/>
                      <w:sz w:val="21"/>
                      <w:szCs w:val="21"/>
                      <w:highlight w:val="none"/>
                      <w:lang w:val="en-US" w:eastAsia="zh-CN"/>
                    </w:rPr>
                    <w:t>原有项目实际排放量</w:t>
                  </w:r>
                </w:p>
              </w:tc>
              <w:tc>
                <w:tcPr>
                  <w:tcW w:w="453" w:type="pct"/>
                  <w:vMerge w:val="restart"/>
                  <w:tcBorders>
                    <w:right w:val="single" w:color="000000" w:sz="4" w:space="0"/>
                  </w:tcBorders>
                  <w:noWrap w:val="0"/>
                  <w:vAlign w:val="center"/>
                </w:tcPr>
                <w:p w14:paraId="402F0FE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b/>
                      <w:color w:val="auto"/>
                      <w:sz w:val="21"/>
                      <w:szCs w:val="21"/>
                      <w:highlight w:val="none"/>
                      <w:lang w:val="en-US" w:eastAsia="zh-CN"/>
                    </w:rPr>
                  </w:pPr>
                  <w:r>
                    <w:rPr>
                      <w:rFonts w:hint="eastAsia" w:ascii="Times New Roman" w:hAnsi="宋体" w:cs="Times New Roman"/>
                      <w:b/>
                      <w:color w:val="auto"/>
                      <w:sz w:val="21"/>
                      <w:szCs w:val="21"/>
                      <w:highlight w:val="none"/>
                      <w:lang w:eastAsia="zh-CN"/>
                    </w:rPr>
                    <w:t>原有项目批复</w:t>
                  </w:r>
                  <w:r>
                    <w:rPr>
                      <w:rFonts w:hint="eastAsia" w:ascii="Times New Roman" w:hAnsi="宋体" w:cs="Times New Roman"/>
                      <w:b/>
                      <w:color w:val="auto"/>
                      <w:sz w:val="21"/>
                      <w:szCs w:val="21"/>
                      <w:highlight w:val="none"/>
                      <w:lang w:val="en-US" w:eastAsia="zh-CN"/>
                    </w:rPr>
                    <w:t>量</w:t>
                  </w:r>
                </w:p>
              </w:tc>
              <w:tc>
                <w:tcPr>
                  <w:tcW w:w="1361" w:type="pct"/>
                  <w:gridSpan w:val="3"/>
                  <w:noWrap w:val="0"/>
                  <w:vAlign w:val="center"/>
                </w:tcPr>
                <w:p w14:paraId="42BA5C6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eastAsia" w:ascii="Times New Roman" w:hAnsi="宋体" w:cs="Times New Roman"/>
                      <w:b/>
                      <w:color w:val="auto"/>
                      <w:sz w:val="21"/>
                      <w:szCs w:val="21"/>
                      <w:highlight w:val="none"/>
                      <w:lang w:eastAsia="zh-CN"/>
                    </w:rPr>
                    <w:t>本项目</w:t>
                  </w:r>
                </w:p>
              </w:tc>
              <w:tc>
                <w:tcPr>
                  <w:tcW w:w="453" w:type="pct"/>
                  <w:vMerge w:val="restart"/>
                  <w:noWrap w:val="0"/>
                  <w:vAlign w:val="center"/>
                </w:tcPr>
                <w:p w14:paraId="03618F8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w:t>
                  </w:r>
                  <w:r>
                    <w:rPr>
                      <w:rFonts w:hint="default" w:ascii="Times New Roman" w:hAnsi="宋体" w:cs="Times New Roman"/>
                      <w:b/>
                      <w:color w:val="auto"/>
                      <w:sz w:val="21"/>
                      <w:szCs w:val="21"/>
                      <w:highlight w:val="none"/>
                    </w:rPr>
                    <w:t>以新带老</w:t>
                  </w:r>
                  <w:r>
                    <w:rPr>
                      <w:rFonts w:hint="default" w:ascii="Times New Roman" w:hAnsi="Times New Roman" w:cs="Times New Roman"/>
                      <w:b/>
                      <w:color w:val="auto"/>
                      <w:sz w:val="21"/>
                      <w:szCs w:val="21"/>
                      <w:highlight w:val="none"/>
                    </w:rPr>
                    <w:t>”</w:t>
                  </w:r>
                  <w:r>
                    <w:rPr>
                      <w:rFonts w:hint="default" w:ascii="Times New Roman" w:hAnsi="宋体" w:cs="Times New Roman"/>
                      <w:b/>
                      <w:color w:val="auto"/>
                      <w:sz w:val="21"/>
                      <w:szCs w:val="21"/>
                      <w:highlight w:val="none"/>
                    </w:rPr>
                    <w:t>削减量</w:t>
                  </w:r>
                </w:p>
              </w:tc>
              <w:tc>
                <w:tcPr>
                  <w:tcW w:w="453" w:type="pct"/>
                  <w:vMerge w:val="restart"/>
                  <w:noWrap w:val="0"/>
                  <w:vAlign w:val="center"/>
                </w:tcPr>
                <w:p w14:paraId="0509271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全厂排放量</w:t>
                  </w:r>
                </w:p>
              </w:tc>
              <w:tc>
                <w:tcPr>
                  <w:tcW w:w="453" w:type="pct"/>
                  <w:vMerge w:val="restart"/>
                  <w:noWrap w:val="0"/>
                  <w:vAlign w:val="center"/>
                </w:tcPr>
                <w:p w14:paraId="4D29C73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宋体" w:cs="Times New Roman"/>
                      <w:b/>
                      <w:color w:val="auto"/>
                      <w:sz w:val="21"/>
                      <w:szCs w:val="21"/>
                      <w:highlight w:val="none"/>
                      <w:lang w:eastAsia="zh-CN"/>
                    </w:rPr>
                  </w:pPr>
                  <w:r>
                    <w:rPr>
                      <w:rFonts w:hint="default" w:ascii="Times New Roman" w:hAnsi="Times New Roman" w:cs="Times New Roman"/>
                      <w:b/>
                      <w:color w:val="auto"/>
                      <w:sz w:val="21"/>
                      <w:szCs w:val="21"/>
                    </w:rPr>
                    <w:t>排放增减量</w:t>
                  </w:r>
                </w:p>
              </w:tc>
              <w:tc>
                <w:tcPr>
                  <w:tcW w:w="455" w:type="pct"/>
                  <w:vMerge w:val="restart"/>
                  <w:noWrap w:val="0"/>
                  <w:vAlign w:val="center"/>
                </w:tcPr>
                <w:p w14:paraId="4B07B71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b/>
                      <w:color w:val="auto"/>
                      <w:sz w:val="21"/>
                      <w:szCs w:val="21"/>
                      <w:highlight w:val="none"/>
                      <w:lang w:eastAsia="zh-CN"/>
                    </w:rPr>
                  </w:pPr>
                  <w:r>
                    <w:rPr>
                      <w:rFonts w:hint="eastAsia" w:ascii="Times New Roman" w:hAnsi="宋体" w:cs="Times New Roman"/>
                      <w:b/>
                      <w:color w:val="auto"/>
                      <w:sz w:val="21"/>
                      <w:szCs w:val="21"/>
                      <w:highlight w:val="none"/>
                      <w:lang w:eastAsia="zh-CN"/>
                    </w:rPr>
                    <w:t>本次申请量</w:t>
                  </w:r>
                </w:p>
              </w:tc>
            </w:tr>
            <w:tr w14:paraId="3B0A4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11" w:type="pct"/>
                  <w:vMerge w:val="continue"/>
                  <w:noWrap w:val="0"/>
                  <w:vAlign w:val="center"/>
                </w:tcPr>
                <w:p w14:paraId="6D8CD36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p>
              </w:tc>
              <w:tc>
                <w:tcPr>
                  <w:tcW w:w="603" w:type="pct"/>
                  <w:vMerge w:val="continue"/>
                  <w:noWrap w:val="0"/>
                  <w:vAlign w:val="center"/>
                </w:tcPr>
                <w:p w14:paraId="3E6FB8E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p>
              </w:tc>
              <w:tc>
                <w:tcPr>
                  <w:tcW w:w="453" w:type="pct"/>
                  <w:vMerge w:val="continue"/>
                  <w:tcBorders>
                    <w:right w:val="single" w:color="000000" w:sz="4" w:space="0"/>
                  </w:tcBorders>
                  <w:noWrap w:val="0"/>
                  <w:vAlign w:val="center"/>
                </w:tcPr>
                <w:p w14:paraId="559F197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b/>
                      <w:color w:val="auto"/>
                      <w:sz w:val="21"/>
                      <w:szCs w:val="21"/>
                      <w:highlight w:val="none"/>
                      <w:lang w:eastAsia="zh-CN"/>
                    </w:rPr>
                  </w:pPr>
                </w:p>
              </w:tc>
              <w:tc>
                <w:tcPr>
                  <w:tcW w:w="453" w:type="pct"/>
                  <w:vMerge w:val="continue"/>
                  <w:tcBorders>
                    <w:right w:val="single" w:color="000000" w:sz="4" w:space="0"/>
                  </w:tcBorders>
                  <w:noWrap w:val="0"/>
                  <w:vAlign w:val="center"/>
                </w:tcPr>
                <w:p w14:paraId="7B55E70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b/>
                      <w:color w:val="auto"/>
                      <w:sz w:val="21"/>
                      <w:szCs w:val="21"/>
                      <w:highlight w:val="none"/>
                      <w:lang w:eastAsia="zh-CN"/>
                    </w:rPr>
                  </w:pPr>
                </w:p>
              </w:tc>
              <w:tc>
                <w:tcPr>
                  <w:tcW w:w="453" w:type="pct"/>
                  <w:noWrap w:val="0"/>
                  <w:vAlign w:val="center"/>
                </w:tcPr>
                <w:p w14:paraId="36A93B4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产生量</w:t>
                  </w:r>
                </w:p>
              </w:tc>
              <w:tc>
                <w:tcPr>
                  <w:tcW w:w="453" w:type="pct"/>
                  <w:noWrap w:val="0"/>
                  <w:vAlign w:val="center"/>
                </w:tcPr>
                <w:p w14:paraId="2EC14DA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削减量</w:t>
                  </w:r>
                </w:p>
              </w:tc>
              <w:tc>
                <w:tcPr>
                  <w:tcW w:w="453" w:type="pct"/>
                  <w:noWrap w:val="0"/>
                  <w:vAlign w:val="center"/>
                </w:tcPr>
                <w:p w14:paraId="2CA50A4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r>
                    <w:rPr>
                      <w:rFonts w:hint="default" w:ascii="Times New Roman" w:hAnsi="宋体" w:cs="Times New Roman"/>
                      <w:b/>
                      <w:color w:val="auto"/>
                      <w:sz w:val="21"/>
                      <w:szCs w:val="21"/>
                      <w:highlight w:val="none"/>
                    </w:rPr>
                    <w:t>排放量</w:t>
                  </w:r>
                </w:p>
              </w:tc>
              <w:tc>
                <w:tcPr>
                  <w:tcW w:w="453" w:type="pct"/>
                  <w:vMerge w:val="continue"/>
                  <w:noWrap w:val="0"/>
                  <w:vAlign w:val="center"/>
                </w:tcPr>
                <w:p w14:paraId="634DCEE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p>
              </w:tc>
              <w:tc>
                <w:tcPr>
                  <w:tcW w:w="453" w:type="pct"/>
                  <w:vMerge w:val="continue"/>
                  <w:noWrap w:val="0"/>
                  <w:vAlign w:val="center"/>
                </w:tcPr>
                <w:p w14:paraId="43784ADF">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b/>
                      <w:color w:val="auto"/>
                      <w:sz w:val="21"/>
                      <w:szCs w:val="21"/>
                      <w:highlight w:val="none"/>
                    </w:rPr>
                  </w:pPr>
                </w:p>
              </w:tc>
              <w:tc>
                <w:tcPr>
                  <w:tcW w:w="453" w:type="pct"/>
                  <w:vMerge w:val="continue"/>
                  <w:noWrap w:val="0"/>
                  <w:vAlign w:val="center"/>
                </w:tcPr>
                <w:p w14:paraId="2A2D05F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455" w:type="pct"/>
                  <w:vMerge w:val="continue"/>
                  <w:noWrap w:val="0"/>
                  <w:vAlign w:val="center"/>
                </w:tcPr>
                <w:p w14:paraId="2B7A218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r>
            <w:tr w14:paraId="35A8D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restart"/>
                  <w:noWrap w:val="0"/>
                  <w:vAlign w:val="center"/>
                </w:tcPr>
                <w:p w14:paraId="4FDF020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生活污水</w:t>
                  </w:r>
                </w:p>
              </w:tc>
              <w:tc>
                <w:tcPr>
                  <w:tcW w:w="603" w:type="pct"/>
                  <w:noWrap w:val="0"/>
                  <w:vAlign w:val="center"/>
                </w:tcPr>
                <w:p w14:paraId="1F221EB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废水量</w:t>
                  </w:r>
                </w:p>
              </w:tc>
              <w:tc>
                <w:tcPr>
                  <w:tcW w:w="453" w:type="pct"/>
                  <w:shd w:val="clear" w:color="auto" w:fill="auto"/>
                  <w:noWrap w:val="0"/>
                  <w:vAlign w:val="center"/>
                </w:tcPr>
                <w:p w14:paraId="32EABB49">
                  <w:pPr>
                    <w:pStyle w:val="89"/>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2448</w:t>
                  </w:r>
                </w:p>
              </w:tc>
              <w:tc>
                <w:tcPr>
                  <w:tcW w:w="453" w:type="pct"/>
                  <w:shd w:val="clear" w:color="auto" w:fill="auto"/>
                  <w:noWrap w:val="0"/>
                  <w:vAlign w:val="center"/>
                </w:tcPr>
                <w:p w14:paraId="3A6024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7920</w:t>
                  </w:r>
                </w:p>
              </w:tc>
              <w:tc>
                <w:tcPr>
                  <w:tcW w:w="453" w:type="pct"/>
                  <w:noWrap w:val="0"/>
                  <w:vAlign w:val="center"/>
                </w:tcPr>
                <w:p w14:paraId="522518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2775A0EF">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0CE69B8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3F4E11D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4AE1AC1D">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2448</w:t>
                  </w:r>
                </w:p>
              </w:tc>
              <w:tc>
                <w:tcPr>
                  <w:tcW w:w="453" w:type="pct"/>
                  <w:noWrap w:val="0"/>
                  <w:vAlign w:val="center"/>
                </w:tcPr>
                <w:p w14:paraId="0F71BEA5">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5" w:type="pct"/>
                  <w:noWrap w:val="0"/>
                  <w:vAlign w:val="center"/>
                </w:tcPr>
                <w:p w14:paraId="77F871B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r>
            <w:tr w14:paraId="4ECC85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214CEFA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7A6CFD0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453" w:type="pct"/>
                  <w:shd w:val="clear" w:color="auto" w:fill="auto"/>
                  <w:noWrap w:val="0"/>
                  <w:vAlign w:val="center"/>
                </w:tcPr>
                <w:p w14:paraId="446E71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0.979 </w:t>
                  </w:r>
                </w:p>
              </w:tc>
              <w:tc>
                <w:tcPr>
                  <w:tcW w:w="453" w:type="pct"/>
                  <w:shd w:val="clear" w:color="auto" w:fill="auto"/>
                  <w:noWrap w:val="0"/>
                  <w:vAlign w:val="center"/>
                </w:tcPr>
                <w:p w14:paraId="29C8A4BC">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2.92</w:t>
                  </w:r>
                  <w:r>
                    <w:rPr>
                      <w:rFonts w:hint="eastAsia" w:ascii="Times New Roman" w:hAnsi="Times New Roman" w:eastAsia="宋体" w:cs="Times New Roman"/>
                      <w:color w:val="auto"/>
                      <w:kern w:val="2"/>
                      <w:sz w:val="21"/>
                      <w:szCs w:val="21"/>
                      <w:lang w:val="en-US" w:eastAsia="zh-CN" w:bidi="ar"/>
                    </w:rPr>
                    <w:t>0</w:t>
                  </w:r>
                </w:p>
              </w:tc>
              <w:tc>
                <w:tcPr>
                  <w:tcW w:w="453" w:type="pct"/>
                  <w:noWrap w:val="0"/>
                  <w:vAlign w:val="center"/>
                </w:tcPr>
                <w:p w14:paraId="6EEE8C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40B5474A">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5FD388E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5DEFEFA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0831A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0.979 </w:t>
                  </w:r>
                </w:p>
              </w:tc>
              <w:tc>
                <w:tcPr>
                  <w:tcW w:w="453" w:type="pct"/>
                  <w:noWrap w:val="0"/>
                  <w:vAlign w:val="center"/>
                </w:tcPr>
                <w:p w14:paraId="5D22728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5" w:type="pct"/>
                  <w:noWrap w:val="0"/>
                  <w:vAlign w:val="center"/>
                </w:tcPr>
                <w:p w14:paraId="3CD854F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r>
            <w:tr w14:paraId="12FF5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0622626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64EF770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453" w:type="pct"/>
                  <w:shd w:val="clear" w:color="auto" w:fill="auto"/>
                  <w:noWrap w:val="0"/>
                  <w:vAlign w:val="center"/>
                </w:tcPr>
                <w:p w14:paraId="08D3BA4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0.612 </w:t>
                  </w:r>
                </w:p>
              </w:tc>
              <w:tc>
                <w:tcPr>
                  <w:tcW w:w="453" w:type="pct"/>
                  <w:shd w:val="clear" w:color="auto" w:fill="auto"/>
                  <w:noWrap w:val="0"/>
                  <w:vAlign w:val="center"/>
                </w:tcPr>
                <w:p w14:paraId="687E9A74">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1.82</w:t>
                  </w:r>
                  <w:r>
                    <w:rPr>
                      <w:rFonts w:hint="eastAsia" w:ascii="Times New Roman" w:hAnsi="Times New Roman" w:eastAsia="宋体" w:cs="Times New Roman"/>
                      <w:color w:val="auto"/>
                      <w:kern w:val="2"/>
                      <w:sz w:val="21"/>
                      <w:szCs w:val="21"/>
                      <w:lang w:val="en-US" w:eastAsia="zh-CN" w:bidi="ar"/>
                    </w:rPr>
                    <w:t>0</w:t>
                  </w:r>
                </w:p>
              </w:tc>
              <w:tc>
                <w:tcPr>
                  <w:tcW w:w="453" w:type="pct"/>
                  <w:noWrap w:val="0"/>
                  <w:vAlign w:val="center"/>
                </w:tcPr>
                <w:p w14:paraId="799B02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2EA8DDB9">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0735A83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7D5012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275335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0.612 </w:t>
                  </w:r>
                </w:p>
              </w:tc>
              <w:tc>
                <w:tcPr>
                  <w:tcW w:w="453" w:type="pct"/>
                  <w:noWrap w:val="0"/>
                  <w:vAlign w:val="center"/>
                </w:tcPr>
                <w:p w14:paraId="5EA227D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5" w:type="pct"/>
                  <w:noWrap w:val="0"/>
                  <w:vAlign w:val="center"/>
                </w:tcPr>
                <w:p w14:paraId="17F8A28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r>
            <w:tr w14:paraId="1471DC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047A8A4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082425A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453" w:type="pct"/>
                  <w:shd w:val="clear" w:color="auto" w:fill="auto"/>
                  <w:noWrap w:val="0"/>
                  <w:vAlign w:val="center"/>
                </w:tcPr>
                <w:p w14:paraId="09296C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0.086 </w:t>
                  </w:r>
                </w:p>
              </w:tc>
              <w:tc>
                <w:tcPr>
                  <w:tcW w:w="453" w:type="pct"/>
                  <w:shd w:val="clear" w:color="auto" w:fill="auto"/>
                  <w:noWrap w:val="0"/>
                  <w:vAlign w:val="center"/>
                </w:tcPr>
                <w:p w14:paraId="4EA4E9B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0.22</w:t>
                  </w:r>
                  <w:r>
                    <w:rPr>
                      <w:rFonts w:hint="eastAsia" w:ascii="Times New Roman" w:hAnsi="Times New Roman" w:eastAsia="宋体" w:cs="Times New Roman"/>
                      <w:color w:val="auto"/>
                      <w:kern w:val="2"/>
                      <w:sz w:val="21"/>
                      <w:szCs w:val="21"/>
                      <w:lang w:val="en-US" w:eastAsia="zh-CN" w:bidi="ar"/>
                    </w:rPr>
                    <w:t>0</w:t>
                  </w:r>
                </w:p>
              </w:tc>
              <w:tc>
                <w:tcPr>
                  <w:tcW w:w="453" w:type="pct"/>
                  <w:noWrap w:val="0"/>
                  <w:vAlign w:val="center"/>
                </w:tcPr>
                <w:p w14:paraId="111ECC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671CF27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003056A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149B3B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2210D8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0.086 </w:t>
                  </w:r>
                </w:p>
              </w:tc>
              <w:tc>
                <w:tcPr>
                  <w:tcW w:w="453" w:type="pct"/>
                  <w:noWrap w:val="0"/>
                  <w:vAlign w:val="center"/>
                </w:tcPr>
                <w:p w14:paraId="4B5836F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5" w:type="pct"/>
                  <w:noWrap w:val="0"/>
                  <w:vAlign w:val="center"/>
                </w:tcPr>
                <w:p w14:paraId="06392D3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r>
            <w:tr w14:paraId="45F4D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71D14E27">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1FC9291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TN</w:t>
                  </w:r>
                </w:p>
              </w:tc>
              <w:tc>
                <w:tcPr>
                  <w:tcW w:w="453" w:type="pct"/>
                  <w:shd w:val="clear" w:color="auto" w:fill="auto"/>
                  <w:noWrap w:val="0"/>
                  <w:vAlign w:val="center"/>
                </w:tcPr>
                <w:p w14:paraId="386585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453" w:type="pct"/>
                  <w:shd w:val="clear" w:color="auto" w:fill="auto"/>
                  <w:noWrap w:val="0"/>
                  <w:vAlign w:val="center"/>
                </w:tcPr>
                <w:p w14:paraId="60145641">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453" w:type="pct"/>
                  <w:noWrap w:val="0"/>
                  <w:vAlign w:val="center"/>
                </w:tcPr>
                <w:p w14:paraId="0992ADC9">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6C81784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29ABA31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690912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2311F6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453" w:type="pct"/>
                  <w:noWrap w:val="0"/>
                  <w:vAlign w:val="center"/>
                </w:tcPr>
                <w:p w14:paraId="3DDA5DE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5" w:type="pct"/>
                  <w:noWrap w:val="0"/>
                  <w:vAlign w:val="center"/>
                </w:tcPr>
                <w:p w14:paraId="4BF674C9">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r>
            <w:tr w14:paraId="3CBE5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3AD7790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777F88A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TP</w:t>
                  </w:r>
                </w:p>
              </w:tc>
              <w:tc>
                <w:tcPr>
                  <w:tcW w:w="453" w:type="pct"/>
                  <w:shd w:val="clear" w:color="auto" w:fill="auto"/>
                  <w:noWrap w:val="0"/>
                  <w:vAlign w:val="center"/>
                </w:tcPr>
                <w:p w14:paraId="5BEAF8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453" w:type="pct"/>
                  <w:shd w:val="clear" w:color="auto" w:fill="auto"/>
                  <w:noWrap w:val="0"/>
                  <w:vAlign w:val="center"/>
                </w:tcPr>
                <w:p w14:paraId="58B5A5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0.029</w:t>
                  </w:r>
                </w:p>
              </w:tc>
              <w:tc>
                <w:tcPr>
                  <w:tcW w:w="453" w:type="pct"/>
                  <w:noWrap w:val="0"/>
                  <w:vAlign w:val="center"/>
                </w:tcPr>
                <w:p w14:paraId="60305F4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51856C1D">
                  <w:pPr>
                    <w:keepNext w:val="0"/>
                    <w:keepLines w:val="0"/>
                    <w:suppressLineNumbers w:val="0"/>
                    <w:autoSpaceDN w:val="0"/>
                    <w:spacing w:before="0" w:beforeAutospacing="0" w:after="0" w:afterAutospacing="0"/>
                    <w:ind w:left="0" w:right="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167F6A06">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kern w:val="2"/>
                      <w:sz w:val="21"/>
                      <w:szCs w:val="21"/>
                      <w:lang w:val="en-US" w:eastAsia="zh-CN" w:bidi="ar-SA"/>
                    </w:rPr>
                    <w:t>0</w:t>
                  </w:r>
                </w:p>
              </w:tc>
              <w:tc>
                <w:tcPr>
                  <w:tcW w:w="453" w:type="pct"/>
                  <w:noWrap w:val="0"/>
                  <w:vAlign w:val="center"/>
                </w:tcPr>
                <w:p w14:paraId="1E48855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49170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453" w:type="pct"/>
                  <w:noWrap w:val="0"/>
                  <w:vAlign w:val="center"/>
                </w:tcPr>
                <w:p w14:paraId="7D6F5A55">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5" w:type="pct"/>
                  <w:noWrap w:val="0"/>
                  <w:vAlign w:val="center"/>
                </w:tcPr>
                <w:p w14:paraId="165AAFE8">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lang w:val="en-US" w:eastAsia="zh-CN" w:bidi="ar-SA"/>
                    </w:rPr>
                    <w:t>0</w:t>
                  </w:r>
                </w:p>
              </w:tc>
            </w:tr>
            <w:tr w14:paraId="1D4A8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restart"/>
                  <w:noWrap w:val="0"/>
                  <w:vAlign w:val="center"/>
                </w:tcPr>
                <w:p w14:paraId="775CF984">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废气</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有组织+无组织</w:t>
                  </w:r>
                  <w:r>
                    <w:rPr>
                      <w:rFonts w:hint="default" w:ascii="Times New Roman" w:hAnsi="Times New Roman" w:cs="Times New Roman"/>
                      <w:color w:val="auto"/>
                      <w:sz w:val="21"/>
                      <w:szCs w:val="21"/>
                      <w:highlight w:val="none"/>
                      <w:lang w:eastAsia="zh-CN"/>
                    </w:rPr>
                    <w:t>）</w:t>
                  </w:r>
                </w:p>
              </w:tc>
              <w:tc>
                <w:tcPr>
                  <w:tcW w:w="603" w:type="pct"/>
                  <w:noWrap w:val="0"/>
                  <w:vAlign w:val="center"/>
                </w:tcPr>
                <w:p w14:paraId="09039C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颗粒物</w:t>
                  </w:r>
                </w:p>
              </w:tc>
              <w:tc>
                <w:tcPr>
                  <w:tcW w:w="453" w:type="pct"/>
                  <w:shd w:val="clear" w:color="auto" w:fill="auto"/>
                  <w:noWrap w:val="0"/>
                  <w:vAlign w:val="center"/>
                </w:tcPr>
                <w:p w14:paraId="259ACE78">
                  <w:pPr>
                    <w:pStyle w:val="89"/>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7.848</w:t>
                  </w:r>
                </w:p>
              </w:tc>
              <w:tc>
                <w:tcPr>
                  <w:tcW w:w="453" w:type="pct"/>
                  <w:shd w:val="clear" w:color="auto" w:fill="auto"/>
                  <w:noWrap w:val="0"/>
                  <w:vAlign w:val="center"/>
                </w:tcPr>
                <w:p w14:paraId="250C16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highlight w:val="none"/>
                      <w:lang w:val="en-US" w:eastAsia="zh-CN"/>
                    </w:rPr>
                    <w:t>8.660</w:t>
                  </w:r>
                </w:p>
              </w:tc>
              <w:tc>
                <w:tcPr>
                  <w:tcW w:w="453" w:type="pct"/>
                  <w:shd w:val="clear" w:color="auto" w:fill="auto"/>
                  <w:noWrap w:val="0"/>
                  <w:vAlign w:val="center"/>
                </w:tcPr>
                <w:p w14:paraId="5D02F1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8.083</w:t>
                  </w:r>
                </w:p>
              </w:tc>
              <w:tc>
                <w:tcPr>
                  <w:tcW w:w="453" w:type="pct"/>
                  <w:shd w:val="clear" w:color="auto" w:fill="auto"/>
                  <w:noWrap w:val="0"/>
                  <w:vAlign w:val="center"/>
                </w:tcPr>
                <w:p w14:paraId="1D379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6.956</w:t>
                  </w:r>
                </w:p>
              </w:tc>
              <w:tc>
                <w:tcPr>
                  <w:tcW w:w="453" w:type="pct"/>
                  <w:shd w:val="clear" w:color="auto" w:fill="auto"/>
                  <w:noWrap w:val="0"/>
                  <w:vAlign w:val="center"/>
                </w:tcPr>
                <w:p w14:paraId="6D76D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1.127</w:t>
                  </w:r>
                </w:p>
              </w:tc>
              <w:tc>
                <w:tcPr>
                  <w:tcW w:w="453" w:type="pct"/>
                  <w:shd w:val="clear" w:color="auto" w:fill="auto"/>
                  <w:noWrap w:val="0"/>
                  <w:vAlign w:val="center"/>
                </w:tcPr>
                <w:p w14:paraId="7CE8B4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2.844</w:t>
                  </w:r>
                </w:p>
              </w:tc>
              <w:tc>
                <w:tcPr>
                  <w:tcW w:w="453" w:type="pct"/>
                  <w:shd w:val="clear" w:color="auto" w:fill="auto"/>
                  <w:noWrap w:val="0"/>
                  <w:vAlign w:val="center"/>
                </w:tcPr>
                <w:p w14:paraId="4518B5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6.943</w:t>
                  </w:r>
                </w:p>
              </w:tc>
              <w:tc>
                <w:tcPr>
                  <w:tcW w:w="453" w:type="pct"/>
                  <w:shd w:val="clear" w:color="auto" w:fill="auto"/>
                  <w:noWrap w:val="0"/>
                  <w:vAlign w:val="center"/>
                </w:tcPr>
                <w:p w14:paraId="13DA57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-1.717</w:t>
                  </w:r>
                </w:p>
              </w:tc>
              <w:tc>
                <w:tcPr>
                  <w:tcW w:w="455" w:type="pct"/>
                  <w:shd w:val="clear" w:color="auto" w:fill="auto"/>
                  <w:noWrap w:val="0"/>
                  <w:vAlign w:val="center"/>
                </w:tcPr>
                <w:p w14:paraId="270301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w:t>
                  </w:r>
                </w:p>
              </w:tc>
            </w:tr>
            <w:tr w14:paraId="1F56C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continue"/>
                  <w:noWrap w:val="0"/>
                  <w:vAlign w:val="center"/>
                </w:tcPr>
                <w:p w14:paraId="5110F4C3">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03" w:type="pct"/>
                  <w:noWrap w:val="0"/>
                  <w:vAlign w:val="center"/>
                </w:tcPr>
                <w:p w14:paraId="320748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SO</w:t>
                  </w:r>
                  <w:r>
                    <w:rPr>
                      <w:rFonts w:hint="default" w:ascii="Times New Roman" w:hAnsi="Times New Roman" w:cs="Times New Roman"/>
                      <w:i w:val="0"/>
                      <w:iCs w:val="0"/>
                      <w:color w:val="auto"/>
                      <w:kern w:val="2"/>
                      <w:sz w:val="21"/>
                      <w:szCs w:val="21"/>
                      <w:u w:val="none"/>
                      <w:vertAlign w:val="subscript"/>
                      <w:lang w:val="en-US" w:eastAsia="zh-CN" w:bidi="ar-SA"/>
                    </w:rPr>
                    <w:t>2</w:t>
                  </w:r>
                </w:p>
              </w:tc>
              <w:tc>
                <w:tcPr>
                  <w:tcW w:w="453" w:type="pct"/>
                  <w:shd w:val="clear" w:color="auto" w:fill="auto"/>
                  <w:noWrap w:val="0"/>
                  <w:vAlign w:val="center"/>
                </w:tcPr>
                <w:p w14:paraId="5126F7B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453" w:type="pct"/>
                  <w:shd w:val="clear" w:color="auto" w:fill="auto"/>
                  <w:noWrap w:val="0"/>
                  <w:vAlign w:val="center"/>
                </w:tcPr>
                <w:p w14:paraId="4A5C3F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8.190</w:t>
                  </w:r>
                </w:p>
              </w:tc>
              <w:tc>
                <w:tcPr>
                  <w:tcW w:w="453" w:type="pct"/>
                  <w:shd w:val="clear" w:color="auto" w:fill="auto"/>
                  <w:noWrap w:val="0"/>
                  <w:vAlign w:val="center"/>
                </w:tcPr>
                <w:p w14:paraId="448D5E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0.240</w:t>
                  </w:r>
                </w:p>
              </w:tc>
              <w:tc>
                <w:tcPr>
                  <w:tcW w:w="453" w:type="pct"/>
                  <w:shd w:val="clear" w:color="auto" w:fill="auto"/>
                  <w:noWrap w:val="0"/>
                  <w:vAlign w:val="center"/>
                </w:tcPr>
                <w:p w14:paraId="494E9F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w:t>
                  </w:r>
                </w:p>
              </w:tc>
              <w:tc>
                <w:tcPr>
                  <w:tcW w:w="453" w:type="pct"/>
                  <w:shd w:val="clear" w:color="auto" w:fill="auto"/>
                  <w:noWrap w:val="0"/>
                  <w:vAlign w:val="center"/>
                </w:tcPr>
                <w:p w14:paraId="04A5E5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0.240</w:t>
                  </w:r>
                </w:p>
              </w:tc>
              <w:tc>
                <w:tcPr>
                  <w:tcW w:w="453" w:type="pct"/>
                  <w:shd w:val="clear" w:color="auto" w:fill="auto"/>
                  <w:noWrap w:val="0"/>
                  <w:vAlign w:val="center"/>
                </w:tcPr>
                <w:p w14:paraId="14F907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highlight w:val="none"/>
                      <w:lang w:val="en-US" w:eastAsia="zh-CN"/>
                    </w:rPr>
                    <w:t>8.190</w:t>
                  </w:r>
                </w:p>
              </w:tc>
              <w:tc>
                <w:tcPr>
                  <w:tcW w:w="453" w:type="pct"/>
                  <w:shd w:val="clear" w:color="auto" w:fill="auto"/>
                  <w:noWrap w:val="0"/>
                  <w:vAlign w:val="center"/>
                </w:tcPr>
                <w:p w14:paraId="2A9C31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r>
                    <w:rPr>
                      <w:rFonts w:hint="eastAsia" w:cs="Times New Roman"/>
                      <w:i w:val="0"/>
                      <w:iCs w:val="0"/>
                      <w:color w:val="auto"/>
                      <w:kern w:val="0"/>
                      <w:sz w:val="21"/>
                      <w:szCs w:val="21"/>
                      <w:u w:val="none"/>
                      <w:lang w:val="en-US" w:eastAsia="zh-CN" w:bidi="ar"/>
                    </w:rPr>
                    <w:t>0</w:t>
                  </w:r>
                </w:p>
              </w:tc>
              <w:tc>
                <w:tcPr>
                  <w:tcW w:w="453" w:type="pct"/>
                  <w:shd w:val="clear" w:color="auto" w:fill="auto"/>
                  <w:noWrap w:val="0"/>
                  <w:vAlign w:val="center"/>
                </w:tcPr>
                <w:p w14:paraId="5078CA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-7.950</w:t>
                  </w:r>
                </w:p>
              </w:tc>
              <w:tc>
                <w:tcPr>
                  <w:tcW w:w="455" w:type="pct"/>
                  <w:shd w:val="clear" w:color="auto" w:fill="auto"/>
                  <w:noWrap w:val="0"/>
                  <w:vAlign w:val="center"/>
                </w:tcPr>
                <w:p w14:paraId="48A857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w:t>
                  </w:r>
                </w:p>
              </w:tc>
            </w:tr>
            <w:tr w14:paraId="00E70B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continue"/>
                  <w:noWrap w:val="0"/>
                  <w:vAlign w:val="center"/>
                </w:tcPr>
                <w:p w14:paraId="76D2192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03" w:type="pct"/>
                  <w:noWrap w:val="0"/>
                  <w:vAlign w:val="center"/>
                </w:tcPr>
                <w:p w14:paraId="438A6C7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NOx</w:t>
                  </w:r>
                </w:p>
              </w:tc>
              <w:tc>
                <w:tcPr>
                  <w:tcW w:w="453" w:type="pct"/>
                  <w:shd w:val="clear" w:color="auto" w:fill="auto"/>
                  <w:noWrap w:val="0"/>
                  <w:vAlign w:val="center"/>
                </w:tcPr>
                <w:p w14:paraId="5854E2E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453" w:type="pct"/>
                  <w:shd w:val="clear" w:color="auto" w:fill="auto"/>
                  <w:noWrap w:val="0"/>
                  <w:vAlign w:val="center"/>
                </w:tcPr>
                <w:p w14:paraId="0C08E34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453" w:type="pct"/>
                  <w:shd w:val="clear" w:color="auto" w:fill="auto"/>
                  <w:noWrap w:val="0"/>
                  <w:vAlign w:val="center"/>
                </w:tcPr>
                <w:p w14:paraId="11030A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0.836</w:t>
                  </w:r>
                </w:p>
              </w:tc>
              <w:tc>
                <w:tcPr>
                  <w:tcW w:w="453" w:type="pct"/>
                  <w:shd w:val="clear" w:color="auto" w:fill="auto"/>
                  <w:noWrap w:val="0"/>
                  <w:vAlign w:val="center"/>
                </w:tcPr>
                <w:p w14:paraId="53C56D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0</w:t>
                  </w:r>
                </w:p>
              </w:tc>
              <w:tc>
                <w:tcPr>
                  <w:tcW w:w="453" w:type="pct"/>
                  <w:shd w:val="clear" w:color="auto" w:fill="auto"/>
                  <w:noWrap w:val="0"/>
                  <w:vAlign w:val="center"/>
                </w:tcPr>
                <w:p w14:paraId="1716E5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0.836</w:t>
                  </w:r>
                </w:p>
              </w:tc>
              <w:tc>
                <w:tcPr>
                  <w:tcW w:w="453" w:type="pct"/>
                  <w:shd w:val="clear" w:color="auto" w:fill="auto"/>
                  <w:noWrap w:val="0"/>
                  <w:vAlign w:val="center"/>
                </w:tcPr>
                <w:p w14:paraId="2682E37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w:t>
                  </w:r>
                </w:p>
              </w:tc>
              <w:tc>
                <w:tcPr>
                  <w:tcW w:w="453" w:type="pct"/>
                  <w:shd w:val="clear" w:color="auto" w:fill="auto"/>
                  <w:noWrap w:val="0"/>
                  <w:vAlign w:val="center"/>
                </w:tcPr>
                <w:p w14:paraId="091B8FF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0.836</w:t>
                  </w:r>
                </w:p>
              </w:tc>
              <w:tc>
                <w:tcPr>
                  <w:tcW w:w="453" w:type="pct"/>
                  <w:shd w:val="clear" w:color="auto" w:fill="auto"/>
                  <w:noWrap w:val="0"/>
                  <w:vAlign w:val="center"/>
                </w:tcPr>
                <w:p w14:paraId="4188E4D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0.836</w:t>
                  </w:r>
                </w:p>
              </w:tc>
              <w:tc>
                <w:tcPr>
                  <w:tcW w:w="455" w:type="pct"/>
                  <w:shd w:val="clear" w:color="auto" w:fill="auto"/>
                  <w:noWrap w:val="0"/>
                  <w:vAlign w:val="center"/>
                </w:tcPr>
                <w:p w14:paraId="007A965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0.836</w:t>
                  </w:r>
                </w:p>
              </w:tc>
            </w:tr>
            <w:tr w14:paraId="7EDCD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continue"/>
                  <w:noWrap w:val="0"/>
                  <w:vAlign w:val="center"/>
                </w:tcPr>
                <w:p w14:paraId="4D82509C">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03" w:type="pct"/>
                  <w:noWrap w:val="0"/>
                  <w:vAlign w:val="center"/>
                </w:tcPr>
                <w:p w14:paraId="0B2AC6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镍及其化合物</w:t>
                  </w:r>
                </w:p>
              </w:tc>
              <w:tc>
                <w:tcPr>
                  <w:tcW w:w="453" w:type="pct"/>
                  <w:shd w:val="clear" w:color="auto" w:fill="auto"/>
                  <w:noWrap w:val="0"/>
                  <w:vAlign w:val="center"/>
                </w:tcPr>
                <w:p w14:paraId="0E110AF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0.0138</w:t>
                  </w:r>
                </w:p>
              </w:tc>
              <w:tc>
                <w:tcPr>
                  <w:tcW w:w="453" w:type="pct"/>
                  <w:shd w:val="clear" w:color="auto" w:fill="auto"/>
                  <w:noWrap w:val="0"/>
                  <w:vAlign w:val="center"/>
                </w:tcPr>
                <w:p w14:paraId="5EA7543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453" w:type="pct"/>
                  <w:shd w:val="clear" w:color="auto" w:fill="auto"/>
                  <w:noWrap w:val="0"/>
                  <w:vAlign w:val="center"/>
                </w:tcPr>
                <w:p w14:paraId="747C92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0.017</w:t>
                  </w:r>
                </w:p>
              </w:tc>
              <w:tc>
                <w:tcPr>
                  <w:tcW w:w="453" w:type="pct"/>
                  <w:shd w:val="clear" w:color="auto" w:fill="auto"/>
                  <w:noWrap w:val="0"/>
                  <w:vAlign w:val="center"/>
                </w:tcPr>
                <w:p w14:paraId="368BD0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0.0152</w:t>
                  </w:r>
                </w:p>
              </w:tc>
              <w:tc>
                <w:tcPr>
                  <w:tcW w:w="453" w:type="pct"/>
                  <w:shd w:val="clear" w:color="auto" w:fill="auto"/>
                  <w:noWrap w:val="0"/>
                  <w:vAlign w:val="center"/>
                </w:tcPr>
                <w:p w14:paraId="31618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0.0018</w:t>
                  </w:r>
                </w:p>
              </w:tc>
              <w:tc>
                <w:tcPr>
                  <w:tcW w:w="453" w:type="pct"/>
                  <w:shd w:val="clear" w:color="auto" w:fill="auto"/>
                  <w:noWrap w:val="0"/>
                  <w:vAlign w:val="center"/>
                </w:tcPr>
                <w:p w14:paraId="7AE45E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-0.0138</w:t>
                  </w:r>
                </w:p>
              </w:tc>
              <w:tc>
                <w:tcPr>
                  <w:tcW w:w="453" w:type="pct"/>
                  <w:shd w:val="clear" w:color="auto" w:fill="auto"/>
                  <w:noWrap w:val="0"/>
                  <w:vAlign w:val="center"/>
                </w:tcPr>
                <w:p w14:paraId="264CE73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0.0156</w:t>
                  </w:r>
                </w:p>
              </w:tc>
              <w:tc>
                <w:tcPr>
                  <w:tcW w:w="453" w:type="pct"/>
                  <w:shd w:val="clear" w:color="auto" w:fill="auto"/>
                  <w:noWrap w:val="0"/>
                  <w:vAlign w:val="center"/>
                </w:tcPr>
                <w:p w14:paraId="304F3F4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+0.0156</w:t>
                  </w:r>
                </w:p>
              </w:tc>
              <w:tc>
                <w:tcPr>
                  <w:tcW w:w="455" w:type="pct"/>
                  <w:shd w:val="clear" w:color="auto" w:fill="auto"/>
                  <w:noWrap w:val="0"/>
                  <w:vAlign w:val="center"/>
                </w:tcPr>
                <w:p w14:paraId="15BE2B1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0.0156</w:t>
                  </w:r>
                </w:p>
              </w:tc>
            </w:tr>
            <w:tr w14:paraId="15007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continue"/>
                  <w:noWrap w:val="0"/>
                  <w:vAlign w:val="center"/>
                </w:tcPr>
                <w:p w14:paraId="43EC46AF">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03" w:type="pct"/>
                  <w:noWrap w:val="0"/>
                  <w:vAlign w:val="center"/>
                </w:tcPr>
                <w:p w14:paraId="428A77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铬及其化合物</w:t>
                  </w:r>
                </w:p>
              </w:tc>
              <w:tc>
                <w:tcPr>
                  <w:tcW w:w="453" w:type="pct"/>
                  <w:shd w:val="clear" w:color="auto" w:fill="auto"/>
                  <w:noWrap w:val="0"/>
                  <w:vAlign w:val="center"/>
                </w:tcPr>
                <w:p w14:paraId="6B0F18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0.0175</w:t>
                  </w:r>
                </w:p>
              </w:tc>
              <w:tc>
                <w:tcPr>
                  <w:tcW w:w="453" w:type="pct"/>
                  <w:shd w:val="clear" w:color="auto" w:fill="auto"/>
                  <w:noWrap w:val="0"/>
                  <w:vAlign w:val="center"/>
                </w:tcPr>
                <w:p w14:paraId="463EFBE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453" w:type="pct"/>
                  <w:shd w:val="clear" w:color="auto" w:fill="auto"/>
                  <w:noWrap w:val="0"/>
                  <w:vAlign w:val="center"/>
                </w:tcPr>
                <w:p w14:paraId="614B7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0.022</w:t>
                  </w:r>
                </w:p>
              </w:tc>
              <w:tc>
                <w:tcPr>
                  <w:tcW w:w="453" w:type="pct"/>
                  <w:shd w:val="clear" w:color="auto" w:fill="auto"/>
                  <w:noWrap w:val="0"/>
                  <w:vAlign w:val="center"/>
                </w:tcPr>
                <w:p w14:paraId="2FC2D4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0.0199</w:t>
                  </w:r>
                </w:p>
              </w:tc>
              <w:tc>
                <w:tcPr>
                  <w:tcW w:w="453" w:type="pct"/>
                  <w:shd w:val="clear" w:color="auto" w:fill="auto"/>
                  <w:noWrap w:val="0"/>
                  <w:vAlign w:val="center"/>
                </w:tcPr>
                <w:p w14:paraId="0FFC9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0.0021</w:t>
                  </w:r>
                </w:p>
              </w:tc>
              <w:tc>
                <w:tcPr>
                  <w:tcW w:w="453" w:type="pct"/>
                  <w:shd w:val="clear" w:color="auto" w:fill="auto"/>
                  <w:noWrap w:val="0"/>
                  <w:vAlign w:val="center"/>
                </w:tcPr>
                <w:p w14:paraId="6A6973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-0.0175</w:t>
                  </w:r>
                </w:p>
              </w:tc>
              <w:tc>
                <w:tcPr>
                  <w:tcW w:w="453" w:type="pct"/>
                  <w:shd w:val="clear" w:color="auto" w:fill="auto"/>
                  <w:noWrap w:val="0"/>
                  <w:vAlign w:val="center"/>
                </w:tcPr>
                <w:p w14:paraId="20C5264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0.0196</w:t>
                  </w:r>
                </w:p>
              </w:tc>
              <w:tc>
                <w:tcPr>
                  <w:tcW w:w="453" w:type="pct"/>
                  <w:shd w:val="clear" w:color="auto" w:fill="auto"/>
                  <w:noWrap w:val="0"/>
                  <w:vAlign w:val="center"/>
                </w:tcPr>
                <w:p w14:paraId="2D9520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+0.0196</w:t>
                  </w:r>
                </w:p>
              </w:tc>
              <w:tc>
                <w:tcPr>
                  <w:tcW w:w="455" w:type="pct"/>
                  <w:shd w:val="clear" w:color="auto" w:fill="auto"/>
                  <w:noWrap w:val="0"/>
                  <w:vAlign w:val="center"/>
                </w:tcPr>
                <w:p w14:paraId="1AEABE9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0.0196</w:t>
                  </w:r>
                </w:p>
              </w:tc>
            </w:tr>
            <w:tr w14:paraId="72879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continue"/>
                  <w:noWrap w:val="0"/>
                  <w:vAlign w:val="center"/>
                </w:tcPr>
                <w:p w14:paraId="25557BE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03" w:type="pct"/>
                  <w:noWrap w:val="0"/>
                  <w:vAlign w:val="center"/>
                </w:tcPr>
                <w:p w14:paraId="2438EB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氟化物</w:t>
                  </w:r>
                </w:p>
              </w:tc>
              <w:tc>
                <w:tcPr>
                  <w:tcW w:w="453" w:type="pct"/>
                  <w:shd w:val="clear" w:color="auto" w:fill="auto"/>
                  <w:noWrap w:val="0"/>
                  <w:vAlign w:val="center"/>
                </w:tcPr>
                <w:p w14:paraId="2571145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w:t>
                  </w:r>
                </w:p>
              </w:tc>
              <w:tc>
                <w:tcPr>
                  <w:tcW w:w="453" w:type="pct"/>
                  <w:shd w:val="clear" w:color="auto" w:fill="auto"/>
                  <w:noWrap w:val="0"/>
                  <w:vAlign w:val="center"/>
                </w:tcPr>
                <w:p w14:paraId="081047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w:t>
                  </w:r>
                </w:p>
              </w:tc>
              <w:tc>
                <w:tcPr>
                  <w:tcW w:w="453" w:type="pct"/>
                  <w:shd w:val="clear" w:color="auto" w:fill="auto"/>
                  <w:noWrap w:val="0"/>
                  <w:vAlign w:val="center"/>
                </w:tcPr>
                <w:p w14:paraId="035BC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eastAsia"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0.168</w:t>
                  </w:r>
                </w:p>
              </w:tc>
              <w:tc>
                <w:tcPr>
                  <w:tcW w:w="453" w:type="pct"/>
                  <w:shd w:val="clear" w:color="auto" w:fill="auto"/>
                  <w:noWrap w:val="0"/>
                  <w:vAlign w:val="center"/>
                </w:tcPr>
                <w:p w14:paraId="4032F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0.152</w:t>
                  </w:r>
                </w:p>
              </w:tc>
              <w:tc>
                <w:tcPr>
                  <w:tcW w:w="453" w:type="pct"/>
                  <w:shd w:val="clear" w:color="auto" w:fill="auto"/>
                  <w:noWrap w:val="0"/>
                  <w:vAlign w:val="center"/>
                </w:tcPr>
                <w:p w14:paraId="2D8449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c>
                <w:tcPr>
                  <w:tcW w:w="453" w:type="pct"/>
                  <w:shd w:val="clear" w:color="auto" w:fill="auto"/>
                  <w:noWrap w:val="0"/>
                  <w:vAlign w:val="center"/>
                </w:tcPr>
                <w:p w14:paraId="1688D8F5">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w:t>
                  </w:r>
                </w:p>
              </w:tc>
              <w:tc>
                <w:tcPr>
                  <w:tcW w:w="453" w:type="pct"/>
                  <w:shd w:val="clear" w:color="auto" w:fill="auto"/>
                  <w:noWrap w:val="0"/>
                  <w:vAlign w:val="center"/>
                </w:tcPr>
                <w:p w14:paraId="6D149AD7">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c>
                <w:tcPr>
                  <w:tcW w:w="453" w:type="pct"/>
                  <w:shd w:val="clear" w:color="auto" w:fill="auto"/>
                  <w:noWrap w:val="0"/>
                  <w:vAlign w:val="center"/>
                </w:tcPr>
                <w:p w14:paraId="5EB9B654">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c>
                <w:tcPr>
                  <w:tcW w:w="455" w:type="pct"/>
                  <w:shd w:val="clear" w:color="auto" w:fill="auto"/>
                  <w:noWrap w:val="0"/>
                  <w:vAlign w:val="center"/>
                </w:tcPr>
                <w:p w14:paraId="6FDBD16F">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r>
            <w:tr w14:paraId="1D4C5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6" w:hRule="atLeast"/>
                <w:jc w:val="center"/>
              </w:trPr>
              <w:tc>
                <w:tcPr>
                  <w:tcW w:w="311" w:type="pct"/>
                  <w:vMerge w:val="continue"/>
                  <w:noWrap w:val="0"/>
                  <w:vAlign w:val="center"/>
                </w:tcPr>
                <w:p w14:paraId="67691272">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03" w:type="pct"/>
                  <w:noWrap w:val="0"/>
                  <w:vAlign w:val="center"/>
                </w:tcPr>
                <w:p w14:paraId="01CFDC9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auto"/>
                      <w:kern w:val="2"/>
                      <w:sz w:val="21"/>
                      <w:szCs w:val="21"/>
                      <w:u w:val="none"/>
                      <w:lang w:val="en-US" w:eastAsia="zh-CN" w:bidi="ar-SA"/>
                    </w:rPr>
                  </w:pPr>
                  <w:r>
                    <w:rPr>
                      <w:rFonts w:hint="default" w:ascii="Times New Roman" w:hAnsi="Times New Roman" w:cs="Times New Roman"/>
                      <w:i w:val="0"/>
                      <w:iCs w:val="0"/>
                      <w:color w:val="auto"/>
                      <w:kern w:val="2"/>
                      <w:sz w:val="21"/>
                      <w:szCs w:val="21"/>
                      <w:u w:val="none"/>
                      <w:lang w:val="en-US" w:eastAsia="zh-CN" w:bidi="ar-SA"/>
                    </w:rPr>
                    <w:t>VOCs</w:t>
                  </w:r>
                  <w:r>
                    <w:rPr>
                      <w:rFonts w:hint="eastAsia" w:ascii="Times New Roman" w:hAnsi="Times New Roman" w:cs="Times New Roman"/>
                      <w:i w:val="0"/>
                      <w:iCs w:val="0"/>
                      <w:color w:val="auto"/>
                      <w:kern w:val="2"/>
                      <w:sz w:val="21"/>
                      <w:szCs w:val="21"/>
                      <w:u w:val="none"/>
                      <w:lang w:val="en-US" w:eastAsia="zh-CN" w:bidi="ar-SA"/>
                    </w:rPr>
                    <w:t>（</w:t>
                  </w:r>
                  <w:r>
                    <w:rPr>
                      <w:rFonts w:hint="default" w:ascii="Times New Roman" w:hAnsi="Times New Roman" w:cs="Times New Roman"/>
                      <w:i w:val="0"/>
                      <w:iCs w:val="0"/>
                      <w:color w:val="auto"/>
                      <w:kern w:val="2"/>
                      <w:sz w:val="21"/>
                      <w:szCs w:val="21"/>
                      <w:u w:val="none"/>
                      <w:lang w:val="en-US" w:eastAsia="zh-CN" w:bidi="ar-SA"/>
                    </w:rPr>
                    <w:t>非甲烷总烃</w:t>
                  </w:r>
                  <w:r>
                    <w:rPr>
                      <w:rFonts w:hint="eastAsia" w:ascii="Times New Roman" w:hAnsi="Times New Roman" w:cs="Times New Roman"/>
                      <w:i w:val="0"/>
                      <w:iCs w:val="0"/>
                      <w:color w:val="auto"/>
                      <w:kern w:val="2"/>
                      <w:sz w:val="21"/>
                      <w:szCs w:val="21"/>
                      <w:u w:val="none"/>
                      <w:lang w:val="en-US" w:eastAsia="zh-CN" w:bidi="ar-SA"/>
                    </w:rPr>
                    <w:t>）</w:t>
                  </w:r>
                </w:p>
              </w:tc>
              <w:tc>
                <w:tcPr>
                  <w:tcW w:w="453" w:type="pct"/>
                  <w:shd w:val="clear" w:color="auto" w:fill="auto"/>
                  <w:noWrap w:val="0"/>
                  <w:vAlign w:val="center"/>
                </w:tcPr>
                <w:p w14:paraId="27972E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w:t>
                  </w:r>
                </w:p>
              </w:tc>
              <w:tc>
                <w:tcPr>
                  <w:tcW w:w="453" w:type="pct"/>
                  <w:shd w:val="clear" w:color="auto" w:fill="auto"/>
                  <w:noWrap w:val="0"/>
                  <w:vAlign w:val="center"/>
                </w:tcPr>
                <w:p w14:paraId="408306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0.0126</w:t>
                  </w:r>
                </w:p>
              </w:tc>
              <w:tc>
                <w:tcPr>
                  <w:tcW w:w="453" w:type="pct"/>
                  <w:shd w:val="clear" w:color="auto" w:fill="auto"/>
                  <w:noWrap w:val="0"/>
                  <w:vAlign w:val="center"/>
                </w:tcPr>
                <w:p w14:paraId="501B0E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05D041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6DF02C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6E503E6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453" w:type="pct"/>
                  <w:shd w:val="clear" w:color="auto" w:fill="auto"/>
                  <w:noWrap w:val="0"/>
                  <w:vAlign w:val="center"/>
                </w:tcPr>
                <w:p w14:paraId="5A76A0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0.0126</w:t>
                  </w:r>
                </w:p>
              </w:tc>
              <w:tc>
                <w:tcPr>
                  <w:tcW w:w="453" w:type="pct"/>
                  <w:shd w:val="clear" w:color="auto" w:fill="auto"/>
                  <w:noWrap w:val="0"/>
                  <w:vAlign w:val="center"/>
                </w:tcPr>
                <w:p w14:paraId="6E88CA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c>
                <w:tcPr>
                  <w:tcW w:w="455" w:type="pct"/>
                  <w:shd w:val="clear" w:color="auto" w:fill="auto"/>
                  <w:noWrap w:val="0"/>
                  <w:vAlign w:val="center"/>
                </w:tcPr>
                <w:p w14:paraId="46EE59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7CFCA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restart"/>
                  <w:noWrap w:val="0"/>
                  <w:vAlign w:val="center"/>
                </w:tcPr>
                <w:p w14:paraId="5F2288AD">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宋体" w:cs="Times New Roman"/>
                      <w:color w:val="auto"/>
                      <w:sz w:val="21"/>
                      <w:szCs w:val="21"/>
                      <w:highlight w:val="none"/>
                    </w:rPr>
                    <w:t>固废</w:t>
                  </w:r>
                </w:p>
              </w:tc>
              <w:tc>
                <w:tcPr>
                  <w:tcW w:w="603" w:type="pct"/>
                  <w:noWrap w:val="0"/>
                  <w:vAlign w:val="center"/>
                </w:tcPr>
                <w:p w14:paraId="1EC33646">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一般固废</w:t>
                  </w:r>
                </w:p>
              </w:tc>
              <w:tc>
                <w:tcPr>
                  <w:tcW w:w="453" w:type="pct"/>
                  <w:noWrap w:val="0"/>
                  <w:vAlign w:val="center"/>
                </w:tcPr>
                <w:p w14:paraId="5E7BC5F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570DCDDA">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shd w:val="clear" w:color="auto" w:fill="auto"/>
                  <w:noWrap w:val="0"/>
                  <w:vAlign w:val="center"/>
                </w:tcPr>
                <w:p w14:paraId="5AEA01D8">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503.14</w:t>
                  </w:r>
                </w:p>
              </w:tc>
              <w:tc>
                <w:tcPr>
                  <w:tcW w:w="453" w:type="pct"/>
                  <w:shd w:val="clear" w:color="auto" w:fill="auto"/>
                  <w:noWrap w:val="0"/>
                  <w:vAlign w:val="center"/>
                </w:tcPr>
                <w:p w14:paraId="1EADB540">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503.14</w:t>
                  </w:r>
                </w:p>
              </w:tc>
              <w:tc>
                <w:tcPr>
                  <w:tcW w:w="453" w:type="pct"/>
                  <w:noWrap w:val="0"/>
                  <w:vAlign w:val="center"/>
                </w:tcPr>
                <w:p w14:paraId="690FABDC">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02EAF70B">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6B4947D9">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2A91261C">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5" w:type="pct"/>
                  <w:noWrap w:val="0"/>
                  <w:vAlign w:val="center"/>
                </w:tcPr>
                <w:p w14:paraId="6223AA5B">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25610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5BD1977A">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1C59416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危险固废</w:t>
                  </w:r>
                </w:p>
              </w:tc>
              <w:tc>
                <w:tcPr>
                  <w:tcW w:w="453" w:type="pct"/>
                  <w:noWrap w:val="0"/>
                  <w:vAlign w:val="center"/>
                </w:tcPr>
                <w:p w14:paraId="14944963">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6D055ECF">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shd w:val="clear" w:color="auto" w:fill="auto"/>
                  <w:noWrap w:val="0"/>
                  <w:vAlign w:val="center"/>
                </w:tcPr>
                <w:p w14:paraId="020FE45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9.297</w:t>
                  </w:r>
                </w:p>
              </w:tc>
              <w:tc>
                <w:tcPr>
                  <w:tcW w:w="453" w:type="pct"/>
                  <w:shd w:val="clear" w:color="auto" w:fill="auto"/>
                  <w:noWrap w:val="0"/>
                  <w:vAlign w:val="center"/>
                </w:tcPr>
                <w:p w14:paraId="62118C3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9.297</w:t>
                  </w:r>
                </w:p>
              </w:tc>
              <w:tc>
                <w:tcPr>
                  <w:tcW w:w="453" w:type="pct"/>
                  <w:noWrap w:val="0"/>
                  <w:vAlign w:val="center"/>
                </w:tcPr>
                <w:p w14:paraId="6A3D8B8D">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0680507A">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677EC3A7">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3D7BCFF9">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5" w:type="pct"/>
                  <w:noWrap w:val="0"/>
                  <w:vAlign w:val="center"/>
                </w:tcPr>
                <w:p w14:paraId="19A09CEB">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28065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311" w:type="pct"/>
                  <w:vMerge w:val="continue"/>
                  <w:noWrap w:val="0"/>
                  <w:vAlign w:val="center"/>
                </w:tcPr>
                <w:p w14:paraId="75E51AC1">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p>
              </w:tc>
              <w:tc>
                <w:tcPr>
                  <w:tcW w:w="603" w:type="pct"/>
                  <w:noWrap w:val="0"/>
                  <w:vAlign w:val="center"/>
                </w:tcPr>
                <w:p w14:paraId="4CF693AC">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生活垃圾</w:t>
                  </w:r>
                </w:p>
              </w:tc>
              <w:tc>
                <w:tcPr>
                  <w:tcW w:w="453" w:type="pct"/>
                  <w:noWrap w:val="0"/>
                  <w:vAlign w:val="center"/>
                </w:tcPr>
                <w:p w14:paraId="5B4D78BC">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3A8BA4D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10348C0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312189A7">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453" w:type="pct"/>
                  <w:noWrap w:val="0"/>
                  <w:vAlign w:val="center"/>
                </w:tcPr>
                <w:p w14:paraId="200B93A8">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3D026CF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778B6922">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c>
                <w:tcPr>
                  <w:tcW w:w="453" w:type="pct"/>
                  <w:noWrap w:val="0"/>
                  <w:vAlign w:val="center"/>
                </w:tcPr>
                <w:p w14:paraId="15494881">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0</w:t>
                  </w:r>
                </w:p>
              </w:tc>
              <w:tc>
                <w:tcPr>
                  <w:tcW w:w="455" w:type="pct"/>
                  <w:noWrap w:val="0"/>
                  <w:vAlign w:val="center"/>
                </w:tcPr>
                <w:p w14:paraId="291EDFF0">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right="0"/>
                    <w:jc w:val="center"/>
                    <w:textAlignment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bl>
          <w:p w14:paraId="7B657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textAlignment w:val="auto"/>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备注：生活污水全厂排放量=原有项目</w:t>
            </w:r>
            <w:r>
              <w:rPr>
                <w:rFonts w:hint="eastAsia" w:cs="Times New Roman"/>
                <w:b/>
                <w:color w:val="auto"/>
                <w:sz w:val="21"/>
                <w:szCs w:val="21"/>
                <w:lang w:val="en-US" w:eastAsia="zh-CN"/>
              </w:rPr>
              <w:t>实际排放</w:t>
            </w:r>
            <w:r>
              <w:rPr>
                <w:rFonts w:hint="eastAsia" w:ascii="Times New Roman" w:hAnsi="Times New Roman" w:cs="Times New Roman"/>
                <w:b/>
                <w:color w:val="auto"/>
                <w:sz w:val="21"/>
                <w:szCs w:val="21"/>
                <w:lang w:val="en-US" w:eastAsia="zh-CN"/>
              </w:rPr>
              <w:t>量+本项目排放量-“以新带老”削减量；</w:t>
            </w:r>
            <w:r>
              <w:rPr>
                <w:rFonts w:hint="eastAsia" w:cs="Times New Roman"/>
                <w:b/>
                <w:color w:val="auto"/>
                <w:sz w:val="21"/>
                <w:szCs w:val="21"/>
                <w:lang w:val="en-US" w:eastAsia="zh-CN"/>
              </w:rPr>
              <w:t>废气</w:t>
            </w:r>
            <w:r>
              <w:rPr>
                <w:rFonts w:hint="eastAsia" w:ascii="Times New Roman" w:hAnsi="Times New Roman" w:cs="Times New Roman"/>
                <w:b/>
                <w:color w:val="auto"/>
                <w:sz w:val="21"/>
                <w:szCs w:val="21"/>
                <w:lang w:val="en-US" w:eastAsia="zh-CN"/>
              </w:rPr>
              <w:t>全厂排放量=原有项目实际</w:t>
            </w:r>
            <w:r>
              <w:rPr>
                <w:rFonts w:hint="eastAsia" w:cs="Times New Roman"/>
                <w:b/>
                <w:color w:val="auto"/>
                <w:sz w:val="21"/>
                <w:szCs w:val="21"/>
                <w:lang w:val="en-US" w:eastAsia="zh-CN"/>
              </w:rPr>
              <w:t>批复量</w:t>
            </w:r>
            <w:r>
              <w:rPr>
                <w:rFonts w:hint="eastAsia" w:ascii="Times New Roman" w:hAnsi="Times New Roman" w:cs="Times New Roman"/>
                <w:b/>
                <w:color w:val="auto"/>
                <w:sz w:val="21"/>
                <w:szCs w:val="21"/>
                <w:lang w:val="en-US" w:eastAsia="zh-CN"/>
              </w:rPr>
              <w:t>+本项目排放量-“以新带老”削减量。</w:t>
            </w:r>
          </w:p>
          <w:p w14:paraId="1DEA9B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2" w:firstLineChars="200"/>
              <w:textAlignment w:val="auto"/>
              <w:rPr>
                <w:rFonts w:hint="default" w:ascii="Times New Roman" w:hAnsi="Times New Roman" w:cs="Times New Roman"/>
                <w:b/>
                <w:color w:val="auto"/>
                <w:sz w:val="24"/>
              </w:rPr>
            </w:pPr>
            <w:r>
              <w:rPr>
                <w:rFonts w:hint="eastAsia" w:ascii="Times New Roman" w:hAnsi="Times New Roman" w:cs="Times New Roman"/>
                <w:b/>
                <w:color w:val="auto"/>
                <w:sz w:val="24"/>
              </w:rPr>
              <w:t>2、</w:t>
            </w:r>
            <w:r>
              <w:rPr>
                <w:rFonts w:hint="default" w:ascii="Times New Roman" w:hAnsi="Times New Roman" w:cs="Times New Roman"/>
                <w:b/>
                <w:color w:val="auto"/>
                <w:sz w:val="24"/>
              </w:rPr>
              <w:t>总量申请方案</w:t>
            </w:r>
          </w:p>
          <w:p w14:paraId="3AED89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1、废水</w:t>
            </w:r>
          </w:p>
          <w:p w14:paraId="5A95A7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项目</w:t>
            </w:r>
            <w:r>
              <w:rPr>
                <w:rFonts w:hint="eastAsia" w:ascii="Times New Roman" w:hAnsi="Times New Roman" w:cs="Times New Roman"/>
                <w:color w:val="auto"/>
                <w:sz w:val="24"/>
                <w:lang w:val="en-US" w:eastAsia="zh-CN"/>
              </w:rPr>
              <w:t>不新增废（污）水排放</w:t>
            </w:r>
            <w:r>
              <w:rPr>
                <w:rFonts w:hint="eastAsia" w:ascii="Times New Roman" w:hAnsi="Times New Roman" w:cs="Times New Roman"/>
                <w:color w:val="auto"/>
                <w:sz w:val="24"/>
              </w:rPr>
              <w:t>。</w:t>
            </w:r>
          </w:p>
          <w:p w14:paraId="53EE66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2、废气</w:t>
            </w:r>
          </w:p>
          <w:p w14:paraId="4064AB2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eastAsia="宋体" w:cs="Times New Roman"/>
                <w:color w:val="auto"/>
                <w:kern w:val="0"/>
                <w:sz w:val="24"/>
                <w:szCs w:val="24"/>
                <w:highlight w:val="none"/>
                <w:lang w:val="en-US" w:eastAsia="zh-CN"/>
              </w:rPr>
            </w:pPr>
            <w:r>
              <w:rPr>
                <w:rFonts w:hint="eastAsia"/>
                <w:color w:val="auto"/>
                <w:kern w:val="0"/>
                <w:sz w:val="24"/>
                <w:szCs w:val="24"/>
                <w:highlight w:val="none"/>
              </w:rPr>
              <w:t>根据《建设项目主要污染物排放总量指标审核及管理暂行办法》（环发〔2014〕197号），“二氧化硫、氮氧化物、烟粉尘、挥发性有机物四项污染物均需进行2倍削减替代”。本项目新增排放</w:t>
            </w:r>
            <w:r>
              <w:rPr>
                <w:rFonts w:hint="eastAsia" w:ascii="Times New Roman" w:hAnsi="Times New Roman" w:eastAsia="宋体" w:cs="Times New Roman"/>
                <w:b w:val="0"/>
                <w:bCs w:val="0"/>
                <w:i w:val="0"/>
                <w:iCs w:val="0"/>
                <w:color w:val="auto"/>
                <w:kern w:val="0"/>
                <w:sz w:val="24"/>
                <w:szCs w:val="24"/>
                <w:u w:val="none"/>
                <w:vertAlign w:val="baseline"/>
                <w:lang w:val="en-US" w:eastAsia="zh-CN" w:bidi="ar"/>
              </w:rPr>
              <w:t>NOx0.836t/a</w:t>
            </w:r>
            <w:r>
              <w:rPr>
                <w:rFonts w:hint="eastAsia"/>
                <w:color w:val="auto"/>
                <w:kern w:val="0"/>
                <w:sz w:val="24"/>
                <w:szCs w:val="24"/>
                <w:highlight w:val="none"/>
              </w:rPr>
              <w:t>，在金坛区内平衡</w:t>
            </w:r>
            <w:r>
              <w:rPr>
                <w:rFonts w:hint="eastAsia"/>
                <w:color w:val="auto"/>
                <w:kern w:val="0"/>
                <w:sz w:val="24"/>
                <w:szCs w:val="24"/>
                <w:highlight w:val="none"/>
                <w:lang w:val="en-US" w:eastAsia="zh-CN"/>
              </w:rPr>
              <w:t>。</w:t>
            </w:r>
          </w:p>
          <w:p w14:paraId="25F0B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3、固废</w:t>
            </w:r>
          </w:p>
          <w:p w14:paraId="7DEF6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0" w:firstLineChars="200"/>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4"/>
                <w:szCs w:val="24"/>
                <w:highlight w:val="none"/>
              </w:rPr>
              <w:t>本项目所有固废均进行合理处理处置，实现固废零排放，不需申请总量。</w:t>
            </w:r>
          </w:p>
        </w:tc>
      </w:tr>
    </w:tbl>
    <w:p w14:paraId="262FD54B">
      <w:pPr>
        <w:pStyle w:val="23"/>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6"/>
          <w:szCs w:val="36"/>
          <w:highlight w:val="none"/>
        </w:rPr>
        <w:br w:type="page"/>
      </w:r>
      <w:r>
        <w:rPr>
          <w:rFonts w:ascii="Times New Roman" w:hAnsi="Times New Roman" w:eastAsia="黑体"/>
          <w:snapToGrid w:val="0"/>
          <w:color w:val="auto"/>
          <w:sz w:val="30"/>
          <w:szCs w:val="30"/>
          <w:highlight w:val="none"/>
        </w:rPr>
        <w:t>四、主要环境影响和保护措施</w:t>
      </w: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8685"/>
      </w:tblGrid>
      <w:tr w14:paraId="4D240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2" w:hRule="atLeast"/>
          <w:jc w:val="center"/>
        </w:trPr>
        <w:tc>
          <w:tcPr>
            <w:tcW w:w="296" w:type="dxa"/>
            <w:noWrap w:val="0"/>
            <w:tcMar>
              <w:left w:w="28" w:type="dxa"/>
              <w:right w:w="28" w:type="dxa"/>
            </w:tcMar>
            <w:vAlign w:val="center"/>
          </w:tcPr>
          <w:p w14:paraId="4509525B">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w:t>
            </w:r>
          </w:p>
          <w:p w14:paraId="1A2D2A78">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期环</w:t>
            </w:r>
          </w:p>
          <w:p w14:paraId="6E65D5E4">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境保</w:t>
            </w:r>
          </w:p>
          <w:p w14:paraId="720F2696">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护措</w:t>
            </w:r>
          </w:p>
          <w:p w14:paraId="544722C2">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Cs w:val="24"/>
                <w:highlight w:val="none"/>
              </w:rPr>
            </w:pPr>
            <w:r>
              <w:rPr>
                <w:rFonts w:hint="default" w:ascii="Times New Roman" w:hAnsi="Times New Roman" w:cs="Times New Roman"/>
                <w:color w:val="auto"/>
                <w:kern w:val="2"/>
                <w:szCs w:val="24"/>
                <w:highlight w:val="none"/>
              </w:rPr>
              <w:t>施</w:t>
            </w:r>
          </w:p>
        </w:tc>
        <w:tc>
          <w:tcPr>
            <w:tcW w:w="8685" w:type="dxa"/>
            <w:noWrap w:val="0"/>
            <w:vAlign w:val="center"/>
          </w:tcPr>
          <w:p w14:paraId="082CD450">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本项目</w:t>
            </w:r>
            <w:r>
              <w:rPr>
                <w:rFonts w:hint="eastAsia"/>
                <w:color w:val="auto"/>
                <w:sz w:val="24"/>
                <w:szCs w:val="24"/>
                <w:lang w:val="en-US" w:eastAsia="zh-CN"/>
              </w:rPr>
              <w:t>为技改项目，</w:t>
            </w:r>
            <w:r>
              <w:rPr>
                <w:rFonts w:hint="eastAsia"/>
                <w:color w:val="auto"/>
                <w:sz w:val="24"/>
                <w:szCs w:val="24"/>
              </w:rPr>
              <w:t>利用已建厂房内进行生产，施工期主要是在已建厂房内进行适应性改造、布设水电管道、进行设备的安装和调试，不涉及厂房施工建设，所以无施工粉尘、噪声以及建筑垃圾产生。本项目施工期运输设备的汽车进出产生少量的汽车尾气不予考虑；管道敷设和设备安装产生的噪声经过现有厂房的隔声后不会对附近产生噪声影响。</w:t>
            </w:r>
          </w:p>
          <w:p w14:paraId="2E3FD628">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所以本项目的</w:t>
            </w:r>
            <w:r>
              <w:rPr>
                <w:rFonts w:hint="eastAsia"/>
                <w:color w:val="auto"/>
                <w:sz w:val="24"/>
                <w:szCs w:val="24"/>
                <w:lang w:eastAsia="zh-CN"/>
              </w:rPr>
              <w:t>施工</w:t>
            </w:r>
            <w:r>
              <w:rPr>
                <w:rFonts w:hint="eastAsia"/>
                <w:color w:val="auto"/>
                <w:sz w:val="24"/>
                <w:szCs w:val="24"/>
              </w:rPr>
              <w:t>过程简单，对周边环境影响较小。</w:t>
            </w:r>
          </w:p>
          <w:p w14:paraId="08C493AE">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以下就噪声及固废对环境的影响加以分析，并提出相应的防治措施。</w:t>
            </w:r>
          </w:p>
          <w:p w14:paraId="06B44A7F">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（1）施工期噪声影响分析及防治</w:t>
            </w:r>
          </w:p>
          <w:p w14:paraId="75CAF70C">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 xml:space="preserve">由于安装设备一般于白天作业，应加强对设备安装的管理和操作人员的环境意识教育，严格控制设备运输及安装过程中噪声，降低对周围环境的噪声影响。 </w:t>
            </w:r>
          </w:p>
          <w:p w14:paraId="4D8808B6">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（2）施工期固废影响分析及防治对策</w:t>
            </w:r>
          </w:p>
          <w:p w14:paraId="14B93BB7">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eastAsia"/>
                <w:color w:val="auto"/>
                <w:sz w:val="24"/>
                <w:szCs w:val="24"/>
              </w:rPr>
            </w:pPr>
            <w:r>
              <w:rPr>
                <w:rFonts w:hint="eastAsia"/>
                <w:color w:val="auto"/>
                <w:sz w:val="24"/>
                <w:szCs w:val="24"/>
              </w:rPr>
              <w:t>设备安装期间产生的固废主要是设备包装材料以及废安装材料。</w:t>
            </w:r>
          </w:p>
          <w:p w14:paraId="66F5E946">
            <w:pPr>
              <w:pStyle w:val="9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textAlignment w:val="auto"/>
              <w:rPr>
                <w:rFonts w:hint="default"/>
                <w:bCs/>
                <w:color w:val="auto"/>
                <w:spacing w:val="-10"/>
                <w:sz w:val="24"/>
                <w:highlight w:val="none"/>
              </w:rPr>
            </w:pPr>
            <w:r>
              <w:rPr>
                <w:rFonts w:hint="eastAsia"/>
                <w:color w:val="auto"/>
                <w:sz w:val="24"/>
                <w:szCs w:val="24"/>
              </w:rPr>
              <w:t>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tc>
      </w:tr>
      <w:tr w14:paraId="406F2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4" w:hRule="atLeast"/>
          <w:jc w:val="center"/>
        </w:trPr>
        <w:tc>
          <w:tcPr>
            <w:tcW w:w="296" w:type="dxa"/>
            <w:noWrap w:val="0"/>
            <w:tcMar>
              <w:left w:w="28" w:type="dxa"/>
              <w:right w:w="28" w:type="dxa"/>
            </w:tcMar>
            <w:vAlign w:val="center"/>
          </w:tcPr>
          <w:p w14:paraId="7CEF7E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727893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3752A7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28894D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0134F9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0ED0AAE1">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cs="Times New Roman"/>
                <w:bCs/>
                <w:color w:val="auto"/>
                <w:sz w:val="24"/>
                <w:highlight w:val="none"/>
              </w:rPr>
              <w:t>措施</w:t>
            </w:r>
          </w:p>
        </w:tc>
        <w:tc>
          <w:tcPr>
            <w:tcW w:w="8685" w:type="dxa"/>
            <w:noWrap w:val="0"/>
            <w:vAlign w:val="center"/>
          </w:tcPr>
          <w:p w14:paraId="2678AD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auto"/>
                <w:sz w:val="24"/>
              </w:rPr>
            </w:pPr>
            <w:r>
              <w:rPr>
                <w:rFonts w:hint="eastAsia" w:ascii="Times New Roman" w:hAnsi="Times New Roman" w:cs="Times New Roman"/>
                <w:b/>
                <w:color w:val="auto"/>
                <w:sz w:val="24"/>
              </w:rPr>
              <w:t>一、</w:t>
            </w:r>
            <w:r>
              <w:rPr>
                <w:rFonts w:hint="default" w:ascii="Times New Roman" w:hAnsi="Times New Roman" w:cs="Times New Roman"/>
                <w:b/>
                <w:color w:val="auto"/>
                <w:sz w:val="24"/>
              </w:rPr>
              <w:t>运营期</w:t>
            </w:r>
            <w:r>
              <w:rPr>
                <w:rFonts w:hint="eastAsia" w:ascii="Times New Roman" w:hAnsi="Times New Roman" w:cs="Times New Roman"/>
                <w:b/>
                <w:color w:val="auto"/>
                <w:sz w:val="24"/>
              </w:rPr>
              <w:t>水</w:t>
            </w:r>
            <w:r>
              <w:rPr>
                <w:rFonts w:hint="default" w:ascii="Times New Roman" w:hAnsi="Times New Roman" w:cs="Times New Roman"/>
                <w:b/>
                <w:color w:val="auto"/>
                <w:sz w:val="24"/>
              </w:rPr>
              <w:t>环境影响和保护措施</w:t>
            </w:r>
          </w:p>
          <w:p w14:paraId="056FF1F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2" w:firstLineChars="200"/>
              <w:jc w:val="left"/>
              <w:textAlignment w:val="auto"/>
              <w:rPr>
                <w:rFonts w:hint="eastAsia" w:ascii="Times New Roman" w:hAnsi="Times New Roman" w:cs="Times New Roman"/>
                <w:b/>
                <w:bCs/>
                <w:color w:val="auto"/>
                <w:sz w:val="24"/>
              </w:rPr>
            </w:pPr>
            <w:r>
              <w:rPr>
                <w:rFonts w:hint="default" w:ascii="Times New Roman" w:hAnsi="Times New Roman" w:cs="Times New Roman"/>
                <w:b/>
                <w:bCs/>
                <w:color w:val="auto"/>
                <w:sz w:val="24"/>
              </w:rPr>
              <w:t>1、水污染物</w:t>
            </w:r>
            <w:r>
              <w:rPr>
                <w:rFonts w:hint="eastAsia" w:ascii="Times New Roman" w:hAnsi="Times New Roman" w:cs="Times New Roman"/>
                <w:b/>
                <w:bCs/>
                <w:color w:val="auto"/>
                <w:sz w:val="24"/>
              </w:rPr>
              <w:t>产生及排放情况</w:t>
            </w:r>
          </w:p>
          <w:p w14:paraId="71E11C4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 w:val="24"/>
                <w:lang w:val="en-US" w:eastAsia="zh-CN"/>
              </w:rPr>
            </w:pPr>
            <w:r>
              <w:rPr>
                <w:rFonts w:hint="eastAsia" w:ascii="Times New Roman" w:hAnsi="Times New Roman" w:cs="Times New Roman"/>
                <w:color w:val="auto"/>
                <w:sz w:val="24"/>
                <w:szCs w:val="22"/>
                <w:highlight w:val="none"/>
                <w:lang w:val="en-US" w:eastAsia="zh-CN"/>
              </w:rPr>
              <w:t>（1）</w:t>
            </w:r>
            <w:r>
              <w:rPr>
                <w:rFonts w:hint="eastAsia" w:ascii="Times New Roman" w:hAnsi="Times New Roman" w:cs="Times New Roman"/>
                <w:b w:val="0"/>
                <w:bCs w:val="0"/>
                <w:color w:val="auto"/>
                <w:sz w:val="24"/>
                <w:lang w:val="en-US" w:eastAsia="zh-CN"/>
              </w:rPr>
              <w:t>循环冷却用水</w:t>
            </w:r>
          </w:p>
          <w:p w14:paraId="620B9AB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smallCaps/>
                <w:color w:val="auto"/>
                <w:sz w:val="24"/>
              </w:rPr>
            </w:pPr>
            <w:r>
              <w:rPr>
                <w:rFonts w:hint="eastAsia" w:ascii="Times New Roman" w:hAnsi="Times New Roman" w:cs="Times New Roman"/>
                <w:color w:val="auto"/>
                <w:kern w:val="0"/>
                <w:sz w:val="24"/>
              </w:rPr>
              <w:t>项目采用循环冷却水对</w:t>
            </w:r>
            <w:r>
              <w:rPr>
                <w:rFonts w:hint="eastAsia" w:cs="Times New Roman"/>
                <w:color w:val="auto"/>
                <w:kern w:val="0"/>
                <w:sz w:val="24"/>
                <w:lang w:val="en-US" w:eastAsia="zh-CN"/>
              </w:rPr>
              <w:t>电渣重熔</w:t>
            </w:r>
            <w:r>
              <w:rPr>
                <w:rFonts w:hint="eastAsia" w:ascii="Times New Roman" w:hAnsi="Times New Roman" w:cs="Times New Roman"/>
                <w:color w:val="auto"/>
                <w:kern w:val="0"/>
                <w:sz w:val="24"/>
                <w:lang w:val="en-US" w:eastAsia="zh-CN"/>
              </w:rPr>
              <w:t>工段</w:t>
            </w:r>
            <w:r>
              <w:rPr>
                <w:rFonts w:hint="eastAsia" w:ascii="Times New Roman" w:hAnsi="Times New Roman" w:cs="Times New Roman"/>
                <w:color w:val="auto"/>
                <w:kern w:val="0"/>
                <w:sz w:val="24"/>
              </w:rPr>
              <w:t>进行温度控制，该过程采用间歇冷却，冷却水循环使用，不外排。</w:t>
            </w:r>
            <w:r>
              <w:rPr>
                <w:rFonts w:hint="eastAsia" w:cs="Times New Roman"/>
                <w:color w:val="auto"/>
                <w:kern w:val="0"/>
                <w:sz w:val="24"/>
                <w:lang w:val="en-US" w:eastAsia="zh-CN"/>
              </w:rPr>
              <w:t>项目冷却塔配套旁滤装置，</w:t>
            </w:r>
            <w:r>
              <w:rPr>
                <w:rFonts w:hint="eastAsia"/>
                <w:color w:val="auto"/>
                <w:sz w:val="24"/>
              </w:rPr>
              <w:t>能够有效地去除循环冷却水中的溶解盐类</w:t>
            </w:r>
            <w:r>
              <w:rPr>
                <w:rFonts w:hint="eastAsia"/>
                <w:color w:val="auto"/>
                <w:sz w:val="24"/>
                <w:lang w:eastAsia="zh-CN"/>
              </w:rPr>
              <w:t>，</w:t>
            </w:r>
            <w:r>
              <w:rPr>
                <w:rFonts w:hint="eastAsia" w:ascii="Times New Roman" w:hAnsi="Times New Roman"/>
                <w:smallCaps/>
                <w:color w:val="auto"/>
                <w:sz w:val="24"/>
              </w:rPr>
              <w:t>故在冷却过程中</w:t>
            </w:r>
            <w:r>
              <w:rPr>
                <w:rFonts w:hint="eastAsia" w:ascii="Times New Roman" w:hAnsi="Times New Roman"/>
                <w:smallCaps/>
                <w:color w:val="auto"/>
                <w:sz w:val="24"/>
                <w:lang w:val="en-US" w:eastAsia="zh-CN"/>
              </w:rPr>
              <w:t>定期添加</w:t>
            </w:r>
            <w:r>
              <w:rPr>
                <w:rFonts w:hint="eastAsia" w:ascii="Times New Roman" w:hAnsi="Times New Roman"/>
                <w:smallCaps/>
                <w:color w:val="auto"/>
                <w:sz w:val="24"/>
              </w:rPr>
              <w:t>损耗部分水量，不需要外排可行。</w:t>
            </w:r>
          </w:p>
          <w:p w14:paraId="453C9CAB">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rPr>
            </w:pPr>
            <w:r>
              <w:rPr>
                <w:rFonts w:hint="eastAsia" w:ascii="Times New Roman" w:hAnsi="Times New Roman" w:cs="Times New Roman"/>
                <w:color w:val="auto"/>
                <w:kern w:val="0"/>
                <w:sz w:val="24"/>
              </w:rPr>
              <w:t>项目配套</w:t>
            </w:r>
            <w:r>
              <w:rPr>
                <w:rFonts w:hint="eastAsia" w:ascii="Times New Roman" w:hAnsi="Times New Roman" w:cs="Times New Roman"/>
                <w:color w:val="auto"/>
                <w:kern w:val="0"/>
                <w:sz w:val="24"/>
                <w:lang w:val="en-US" w:eastAsia="zh-CN"/>
              </w:rPr>
              <w:t>1</w:t>
            </w:r>
            <w:r>
              <w:rPr>
                <w:rFonts w:hint="eastAsia" w:ascii="Times New Roman" w:hAnsi="Times New Roman" w:cs="Times New Roman"/>
                <w:color w:val="auto"/>
                <w:kern w:val="0"/>
                <w:sz w:val="24"/>
              </w:rPr>
              <w:t>台循环水量为</w:t>
            </w:r>
            <w:r>
              <w:rPr>
                <w:rFonts w:hint="eastAsia" w:cs="Times New Roman"/>
                <w:color w:val="auto"/>
                <w:kern w:val="0"/>
                <w:sz w:val="24"/>
                <w:lang w:val="en-US" w:eastAsia="zh-CN"/>
              </w:rPr>
              <w:t>2</w:t>
            </w:r>
            <w:r>
              <w:rPr>
                <w:rFonts w:hint="eastAsia" w:ascii="Times New Roman" w:hAnsi="Times New Roman" w:cs="Times New Roman"/>
                <w:color w:val="auto"/>
                <w:kern w:val="0"/>
                <w:sz w:val="24"/>
              </w:rPr>
              <w:t>0m</w:t>
            </w:r>
            <w:r>
              <w:rPr>
                <w:rFonts w:hint="eastAsia" w:ascii="Times New Roman" w:hAnsi="Times New Roman" w:cs="Times New Roman"/>
                <w:color w:val="auto"/>
                <w:kern w:val="0"/>
                <w:sz w:val="24"/>
                <w:vertAlign w:val="superscript"/>
              </w:rPr>
              <w:t>3</w:t>
            </w:r>
            <w:r>
              <w:rPr>
                <w:rFonts w:hint="eastAsia" w:ascii="Times New Roman" w:hAnsi="Times New Roman" w:cs="Times New Roman"/>
                <w:color w:val="auto"/>
                <w:kern w:val="0"/>
                <w:sz w:val="24"/>
              </w:rPr>
              <w:t>/h的</w:t>
            </w:r>
            <w:r>
              <w:rPr>
                <w:rFonts w:hint="eastAsia" w:ascii="Times New Roman" w:hAnsi="Times New Roman" w:cs="Times New Roman"/>
                <w:color w:val="auto"/>
                <w:kern w:val="0"/>
                <w:sz w:val="24"/>
                <w:lang w:val="en-US" w:eastAsia="zh-CN"/>
              </w:rPr>
              <w:t>循环</w:t>
            </w:r>
            <w:r>
              <w:rPr>
                <w:rFonts w:hint="eastAsia" w:ascii="Times New Roman" w:hAnsi="Times New Roman" w:cs="Times New Roman"/>
                <w:color w:val="auto"/>
                <w:kern w:val="0"/>
                <w:sz w:val="24"/>
              </w:rPr>
              <w:t>冷却</w:t>
            </w:r>
            <w:r>
              <w:rPr>
                <w:rFonts w:hint="eastAsia" w:ascii="Times New Roman" w:hAnsi="Times New Roman" w:cs="Times New Roman"/>
                <w:color w:val="auto"/>
                <w:kern w:val="0"/>
                <w:sz w:val="24"/>
                <w:lang w:val="en-US" w:eastAsia="zh-CN"/>
              </w:rPr>
              <w:t>泵</w:t>
            </w:r>
            <w:r>
              <w:rPr>
                <w:rFonts w:hint="eastAsia" w:ascii="Times New Roman" w:hAnsi="Times New Roman" w:cs="Times New Roman"/>
                <w:color w:val="auto"/>
                <w:kern w:val="0"/>
                <w:sz w:val="24"/>
              </w:rPr>
              <w:t>，则冷却水循环水量共为</w:t>
            </w:r>
            <w:r>
              <w:rPr>
                <w:rFonts w:hint="eastAsia" w:cs="Times New Roman"/>
                <w:color w:val="auto"/>
                <w:kern w:val="0"/>
                <w:sz w:val="24"/>
                <w:lang w:val="en-US" w:eastAsia="zh-CN"/>
              </w:rPr>
              <w:t>96</w:t>
            </w:r>
            <w:r>
              <w:rPr>
                <w:rFonts w:hint="eastAsia" w:ascii="Times New Roman" w:hAnsi="Times New Roman" w:cs="Times New Roman"/>
                <w:color w:val="auto"/>
                <w:kern w:val="0"/>
                <w:sz w:val="24"/>
              </w:rPr>
              <w:t>000m</w:t>
            </w:r>
            <w:r>
              <w:rPr>
                <w:rFonts w:hint="eastAsia" w:ascii="Times New Roman" w:hAnsi="Times New Roman" w:cs="Times New Roman"/>
                <w:color w:val="auto"/>
                <w:kern w:val="0"/>
                <w:sz w:val="24"/>
                <w:vertAlign w:val="superscript"/>
              </w:rPr>
              <w:t>3</w:t>
            </w:r>
            <w:r>
              <w:rPr>
                <w:rFonts w:hint="eastAsia" w:ascii="Times New Roman" w:hAnsi="Times New Roman" w:cs="Times New Roman"/>
                <w:color w:val="auto"/>
                <w:kern w:val="0"/>
                <w:sz w:val="24"/>
              </w:rPr>
              <w:t>/a，损耗率约1%，则冷却水补充用水为</w:t>
            </w:r>
            <w:r>
              <w:rPr>
                <w:rFonts w:hint="eastAsia" w:cs="Times New Roman"/>
                <w:color w:val="auto"/>
                <w:kern w:val="0"/>
                <w:sz w:val="24"/>
                <w:lang w:val="en-US" w:eastAsia="zh-CN"/>
              </w:rPr>
              <w:t>960</w:t>
            </w:r>
            <w:r>
              <w:rPr>
                <w:rFonts w:hint="eastAsia" w:ascii="Times New Roman" w:hAnsi="Times New Roman" w:cs="Times New Roman"/>
                <w:color w:val="auto"/>
                <w:kern w:val="0"/>
                <w:sz w:val="24"/>
              </w:rPr>
              <w:t>m</w:t>
            </w:r>
            <w:r>
              <w:rPr>
                <w:rFonts w:hint="eastAsia" w:ascii="Times New Roman" w:hAnsi="Times New Roman" w:cs="Times New Roman"/>
                <w:color w:val="auto"/>
                <w:kern w:val="0"/>
                <w:sz w:val="24"/>
                <w:vertAlign w:val="superscript"/>
              </w:rPr>
              <w:t>3</w:t>
            </w:r>
            <w:r>
              <w:rPr>
                <w:rFonts w:hint="eastAsia" w:ascii="Times New Roman" w:hAnsi="Times New Roman" w:cs="Times New Roman"/>
                <w:color w:val="auto"/>
                <w:kern w:val="0"/>
                <w:sz w:val="24"/>
              </w:rPr>
              <w:t>/a。</w:t>
            </w:r>
          </w:p>
          <w:p w14:paraId="64BD66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szCs w:val="22"/>
                <w:highlight w:val="none"/>
                <w:lang w:val="en-US" w:eastAsia="zh-CN"/>
              </w:rPr>
            </w:pPr>
            <w:r>
              <w:rPr>
                <w:rFonts w:hint="eastAsia" w:ascii="Times New Roman" w:hAnsi="Times New Roman" w:cs="Times New Roman"/>
                <w:color w:val="auto"/>
                <w:sz w:val="24"/>
                <w:szCs w:val="22"/>
                <w:highlight w:val="none"/>
                <w:lang w:val="en-US" w:eastAsia="zh-CN"/>
              </w:rPr>
              <w:t>（2）生活污水</w:t>
            </w:r>
          </w:p>
          <w:p w14:paraId="3F0CF7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cs="Times New Roman"/>
                <w:color w:val="auto"/>
                <w:sz w:val="24"/>
                <w:szCs w:val="22"/>
                <w:highlight w:val="none"/>
                <w:lang w:val="en-US" w:eastAsia="zh-CN"/>
              </w:rPr>
              <w:t>本次不新增员工，在原有员工中进行调配，本项目不新增生活污水。全厂</w:t>
            </w:r>
            <w:r>
              <w:rPr>
                <w:rFonts w:hint="default" w:ascii="Times New Roman" w:hAnsi="Times New Roman" w:eastAsia="宋体" w:cs="Times New Roman"/>
                <w:color w:val="auto"/>
                <w:sz w:val="24"/>
              </w:rPr>
              <w:t>生活污水</w:t>
            </w:r>
            <w:r>
              <w:rPr>
                <w:rFonts w:hint="eastAsia" w:hAnsi="宋体"/>
                <w:color w:val="auto"/>
                <w:kern w:val="0"/>
                <w:sz w:val="24"/>
                <w:highlight w:val="none"/>
              </w:rPr>
              <w:t>近期由金坛区指前镇新河村委收集后集中处理，尾水自用于农田灌溉，不排到附近河流；</w:t>
            </w:r>
            <w:r>
              <w:rPr>
                <w:rFonts w:hint="eastAsia" w:hAnsi="宋体"/>
                <w:color w:val="auto"/>
                <w:sz w:val="24"/>
                <w:highlight w:val="none"/>
              </w:rPr>
              <w:t>远期待符合接管条件时，排放至市政管网</w:t>
            </w:r>
            <w:r>
              <w:rPr>
                <w:rFonts w:hint="eastAsia" w:ascii="Times New Roman" w:hAnsi="Times New Roman" w:eastAsia="宋体" w:cs="Times New Roman"/>
                <w:color w:val="auto"/>
                <w:kern w:val="0"/>
                <w:sz w:val="24"/>
                <w:lang w:val="en-US" w:eastAsia="zh-CN"/>
              </w:rPr>
              <w:t>。</w:t>
            </w:r>
          </w:p>
          <w:p w14:paraId="6B3CFB7A">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（3）初期雨水情况说明</w:t>
            </w:r>
          </w:p>
          <w:p w14:paraId="19F707E7">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本项目为</w:t>
            </w:r>
            <w:r>
              <w:rPr>
                <w:rFonts w:hint="eastAsia" w:cs="Times New Roman"/>
                <w:color w:val="auto"/>
                <w:sz w:val="24"/>
                <w:szCs w:val="24"/>
                <w:highlight w:val="none"/>
                <w:lang w:eastAsia="zh-CN"/>
              </w:rPr>
              <w:t>锻件及粉末冶金制品制造</w:t>
            </w:r>
            <w:r>
              <w:rPr>
                <w:rFonts w:hint="eastAsia" w:cs="Times New Roman"/>
                <w:color w:val="auto"/>
                <w:sz w:val="24"/>
                <w:szCs w:val="24"/>
                <w:highlight w:val="none"/>
                <w:lang w:val="en-US" w:eastAsia="zh-CN"/>
              </w:rPr>
              <w:t>项目</w:t>
            </w:r>
            <w:r>
              <w:rPr>
                <w:rFonts w:hint="eastAsia" w:ascii="Times New Roman" w:hAnsi="Times New Roman" w:cs="Times New Roman"/>
                <w:color w:val="auto"/>
                <w:kern w:val="0"/>
                <w:sz w:val="24"/>
                <w:szCs w:val="24"/>
                <w:lang w:val="en-US" w:eastAsia="zh-CN"/>
              </w:rPr>
              <w:t>，不属于化工、电镀、原料药制造、冶炼等行业；本项目生产设备、原料及成品仓库、危废库房、一般库房等均在生产车间内，无露天设置的设备及储存场所，故本次不考虑初期雨水。</w:t>
            </w:r>
          </w:p>
          <w:p w14:paraId="1C4729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eastAsia"/>
                <w:color w:val="auto"/>
              </w:rPr>
            </w:pPr>
            <w:r>
              <w:rPr>
                <w:rFonts w:hint="eastAsia" w:ascii="Times New Roman" w:hAnsi="Times New Roman" w:eastAsia="宋体" w:cs="Times New Roman"/>
                <w:color w:val="auto"/>
                <w:kern w:val="0"/>
                <w:sz w:val="24"/>
                <w:lang w:val="en-US" w:eastAsia="zh-CN"/>
              </w:rPr>
              <w:t>本项目不新增废（污）水排放</w:t>
            </w:r>
            <w:r>
              <w:rPr>
                <w:rFonts w:hint="default" w:ascii="Times New Roman" w:hAnsi="Times New Roman" w:eastAsia="宋体" w:cs="Times New Roman"/>
                <w:color w:val="auto"/>
                <w:sz w:val="24"/>
              </w:rPr>
              <w:t>。</w:t>
            </w:r>
          </w:p>
          <w:p w14:paraId="1414CDE0">
            <w:pPr>
              <w:keepNext w:val="0"/>
              <w:keepLines w:val="0"/>
              <w:suppressLineNumbers w:val="0"/>
              <w:spacing w:before="0" w:beforeAutospacing="0" w:after="0" w:afterAutospacing="0" w:line="480" w:lineRule="exact"/>
              <w:ind w:left="0" w:right="0"/>
              <w:jc w:val="center"/>
              <w:rPr>
                <w:rFonts w:hint="default" w:ascii="Times New Roman" w:hAnsi="宋体" w:cs="Times New Roman"/>
                <w:b/>
                <w:color w:val="auto"/>
                <w:sz w:val="24"/>
              </w:rPr>
            </w:pPr>
            <w:r>
              <w:rPr>
                <w:rFonts w:hint="eastAsia" w:ascii="Times New Roman" w:hAnsi="宋体" w:cs="Times New Roman"/>
                <w:b/>
                <w:color w:val="auto"/>
                <w:sz w:val="24"/>
              </w:rPr>
              <w:t>表4.1</w:t>
            </w:r>
            <w:r>
              <w:rPr>
                <w:rFonts w:hint="eastAsia" w:ascii="Times New Roman" w:hAnsi="Times New Roman" w:cs="Times New Roman"/>
                <w:b/>
                <w:color w:val="auto"/>
                <w:sz w:val="24"/>
              </w:rPr>
              <w:t>-1</w:t>
            </w:r>
            <w:r>
              <w:rPr>
                <w:rFonts w:hint="default" w:ascii="Times New Roman" w:hAnsi="Times New Roman" w:cs="Times New Roman"/>
                <w:b/>
                <w:color w:val="auto"/>
                <w:sz w:val="24"/>
              </w:rPr>
              <w:t xml:space="preserve"> </w:t>
            </w:r>
            <w:r>
              <w:rPr>
                <w:rFonts w:hint="eastAsia" w:ascii="Times New Roman" w:hAnsi="Times New Roman" w:cs="Times New Roman"/>
                <w:b/>
                <w:color w:val="auto"/>
                <w:sz w:val="24"/>
                <w:lang w:val="en-US" w:eastAsia="zh-CN"/>
              </w:rPr>
              <w:t>全厂</w:t>
            </w:r>
            <w:r>
              <w:rPr>
                <w:rFonts w:hint="default" w:ascii="Times New Roman" w:hAnsi="宋体" w:cs="Times New Roman"/>
                <w:b/>
                <w:color w:val="auto"/>
                <w:sz w:val="24"/>
              </w:rPr>
              <w:t>水污染物产生</w:t>
            </w:r>
            <w:r>
              <w:rPr>
                <w:rFonts w:hint="eastAsia" w:ascii="Times New Roman" w:hAnsi="宋体" w:cs="Times New Roman"/>
                <w:b/>
                <w:color w:val="auto"/>
                <w:sz w:val="24"/>
              </w:rPr>
              <w:t>及排放</w:t>
            </w:r>
            <w:r>
              <w:rPr>
                <w:rFonts w:hint="default" w:ascii="Times New Roman" w:hAnsi="宋体" w:cs="Times New Roman"/>
                <w:b/>
                <w:color w:val="auto"/>
                <w:sz w:val="24"/>
              </w:rPr>
              <w:t>量一览表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4"/>
              <w:gridCol w:w="720"/>
              <w:gridCol w:w="727"/>
              <w:gridCol w:w="688"/>
              <w:gridCol w:w="688"/>
              <w:gridCol w:w="963"/>
              <w:gridCol w:w="705"/>
              <w:gridCol w:w="642"/>
              <w:gridCol w:w="807"/>
              <w:gridCol w:w="658"/>
              <w:gridCol w:w="1167"/>
            </w:tblGrid>
            <w:tr w14:paraId="78F4C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5" w:type="pct"/>
                  <w:vMerge w:val="restart"/>
                  <w:noWrap w:val="0"/>
                  <w:tcMar>
                    <w:top w:w="0" w:type="dxa"/>
                    <w:left w:w="0" w:type="dxa"/>
                    <w:bottom w:w="0" w:type="dxa"/>
                    <w:right w:w="0" w:type="dxa"/>
                  </w:tcMar>
                  <w:vAlign w:val="center"/>
                </w:tcPr>
                <w:p w14:paraId="4AF35E34">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废水来源</w:t>
                  </w:r>
                </w:p>
              </w:tc>
              <w:tc>
                <w:tcPr>
                  <w:tcW w:w="425" w:type="pct"/>
                  <w:vMerge w:val="restart"/>
                  <w:noWrap w:val="0"/>
                  <w:tcMar>
                    <w:top w:w="0" w:type="dxa"/>
                    <w:left w:w="0" w:type="dxa"/>
                    <w:bottom w:w="0" w:type="dxa"/>
                    <w:right w:w="0" w:type="dxa"/>
                  </w:tcMar>
                  <w:vAlign w:val="center"/>
                </w:tcPr>
                <w:p w14:paraId="4D4C73C8">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废水量</w:t>
                  </w:r>
                  <w:r>
                    <w:rPr>
                      <w:rFonts w:hint="default" w:ascii="Times New Roman" w:hAnsi="Times New Roman" w:cs="Times New Roman"/>
                      <w:b/>
                      <w:color w:val="auto"/>
                      <w:spacing w:val="-6"/>
                      <w:kern w:val="0"/>
                      <w:szCs w:val="21"/>
                    </w:rPr>
                    <w:t>（</w:t>
                  </w:r>
                  <w:r>
                    <w:rPr>
                      <w:rFonts w:hint="default" w:ascii="Times New Roman" w:hAnsi="Times New Roman" w:cs="Times New Roman"/>
                      <w:b/>
                      <w:color w:val="auto"/>
                      <w:spacing w:val="-6"/>
                      <w:szCs w:val="21"/>
                    </w:rPr>
                    <w:t>m</w:t>
                  </w:r>
                  <w:r>
                    <w:rPr>
                      <w:rFonts w:hint="default" w:ascii="Times New Roman" w:hAnsi="Times New Roman" w:cs="Times New Roman"/>
                      <w:b/>
                      <w:color w:val="auto"/>
                      <w:spacing w:val="-6"/>
                      <w:szCs w:val="21"/>
                      <w:vertAlign w:val="superscript"/>
                    </w:rPr>
                    <w:t>3</w:t>
                  </w:r>
                  <w:r>
                    <w:rPr>
                      <w:rFonts w:hint="default" w:ascii="Times New Roman" w:hAnsi="Times New Roman" w:cs="Times New Roman"/>
                      <w:b/>
                      <w:color w:val="auto"/>
                      <w:spacing w:val="-6"/>
                      <w:kern w:val="0"/>
                      <w:szCs w:val="21"/>
                    </w:rPr>
                    <w:t>/a）</w:t>
                  </w:r>
                </w:p>
              </w:tc>
              <w:tc>
                <w:tcPr>
                  <w:tcW w:w="429" w:type="pct"/>
                  <w:vMerge w:val="restart"/>
                  <w:noWrap w:val="0"/>
                  <w:tcMar>
                    <w:top w:w="0" w:type="dxa"/>
                    <w:left w:w="0" w:type="dxa"/>
                    <w:bottom w:w="0" w:type="dxa"/>
                    <w:right w:w="0" w:type="dxa"/>
                  </w:tcMar>
                  <w:vAlign w:val="center"/>
                </w:tcPr>
                <w:p w14:paraId="3854CF23">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污染物名称</w:t>
                  </w:r>
                </w:p>
              </w:tc>
              <w:tc>
                <w:tcPr>
                  <w:tcW w:w="812" w:type="pct"/>
                  <w:gridSpan w:val="2"/>
                  <w:noWrap w:val="0"/>
                  <w:tcMar>
                    <w:top w:w="0" w:type="dxa"/>
                    <w:left w:w="0" w:type="dxa"/>
                    <w:bottom w:w="0" w:type="dxa"/>
                    <w:right w:w="0" w:type="dxa"/>
                  </w:tcMar>
                  <w:vAlign w:val="center"/>
                </w:tcPr>
                <w:p w14:paraId="456A9BFB">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污染物产生量</w:t>
                  </w:r>
                </w:p>
              </w:tc>
              <w:tc>
                <w:tcPr>
                  <w:tcW w:w="568" w:type="pct"/>
                  <w:vMerge w:val="restart"/>
                  <w:noWrap w:val="0"/>
                  <w:tcMar>
                    <w:top w:w="0" w:type="dxa"/>
                    <w:left w:w="0" w:type="dxa"/>
                    <w:bottom w:w="0" w:type="dxa"/>
                    <w:right w:w="0" w:type="dxa"/>
                  </w:tcMar>
                  <w:vAlign w:val="center"/>
                </w:tcPr>
                <w:p w14:paraId="463D2C73">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spacing w:val="-6"/>
                      <w:szCs w:val="21"/>
                    </w:rPr>
                  </w:pPr>
                  <w:r>
                    <w:rPr>
                      <w:rFonts w:hint="default" w:ascii="Times New Roman" w:hAnsi="Times New Roman" w:cs="Times New Roman"/>
                      <w:b/>
                      <w:color w:val="auto"/>
                      <w:spacing w:val="-6"/>
                      <w:szCs w:val="21"/>
                    </w:rPr>
                    <w:t>治理</w:t>
                  </w:r>
                </w:p>
                <w:p w14:paraId="0110658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spacing w:val="-6"/>
                      <w:szCs w:val="21"/>
                    </w:rPr>
                    <w:t>措施</w:t>
                  </w:r>
                </w:p>
              </w:tc>
              <w:tc>
                <w:tcPr>
                  <w:tcW w:w="416" w:type="pct"/>
                  <w:vMerge w:val="restart"/>
                  <w:noWrap w:val="0"/>
                  <w:tcMar>
                    <w:top w:w="0" w:type="dxa"/>
                    <w:left w:w="0" w:type="dxa"/>
                    <w:bottom w:w="0" w:type="dxa"/>
                    <w:right w:w="0" w:type="dxa"/>
                  </w:tcMar>
                  <w:vAlign w:val="center"/>
                </w:tcPr>
                <w:p w14:paraId="63D66390">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废水量</w:t>
                  </w:r>
                  <w:r>
                    <w:rPr>
                      <w:rFonts w:hint="default" w:ascii="Times New Roman" w:hAnsi="Times New Roman" w:cs="Times New Roman"/>
                      <w:b/>
                      <w:color w:val="auto"/>
                      <w:spacing w:val="-6"/>
                      <w:kern w:val="0"/>
                      <w:szCs w:val="21"/>
                    </w:rPr>
                    <w:t>（</w:t>
                  </w:r>
                  <w:r>
                    <w:rPr>
                      <w:rFonts w:hint="default" w:ascii="Times New Roman" w:hAnsi="Times New Roman" w:cs="Times New Roman"/>
                      <w:b/>
                      <w:color w:val="auto"/>
                      <w:spacing w:val="-6"/>
                      <w:szCs w:val="21"/>
                    </w:rPr>
                    <w:t>m</w:t>
                  </w:r>
                  <w:r>
                    <w:rPr>
                      <w:rFonts w:hint="default" w:ascii="Times New Roman" w:hAnsi="Times New Roman" w:cs="Times New Roman"/>
                      <w:b/>
                      <w:color w:val="auto"/>
                      <w:spacing w:val="-6"/>
                      <w:szCs w:val="21"/>
                      <w:vertAlign w:val="superscript"/>
                    </w:rPr>
                    <w:t>3</w:t>
                  </w:r>
                  <w:r>
                    <w:rPr>
                      <w:rFonts w:hint="default" w:ascii="Times New Roman" w:hAnsi="Times New Roman" w:cs="Times New Roman"/>
                      <w:b/>
                      <w:color w:val="auto"/>
                      <w:spacing w:val="-6"/>
                      <w:kern w:val="0"/>
                      <w:szCs w:val="21"/>
                    </w:rPr>
                    <w:t>/a）</w:t>
                  </w:r>
                </w:p>
              </w:tc>
              <w:tc>
                <w:tcPr>
                  <w:tcW w:w="379" w:type="pct"/>
                  <w:vMerge w:val="restart"/>
                  <w:noWrap w:val="0"/>
                  <w:tcMar>
                    <w:top w:w="0" w:type="dxa"/>
                    <w:left w:w="0" w:type="dxa"/>
                    <w:bottom w:w="0" w:type="dxa"/>
                    <w:right w:w="0" w:type="dxa"/>
                  </w:tcMar>
                  <w:vAlign w:val="center"/>
                </w:tcPr>
                <w:p w14:paraId="68C1288D">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污染物名称</w:t>
                  </w:r>
                </w:p>
              </w:tc>
              <w:tc>
                <w:tcPr>
                  <w:tcW w:w="864" w:type="pct"/>
                  <w:gridSpan w:val="2"/>
                  <w:noWrap w:val="0"/>
                  <w:tcMar>
                    <w:top w:w="0" w:type="dxa"/>
                    <w:left w:w="0" w:type="dxa"/>
                    <w:bottom w:w="0" w:type="dxa"/>
                    <w:right w:w="0" w:type="dxa"/>
                  </w:tcMar>
                  <w:vAlign w:val="center"/>
                </w:tcPr>
                <w:p w14:paraId="70D0E884">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污染物排放量</w:t>
                  </w:r>
                </w:p>
              </w:tc>
              <w:tc>
                <w:tcPr>
                  <w:tcW w:w="688" w:type="pct"/>
                  <w:vMerge w:val="restart"/>
                  <w:noWrap w:val="0"/>
                  <w:tcMar>
                    <w:top w:w="0" w:type="dxa"/>
                    <w:left w:w="0" w:type="dxa"/>
                    <w:bottom w:w="0" w:type="dxa"/>
                    <w:right w:w="0" w:type="dxa"/>
                  </w:tcMar>
                  <w:vAlign w:val="center"/>
                </w:tcPr>
                <w:p w14:paraId="51B9D72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排放</w:t>
                  </w:r>
                </w:p>
                <w:p w14:paraId="4232BCB4">
                  <w:pPr>
                    <w:keepNext w:val="0"/>
                    <w:keepLines w:val="0"/>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去向</w:t>
                  </w:r>
                </w:p>
              </w:tc>
            </w:tr>
            <w:tr w14:paraId="7F864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15" w:type="pct"/>
                  <w:vMerge w:val="continue"/>
                  <w:noWrap w:val="0"/>
                  <w:tcMar>
                    <w:top w:w="0" w:type="dxa"/>
                    <w:left w:w="0" w:type="dxa"/>
                    <w:bottom w:w="0" w:type="dxa"/>
                    <w:right w:w="0" w:type="dxa"/>
                  </w:tcMar>
                  <w:vAlign w:val="center"/>
                </w:tcPr>
                <w:p w14:paraId="31A02BBD">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425" w:type="pct"/>
                  <w:vMerge w:val="continue"/>
                  <w:noWrap w:val="0"/>
                  <w:tcMar>
                    <w:top w:w="0" w:type="dxa"/>
                    <w:left w:w="0" w:type="dxa"/>
                    <w:bottom w:w="0" w:type="dxa"/>
                    <w:right w:w="0" w:type="dxa"/>
                  </w:tcMar>
                  <w:vAlign w:val="center"/>
                </w:tcPr>
                <w:p w14:paraId="320B3FD2">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429" w:type="pct"/>
                  <w:vMerge w:val="continue"/>
                  <w:noWrap w:val="0"/>
                  <w:tcMar>
                    <w:top w:w="0" w:type="dxa"/>
                    <w:left w:w="0" w:type="dxa"/>
                    <w:bottom w:w="0" w:type="dxa"/>
                    <w:right w:w="0" w:type="dxa"/>
                  </w:tcMar>
                  <w:vAlign w:val="center"/>
                </w:tcPr>
                <w:p w14:paraId="298E430D">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406" w:type="pct"/>
                  <w:noWrap w:val="0"/>
                  <w:tcMar>
                    <w:top w:w="0" w:type="dxa"/>
                    <w:left w:w="0" w:type="dxa"/>
                    <w:bottom w:w="0" w:type="dxa"/>
                    <w:right w:w="0" w:type="dxa"/>
                  </w:tcMar>
                  <w:vAlign w:val="center"/>
                </w:tcPr>
                <w:p w14:paraId="6F031BB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浓度</w:t>
                  </w:r>
                  <w:r>
                    <w:rPr>
                      <w:rFonts w:hint="default" w:ascii="Times New Roman" w:hAnsi="Times New Roman" w:cs="Times New Roman"/>
                      <w:b/>
                      <w:color w:val="auto"/>
                      <w:spacing w:val="-6"/>
                      <w:szCs w:val="21"/>
                    </w:rPr>
                    <w:t>（mg/l）</w:t>
                  </w:r>
                </w:p>
              </w:tc>
              <w:tc>
                <w:tcPr>
                  <w:tcW w:w="406" w:type="pct"/>
                  <w:noWrap w:val="0"/>
                  <w:tcMar>
                    <w:top w:w="0" w:type="dxa"/>
                    <w:left w:w="0" w:type="dxa"/>
                    <w:bottom w:w="0" w:type="dxa"/>
                    <w:right w:w="0" w:type="dxa"/>
                  </w:tcMar>
                  <w:vAlign w:val="center"/>
                </w:tcPr>
                <w:p w14:paraId="0A6FF9BB">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产生量</w:t>
                  </w:r>
                  <w:r>
                    <w:rPr>
                      <w:rFonts w:hint="default" w:ascii="Times New Roman" w:hAnsi="Times New Roman" w:cs="Times New Roman"/>
                      <w:b/>
                      <w:color w:val="auto"/>
                      <w:spacing w:val="-6"/>
                      <w:szCs w:val="21"/>
                    </w:rPr>
                    <w:t>（t/a）</w:t>
                  </w:r>
                </w:p>
              </w:tc>
              <w:tc>
                <w:tcPr>
                  <w:tcW w:w="568" w:type="pct"/>
                  <w:vMerge w:val="continue"/>
                  <w:noWrap w:val="0"/>
                  <w:tcMar>
                    <w:top w:w="0" w:type="dxa"/>
                    <w:left w:w="0" w:type="dxa"/>
                    <w:bottom w:w="0" w:type="dxa"/>
                    <w:right w:w="0" w:type="dxa"/>
                  </w:tcMar>
                  <w:vAlign w:val="center"/>
                </w:tcPr>
                <w:p w14:paraId="18D2A2B5">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416" w:type="pct"/>
                  <w:vMerge w:val="continue"/>
                  <w:noWrap w:val="0"/>
                  <w:tcMar>
                    <w:top w:w="0" w:type="dxa"/>
                    <w:left w:w="0" w:type="dxa"/>
                    <w:bottom w:w="0" w:type="dxa"/>
                    <w:right w:w="0" w:type="dxa"/>
                  </w:tcMar>
                  <w:vAlign w:val="center"/>
                </w:tcPr>
                <w:p w14:paraId="4AF48CEC">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379" w:type="pct"/>
                  <w:vMerge w:val="continue"/>
                  <w:noWrap w:val="0"/>
                  <w:tcMar>
                    <w:top w:w="0" w:type="dxa"/>
                    <w:left w:w="0" w:type="dxa"/>
                    <w:bottom w:w="0" w:type="dxa"/>
                    <w:right w:w="0" w:type="dxa"/>
                  </w:tcMar>
                  <w:vAlign w:val="center"/>
                </w:tcPr>
                <w:p w14:paraId="25359AEF">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c>
                <w:tcPr>
                  <w:tcW w:w="476" w:type="pct"/>
                  <w:noWrap w:val="0"/>
                  <w:tcMar>
                    <w:top w:w="0" w:type="dxa"/>
                    <w:left w:w="0" w:type="dxa"/>
                    <w:bottom w:w="0" w:type="dxa"/>
                    <w:right w:w="0" w:type="dxa"/>
                  </w:tcMar>
                  <w:vAlign w:val="center"/>
                </w:tcPr>
                <w:p w14:paraId="5C1F174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浓度（mg/l）</w:t>
                  </w:r>
                </w:p>
              </w:tc>
              <w:tc>
                <w:tcPr>
                  <w:tcW w:w="387" w:type="pct"/>
                  <w:noWrap w:val="0"/>
                  <w:tcMar>
                    <w:top w:w="0" w:type="dxa"/>
                    <w:left w:w="0" w:type="dxa"/>
                    <w:bottom w:w="0" w:type="dxa"/>
                    <w:right w:w="0" w:type="dxa"/>
                  </w:tcMar>
                  <w:vAlign w:val="center"/>
                </w:tcPr>
                <w:p w14:paraId="5B62D00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排放量（t/a）</w:t>
                  </w:r>
                </w:p>
              </w:tc>
              <w:tc>
                <w:tcPr>
                  <w:tcW w:w="688" w:type="pct"/>
                  <w:vMerge w:val="continue"/>
                  <w:noWrap w:val="0"/>
                  <w:tcMar>
                    <w:top w:w="0" w:type="dxa"/>
                    <w:left w:w="0" w:type="dxa"/>
                    <w:bottom w:w="0" w:type="dxa"/>
                    <w:right w:w="0" w:type="dxa"/>
                  </w:tcMar>
                  <w:vAlign w:val="center"/>
                </w:tcPr>
                <w:p w14:paraId="0432D7F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0"/>
                      <w:szCs w:val="21"/>
                    </w:rPr>
                  </w:pPr>
                </w:p>
              </w:tc>
            </w:tr>
            <w:tr w14:paraId="08A758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415" w:type="pct"/>
                  <w:vMerge w:val="restart"/>
                  <w:noWrap w:val="0"/>
                  <w:tcMar>
                    <w:top w:w="0" w:type="dxa"/>
                    <w:left w:w="0" w:type="dxa"/>
                    <w:bottom w:w="0" w:type="dxa"/>
                    <w:right w:w="0" w:type="dxa"/>
                  </w:tcMar>
                  <w:vAlign w:val="center"/>
                </w:tcPr>
                <w:p w14:paraId="2AAA720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生活污水</w:t>
                  </w:r>
                </w:p>
              </w:tc>
              <w:tc>
                <w:tcPr>
                  <w:tcW w:w="425" w:type="pct"/>
                  <w:vMerge w:val="restart"/>
                  <w:noWrap w:val="0"/>
                  <w:tcMar>
                    <w:top w:w="0" w:type="dxa"/>
                    <w:left w:w="0" w:type="dxa"/>
                    <w:bottom w:w="0" w:type="dxa"/>
                    <w:right w:w="0" w:type="dxa"/>
                  </w:tcMar>
                  <w:vAlign w:val="center"/>
                </w:tcPr>
                <w:p w14:paraId="27CB87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bidi="ar"/>
                    </w:rPr>
                    <w:t>2448</w:t>
                  </w:r>
                </w:p>
              </w:tc>
              <w:tc>
                <w:tcPr>
                  <w:tcW w:w="429" w:type="pct"/>
                  <w:noWrap w:val="0"/>
                  <w:tcMar>
                    <w:top w:w="0" w:type="dxa"/>
                    <w:left w:w="0" w:type="dxa"/>
                    <w:bottom w:w="0" w:type="dxa"/>
                    <w:right w:w="0" w:type="dxa"/>
                  </w:tcMar>
                  <w:vAlign w:val="center"/>
                </w:tcPr>
                <w:p w14:paraId="239A26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COD</w:t>
                  </w:r>
                </w:p>
              </w:tc>
              <w:tc>
                <w:tcPr>
                  <w:tcW w:w="406" w:type="pct"/>
                  <w:shd w:val="clear" w:color="auto" w:fill="auto"/>
                  <w:noWrap w:val="0"/>
                  <w:tcMar>
                    <w:top w:w="0" w:type="dxa"/>
                    <w:left w:w="0" w:type="dxa"/>
                    <w:bottom w:w="0" w:type="dxa"/>
                    <w:right w:w="0" w:type="dxa"/>
                  </w:tcMar>
                  <w:vAlign w:val="center"/>
                </w:tcPr>
                <w:p w14:paraId="2406C2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406" w:type="pct"/>
                  <w:shd w:val="clear" w:color="auto" w:fill="auto"/>
                  <w:noWrap w:val="0"/>
                  <w:tcMar>
                    <w:top w:w="0" w:type="dxa"/>
                    <w:left w:w="0" w:type="dxa"/>
                    <w:bottom w:w="0" w:type="dxa"/>
                    <w:right w:w="0" w:type="dxa"/>
                  </w:tcMar>
                  <w:vAlign w:val="center"/>
                </w:tcPr>
                <w:p w14:paraId="67E623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0.979 </w:t>
                  </w:r>
                </w:p>
              </w:tc>
              <w:tc>
                <w:tcPr>
                  <w:tcW w:w="568" w:type="pct"/>
                  <w:vMerge w:val="restart"/>
                  <w:noWrap w:val="0"/>
                  <w:tcMar>
                    <w:top w:w="0" w:type="dxa"/>
                    <w:left w:w="0" w:type="dxa"/>
                    <w:bottom w:w="0" w:type="dxa"/>
                    <w:right w:w="0" w:type="dxa"/>
                  </w:tcMar>
                  <w:vAlign w:val="center"/>
                </w:tcPr>
                <w:p w14:paraId="0F94E51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w:t>
                  </w:r>
                </w:p>
              </w:tc>
              <w:tc>
                <w:tcPr>
                  <w:tcW w:w="416" w:type="pct"/>
                  <w:vMerge w:val="restart"/>
                  <w:noWrap w:val="0"/>
                  <w:tcMar>
                    <w:top w:w="0" w:type="dxa"/>
                    <w:left w:w="0" w:type="dxa"/>
                    <w:bottom w:w="0" w:type="dxa"/>
                    <w:right w:w="0" w:type="dxa"/>
                  </w:tcMar>
                  <w:vAlign w:val="center"/>
                </w:tcPr>
                <w:p w14:paraId="60B0A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2448</w:t>
                  </w:r>
                </w:p>
              </w:tc>
              <w:tc>
                <w:tcPr>
                  <w:tcW w:w="379" w:type="pct"/>
                  <w:noWrap w:val="0"/>
                  <w:tcMar>
                    <w:top w:w="0" w:type="dxa"/>
                    <w:left w:w="0" w:type="dxa"/>
                    <w:bottom w:w="0" w:type="dxa"/>
                    <w:right w:w="0" w:type="dxa"/>
                  </w:tcMar>
                  <w:vAlign w:val="center"/>
                </w:tcPr>
                <w:p w14:paraId="29967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COD</w:t>
                  </w:r>
                </w:p>
              </w:tc>
              <w:tc>
                <w:tcPr>
                  <w:tcW w:w="476" w:type="pct"/>
                  <w:shd w:val="clear" w:color="auto" w:fill="auto"/>
                  <w:noWrap w:val="0"/>
                  <w:tcMar>
                    <w:top w:w="0" w:type="dxa"/>
                    <w:left w:w="0" w:type="dxa"/>
                    <w:bottom w:w="0" w:type="dxa"/>
                    <w:right w:w="0" w:type="dxa"/>
                  </w:tcMar>
                  <w:vAlign w:val="center"/>
                </w:tcPr>
                <w:p w14:paraId="07E4D5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387" w:type="pct"/>
                  <w:shd w:val="clear" w:color="auto" w:fill="auto"/>
                  <w:noWrap w:val="0"/>
                  <w:tcMar>
                    <w:top w:w="0" w:type="dxa"/>
                    <w:left w:w="0" w:type="dxa"/>
                    <w:bottom w:w="0" w:type="dxa"/>
                    <w:right w:w="0" w:type="dxa"/>
                  </w:tcMar>
                  <w:vAlign w:val="center"/>
                </w:tcPr>
                <w:p w14:paraId="2AB1CC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0.979 </w:t>
                  </w:r>
                </w:p>
              </w:tc>
              <w:tc>
                <w:tcPr>
                  <w:tcW w:w="688" w:type="pct"/>
                  <w:vMerge w:val="restart"/>
                  <w:noWrap w:val="0"/>
                  <w:tcMar>
                    <w:top w:w="0" w:type="dxa"/>
                    <w:left w:w="0" w:type="dxa"/>
                    <w:bottom w:w="0" w:type="dxa"/>
                    <w:right w:w="0" w:type="dxa"/>
                  </w:tcMar>
                  <w:vAlign w:val="center"/>
                </w:tcPr>
                <w:p w14:paraId="6E7CC3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 w:val="21"/>
                      <w:szCs w:val="21"/>
                      <w:lang w:val="en-US" w:eastAsia="zh-CN"/>
                    </w:rPr>
                    <w:t>指前镇新河村委水处理设施</w:t>
                  </w:r>
                </w:p>
              </w:tc>
            </w:tr>
            <w:tr w14:paraId="5DCCB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415" w:type="pct"/>
                  <w:vMerge w:val="continue"/>
                  <w:noWrap w:val="0"/>
                  <w:tcMar>
                    <w:top w:w="0" w:type="dxa"/>
                    <w:left w:w="0" w:type="dxa"/>
                    <w:bottom w:w="0" w:type="dxa"/>
                    <w:right w:w="0" w:type="dxa"/>
                  </w:tcMar>
                  <w:vAlign w:val="center"/>
                </w:tcPr>
                <w:p w14:paraId="3926DF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5" w:type="pct"/>
                  <w:vMerge w:val="continue"/>
                  <w:noWrap w:val="0"/>
                  <w:tcMar>
                    <w:top w:w="0" w:type="dxa"/>
                    <w:left w:w="0" w:type="dxa"/>
                    <w:bottom w:w="0" w:type="dxa"/>
                    <w:right w:w="0" w:type="dxa"/>
                  </w:tcMar>
                  <w:vAlign w:val="center"/>
                </w:tcPr>
                <w:p w14:paraId="66AAE62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9" w:type="pct"/>
                  <w:noWrap w:val="0"/>
                  <w:tcMar>
                    <w:top w:w="0" w:type="dxa"/>
                    <w:left w:w="0" w:type="dxa"/>
                    <w:bottom w:w="0" w:type="dxa"/>
                    <w:right w:w="0" w:type="dxa"/>
                  </w:tcMar>
                  <w:vAlign w:val="center"/>
                </w:tcPr>
                <w:p w14:paraId="018E3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SS</w:t>
                  </w:r>
                </w:p>
              </w:tc>
              <w:tc>
                <w:tcPr>
                  <w:tcW w:w="406" w:type="pct"/>
                  <w:shd w:val="clear" w:color="auto" w:fill="auto"/>
                  <w:noWrap w:val="0"/>
                  <w:tcMar>
                    <w:top w:w="0" w:type="dxa"/>
                    <w:left w:w="0" w:type="dxa"/>
                    <w:bottom w:w="0" w:type="dxa"/>
                    <w:right w:w="0" w:type="dxa"/>
                  </w:tcMar>
                  <w:vAlign w:val="center"/>
                </w:tcPr>
                <w:p w14:paraId="39330D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406" w:type="pct"/>
                  <w:shd w:val="clear" w:color="auto" w:fill="auto"/>
                  <w:noWrap w:val="0"/>
                  <w:tcMar>
                    <w:top w:w="0" w:type="dxa"/>
                    <w:left w:w="0" w:type="dxa"/>
                    <w:bottom w:w="0" w:type="dxa"/>
                    <w:right w:w="0" w:type="dxa"/>
                  </w:tcMar>
                  <w:vAlign w:val="center"/>
                </w:tcPr>
                <w:p w14:paraId="30207E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0.612 </w:t>
                  </w:r>
                </w:p>
              </w:tc>
              <w:tc>
                <w:tcPr>
                  <w:tcW w:w="568" w:type="pct"/>
                  <w:vMerge w:val="continue"/>
                  <w:noWrap w:val="0"/>
                  <w:tcMar>
                    <w:top w:w="0" w:type="dxa"/>
                    <w:left w:w="0" w:type="dxa"/>
                    <w:bottom w:w="0" w:type="dxa"/>
                    <w:right w:w="0" w:type="dxa"/>
                  </w:tcMar>
                  <w:vAlign w:val="center"/>
                </w:tcPr>
                <w:p w14:paraId="5C8806C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6" w:type="pct"/>
                  <w:vMerge w:val="continue"/>
                  <w:noWrap w:val="0"/>
                  <w:tcMar>
                    <w:top w:w="0" w:type="dxa"/>
                    <w:left w:w="0" w:type="dxa"/>
                    <w:bottom w:w="0" w:type="dxa"/>
                    <w:right w:w="0" w:type="dxa"/>
                  </w:tcMar>
                  <w:vAlign w:val="center"/>
                </w:tcPr>
                <w:p w14:paraId="62830DB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p>
              </w:tc>
              <w:tc>
                <w:tcPr>
                  <w:tcW w:w="379" w:type="pct"/>
                  <w:noWrap w:val="0"/>
                  <w:tcMar>
                    <w:top w:w="0" w:type="dxa"/>
                    <w:left w:w="0" w:type="dxa"/>
                    <w:bottom w:w="0" w:type="dxa"/>
                    <w:right w:w="0" w:type="dxa"/>
                  </w:tcMar>
                  <w:vAlign w:val="center"/>
                </w:tcPr>
                <w:p w14:paraId="7D9013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SS</w:t>
                  </w:r>
                </w:p>
              </w:tc>
              <w:tc>
                <w:tcPr>
                  <w:tcW w:w="476" w:type="pct"/>
                  <w:shd w:val="clear" w:color="auto" w:fill="auto"/>
                  <w:noWrap w:val="0"/>
                  <w:tcMar>
                    <w:top w:w="0" w:type="dxa"/>
                    <w:left w:w="0" w:type="dxa"/>
                    <w:bottom w:w="0" w:type="dxa"/>
                    <w:right w:w="0" w:type="dxa"/>
                  </w:tcMar>
                  <w:vAlign w:val="center"/>
                </w:tcPr>
                <w:p w14:paraId="4B7A3F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387" w:type="pct"/>
                  <w:shd w:val="clear" w:color="auto" w:fill="auto"/>
                  <w:noWrap w:val="0"/>
                  <w:tcMar>
                    <w:top w:w="0" w:type="dxa"/>
                    <w:left w:w="0" w:type="dxa"/>
                    <w:bottom w:w="0" w:type="dxa"/>
                    <w:right w:w="0" w:type="dxa"/>
                  </w:tcMar>
                  <w:vAlign w:val="center"/>
                </w:tcPr>
                <w:p w14:paraId="249DFB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0.612 </w:t>
                  </w:r>
                </w:p>
              </w:tc>
              <w:tc>
                <w:tcPr>
                  <w:tcW w:w="688" w:type="pct"/>
                  <w:vMerge w:val="continue"/>
                  <w:noWrap w:val="0"/>
                  <w:tcMar>
                    <w:top w:w="0" w:type="dxa"/>
                    <w:left w:w="0" w:type="dxa"/>
                    <w:bottom w:w="0" w:type="dxa"/>
                    <w:right w:w="0" w:type="dxa"/>
                  </w:tcMar>
                  <w:vAlign w:val="center"/>
                </w:tcPr>
                <w:p w14:paraId="58D72B4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0DF25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415" w:type="pct"/>
                  <w:vMerge w:val="continue"/>
                  <w:noWrap w:val="0"/>
                  <w:tcMar>
                    <w:top w:w="0" w:type="dxa"/>
                    <w:left w:w="0" w:type="dxa"/>
                    <w:bottom w:w="0" w:type="dxa"/>
                    <w:right w:w="0" w:type="dxa"/>
                  </w:tcMar>
                  <w:vAlign w:val="center"/>
                </w:tcPr>
                <w:p w14:paraId="16E7060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5" w:type="pct"/>
                  <w:vMerge w:val="continue"/>
                  <w:noWrap w:val="0"/>
                  <w:tcMar>
                    <w:top w:w="0" w:type="dxa"/>
                    <w:left w:w="0" w:type="dxa"/>
                    <w:bottom w:w="0" w:type="dxa"/>
                    <w:right w:w="0" w:type="dxa"/>
                  </w:tcMar>
                  <w:vAlign w:val="center"/>
                </w:tcPr>
                <w:p w14:paraId="0689465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9" w:type="pct"/>
                  <w:noWrap w:val="0"/>
                  <w:tcMar>
                    <w:top w:w="0" w:type="dxa"/>
                    <w:left w:w="0" w:type="dxa"/>
                    <w:bottom w:w="0" w:type="dxa"/>
                    <w:right w:w="0" w:type="dxa"/>
                  </w:tcMar>
                  <w:vAlign w:val="center"/>
                </w:tcPr>
                <w:p w14:paraId="346E29B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NH</w:t>
                  </w:r>
                  <w:r>
                    <w:rPr>
                      <w:rFonts w:hint="default" w:ascii="Times New Roman" w:hAnsi="Times New Roman" w:cs="Times New Roman"/>
                      <w:color w:val="auto"/>
                      <w:kern w:val="0"/>
                      <w:szCs w:val="21"/>
                      <w:vertAlign w:val="subscript"/>
                      <w:lang w:bidi="ar"/>
                    </w:rPr>
                    <w:t>3</w:t>
                  </w:r>
                  <w:r>
                    <w:rPr>
                      <w:rFonts w:hint="default" w:ascii="Times New Roman" w:hAnsi="Times New Roman" w:cs="Times New Roman"/>
                      <w:color w:val="auto"/>
                      <w:kern w:val="0"/>
                      <w:szCs w:val="21"/>
                      <w:lang w:bidi="ar"/>
                    </w:rPr>
                    <w:t>-N</w:t>
                  </w:r>
                </w:p>
              </w:tc>
              <w:tc>
                <w:tcPr>
                  <w:tcW w:w="406" w:type="pct"/>
                  <w:shd w:val="clear" w:color="auto" w:fill="auto"/>
                  <w:noWrap w:val="0"/>
                  <w:tcMar>
                    <w:top w:w="0" w:type="dxa"/>
                    <w:left w:w="0" w:type="dxa"/>
                    <w:bottom w:w="0" w:type="dxa"/>
                    <w:right w:w="0" w:type="dxa"/>
                  </w:tcMar>
                  <w:vAlign w:val="center"/>
                </w:tcPr>
                <w:p w14:paraId="04919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06" w:type="pct"/>
                  <w:shd w:val="clear" w:color="auto" w:fill="auto"/>
                  <w:noWrap w:val="0"/>
                  <w:tcMar>
                    <w:top w:w="0" w:type="dxa"/>
                    <w:left w:w="0" w:type="dxa"/>
                    <w:bottom w:w="0" w:type="dxa"/>
                    <w:right w:w="0" w:type="dxa"/>
                  </w:tcMar>
                  <w:vAlign w:val="center"/>
                </w:tcPr>
                <w:p w14:paraId="2A259B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0.086 </w:t>
                  </w:r>
                </w:p>
              </w:tc>
              <w:tc>
                <w:tcPr>
                  <w:tcW w:w="568" w:type="pct"/>
                  <w:vMerge w:val="continue"/>
                  <w:noWrap w:val="0"/>
                  <w:tcMar>
                    <w:top w:w="0" w:type="dxa"/>
                    <w:left w:w="0" w:type="dxa"/>
                    <w:bottom w:w="0" w:type="dxa"/>
                    <w:right w:w="0" w:type="dxa"/>
                  </w:tcMar>
                  <w:vAlign w:val="center"/>
                </w:tcPr>
                <w:p w14:paraId="6A0473A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6" w:type="pct"/>
                  <w:vMerge w:val="continue"/>
                  <w:noWrap w:val="0"/>
                  <w:tcMar>
                    <w:top w:w="0" w:type="dxa"/>
                    <w:left w:w="0" w:type="dxa"/>
                    <w:bottom w:w="0" w:type="dxa"/>
                    <w:right w:w="0" w:type="dxa"/>
                  </w:tcMar>
                  <w:vAlign w:val="center"/>
                </w:tcPr>
                <w:p w14:paraId="6BFB57D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p>
              </w:tc>
              <w:tc>
                <w:tcPr>
                  <w:tcW w:w="379" w:type="pct"/>
                  <w:noWrap w:val="0"/>
                  <w:tcMar>
                    <w:top w:w="0" w:type="dxa"/>
                    <w:left w:w="0" w:type="dxa"/>
                    <w:bottom w:w="0" w:type="dxa"/>
                    <w:right w:w="0" w:type="dxa"/>
                  </w:tcMar>
                  <w:vAlign w:val="center"/>
                </w:tcPr>
                <w:p w14:paraId="1240FC5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NH</w:t>
                  </w:r>
                  <w:r>
                    <w:rPr>
                      <w:rFonts w:hint="default" w:ascii="Times New Roman" w:hAnsi="Times New Roman" w:cs="Times New Roman"/>
                      <w:color w:val="auto"/>
                      <w:kern w:val="0"/>
                      <w:szCs w:val="21"/>
                      <w:vertAlign w:val="subscript"/>
                      <w:lang w:bidi="ar"/>
                    </w:rPr>
                    <w:t>3</w:t>
                  </w:r>
                  <w:r>
                    <w:rPr>
                      <w:rFonts w:hint="default" w:ascii="Times New Roman" w:hAnsi="Times New Roman" w:cs="Times New Roman"/>
                      <w:color w:val="auto"/>
                      <w:kern w:val="0"/>
                      <w:szCs w:val="21"/>
                      <w:lang w:bidi="ar"/>
                    </w:rPr>
                    <w:t>-N</w:t>
                  </w:r>
                </w:p>
              </w:tc>
              <w:tc>
                <w:tcPr>
                  <w:tcW w:w="476" w:type="pct"/>
                  <w:shd w:val="clear" w:color="auto" w:fill="auto"/>
                  <w:noWrap w:val="0"/>
                  <w:tcMar>
                    <w:top w:w="0" w:type="dxa"/>
                    <w:left w:w="0" w:type="dxa"/>
                    <w:bottom w:w="0" w:type="dxa"/>
                    <w:right w:w="0" w:type="dxa"/>
                  </w:tcMar>
                  <w:vAlign w:val="center"/>
                </w:tcPr>
                <w:p w14:paraId="2B50BC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w:t>
                  </w:r>
                </w:p>
              </w:tc>
              <w:tc>
                <w:tcPr>
                  <w:tcW w:w="387" w:type="pct"/>
                  <w:shd w:val="clear" w:color="auto" w:fill="auto"/>
                  <w:noWrap w:val="0"/>
                  <w:tcMar>
                    <w:top w:w="0" w:type="dxa"/>
                    <w:left w:w="0" w:type="dxa"/>
                    <w:bottom w:w="0" w:type="dxa"/>
                    <w:right w:w="0" w:type="dxa"/>
                  </w:tcMar>
                  <w:vAlign w:val="center"/>
                </w:tcPr>
                <w:p w14:paraId="07D986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0.086 </w:t>
                  </w:r>
                </w:p>
              </w:tc>
              <w:tc>
                <w:tcPr>
                  <w:tcW w:w="688" w:type="pct"/>
                  <w:vMerge w:val="continue"/>
                  <w:noWrap w:val="0"/>
                  <w:tcMar>
                    <w:top w:w="0" w:type="dxa"/>
                    <w:left w:w="0" w:type="dxa"/>
                    <w:bottom w:w="0" w:type="dxa"/>
                    <w:right w:w="0" w:type="dxa"/>
                  </w:tcMar>
                  <w:vAlign w:val="center"/>
                </w:tcPr>
                <w:p w14:paraId="31104DE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0F116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415" w:type="pct"/>
                  <w:vMerge w:val="continue"/>
                  <w:noWrap w:val="0"/>
                  <w:tcMar>
                    <w:top w:w="0" w:type="dxa"/>
                    <w:left w:w="0" w:type="dxa"/>
                    <w:bottom w:w="0" w:type="dxa"/>
                    <w:right w:w="0" w:type="dxa"/>
                  </w:tcMar>
                  <w:vAlign w:val="center"/>
                </w:tcPr>
                <w:p w14:paraId="6D264A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5" w:type="pct"/>
                  <w:vMerge w:val="continue"/>
                  <w:noWrap w:val="0"/>
                  <w:tcMar>
                    <w:top w:w="0" w:type="dxa"/>
                    <w:left w:w="0" w:type="dxa"/>
                    <w:bottom w:w="0" w:type="dxa"/>
                    <w:right w:w="0" w:type="dxa"/>
                  </w:tcMar>
                  <w:vAlign w:val="center"/>
                </w:tcPr>
                <w:p w14:paraId="09C494D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9" w:type="pct"/>
                  <w:noWrap w:val="0"/>
                  <w:tcMar>
                    <w:top w:w="0" w:type="dxa"/>
                    <w:left w:w="0" w:type="dxa"/>
                    <w:bottom w:w="0" w:type="dxa"/>
                    <w:right w:w="0" w:type="dxa"/>
                  </w:tcMar>
                  <w:vAlign w:val="center"/>
                </w:tcPr>
                <w:p w14:paraId="5CF350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TN</w:t>
                  </w:r>
                </w:p>
              </w:tc>
              <w:tc>
                <w:tcPr>
                  <w:tcW w:w="406" w:type="pct"/>
                  <w:shd w:val="clear" w:color="auto" w:fill="auto"/>
                  <w:noWrap w:val="0"/>
                  <w:tcMar>
                    <w:top w:w="0" w:type="dxa"/>
                    <w:left w:w="0" w:type="dxa"/>
                    <w:bottom w:w="0" w:type="dxa"/>
                    <w:right w:w="0" w:type="dxa"/>
                  </w:tcMar>
                  <w:vAlign w:val="center"/>
                </w:tcPr>
                <w:p w14:paraId="3C90D6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06" w:type="pct"/>
                  <w:shd w:val="clear" w:color="auto" w:fill="auto"/>
                  <w:noWrap w:val="0"/>
                  <w:tcMar>
                    <w:top w:w="0" w:type="dxa"/>
                    <w:left w:w="0" w:type="dxa"/>
                    <w:bottom w:w="0" w:type="dxa"/>
                    <w:right w:w="0" w:type="dxa"/>
                  </w:tcMar>
                  <w:vAlign w:val="center"/>
                </w:tcPr>
                <w:p w14:paraId="2F4D7D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568" w:type="pct"/>
                  <w:vMerge w:val="continue"/>
                  <w:noWrap w:val="0"/>
                  <w:tcMar>
                    <w:top w:w="0" w:type="dxa"/>
                    <w:left w:w="0" w:type="dxa"/>
                    <w:bottom w:w="0" w:type="dxa"/>
                    <w:right w:w="0" w:type="dxa"/>
                  </w:tcMar>
                  <w:vAlign w:val="center"/>
                </w:tcPr>
                <w:p w14:paraId="239DD90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6" w:type="pct"/>
                  <w:vMerge w:val="continue"/>
                  <w:noWrap w:val="0"/>
                  <w:tcMar>
                    <w:top w:w="0" w:type="dxa"/>
                    <w:left w:w="0" w:type="dxa"/>
                    <w:bottom w:w="0" w:type="dxa"/>
                    <w:right w:w="0" w:type="dxa"/>
                  </w:tcMar>
                  <w:vAlign w:val="center"/>
                </w:tcPr>
                <w:p w14:paraId="3609231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p>
              </w:tc>
              <w:tc>
                <w:tcPr>
                  <w:tcW w:w="379" w:type="pct"/>
                  <w:noWrap w:val="0"/>
                  <w:tcMar>
                    <w:top w:w="0" w:type="dxa"/>
                    <w:left w:w="0" w:type="dxa"/>
                    <w:bottom w:w="0" w:type="dxa"/>
                    <w:right w:w="0" w:type="dxa"/>
                  </w:tcMar>
                  <w:vAlign w:val="center"/>
                </w:tcPr>
                <w:p w14:paraId="69C7B47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TN</w:t>
                  </w:r>
                </w:p>
              </w:tc>
              <w:tc>
                <w:tcPr>
                  <w:tcW w:w="476" w:type="pct"/>
                  <w:shd w:val="clear" w:color="auto" w:fill="auto"/>
                  <w:noWrap w:val="0"/>
                  <w:tcMar>
                    <w:top w:w="0" w:type="dxa"/>
                    <w:left w:w="0" w:type="dxa"/>
                    <w:bottom w:w="0" w:type="dxa"/>
                    <w:right w:w="0" w:type="dxa"/>
                  </w:tcMar>
                  <w:vAlign w:val="center"/>
                </w:tcPr>
                <w:p w14:paraId="1AC500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w:t>
                  </w:r>
                </w:p>
              </w:tc>
              <w:tc>
                <w:tcPr>
                  <w:tcW w:w="387" w:type="pct"/>
                  <w:shd w:val="clear" w:color="auto" w:fill="auto"/>
                  <w:noWrap w:val="0"/>
                  <w:tcMar>
                    <w:top w:w="0" w:type="dxa"/>
                    <w:left w:w="0" w:type="dxa"/>
                    <w:bottom w:w="0" w:type="dxa"/>
                    <w:right w:w="0" w:type="dxa"/>
                  </w:tcMar>
                  <w:vAlign w:val="center"/>
                </w:tcPr>
                <w:p w14:paraId="56D1E8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688" w:type="pct"/>
                  <w:vMerge w:val="continue"/>
                  <w:noWrap w:val="0"/>
                  <w:tcMar>
                    <w:top w:w="0" w:type="dxa"/>
                    <w:left w:w="0" w:type="dxa"/>
                    <w:bottom w:w="0" w:type="dxa"/>
                    <w:right w:w="0" w:type="dxa"/>
                  </w:tcMar>
                  <w:vAlign w:val="center"/>
                </w:tcPr>
                <w:p w14:paraId="7BFAC8A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14:paraId="1F435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exact"/>
                <w:jc w:val="center"/>
              </w:trPr>
              <w:tc>
                <w:tcPr>
                  <w:tcW w:w="415" w:type="pct"/>
                  <w:vMerge w:val="continue"/>
                  <w:noWrap w:val="0"/>
                  <w:vAlign w:val="center"/>
                </w:tcPr>
                <w:p w14:paraId="5EE6AF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5" w:type="pct"/>
                  <w:vMerge w:val="continue"/>
                  <w:noWrap w:val="0"/>
                  <w:vAlign w:val="center"/>
                </w:tcPr>
                <w:p w14:paraId="05C7BAC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29" w:type="pct"/>
                  <w:noWrap w:val="0"/>
                  <w:vAlign w:val="center"/>
                </w:tcPr>
                <w:p w14:paraId="5320C2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TP</w:t>
                  </w:r>
                </w:p>
              </w:tc>
              <w:tc>
                <w:tcPr>
                  <w:tcW w:w="406" w:type="pct"/>
                  <w:shd w:val="clear" w:color="auto" w:fill="auto"/>
                  <w:noWrap w:val="0"/>
                  <w:vAlign w:val="center"/>
                </w:tcPr>
                <w:p w14:paraId="68405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406" w:type="pct"/>
                  <w:shd w:val="clear" w:color="auto" w:fill="auto"/>
                  <w:noWrap w:val="0"/>
                  <w:vAlign w:val="center"/>
                </w:tcPr>
                <w:p w14:paraId="73FEEC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568" w:type="pct"/>
                  <w:vMerge w:val="continue"/>
                  <w:noWrap w:val="0"/>
                  <w:vAlign w:val="center"/>
                </w:tcPr>
                <w:p w14:paraId="69C62C4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6" w:type="pct"/>
                  <w:vMerge w:val="continue"/>
                  <w:noWrap w:val="0"/>
                  <w:vAlign w:val="center"/>
                </w:tcPr>
                <w:p w14:paraId="611792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p>
              </w:tc>
              <w:tc>
                <w:tcPr>
                  <w:tcW w:w="379" w:type="pct"/>
                  <w:noWrap w:val="0"/>
                  <w:vAlign w:val="center"/>
                </w:tcPr>
                <w:p w14:paraId="6480C72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TP</w:t>
                  </w:r>
                </w:p>
              </w:tc>
              <w:tc>
                <w:tcPr>
                  <w:tcW w:w="476" w:type="pct"/>
                  <w:shd w:val="clear" w:color="auto" w:fill="auto"/>
                  <w:noWrap w:val="0"/>
                  <w:vAlign w:val="center"/>
                </w:tcPr>
                <w:p w14:paraId="47AB67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387" w:type="pct"/>
                  <w:shd w:val="clear" w:color="auto" w:fill="auto"/>
                  <w:noWrap w:val="0"/>
                  <w:vAlign w:val="center"/>
                </w:tcPr>
                <w:p w14:paraId="45FCDF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688" w:type="pct"/>
                  <w:vMerge w:val="continue"/>
                  <w:noWrap w:val="0"/>
                  <w:vAlign w:val="center"/>
                </w:tcPr>
                <w:p w14:paraId="2C7E3BE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bl>
          <w:p w14:paraId="169471C9">
            <w:pPr>
              <w:keepNext w:val="0"/>
              <w:keepLines w:val="0"/>
              <w:suppressLineNumbers w:val="0"/>
              <w:autoSpaceDE w:val="0"/>
              <w:spacing w:before="0" w:beforeAutospacing="0" w:after="0" w:afterAutospacing="0" w:line="480" w:lineRule="exact"/>
              <w:ind w:left="0" w:right="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rPr>
              <w:t>2、</w:t>
            </w:r>
            <w:r>
              <w:rPr>
                <w:rFonts w:hint="default" w:ascii="Times New Roman" w:hAnsi="Times New Roman" w:cs="Times New Roman"/>
                <w:b/>
                <w:bCs/>
                <w:color w:val="auto"/>
                <w:sz w:val="24"/>
              </w:rPr>
              <w:t>废水污染防治措施</w:t>
            </w:r>
          </w:p>
          <w:p w14:paraId="45BC141D">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b/>
                <w:bCs/>
                <w:color w:val="auto"/>
                <w:sz w:val="24"/>
                <w:szCs w:val="24"/>
                <w:lang w:eastAsia="zh-CN"/>
              </w:rPr>
            </w:pPr>
            <w:r>
              <w:rPr>
                <w:rFonts w:hint="eastAsia" w:ascii="Times New Roman" w:hAnsi="Times New Roman" w:cs="Times New Roman"/>
                <w:color w:val="auto"/>
                <w:sz w:val="24"/>
                <w:szCs w:val="24"/>
              </w:rPr>
              <w:t>本项目</w:t>
            </w:r>
            <w:r>
              <w:rPr>
                <w:rFonts w:hint="default" w:ascii="Times New Roman" w:hAnsi="Times New Roman" w:cs="Times New Roman"/>
                <w:color w:val="auto"/>
                <w:sz w:val="24"/>
                <w:szCs w:val="24"/>
              </w:rPr>
              <w:t>厂区内实施雨污分流</w:t>
            </w:r>
            <w:r>
              <w:rPr>
                <w:rFonts w:hint="eastAsia" w:ascii="Times New Roman" w:hAnsi="Times New Roman" w:cs="Times New Roman"/>
                <w:color w:val="auto"/>
                <w:sz w:val="24"/>
                <w:szCs w:val="24"/>
              </w:rPr>
              <w:t>，雨水和污水分开收集，雨水接入市政雨水管网，防止因雨污管网串管造成地表水污染。雨水设置收集明渠和管道，事故时紧急关闭雨水排放阀门，确保事故废水不直接排入外环境。</w:t>
            </w:r>
            <w:r>
              <w:rPr>
                <w:rFonts w:hint="eastAsia" w:ascii="Times New Roman" w:hAnsi="Times New Roman" w:cs="Times New Roman"/>
                <w:color w:val="auto"/>
                <w:sz w:val="24"/>
                <w:szCs w:val="24"/>
                <w:lang w:val="en-US" w:eastAsia="zh-CN"/>
              </w:rPr>
              <w:t>排放口</w:t>
            </w:r>
            <w:r>
              <w:rPr>
                <w:rFonts w:hint="eastAsia" w:ascii="Times New Roman" w:hAnsi="Times New Roman" w:cs="Times New Roman"/>
                <w:color w:val="auto"/>
                <w:sz w:val="24"/>
                <w:szCs w:val="24"/>
              </w:rPr>
              <w:t>已按</w:t>
            </w:r>
            <w:r>
              <w:rPr>
                <w:rFonts w:hint="eastAsia" w:ascii="Times New Roman" w:hAnsi="Times New Roman" w:eastAsia="宋体" w:cs="Times New Roman"/>
                <w:color w:val="auto"/>
                <w:sz w:val="24"/>
                <w:szCs w:val="24"/>
                <w:lang w:eastAsia="zh-CN"/>
              </w:rPr>
              <w:t>《江苏省排污口设置及规范化整治管理办法》（苏环控</w:t>
            </w:r>
            <w:r>
              <w:rPr>
                <w:rFonts w:hint="eastAsia" w:ascii="宋体" w:hAnsi="宋体" w:eastAsia="宋体" w:cs="宋体"/>
                <w:color w:val="auto"/>
                <w:sz w:val="24"/>
                <w:szCs w:val="24"/>
                <w:lang w:eastAsia="zh-CN"/>
              </w:rPr>
              <w:t>〔</w:t>
            </w:r>
            <w:r>
              <w:rPr>
                <w:rFonts w:hint="eastAsia" w:ascii="Times New Roman" w:hAnsi="Times New Roman" w:eastAsia="宋体" w:cs="Times New Roman"/>
                <w:color w:val="auto"/>
                <w:sz w:val="24"/>
                <w:szCs w:val="24"/>
                <w:lang w:eastAsia="zh-CN"/>
              </w:rPr>
              <w:t>1997</w:t>
            </w:r>
            <w:r>
              <w:rPr>
                <w:rFonts w:hint="eastAsia" w:ascii="宋体" w:hAnsi="宋体" w:eastAsia="宋体" w:cs="宋体"/>
                <w:color w:val="auto"/>
                <w:sz w:val="24"/>
                <w:szCs w:val="24"/>
                <w:lang w:eastAsia="zh-CN"/>
              </w:rPr>
              <w:t>〕</w:t>
            </w:r>
            <w:r>
              <w:rPr>
                <w:rFonts w:hint="eastAsia" w:ascii="Times New Roman" w:hAnsi="Times New Roman" w:eastAsia="宋体" w:cs="Times New Roman"/>
                <w:color w:val="auto"/>
                <w:sz w:val="24"/>
                <w:szCs w:val="24"/>
                <w:lang w:eastAsia="zh-CN"/>
              </w:rPr>
              <w:t>122号）</w:t>
            </w:r>
            <w:r>
              <w:rPr>
                <w:rFonts w:hint="eastAsia" w:ascii="Times New Roman" w:hAnsi="Times New Roman" w:cs="Times New Roman"/>
                <w:color w:val="auto"/>
                <w:sz w:val="24"/>
                <w:szCs w:val="24"/>
              </w:rPr>
              <w:t>规定设置标志牌</w:t>
            </w:r>
            <w:r>
              <w:rPr>
                <w:rFonts w:hint="eastAsia" w:ascii="Times New Roman" w:hAnsi="Times New Roman" w:cs="Times New Roman"/>
                <w:color w:val="auto"/>
                <w:sz w:val="24"/>
                <w:szCs w:val="24"/>
                <w:lang w:eastAsia="zh-CN"/>
              </w:rPr>
              <w:t>。</w:t>
            </w:r>
          </w:p>
          <w:p w14:paraId="01991AC5">
            <w:pPr>
              <w:keepNext w:val="0"/>
              <w:keepLines w:val="0"/>
              <w:suppressLineNumbers w:val="0"/>
              <w:spacing w:before="0" w:beforeAutospacing="0" w:after="0" w:afterAutospacing="0" w:line="500" w:lineRule="exact"/>
              <w:ind w:left="0" w:right="0"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本项目不新增员工，不新增生活污水；项目冷却水循环使用，不外排；项目不新增（废）污水排放。</w:t>
            </w:r>
          </w:p>
          <w:p w14:paraId="390B7A6C">
            <w:pPr>
              <w:keepNext w:val="0"/>
              <w:keepLines w:val="0"/>
              <w:suppressLineNumbers w:val="0"/>
              <w:tabs>
                <w:tab w:val="left" w:pos="2160"/>
              </w:tabs>
              <w:spacing w:before="0" w:beforeAutospacing="0" w:after="0" w:afterAutospacing="0" w:line="480" w:lineRule="exact"/>
              <w:ind w:left="0" w:right="0" w:firstLine="482" w:firstLineChars="200"/>
              <w:rPr>
                <w:rFonts w:hint="eastAsia"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rPr>
              <w:t>、废水监测计划</w:t>
            </w:r>
          </w:p>
          <w:p w14:paraId="06231E1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按照《江苏省排污口设置及规范化整治管理办法》中的有关规定，项目在污水排放口前的采样口设置1个流量计</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1个采样平台。</w:t>
            </w:r>
          </w:p>
          <w:p w14:paraId="557547B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监测频次：按《排污单位自行监测技术指南 总则》（HJ819-2017）</w:t>
            </w:r>
            <w:r>
              <w:rPr>
                <w:rFonts w:hint="eastAsia" w:ascii="Times New Roman" w:hAnsi="Times New Roman" w:cs="Times New Roman"/>
                <w:bCs/>
                <w:color w:val="auto"/>
                <w:sz w:val="24"/>
              </w:rPr>
              <w:t>、</w:t>
            </w:r>
            <w:r>
              <w:rPr>
                <w:rFonts w:hint="eastAsia" w:ascii="Times New Roman" w:hAnsi="Times New Roman" w:cs="Times New Roman"/>
                <w:color w:val="auto"/>
                <w:sz w:val="24"/>
                <w:szCs w:val="24"/>
              </w:rPr>
              <w:t xml:space="preserve">《排污许可证申请与核发技术规范 </w:t>
            </w:r>
            <w:r>
              <w:rPr>
                <w:rFonts w:hint="eastAsia" w:ascii="Times New Roman" w:hAnsi="Times New Roman" w:cs="Times New Roman"/>
                <w:color w:val="auto"/>
                <w:sz w:val="24"/>
                <w:szCs w:val="24"/>
                <w:lang w:val="en-US" w:eastAsia="zh-CN"/>
              </w:rPr>
              <w:t>金属铸造工业</w:t>
            </w:r>
            <w:r>
              <w:rPr>
                <w:rFonts w:hint="eastAsia" w:ascii="Times New Roman" w:hAnsi="Times New Roman" w:cs="Times New Roman"/>
                <w:color w:val="auto"/>
                <w:sz w:val="24"/>
                <w:szCs w:val="24"/>
              </w:rPr>
              <w:t>》（HJ111</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rPr>
              <w:t>-20</w:t>
            </w:r>
            <w:r>
              <w:rPr>
                <w:rFonts w:hint="eastAsia" w:ascii="Times New Roman" w:hAnsi="Times New Roman" w:cs="Times New Roman"/>
                <w:color w:val="auto"/>
                <w:sz w:val="24"/>
                <w:szCs w:val="24"/>
                <w:lang w:val="en-US" w:eastAsia="zh-CN"/>
              </w:rPr>
              <w:t>20</w:t>
            </w:r>
            <w:r>
              <w:rPr>
                <w:rFonts w:hint="eastAsia" w:ascii="Times New Roman" w:hAnsi="Times New Roman" w:cs="Times New Roman"/>
                <w:color w:val="auto"/>
                <w:sz w:val="24"/>
                <w:szCs w:val="24"/>
              </w:rPr>
              <w:t>）</w:t>
            </w:r>
            <w:r>
              <w:rPr>
                <w:rFonts w:hint="eastAsia" w:ascii="Times New Roman" w:hAnsi="Times New Roman" w:cs="Times New Roman"/>
                <w:color w:val="auto"/>
                <w:kern w:val="21"/>
                <w:sz w:val="24"/>
              </w:rPr>
              <w:t>确定</w:t>
            </w:r>
            <w:r>
              <w:rPr>
                <w:rFonts w:hint="default" w:ascii="Times New Roman" w:hAnsi="Times New Roman" w:cs="Times New Roman"/>
                <w:bCs/>
                <w:color w:val="auto"/>
                <w:sz w:val="24"/>
              </w:rPr>
              <w:t>。</w:t>
            </w:r>
          </w:p>
          <w:p w14:paraId="53E311D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污水接管口监测因子：</w:t>
            </w:r>
            <w:r>
              <w:rPr>
                <w:rFonts w:hint="eastAsia" w:ascii="Times New Roman" w:hAnsi="Times New Roman" w:cs="Times New Roman"/>
                <w:bCs/>
                <w:color w:val="auto"/>
                <w:sz w:val="24"/>
              </w:rPr>
              <w:t>流量、</w:t>
            </w:r>
            <w:r>
              <w:rPr>
                <w:rFonts w:hint="default" w:ascii="Times New Roman" w:hAnsi="Times New Roman" w:cs="Times New Roman"/>
                <w:bCs/>
                <w:color w:val="auto"/>
                <w:sz w:val="24"/>
              </w:rPr>
              <w:t>pH、COD、SS、NH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-N、TP</w:t>
            </w:r>
            <w:r>
              <w:rPr>
                <w:rFonts w:hint="eastAsia" w:ascii="Times New Roman" w:hAnsi="Times New Roman" w:cs="Times New Roman"/>
                <w:bCs/>
                <w:color w:val="auto"/>
                <w:sz w:val="24"/>
              </w:rPr>
              <w:t>、TN</w:t>
            </w:r>
            <w:r>
              <w:rPr>
                <w:rFonts w:hint="default" w:ascii="Times New Roman" w:hAnsi="Times New Roman" w:cs="Times New Roman"/>
                <w:bCs/>
                <w:color w:val="auto"/>
                <w:sz w:val="24"/>
              </w:rPr>
              <w:t>。</w:t>
            </w:r>
          </w:p>
          <w:p w14:paraId="1AB5BF56">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b/>
                <w:bCs/>
                <w:color w:val="auto"/>
                <w:sz w:val="24"/>
              </w:rPr>
            </w:pPr>
            <w:r>
              <w:rPr>
                <w:rFonts w:hint="default" w:ascii="Times New Roman" w:hAnsi="Times New Roman" w:cs="Times New Roman"/>
                <w:bCs/>
                <w:color w:val="auto"/>
                <w:sz w:val="24"/>
              </w:rPr>
              <w:t>废水监测计划及记录信息详见</w:t>
            </w:r>
            <w:r>
              <w:rPr>
                <w:rFonts w:hint="eastAsia" w:ascii="Times New Roman" w:hAnsi="Times New Roman" w:cs="Times New Roman"/>
                <w:bCs/>
                <w:color w:val="auto"/>
                <w:sz w:val="24"/>
              </w:rPr>
              <w:t>表4.1-</w:t>
            </w:r>
            <w:r>
              <w:rPr>
                <w:rFonts w:hint="eastAsia" w:cs="Times New Roman"/>
                <w:bCs/>
                <w:color w:val="auto"/>
                <w:sz w:val="24"/>
                <w:lang w:val="en-US" w:eastAsia="zh-CN"/>
              </w:rPr>
              <w:t>2</w:t>
            </w:r>
            <w:r>
              <w:rPr>
                <w:rFonts w:hint="eastAsia" w:ascii="Times New Roman" w:hAnsi="Times New Roman" w:cs="Times New Roman"/>
                <w:bCs/>
                <w:color w:val="auto"/>
                <w:sz w:val="24"/>
              </w:rPr>
              <w:t>。</w:t>
            </w:r>
          </w:p>
          <w:p w14:paraId="46F89232">
            <w:pPr>
              <w:keepNext w:val="0"/>
              <w:keepLines w:val="0"/>
              <w:suppressLineNumbers w:val="0"/>
              <w:spacing w:before="0" w:beforeAutospacing="0" w:after="0" w:afterAutospacing="0"/>
              <w:ind w:left="0" w:right="0" w:firstLine="422"/>
              <w:jc w:val="center"/>
              <w:rPr>
                <w:rFonts w:hint="default" w:ascii="Times New Roman" w:hAnsi="Times New Roman" w:cs="Times New Roman"/>
                <w:b/>
                <w:bCs/>
                <w:color w:val="auto"/>
                <w:sz w:val="24"/>
              </w:rPr>
            </w:pPr>
            <w:r>
              <w:rPr>
                <w:rFonts w:hint="eastAsia" w:ascii="Times New Roman" w:hAnsi="Times New Roman" w:cs="Times New Roman"/>
                <w:b/>
                <w:bCs/>
                <w:color w:val="auto"/>
                <w:sz w:val="24"/>
              </w:rPr>
              <w:t>表4.1</w:t>
            </w:r>
            <w:r>
              <w:rPr>
                <w:rFonts w:hint="default" w:ascii="Times New Roman" w:hAnsi="Times New Roman" w:cs="Times New Roman"/>
                <w:b/>
                <w:bCs/>
                <w:color w:val="auto"/>
                <w:sz w:val="24"/>
              </w:rPr>
              <w:t>-</w:t>
            </w:r>
            <w:r>
              <w:rPr>
                <w:rFonts w:hint="eastAsia" w:cs="Times New Roman"/>
                <w:b/>
                <w:bCs/>
                <w:color w:val="auto"/>
                <w:sz w:val="24"/>
                <w:lang w:val="en-US" w:eastAsia="zh-CN"/>
              </w:rPr>
              <w:t>2</w:t>
            </w:r>
            <w:r>
              <w:rPr>
                <w:rFonts w:hint="default" w:ascii="Times New Roman" w:hAnsi="Times New Roman" w:cs="Times New Roman"/>
                <w:b/>
                <w:bCs/>
                <w:color w:val="auto"/>
                <w:sz w:val="24"/>
              </w:rPr>
              <w:t xml:space="preserve"> 建设项目运营期废水监测计划表</w:t>
            </w:r>
          </w:p>
          <w:tbl>
            <w:tblPr>
              <w:tblStyle w:val="27"/>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11"/>
              <w:gridCol w:w="790"/>
              <w:gridCol w:w="1110"/>
              <w:gridCol w:w="781"/>
              <w:gridCol w:w="1335"/>
              <w:gridCol w:w="1726"/>
              <w:gridCol w:w="1317"/>
            </w:tblGrid>
            <w:tr w14:paraId="1C48F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6" w:type="pct"/>
                  <w:noWrap w:val="0"/>
                  <w:vAlign w:val="center"/>
                </w:tcPr>
                <w:p w14:paraId="6A60093F">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时段</w:t>
                  </w:r>
                </w:p>
              </w:tc>
              <w:tc>
                <w:tcPr>
                  <w:tcW w:w="420" w:type="pct"/>
                  <w:noWrap w:val="0"/>
                  <w:vAlign w:val="center"/>
                </w:tcPr>
                <w:p w14:paraId="24D72E7A">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467" w:type="pct"/>
                  <w:noWrap w:val="0"/>
                  <w:vAlign w:val="center"/>
                </w:tcPr>
                <w:p w14:paraId="08572D36">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w:t>
                  </w:r>
                </w:p>
                <w:p w14:paraId="0CE738E2">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位置</w:t>
                  </w:r>
                </w:p>
              </w:tc>
              <w:tc>
                <w:tcPr>
                  <w:tcW w:w="656" w:type="pct"/>
                  <w:noWrap w:val="0"/>
                  <w:vAlign w:val="center"/>
                </w:tcPr>
                <w:p w14:paraId="0E9FBF4B">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监测项目</w:t>
                  </w:r>
                </w:p>
              </w:tc>
              <w:tc>
                <w:tcPr>
                  <w:tcW w:w="461" w:type="pct"/>
                  <w:noWrap w:val="0"/>
                  <w:vAlign w:val="center"/>
                </w:tcPr>
                <w:p w14:paraId="08C20F85">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监测频次</w:t>
                  </w:r>
                </w:p>
              </w:tc>
              <w:tc>
                <w:tcPr>
                  <w:tcW w:w="789" w:type="pct"/>
                  <w:noWrap w:val="0"/>
                  <w:vAlign w:val="center"/>
                </w:tcPr>
                <w:p w14:paraId="2F7FEED0">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执行标准</w:t>
                  </w:r>
                </w:p>
              </w:tc>
              <w:tc>
                <w:tcPr>
                  <w:tcW w:w="1020" w:type="pct"/>
                  <w:noWrap w:val="0"/>
                  <w:vAlign w:val="center"/>
                </w:tcPr>
                <w:p w14:paraId="41731B86">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监测方法</w:t>
                  </w:r>
                </w:p>
              </w:tc>
              <w:tc>
                <w:tcPr>
                  <w:tcW w:w="778" w:type="pct"/>
                  <w:noWrap w:val="0"/>
                  <w:vAlign w:val="center"/>
                </w:tcPr>
                <w:p w14:paraId="0AE4F815">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备注</w:t>
                  </w:r>
                </w:p>
              </w:tc>
            </w:tr>
            <w:tr w14:paraId="6EA8AF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406" w:type="pct"/>
                  <w:noWrap w:val="0"/>
                  <w:vAlign w:val="center"/>
                </w:tcPr>
                <w:p w14:paraId="7652081B">
                  <w:pPr>
                    <w:keepNext w:val="0"/>
                    <w:keepLines w:val="0"/>
                    <w:suppressLineNumbers w:val="0"/>
                    <w:autoSpaceDE w:val="0"/>
                    <w:adjustRightInd w:val="0"/>
                    <w:snapToGrid w:val="0"/>
                    <w:spacing w:before="0" w:beforeAutospacing="0" w:after="0" w:afterAutospacing="0" w:line="240" w:lineRule="atLeas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营运期</w:t>
                  </w:r>
                </w:p>
              </w:tc>
              <w:tc>
                <w:tcPr>
                  <w:tcW w:w="420" w:type="pct"/>
                  <w:noWrap w:val="0"/>
                  <w:vAlign w:val="center"/>
                </w:tcPr>
                <w:p w14:paraId="0CE93CAB">
                  <w:pPr>
                    <w:keepNext w:val="0"/>
                    <w:keepLines w:val="0"/>
                    <w:suppressLineNumbers w:val="0"/>
                    <w:adjustRightInd w:val="0"/>
                    <w:snapToGrid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废水</w:t>
                  </w:r>
                  <w:r>
                    <w:rPr>
                      <w:rFonts w:hint="eastAsia" w:ascii="Times New Roman" w:hAnsi="Times New Roman" w:cs="Times New Roman"/>
                      <w:color w:val="auto"/>
                      <w:szCs w:val="21"/>
                      <w:lang w:val="en-US" w:eastAsia="zh-CN"/>
                    </w:rPr>
                    <w:t>总排放口</w:t>
                  </w:r>
                </w:p>
              </w:tc>
              <w:tc>
                <w:tcPr>
                  <w:tcW w:w="467" w:type="pct"/>
                  <w:noWrap w:val="0"/>
                  <w:vAlign w:val="center"/>
                </w:tcPr>
                <w:p w14:paraId="59EB25DB">
                  <w:pPr>
                    <w:keepNext w:val="0"/>
                    <w:keepLines w:val="0"/>
                    <w:suppressLineNumbers w:val="0"/>
                    <w:adjustRightInd w:val="0"/>
                    <w:snapToGrid w:val="0"/>
                    <w:spacing w:before="0" w:beforeAutospacing="0" w:after="0" w:afterAutospacing="0" w:line="240" w:lineRule="atLeast"/>
                    <w:ind w:left="0" w:right="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WS001</w:t>
                  </w:r>
                </w:p>
              </w:tc>
              <w:tc>
                <w:tcPr>
                  <w:tcW w:w="656" w:type="pct"/>
                  <w:noWrap w:val="0"/>
                  <w:vAlign w:val="center"/>
                </w:tcPr>
                <w:p w14:paraId="4D844ECE">
                  <w:pPr>
                    <w:keepNext w:val="0"/>
                    <w:keepLines w:val="0"/>
                    <w:suppressLineNumbers w:val="0"/>
                    <w:autoSpaceDE w:val="0"/>
                    <w:spacing w:before="0" w:beforeAutospacing="0" w:after="0" w:afterAutospacing="0" w:line="240" w:lineRule="atLeast"/>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pH、</w:t>
                  </w:r>
                  <w:r>
                    <w:rPr>
                      <w:rFonts w:hint="default" w:ascii="Times New Roman" w:hAnsi="Times New Roman" w:cs="Times New Roman"/>
                      <w:color w:val="auto"/>
                      <w:szCs w:val="21"/>
                    </w:rPr>
                    <w:t>COD、</w:t>
                  </w:r>
                  <w:r>
                    <w:rPr>
                      <w:rFonts w:hint="eastAsia" w:ascii="Times New Roman" w:hAnsi="Times New Roman" w:cs="Times New Roman"/>
                      <w:color w:val="auto"/>
                      <w:szCs w:val="21"/>
                      <w:lang w:val="en-US" w:eastAsia="zh-CN"/>
                    </w:rPr>
                    <w:t>SS、</w:t>
                  </w: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r>
                    <w:rPr>
                      <w:rFonts w:hint="default" w:ascii="Times New Roman" w:hAnsi="Times New Roman" w:cs="Times New Roman"/>
                      <w:smallCaps/>
                      <w:color w:val="auto"/>
                      <w:szCs w:val="21"/>
                    </w:rPr>
                    <w:t>TP</w:t>
                  </w:r>
                  <w:r>
                    <w:rPr>
                      <w:rFonts w:hint="eastAsia" w:ascii="Times New Roman" w:hAnsi="Times New Roman" w:cs="Times New Roman"/>
                      <w:smallCaps/>
                      <w:color w:val="auto"/>
                      <w:szCs w:val="21"/>
                    </w:rPr>
                    <w:t>、TN</w:t>
                  </w:r>
                </w:p>
              </w:tc>
              <w:tc>
                <w:tcPr>
                  <w:tcW w:w="461" w:type="pct"/>
                  <w:noWrap w:val="0"/>
                  <w:vAlign w:val="center"/>
                </w:tcPr>
                <w:p w14:paraId="1856E874">
                  <w:pPr>
                    <w:keepNext w:val="0"/>
                    <w:keepLines w:val="0"/>
                    <w:suppressLineNumbers w:val="0"/>
                    <w:autoSpaceDE w:val="0"/>
                    <w:spacing w:before="0" w:beforeAutospacing="0" w:after="0" w:afterAutospacing="0" w:line="240" w:lineRule="atLeast"/>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1次/年</w:t>
                  </w:r>
                </w:p>
              </w:tc>
              <w:tc>
                <w:tcPr>
                  <w:tcW w:w="789" w:type="pct"/>
                  <w:noWrap w:val="0"/>
                  <w:vAlign w:val="center"/>
                </w:tcPr>
                <w:p w14:paraId="78F21B84">
                  <w:pPr>
                    <w:keepNext w:val="0"/>
                    <w:keepLines w:val="0"/>
                    <w:suppressLineNumbers w:val="0"/>
                    <w:autoSpaceDE w:val="0"/>
                    <w:spacing w:before="0" w:beforeAutospacing="0" w:after="0" w:afterAutospacing="0" w:line="240" w:lineRule="atLeast"/>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szCs w:val="21"/>
                      <w:lang w:val="en-US" w:eastAsia="zh-CN"/>
                    </w:rPr>
                    <w:t>指前镇新河村委水处理设施</w:t>
                  </w:r>
                  <w:r>
                    <w:rPr>
                      <w:rFonts w:hint="eastAsia" w:ascii="Times New Roman" w:hAnsi="Times New Roman" w:cs="Times New Roman"/>
                      <w:color w:val="auto"/>
                      <w:kern w:val="2"/>
                      <w:sz w:val="21"/>
                      <w:szCs w:val="21"/>
                      <w:lang w:val="en-US" w:eastAsia="zh-CN" w:bidi="ar-SA"/>
                    </w:rPr>
                    <w:t>接</w:t>
                  </w:r>
                  <w:r>
                    <w:rPr>
                      <w:rFonts w:hint="eastAsia" w:cs="Times New Roman"/>
                      <w:color w:val="auto"/>
                      <w:kern w:val="2"/>
                      <w:sz w:val="21"/>
                      <w:szCs w:val="21"/>
                      <w:lang w:val="en-US" w:eastAsia="zh-CN" w:bidi="ar-SA"/>
                    </w:rPr>
                    <w:t>收</w:t>
                  </w:r>
                  <w:r>
                    <w:rPr>
                      <w:rFonts w:hint="eastAsia" w:ascii="Times New Roman" w:hAnsi="Times New Roman" w:cs="Times New Roman"/>
                      <w:color w:val="auto"/>
                      <w:kern w:val="2"/>
                      <w:sz w:val="21"/>
                      <w:szCs w:val="21"/>
                      <w:lang w:val="en-US" w:eastAsia="zh-CN" w:bidi="ar-SA"/>
                    </w:rPr>
                    <w:t>标准</w:t>
                  </w:r>
                </w:p>
              </w:tc>
              <w:tc>
                <w:tcPr>
                  <w:tcW w:w="1020" w:type="pct"/>
                  <w:noWrap w:val="0"/>
                  <w:vAlign w:val="center"/>
                </w:tcPr>
                <w:p w14:paraId="0BE5866A">
                  <w:pPr>
                    <w:keepNext w:val="0"/>
                    <w:keepLines w:val="0"/>
                    <w:suppressLineNumbers w:val="0"/>
                    <w:autoSpaceDE w:val="0"/>
                    <w:spacing w:before="0" w:beforeAutospacing="0" w:after="0" w:afterAutospacing="0" w:line="240" w:lineRule="atLeast"/>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《地表水和污水监测技术规范》HJ/T91-2002</w:t>
                  </w:r>
                </w:p>
              </w:tc>
              <w:tc>
                <w:tcPr>
                  <w:tcW w:w="778" w:type="pct"/>
                  <w:noWrap w:val="0"/>
                  <w:vAlign w:val="center"/>
                </w:tcPr>
                <w:p w14:paraId="04008ADA">
                  <w:pPr>
                    <w:keepNext w:val="0"/>
                    <w:keepLines w:val="0"/>
                    <w:suppressLineNumbers w:val="0"/>
                    <w:autoSpaceDE w:val="0"/>
                    <w:spacing w:before="0" w:beforeAutospacing="0" w:after="0" w:afterAutospacing="0" w:line="240" w:lineRule="atLeast"/>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委托第三方</w:t>
                  </w:r>
                  <w:r>
                    <w:rPr>
                      <w:rFonts w:hint="eastAsia" w:ascii="Times New Roman" w:hAnsi="Times New Roman" w:cs="Times New Roman"/>
                      <w:color w:val="auto"/>
                      <w:szCs w:val="21"/>
                    </w:rPr>
                    <w:t>检测</w:t>
                  </w:r>
                  <w:r>
                    <w:rPr>
                      <w:rFonts w:hint="default" w:ascii="Times New Roman" w:hAnsi="Times New Roman" w:cs="Times New Roman"/>
                      <w:color w:val="auto"/>
                      <w:szCs w:val="21"/>
                    </w:rPr>
                    <w:t>单位实施监测</w:t>
                  </w:r>
                </w:p>
              </w:tc>
            </w:tr>
          </w:tbl>
          <w:p w14:paraId="24D6CD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60" w:lineRule="exact"/>
              <w:ind w:left="0" w:right="0" w:firstLine="482" w:firstLineChars="200"/>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val="en-US" w:eastAsia="zh-CN"/>
              </w:rPr>
              <w:t>二</w:t>
            </w:r>
            <w:r>
              <w:rPr>
                <w:rFonts w:hint="eastAsia" w:ascii="Times New Roman" w:hAnsi="Times New Roman" w:cs="Times New Roman"/>
                <w:b/>
                <w:color w:val="auto"/>
                <w:sz w:val="24"/>
              </w:rPr>
              <w:t>、</w:t>
            </w:r>
            <w:r>
              <w:rPr>
                <w:rFonts w:hint="default" w:ascii="Times New Roman" w:hAnsi="Times New Roman" w:cs="Times New Roman"/>
                <w:b/>
                <w:color w:val="auto"/>
                <w:sz w:val="24"/>
              </w:rPr>
              <w:t>运营期大气环境影响和保护措施</w:t>
            </w:r>
          </w:p>
          <w:p w14:paraId="46A5F63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eastAsia="宋体"/>
                <w:color w:val="auto"/>
                <w:sz w:val="24"/>
              </w:rPr>
            </w:pPr>
            <w:r>
              <w:rPr>
                <w:rFonts w:hint="default" w:eastAsia="宋体"/>
                <w:color w:val="auto"/>
                <w:sz w:val="24"/>
              </w:rPr>
              <w:t>本项目运营期</w:t>
            </w:r>
            <w:r>
              <w:rPr>
                <w:rFonts w:hint="eastAsia" w:eastAsia="宋体"/>
                <w:color w:val="auto"/>
                <w:sz w:val="24"/>
                <w:lang w:val="en-US" w:eastAsia="zh-CN"/>
              </w:rPr>
              <w:t>大气</w:t>
            </w:r>
            <w:r>
              <w:rPr>
                <w:rFonts w:hint="default" w:eastAsia="宋体"/>
                <w:color w:val="auto"/>
                <w:sz w:val="24"/>
              </w:rPr>
              <w:t>环境影响和保护措施详见《</w:t>
            </w:r>
            <w:r>
              <w:rPr>
                <w:rFonts w:hint="eastAsia" w:eastAsia="宋体"/>
                <w:color w:val="auto"/>
                <w:sz w:val="24"/>
                <w:lang w:eastAsia="zh-CN"/>
              </w:rPr>
              <w:t>常州市昌帆金属科技有限公司高性能、高强度特种锻件技术改造项目</w:t>
            </w:r>
            <w:r>
              <w:rPr>
                <w:rFonts w:hint="eastAsia" w:eastAsia="宋体"/>
                <w:color w:val="auto"/>
                <w:sz w:val="24"/>
                <w:lang w:val="en-US" w:eastAsia="zh-CN"/>
              </w:rPr>
              <w:t>大气专项评价</w:t>
            </w:r>
            <w:r>
              <w:rPr>
                <w:rFonts w:hint="default" w:eastAsia="宋体"/>
                <w:color w:val="auto"/>
                <w:sz w:val="24"/>
              </w:rPr>
              <w:t>》，该专项评价结论为：建设项目在大气污染防治方面采用的各项环保设施合理、可靠、有效，各项污染物经治理后可以达标排放，总体上对区域大气环境影响较小，不会造成区域环境质量下降。从大气环境影响的角度来讲，建设项目在拟建地建设是可行的。</w:t>
            </w:r>
          </w:p>
          <w:p w14:paraId="21175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三、噪声</w:t>
            </w:r>
          </w:p>
          <w:p w14:paraId="4A20D6FB">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jc w:val="left"/>
              <w:textAlignment w:val="auto"/>
              <w:rPr>
                <w:rFonts w:hint="default" w:ascii="Times New Roman" w:hAnsi="Times New Roman" w:cs="Times New Roman"/>
                <w:b/>
                <w:bCs/>
                <w:color w:val="auto"/>
                <w:sz w:val="24"/>
              </w:rPr>
            </w:pPr>
            <w:r>
              <w:rPr>
                <w:rFonts w:hint="eastAsia" w:ascii="Times New Roman" w:hAnsi="Times New Roman" w:cs="Times New Roman"/>
                <w:b/>
                <w:bCs/>
                <w:color w:val="auto"/>
                <w:sz w:val="24"/>
              </w:rPr>
              <w:t>1、噪声源强</w:t>
            </w:r>
          </w:p>
          <w:p w14:paraId="35D1B3FC">
            <w:pPr>
              <w:pStyle w:val="2"/>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项目噪声源主要为生产设备的作业噪声，类比同类加工项目，本项目噪声源情况见下表。采取的主要噪声治理措施：主要噪声设备安装减震垫，合理布局，厂房隔声等，综合降噪能力不低于</w:t>
            </w:r>
            <w:r>
              <w:rPr>
                <w:rFonts w:hint="eastAsia" w:ascii="Times New Roman" w:hAnsi="Times New Roman" w:eastAsia="宋体" w:cs="Times New Roman"/>
                <w:color w:val="auto"/>
                <w:kern w:val="0"/>
                <w:sz w:val="24"/>
                <w:lang w:val="en-US" w:eastAsia="zh-CN"/>
              </w:rPr>
              <w:t>25</w:t>
            </w:r>
            <w:r>
              <w:rPr>
                <w:rFonts w:hint="default" w:ascii="Times New Roman" w:hAnsi="Times New Roman" w:eastAsia="宋体" w:cs="Times New Roman"/>
                <w:color w:val="auto"/>
                <w:kern w:val="0"/>
                <w:sz w:val="24"/>
                <w:lang w:val="en-US" w:eastAsia="zh-CN"/>
              </w:rPr>
              <w:t>dB(A)。</w:t>
            </w:r>
          </w:p>
          <w:p w14:paraId="4E2256EC">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rPr>
              <w:t>表4</w:t>
            </w:r>
            <w:r>
              <w:rPr>
                <w:rFonts w:hint="eastAsia" w:ascii="Times New Roman" w:hAnsi="Times New Roman" w:cs="Times New Roman"/>
                <w:b/>
                <w:bCs/>
                <w:color w:val="auto"/>
                <w:sz w:val="24"/>
                <w:szCs w:val="24"/>
                <w:lang w:val="en-US" w:eastAsia="zh-CN"/>
              </w:rPr>
              <w:t>.3-1-1</w:t>
            </w:r>
            <w:r>
              <w:rPr>
                <w:rFonts w:hint="default" w:ascii="Times New Roman" w:hAnsi="Times New Roman" w:cs="Times New Roman"/>
                <w:b/>
                <w:bCs/>
                <w:color w:val="auto"/>
                <w:sz w:val="24"/>
                <w:szCs w:val="24"/>
              </w:rPr>
              <w:t xml:space="preserve">  </w:t>
            </w:r>
            <w:r>
              <w:rPr>
                <w:rFonts w:hint="eastAsia"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工业企业噪声源强调查清单</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rPr>
              <w:t>室内声源</w:t>
            </w:r>
            <w:r>
              <w:rPr>
                <w:rFonts w:hint="eastAsia" w:ascii="Times New Roman" w:hAnsi="Times New Roman" w:cs="Times New Roman"/>
                <w:b/>
                <w:bCs/>
                <w:color w:val="auto"/>
                <w:sz w:val="24"/>
                <w:szCs w:val="24"/>
                <w:lang w:eastAsia="zh-CN"/>
              </w:rPr>
              <w:t>）</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
              <w:gridCol w:w="396"/>
              <w:gridCol w:w="698"/>
              <w:gridCol w:w="288"/>
              <w:gridCol w:w="1130"/>
              <w:gridCol w:w="493"/>
              <w:gridCol w:w="575"/>
              <w:gridCol w:w="473"/>
              <w:gridCol w:w="473"/>
              <w:gridCol w:w="637"/>
              <w:gridCol w:w="554"/>
              <w:gridCol w:w="576"/>
              <w:gridCol w:w="684"/>
              <w:gridCol w:w="777"/>
              <w:gridCol w:w="704"/>
            </w:tblGrid>
            <w:tr w14:paraId="5FC09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 w:type="dxa"/>
                  <w:vMerge w:val="restart"/>
                  <w:noWrap w:val="0"/>
                  <w:vAlign w:val="center"/>
                </w:tcPr>
                <w:p w14:paraId="105C2A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w:t>
                  </w:r>
                </w:p>
                <w:p w14:paraId="59FAA1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号</w:t>
                  </w:r>
                </w:p>
              </w:tc>
              <w:tc>
                <w:tcPr>
                  <w:tcW w:w="396" w:type="dxa"/>
                  <w:vMerge w:val="restart"/>
                  <w:noWrap w:val="0"/>
                  <w:vAlign w:val="center"/>
                </w:tcPr>
                <w:p w14:paraId="7FEFB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建筑物名称</w:t>
                  </w:r>
                </w:p>
              </w:tc>
              <w:tc>
                <w:tcPr>
                  <w:tcW w:w="698" w:type="dxa"/>
                  <w:vMerge w:val="restart"/>
                  <w:noWrap w:val="0"/>
                  <w:vAlign w:val="center"/>
                </w:tcPr>
                <w:p w14:paraId="7AAE92C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声源</w:t>
                  </w:r>
                </w:p>
                <w:p w14:paraId="626E243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名称</w:t>
                  </w:r>
                </w:p>
              </w:tc>
              <w:tc>
                <w:tcPr>
                  <w:tcW w:w="288" w:type="dxa"/>
                  <w:vMerge w:val="restart"/>
                  <w:noWrap w:val="0"/>
                  <w:vAlign w:val="center"/>
                </w:tcPr>
                <w:p w14:paraId="77D5609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型</w:t>
                  </w:r>
                </w:p>
                <w:p w14:paraId="3262BE8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号</w:t>
                  </w:r>
                </w:p>
              </w:tc>
              <w:tc>
                <w:tcPr>
                  <w:tcW w:w="1130" w:type="dxa"/>
                  <w:noWrap w:val="0"/>
                  <w:vAlign w:val="center"/>
                </w:tcPr>
                <w:p w14:paraId="5BE58CE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声源源强</w:t>
                  </w:r>
                </w:p>
              </w:tc>
              <w:tc>
                <w:tcPr>
                  <w:tcW w:w="493" w:type="dxa"/>
                  <w:vMerge w:val="restart"/>
                  <w:noWrap w:val="0"/>
                  <w:vAlign w:val="center"/>
                </w:tcPr>
                <w:p w14:paraId="1104C6F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声源</w:t>
                  </w:r>
                </w:p>
                <w:p w14:paraId="3D588FD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控制</w:t>
                  </w:r>
                </w:p>
                <w:p w14:paraId="4C20BFF8">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措施</w:t>
                  </w:r>
                </w:p>
              </w:tc>
              <w:tc>
                <w:tcPr>
                  <w:tcW w:w="1521" w:type="dxa"/>
                  <w:gridSpan w:val="3"/>
                  <w:noWrap w:val="0"/>
                  <w:vAlign w:val="center"/>
                </w:tcPr>
                <w:p w14:paraId="5C278FC4">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空间相对位置/m</w:t>
                  </w:r>
                </w:p>
              </w:tc>
              <w:tc>
                <w:tcPr>
                  <w:tcW w:w="637" w:type="dxa"/>
                  <w:vMerge w:val="restart"/>
                  <w:noWrap w:val="0"/>
                  <w:vAlign w:val="center"/>
                </w:tcPr>
                <w:p w14:paraId="0B4166A8">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距室内边界距离/m</w:t>
                  </w:r>
                </w:p>
              </w:tc>
              <w:tc>
                <w:tcPr>
                  <w:tcW w:w="554" w:type="dxa"/>
                  <w:vMerge w:val="restart"/>
                  <w:noWrap w:val="0"/>
                  <w:vAlign w:val="center"/>
                </w:tcPr>
                <w:p w14:paraId="192CBAE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室内边界声级</w:t>
                  </w:r>
                </w:p>
              </w:tc>
              <w:tc>
                <w:tcPr>
                  <w:tcW w:w="576" w:type="dxa"/>
                  <w:vMerge w:val="restart"/>
                  <w:noWrap w:val="0"/>
                  <w:vAlign w:val="center"/>
                </w:tcPr>
                <w:p w14:paraId="5AD0CC3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运行时段</w:t>
                  </w:r>
                </w:p>
              </w:tc>
              <w:tc>
                <w:tcPr>
                  <w:tcW w:w="684" w:type="dxa"/>
                  <w:vMerge w:val="restart"/>
                  <w:noWrap w:val="0"/>
                  <w:vAlign w:val="center"/>
                </w:tcPr>
                <w:p w14:paraId="6170822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建筑物插入损失/dB(A)</w:t>
                  </w:r>
                </w:p>
              </w:tc>
              <w:tc>
                <w:tcPr>
                  <w:tcW w:w="1481" w:type="dxa"/>
                  <w:gridSpan w:val="2"/>
                  <w:noWrap w:val="0"/>
                  <w:vAlign w:val="center"/>
                </w:tcPr>
                <w:p w14:paraId="78A0CF0F">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建筑物外噪声</w:t>
                  </w:r>
                </w:p>
              </w:tc>
            </w:tr>
            <w:tr w14:paraId="52F38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8" w:hRule="atLeast"/>
                <w:jc w:val="center"/>
              </w:trPr>
              <w:tc>
                <w:tcPr>
                  <w:tcW w:w="11" w:type="dxa"/>
                  <w:vMerge w:val="continue"/>
                  <w:noWrap w:val="0"/>
                  <w:vAlign w:val="center"/>
                </w:tcPr>
                <w:p w14:paraId="2F83989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396" w:type="dxa"/>
                  <w:vMerge w:val="continue"/>
                  <w:noWrap w:val="0"/>
                  <w:vAlign w:val="center"/>
                </w:tcPr>
                <w:p w14:paraId="4F0C179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698" w:type="dxa"/>
                  <w:vMerge w:val="continue"/>
                  <w:noWrap w:val="0"/>
                  <w:vAlign w:val="center"/>
                </w:tcPr>
                <w:p w14:paraId="2175BC6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288" w:type="dxa"/>
                  <w:vMerge w:val="continue"/>
                  <w:noWrap w:val="0"/>
                  <w:vAlign w:val="center"/>
                </w:tcPr>
                <w:p w14:paraId="5B443B6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1130" w:type="dxa"/>
                  <w:noWrap w:val="0"/>
                  <w:vAlign w:val="center"/>
                </w:tcPr>
                <w:p w14:paraId="490296C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（声压级/距声源距离）/(dB(A)/m)</w:t>
                  </w:r>
                </w:p>
              </w:tc>
              <w:tc>
                <w:tcPr>
                  <w:tcW w:w="493" w:type="dxa"/>
                  <w:vMerge w:val="continue"/>
                  <w:noWrap w:val="0"/>
                  <w:vAlign w:val="center"/>
                </w:tcPr>
                <w:p w14:paraId="3C27B13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575" w:type="dxa"/>
                  <w:noWrap w:val="0"/>
                  <w:vAlign w:val="center"/>
                </w:tcPr>
                <w:p w14:paraId="39A998B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X</w:t>
                  </w:r>
                </w:p>
              </w:tc>
              <w:tc>
                <w:tcPr>
                  <w:tcW w:w="473" w:type="dxa"/>
                  <w:noWrap w:val="0"/>
                  <w:vAlign w:val="center"/>
                </w:tcPr>
                <w:p w14:paraId="544052E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Y</w:t>
                  </w:r>
                </w:p>
              </w:tc>
              <w:tc>
                <w:tcPr>
                  <w:tcW w:w="473" w:type="dxa"/>
                  <w:noWrap w:val="0"/>
                  <w:vAlign w:val="center"/>
                </w:tcPr>
                <w:p w14:paraId="6E9D28D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Z</w:t>
                  </w:r>
                </w:p>
              </w:tc>
              <w:tc>
                <w:tcPr>
                  <w:tcW w:w="637" w:type="dxa"/>
                  <w:vMerge w:val="continue"/>
                  <w:noWrap w:val="0"/>
                  <w:vAlign w:val="center"/>
                </w:tcPr>
                <w:p w14:paraId="09B58D8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554" w:type="dxa"/>
                  <w:vMerge w:val="continue"/>
                  <w:noWrap w:val="0"/>
                  <w:vAlign w:val="center"/>
                </w:tcPr>
                <w:p w14:paraId="4585DB3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576" w:type="dxa"/>
                  <w:vMerge w:val="continue"/>
                  <w:noWrap w:val="0"/>
                  <w:vAlign w:val="center"/>
                </w:tcPr>
                <w:p w14:paraId="6016A04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684" w:type="dxa"/>
                  <w:vMerge w:val="continue"/>
                  <w:noWrap w:val="0"/>
                  <w:vAlign w:val="center"/>
                </w:tcPr>
                <w:p w14:paraId="73DE169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p>
              </w:tc>
              <w:tc>
                <w:tcPr>
                  <w:tcW w:w="777" w:type="dxa"/>
                  <w:noWrap w:val="0"/>
                  <w:vAlign w:val="center"/>
                </w:tcPr>
                <w:p w14:paraId="0FFFA88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声压级/dB(A)</w:t>
                  </w:r>
                </w:p>
              </w:tc>
              <w:tc>
                <w:tcPr>
                  <w:tcW w:w="704" w:type="dxa"/>
                  <w:noWrap w:val="0"/>
                  <w:vAlign w:val="center"/>
                </w:tcPr>
                <w:p w14:paraId="7E33F7D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建筑物外距离</w:t>
                  </w:r>
                </w:p>
              </w:tc>
            </w:tr>
            <w:tr w14:paraId="33978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1" w:type="dxa"/>
                  <w:noWrap w:val="0"/>
                  <w:vAlign w:val="center"/>
                </w:tcPr>
                <w:p w14:paraId="19174E2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96" w:type="dxa"/>
                  <w:vMerge w:val="restart"/>
                  <w:noWrap w:val="0"/>
                  <w:vAlign w:val="center"/>
                </w:tcPr>
                <w:p w14:paraId="4025390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车间二</w:t>
                  </w:r>
                </w:p>
              </w:tc>
              <w:tc>
                <w:tcPr>
                  <w:tcW w:w="698" w:type="dxa"/>
                  <w:noWrap w:val="0"/>
                  <w:vAlign w:val="center"/>
                </w:tcPr>
                <w:p w14:paraId="71B8D62A">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rPr>
                  </w:pPr>
                  <w:r>
                    <w:rPr>
                      <w:rFonts w:hint="eastAsia" w:ascii="宋体" w:hAnsi="宋体" w:eastAsia="宋体" w:cs="宋体"/>
                      <w:i w:val="0"/>
                      <w:iCs w:val="0"/>
                      <w:color w:val="auto"/>
                      <w:kern w:val="0"/>
                      <w:sz w:val="21"/>
                      <w:szCs w:val="21"/>
                      <w:u w:val="none"/>
                      <w:lang w:val="en-US" w:eastAsia="zh-CN" w:bidi="ar"/>
                    </w:rPr>
                    <w:t>电渣炉</w:t>
                  </w:r>
                </w:p>
              </w:tc>
              <w:tc>
                <w:tcPr>
                  <w:tcW w:w="288" w:type="dxa"/>
                  <w:noWrap w:val="0"/>
                  <w:vAlign w:val="center"/>
                </w:tcPr>
                <w:p w14:paraId="483A44C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noWrap w:val="0"/>
                  <w:vAlign w:val="center"/>
                </w:tcPr>
                <w:p w14:paraId="4C1FEE2A">
                  <w:pPr>
                    <w:pStyle w:val="100"/>
                    <w:keepNext w:val="0"/>
                    <w:keepLines w:val="0"/>
                    <w:pageBreakBefore w:val="0"/>
                    <w:suppressLineNumbers w:val="0"/>
                    <w:kinsoku/>
                    <w:wordWrap/>
                    <w:overflowPunct/>
                    <w:topLinePunct w:val="0"/>
                    <w:bidi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85/1</w:t>
                  </w:r>
                </w:p>
              </w:tc>
              <w:tc>
                <w:tcPr>
                  <w:tcW w:w="493" w:type="dxa"/>
                  <w:vMerge w:val="restart"/>
                  <w:noWrap w:val="0"/>
                  <w:vAlign w:val="center"/>
                </w:tcPr>
                <w:p w14:paraId="22306429">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减振、</w:t>
                  </w:r>
                </w:p>
                <w:p w14:paraId="1AEDC8B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厂房</w:t>
                  </w:r>
                </w:p>
                <w:p w14:paraId="20BACE38">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隔音</w:t>
                  </w:r>
                </w:p>
              </w:tc>
              <w:tc>
                <w:tcPr>
                  <w:tcW w:w="575" w:type="dxa"/>
                  <w:shd w:val="clear" w:color="auto" w:fill="auto"/>
                  <w:noWrap w:val="0"/>
                  <w:vAlign w:val="center"/>
                </w:tcPr>
                <w:p w14:paraId="59CD3CD2">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-45.5</w:t>
                  </w:r>
                </w:p>
              </w:tc>
              <w:tc>
                <w:tcPr>
                  <w:tcW w:w="473" w:type="dxa"/>
                  <w:shd w:val="clear" w:color="auto" w:fill="auto"/>
                  <w:noWrap w:val="0"/>
                  <w:vAlign w:val="center"/>
                </w:tcPr>
                <w:p w14:paraId="3F5E5C1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51.1</w:t>
                  </w:r>
                </w:p>
              </w:tc>
              <w:tc>
                <w:tcPr>
                  <w:tcW w:w="473" w:type="dxa"/>
                  <w:shd w:val="clear" w:color="auto" w:fill="auto"/>
                  <w:noWrap w:val="0"/>
                  <w:vAlign w:val="center"/>
                </w:tcPr>
                <w:p w14:paraId="54114646">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1.2</w:t>
                  </w:r>
                </w:p>
              </w:tc>
              <w:tc>
                <w:tcPr>
                  <w:tcW w:w="637" w:type="dxa"/>
                  <w:noWrap w:val="0"/>
                  <w:vAlign w:val="center"/>
                </w:tcPr>
                <w:p w14:paraId="532D0EE2">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4.6</w:t>
                  </w:r>
                </w:p>
              </w:tc>
              <w:tc>
                <w:tcPr>
                  <w:tcW w:w="554" w:type="dxa"/>
                  <w:noWrap w:val="0"/>
                  <w:vAlign w:val="center"/>
                </w:tcPr>
                <w:p w14:paraId="1701E53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71.7</w:t>
                  </w:r>
                </w:p>
              </w:tc>
              <w:tc>
                <w:tcPr>
                  <w:tcW w:w="576" w:type="dxa"/>
                  <w:noWrap w:val="0"/>
                  <w:vAlign w:val="center"/>
                </w:tcPr>
                <w:p w14:paraId="1A8651A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h</w:t>
                  </w:r>
                </w:p>
              </w:tc>
              <w:tc>
                <w:tcPr>
                  <w:tcW w:w="684" w:type="dxa"/>
                  <w:noWrap w:val="0"/>
                  <w:vAlign w:val="center"/>
                </w:tcPr>
                <w:p w14:paraId="328E950F">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777" w:type="dxa"/>
                  <w:shd w:val="clear" w:color="auto" w:fill="auto"/>
                  <w:noWrap w:val="0"/>
                  <w:vAlign w:val="center"/>
                </w:tcPr>
                <w:p w14:paraId="5F4E91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45.7 </w:t>
                  </w:r>
                </w:p>
              </w:tc>
              <w:tc>
                <w:tcPr>
                  <w:tcW w:w="704" w:type="dxa"/>
                  <w:noWrap w:val="0"/>
                  <w:vAlign w:val="center"/>
                </w:tcPr>
                <w:p w14:paraId="1D675346">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1m</w:t>
                  </w:r>
                </w:p>
              </w:tc>
            </w:tr>
            <w:tr w14:paraId="67164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1" w:type="dxa"/>
                  <w:noWrap w:val="0"/>
                  <w:vAlign w:val="center"/>
                </w:tcPr>
                <w:p w14:paraId="716A41A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396" w:type="dxa"/>
                  <w:vMerge w:val="continue"/>
                  <w:noWrap w:val="0"/>
                  <w:vAlign w:val="center"/>
                </w:tcPr>
                <w:p w14:paraId="4BFF972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698" w:type="dxa"/>
                  <w:noWrap w:val="0"/>
                  <w:vAlign w:val="center"/>
                </w:tcPr>
                <w:p w14:paraId="0661FF45">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锯床</w:t>
                  </w:r>
                </w:p>
              </w:tc>
              <w:tc>
                <w:tcPr>
                  <w:tcW w:w="288" w:type="dxa"/>
                  <w:noWrap w:val="0"/>
                  <w:vAlign w:val="center"/>
                </w:tcPr>
                <w:p w14:paraId="0C66DF0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30" w:type="dxa"/>
                  <w:noWrap w:val="0"/>
                  <w:vAlign w:val="center"/>
                </w:tcPr>
                <w:p w14:paraId="760DB6E0">
                  <w:pPr>
                    <w:pStyle w:val="100"/>
                    <w:keepNext w:val="0"/>
                    <w:keepLines w:val="0"/>
                    <w:pageBreakBefore w:val="0"/>
                    <w:suppressLineNumbers w:val="0"/>
                    <w:kinsoku/>
                    <w:wordWrap/>
                    <w:overflowPunct/>
                    <w:topLinePunct w:val="0"/>
                    <w:bidi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88</w:t>
                  </w:r>
                  <w:r>
                    <w:rPr>
                      <w:rFonts w:hint="default" w:ascii="Times New Roman" w:hAnsi="Times New Roman" w:cs="Times New Roman"/>
                      <w:color w:val="auto"/>
                      <w:sz w:val="21"/>
                      <w:szCs w:val="21"/>
                    </w:rPr>
                    <w:t>/1</w:t>
                  </w:r>
                </w:p>
              </w:tc>
              <w:tc>
                <w:tcPr>
                  <w:tcW w:w="493" w:type="dxa"/>
                  <w:vMerge w:val="continue"/>
                  <w:noWrap w:val="0"/>
                  <w:vAlign w:val="center"/>
                </w:tcPr>
                <w:p w14:paraId="35CBB37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 w:val="21"/>
                      <w:szCs w:val="21"/>
                    </w:rPr>
                  </w:pPr>
                </w:p>
              </w:tc>
              <w:tc>
                <w:tcPr>
                  <w:tcW w:w="575" w:type="dxa"/>
                  <w:shd w:val="clear" w:color="auto" w:fill="auto"/>
                  <w:noWrap w:val="0"/>
                  <w:vAlign w:val="center"/>
                </w:tcPr>
                <w:p w14:paraId="30BD6EB7">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-54.6</w:t>
                  </w:r>
                </w:p>
              </w:tc>
              <w:tc>
                <w:tcPr>
                  <w:tcW w:w="473" w:type="dxa"/>
                  <w:shd w:val="clear" w:color="auto" w:fill="auto"/>
                  <w:noWrap w:val="0"/>
                  <w:vAlign w:val="center"/>
                </w:tcPr>
                <w:p w14:paraId="1974A97B">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57.9</w:t>
                  </w:r>
                </w:p>
              </w:tc>
              <w:tc>
                <w:tcPr>
                  <w:tcW w:w="473" w:type="dxa"/>
                  <w:shd w:val="clear" w:color="auto" w:fill="auto"/>
                  <w:noWrap w:val="0"/>
                  <w:vAlign w:val="center"/>
                </w:tcPr>
                <w:p w14:paraId="3F77CFAD">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1.2</w:t>
                  </w:r>
                </w:p>
              </w:tc>
              <w:tc>
                <w:tcPr>
                  <w:tcW w:w="637" w:type="dxa"/>
                  <w:noWrap w:val="0"/>
                  <w:vAlign w:val="center"/>
                </w:tcPr>
                <w:p w14:paraId="28602DD9">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3.2</w:t>
                  </w:r>
                </w:p>
              </w:tc>
              <w:tc>
                <w:tcPr>
                  <w:tcW w:w="554" w:type="dxa"/>
                  <w:noWrap w:val="0"/>
                  <w:vAlign w:val="center"/>
                </w:tcPr>
                <w:p w14:paraId="5E8E888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77.9</w:t>
                  </w:r>
                </w:p>
              </w:tc>
              <w:tc>
                <w:tcPr>
                  <w:tcW w:w="576" w:type="dxa"/>
                  <w:noWrap w:val="0"/>
                  <w:vAlign w:val="center"/>
                </w:tcPr>
                <w:p w14:paraId="16B056B4">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h</w:t>
                  </w:r>
                </w:p>
              </w:tc>
              <w:tc>
                <w:tcPr>
                  <w:tcW w:w="684" w:type="dxa"/>
                  <w:noWrap w:val="0"/>
                  <w:vAlign w:val="center"/>
                </w:tcPr>
                <w:p w14:paraId="4994376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w:t>
                  </w:r>
                </w:p>
              </w:tc>
              <w:tc>
                <w:tcPr>
                  <w:tcW w:w="777" w:type="dxa"/>
                  <w:shd w:val="clear" w:color="auto" w:fill="auto"/>
                  <w:noWrap w:val="0"/>
                  <w:vAlign w:val="center"/>
                </w:tcPr>
                <w:p w14:paraId="4C10A7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51.9 </w:t>
                  </w:r>
                </w:p>
              </w:tc>
              <w:tc>
                <w:tcPr>
                  <w:tcW w:w="704" w:type="dxa"/>
                  <w:noWrap w:val="0"/>
                  <w:vAlign w:val="center"/>
                </w:tcPr>
                <w:p w14:paraId="6565AAA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1m</w:t>
                  </w:r>
                </w:p>
              </w:tc>
            </w:tr>
            <w:tr w14:paraId="76B8A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1" w:type="dxa"/>
                  <w:noWrap w:val="0"/>
                  <w:vAlign w:val="center"/>
                </w:tcPr>
                <w:p w14:paraId="798EB0D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396" w:type="dxa"/>
                  <w:vMerge w:val="continue"/>
                  <w:noWrap w:val="0"/>
                  <w:vAlign w:val="center"/>
                </w:tcPr>
                <w:p w14:paraId="153EC49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698" w:type="dxa"/>
                  <w:noWrap w:val="0"/>
                  <w:vAlign w:val="center"/>
                </w:tcPr>
                <w:p w14:paraId="3EDEC18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起重机</w:t>
                  </w:r>
                </w:p>
              </w:tc>
              <w:tc>
                <w:tcPr>
                  <w:tcW w:w="288" w:type="dxa"/>
                  <w:noWrap w:val="0"/>
                  <w:vAlign w:val="center"/>
                </w:tcPr>
                <w:p w14:paraId="6D68EE3C">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130" w:type="dxa"/>
                  <w:noWrap w:val="0"/>
                  <w:vAlign w:val="center"/>
                </w:tcPr>
                <w:p w14:paraId="4232D175">
                  <w:pPr>
                    <w:pStyle w:val="100"/>
                    <w:keepNext w:val="0"/>
                    <w:keepLines w:val="0"/>
                    <w:pageBreakBefore w:val="0"/>
                    <w:suppressLineNumbers w:val="0"/>
                    <w:kinsoku/>
                    <w:wordWrap/>
                    <w:overflowPunct/>
                    <w:topLinePunct w:val="0"/>
                    <w:bidi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80</w:t>
                  </w:r>
                  <w:r>
                    <w:rPr>
                      <w:rFonts w:hint="default" w:ascii="Times New Roman" w:hAnsi="Times New Roman" w:cs="Times New Roman"/>
                      <w:color w:val="auto"/>
                      <w:sz w:val="21"/>
                      <w:szCs w:val="21"/>
                    </w:rPr>
                    <w:t>/1</w:t>
                  </w:r>
                </w:p>
              </w:tc>
              <w:tc>
                <w:tcPr>
                  <w:tcW w:w="493" w:type="dxa"/>
                  <w:vMerge w:val="continue"/>
                  <w:noWrap w:val="0"/>
                  <w:vAlign w:val="center"/>
                </w:tcPr>
                <w:p w14:paraId="718587E4">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 w:val="21"/>
                      <w:szCs w:val="21"/>
                    </w:rPr>
                  </w:pPr>
                </w:p>
              </w:tc>
              <w:tc>
                <w:tcPr>
                  <w:tcW w:w="575" w:type="dxa"/>
                  <w:shd w:val="clear" w:color="auto" w:fill="auto"/>
                  <w:noWrap w:val="0"/>
                  <w:vAlign w:val="center"/>
                </w:tcPr>
                <w:p w14:paraId="6CB99AC7">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shd w:val="clear" w:color="auto" w:fill="auto"/>
                      <w:lang w:val="en-US" w:eastAsia="zh-CN" w:bidi="ar-SA"/>
                    </w:rPr>
                  </w:pPr>
                  <w:r>
                    <w:rPr>
                      <w:rFonts w:hint="default" w:ascii="Times New Roman" w:hAnsi="Times New Roman" w:eastAsia="宋体" w:cs="Times New Roman"/>
                      <w:color w:val="auto"/>
                      <w:kern w:val="0"/>
                      <w:sz w:val="20"/>
                      <w:szCs w:val="20"/>
                      <w:shd w:val="clear" w:color="auto" w:fill="auto"/>
                      <w:lang w:val="en-US" w:eastAsia="zh-CN" w:bidi="ar"/>
                    </w:rPr>
                    <w:t>-45.6</w:t>
                  </w:r>
                </w:p>
              </w:tc>
              <w:tc>
                <w:tcPr>
                  <w:tcW w:w="473" w:type="dxa"/>
                  <w:shd w:val="clear" w:color="auto" w:fill="auto"/>
                  <w:noWrap w:val="0"/>
                  <w:vAlign w:val="center"/>
                </w:tcPr>
                <w:p w14:paraId="7D39D166">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shd w:val="clear" w:color="auto" w:fill="auto"/>
                      <w:lang w:val="en-US" w:eastAsia="zh-CN" w:bidi="ar-SA"/>
                    </w:rPr>
                  </w:pPr>
                  <w:r>
                    <w:rPr>
                      <w:rFonts w:hint="default" w:ascii="Times New Roman" w:hAnsi="Times New Roman" w:eastAsia="宋体" w:cs="Times New Roman"/>
                      <w:color w:val="auto"/>
                      <w:kern w:val="0"/>
                      <w:sz w:val="20"/>
                      <w:szCs w:val="20"/>
                      <w:shd w:val="clear" w:color="auto" w:fill="auto"/>
                      <w:lang w:val="en-US" w:eastAsia="zh-CN" w:bidi="ar"/>
                    </w:rPr>
                    <w:t>57.3</w:t>
                  </w:r>
                </w:p>
              </w:tc>
              <w:tc>
                <w:tcPr>
                  <w:tcW w:w="473" w:type="dxa"/>
                  <w:shd w:val="clear" w:color="auto" w:fill="auto"/>
                  <w:noWrap w:val="0"/>
                  <w:vAlign w:val="center"/>
                </w:tcPr>
                <w:p w14:paraId="10754E88">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shd w:val="clear" w:color="auto" w:fill="auto"/>
                      <w:lang w:val="en-US" w:eastAsia="zh-CN" w:bidi="ar-SA"/>
                    </w:rPr>
                  </w:pPr>
                  <w:r>
                    <w:rPr>
                      <w:rFonts w:hint="default" w:ascii="Times New Roman" w:hAnsi="Times New Roman" w:eastAsia="宋体" w:cs="Times New Roman"/>
                      <w:color w:val="auto"/>
                      <w:kern w:val="0"/>
                      <w:sz w:val="20"/>
                      <w:szCs w:val="20"/>
                      <w:shd w:val="clear" w:color="auto" w:fill="auto"/>
                      <w:lang w:val="en-US" w:eastAsia="zh-CN" w:bidi="ar"/>
                    </w:rPr>
                    <w:t>1.2</w:t>
                  </w:r>
                </w:p>
              </w:tc>
              <w:tc>
                <w:tcPr>
                  <w:tcW w:w="637" w:type="dxa"/>
                  <w:noWrap w:val="0"/>
                  <w:vAlign w:val="center"/>
                </w:tcPr>
                <w:p w14:paraId="64ACB0A9">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8.8</w:t>
                  </w:r>
                </w:p>
              </w:tc>
              <w:tc>
                <w:tcPr>
                  <w:tcW w:w="554" w:type="dxa"/>
                  <w:noWrap w:val="0"/>
                  <w:vAlign w:val="center"/>
                </w:tcPr>
                <w:p w14:paraId="070BAF00">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61.1</w:t>
                  </w:r>
                </w:p>
              </w:tc>
              <w:tc>
                <w:tcPr>
                  <w:tcW w:w="576" w:type="dxa"/>
                  <w:noWrap w:val="0"/>
                  <w:vAlign w:val="center"/>
                </w:tcPr>
                <w:p w14:paraId="2F62DD2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8h</w:t>
                  </w:r>
                </w:p>
              </w:tc>
              <w:tc>
                <w:tcPr>
                  <w:tcW w:w="684" w:type="dxa"/>
                  <w:noWrap w:val="0"/>
                  <w:vAlign w:val="center"/>
                </w:tcPr>
                <w:p w14:paraId="095BA24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cs="Times New Roman"/>
                      <w:color w:val="auto"/>
                      <w:sz w:val="21"/>
                      <w:szCs w:val="21"/>
                      <w:lang w:val="en-US" w:eastAsia="zh-CN"/>
                    </w:rPr>
                  </w:pPr>
                  <w:r>
                    <w:rPr>
                      <w:rFonts w:hint="eastAsia" w:cs="Times New Roman"/>
                      <w:color w:val="auto"/>
                      <w:sz w:val="21"/>
                      <w:szCs w:val="21"/>
                      <w:lang w:val="en-US" w:eastAsia="zh-CN"/>
                    </w:rPr>
                    <w:t>26</w:t>
                  </w:r>
                </w:p>
              </w:tc>
              <w:tc>
                <w:tcPr>
                  <w:tcW w:w="777" w:type="dxa"/>
                  <w:shd w:val="clear" w:color="auto" w:fill="auto"/>
                  <w:noWrap w:val="0"/>
                  <w:vAlign w:val="center"/>
                </w:tcPr>
                <w:p w14:paraId="317939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35.1 </w:t>
                  </w:r>
                </w:p>
              </w:tc>
              <w:tc>
                <w:tcPr>
                  <w:tcW w:w="704" w:type="dxa"/>
                  <w:noWrap w:val="0"/>
                  <w:vAlign w:val="center"/>
                </w:tcPr>
                <w:p w14:paraId="7F7EE0AB">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1m</w:t>
                  </w:r>
                </w:p>
              </w:tc>
            </w:tr>
            <w:tr w14:paraId="057BFE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1" w:type="dxa"/>
                  <w:noWrap w:val="0"/>
                  <w:vAlign w:val="center"/>
                </w:tcPr>
                <w:p w14:paraId="5A06D6B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p>
              </w:tc>
              <w:tc>
                <w:tcPr>
                  <w:tcW w:w="396" w:type="dxa"/>
                  <w:vMerge w:val="continue"/>
                  <w:noWrap w:val="0"/>
                  <w:vAlign w:val="center"/>
                </w:tcPr>
                <w:p w14:paraId="393204B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p>
              </w:tc>
              <w:tc>
                <w:tcPr>
                  <w:tcW w:w="698" w:type="dxa"/>
                  <w:noWrap w:val="0"/>
                  <w:vAlign w:val="center"/>
                </w:tcPr>
                <w:p w14:paraId="05FCFF5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cs="Times New Roman"/>
                      <w:color w:val="auto"/>
                      <w:sz w:val="21"/>
                      <w:szCs w:val="21"/>
                      <w:lang w:val="en-US" w:eastAsia="zh-CN"/>
                    </w:rPr>
                  </w:pPr>
                  <w:r>
                    <w:rPr>
                      <w:rFonts w:hint="eastAsia" w:cs="Times New Roman"/>
                      <w:color w:val="auto"/>
                      <w:sz w:val="21"/>
                      <w:szCs w:val="21"/>
                      <w:lang w:val="en-US" w:eastAsia="zh-CN"/>
                    </w:rPr>
                    <w:t>行车</w:t>
                  </w:r>
                </w:p>
              </w:tc>
              <w:tc>
                <w:tcPr>
                  <w:tcW w:w="288" w:type="dxa"/>
                  <w:noWrap w:val="0"/>
                  <w:vAlign w:val="center"/>
                </w:tcPr>
                <w:p w14:paraId="068FA4C4">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leftChars="0" w:right="0" w:rightChars="0"/>
                    <w:jc w:val="center"/>
                    <w:textAlignment w:val="center"/>
                    <w:rPr>
                      <w:rFonts w:hint="eastAsia" w:cs="Times New Roman"/>
                      <w:color w:val="auto"/>
                      <w:sz w:val="21"/>
                      <w:szCs w:val="21"/>
                      <w:lang w:val="en-US" w:eastAsia="zh-CN"/>
                    </w:rPr>
                  </w:pPr>
                </w:p>
              </w:tc>
              <w:tc>
                <w:tcPr>
                  <w:tcW w:w="1130" w:type="dxa"/>
                  <w:noWrap w:val="0"/>
                  <w:vAlign w:val="center"/>
                </w:tcPr>
                <w:p w14:paraId="2E828C26">
                  <w:pPr>
                    <w:pStyle w:val="100"/>
                    <w:keepNext w:val="0"/>
                    <w:keepLines w:val="0"/>
                    <w:pageBreakBefore w:val="0"/>
                    <w:suppressLineNumbers w:val="0"/>
                    <w:kinsoku/>
                    <w:wordWrap/>
                    <w:overflowPunct/>
                    <w:topLinePunct w:val="0"/>
                    <w:bidi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80</w:t>
                  </w:r>
                  <w:r>
                    <w:rPr>
                      <w:rFonts w:hint="default" w:ascii="Times New Roman" w:hAnsi="Times New Roman" w:cs="Times New Roman"/>
                      <w:color w:val="auto"/>
                      <w:sz w:val="21"/>
                      <w:szCs w:val="21"/>
                    </w:rPr>
                    <w:t>/1</w:t>
                  </w:r>
                </w:p>
              </w:tc>
              <w:tc>
                <w:tcPr>
                  <w:tcW w:w="493" w:type="dxa"/>
                  <w:vMerge w:val="continue"/>
                  <w:noWrap w:val="0"/>
                  <w:vAlign w:val="center"/>
                </w:tcPr>
                <w:p w14:paraId="2C2E262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 w:val="21"/>
                      <w:szCs w:val="21"/>
                    </w:rPr>
                  </w:pPr>
                </w:p>
              </w:tc>
              <w:tc>
                <w:tcPr>
                  <w:tcW w:w="575" w:type="dxa"/>
                  <w:shd w:val="clear" w:color="auto" w:fill="auto"/>
                  <w:noWrap w:val="0"/>
                  <w:vAlign w:val="center"/>
                </w:tcPr>
                <w:p w14:paraId="66969AEE">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shd w:val="clear" w:color="auto" w:fill="auto"/>
                      <w:lang w:val="en-US" w:eastAsia="zh-CN" w:bidi="ar-SA"/>
                    </w:rPr>
                  </w:pPr>
                  <w:r>
                    <w:rPr>
                      <w:rFonts w:hint="default" w:ascii="Times New Roman" w:hAnsi="Times New Roman" w:eastAsia="宋体" w:cs="Times New Roman"/>
                      <w:color w:val="auto"/>
                      <w:kern w:val="0"/>
                      <w:sz w:val="20"/>
                      <w:szCs w:val="20"/>
                      <w:shd w:val="clear" w:color="auto" w:fill="auto"/>
                      <w:lang w:val="en-US" w:eastAsia="zh-CN" w:bidi="ar"/>
                    </w:rPr>
                    <w:t>33.8</w:t>
                  </w:r>
                </w:p>
              </w:tc>
              <w:tc>
                <w:tcPr>
                  <w:tcW w:w="473" w:type="dxa"/>
                  <w:shd w:val="clear" w:color="auto" w:fill="auto"/>
                  <w:noWrap w:val="0"/>
                  <w:vAlign w:val="center"/>
                </w:tcPr>
                <w:p w14:paraId="089682ED">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shd w:val="clear" w:color="auto" w:fill="auto"/>
                      <w:lang w:val="en-US" w:eastAsia="zh-CN" w:bidi="ar-SA"/>
                    </w:rPr>
                  </w:pPr>
                  <w:r>
                    <w:rPr>
                      <w:rFonts w:hint="default" w:ascii="Times New Roman" w:hAnsi="Times New Roman" w:eastAsia="宋体" w:cs="Times New Roman"/>
                      <w:color w:val="auto"/>
                      <w:kern w:val="0"/>
                      <w:sz w:val="20"/>
                      <w:szCs w:val="20"/>
                      <w:shd w:val="clear" w:color="auto" w:fill="auto"/>
                      <w:lang w:val="en-US" w:eastAsia="zh-CN" w:bidi="ar"/>
                    </w:rPr>
                    <w:t>32.8</w:t>
                  </w:r>
                </w:p>
              </w:tc>
              <w:tc>
                <w:tcPr>
                  <w:tcW w:w="473" w:type="dxa"/>
                  <w:shd w:val="clear" w:color="auto" w:fill="auto"/>
                  <w:noWrap w:val="0"/>
                  <w:vAlign w:val="center"/>
                </w:tcPr>
                <w:p w14:paraId="165CDB43">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2"/>
                      <w:szCs w:val="22"/>
                      <w:shd w:val="clear" w:color="auto" w:fill="auto"/>
                      <w:lang w:val="en-US" w:eastAsia="zh-CN" w:bidi="ar-SA"/>
                    </w:rPr>
                  </w:pPr>
                  <w:r>
                    <w:rPr>
                      <w:rFonts w:hint="default" w:ascii="Times New Roman" w:hAnsi="Times New Roman" w:eastAsia="宋体" w:cs="Times New Roman"/>
                      <w:color w:val="auto"/>
                      <w:kern w:val="0"/>
                      <w:sz w:val="20"/>
                      <w:szCs w:val="20"/>
                      <w:shd w:val="clear" w:color="auto" w:fill="auto"/>
                      <w:lang w:val="en-US" w:eastAsia="zh-CN" w:bidi="ar"/>
                    </w:rPr>
                    <w:t>1.2</w:t>
                  </w:r>
                </w:p>
              </w:tc>
              <w:tc>
                <w:tcPr>
                  <w:tcW w:w="637" w:type="dxa"/>
                  <w:noWrap w:val="0"/>
                  <w:vAlign w:val="center"/>
                </w:tcPr>
                <w:p w14:paraId="2CE749F5">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15.4</w:t>
                  </w:r>
                </w:p>
              </w:tc>
              <w:tc>
                <w:tcPr>
                  <w:tcW w:w="554" w:type="dxa"/>
                  <w:noWrap w:val="0"/>
                  <w:vAlign w:val="center"/>
                </w:tcPr>
                <w:p w14:paraId="69DEA46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56.2</w:t>
                  </w:r>
                </w:p>
              </w:tc>
              <w:tc>
                <w:tcPr>
                  <w:tcW w:w="576" w:type="dxa"/>
                  <w:noWrap w:val="0"/>
                  <w:vAlign w:val="center"/>
                </w:tcPr>
                <w:p w14:paraId="4876E63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6h</w:t>
                  </w:r>
                </w:p>
              </w:tc>
              <w:tc>
                <w:tcPr>
                  <w:tcW w:w="684" w:type="dxa"/>
                  <w:noWrap w:val="0"/>
                  <w:vAlign w:val="center"/>
                </w:tcPr>
                <w:p w14:paraId="50AA967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cs="Times New Roman"/>
                      <w:color w:val="auto"/>
                      <w:sz w:val="21"/>
                      <w:szCs w:val="21"/>
                      <w:lang w:val="en-US" w:eastAsia="zh-CN"/>
                    </w:rPr>
                  </w:pPr>
                  <w:r>
                    <w:rPr>
                      <w:rFonts w:hint="eastAsia" w:cs="Times New Roman"/>
                      <w:color w:val="auto"/>
                      <w:sz w:val="21"/>
                      <w:szCs w:val="21"/>
                      <w:lang w:val="en-US" w:eastAsia="zh-CN"/>
                    </w:rPr>
                    <w:t>26</w:t>
                  </w:r>
                </w:p>
              </w:tc>
              <w:tc>
                <w:tcPr>
                  <w:tcW w:w="777" w:type="dxa"/>
                  <w:shd w:val="clear" w:color="auto" w:fill="auto"/>
                  <w:noWrap w:val="0"/>
                  <w:vAlign w:val="center"/>
                </w:tcPr>
                <w:p w14:paraId="6C3412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30.2 </w:t>
                  </w:r>
                </w:p>
              </w:tc>
              <w:tc>
                <w:tcPr>
                  <w:tcW w:w="704" w:type="dxa"/>
                  <w:noWrap w:val="0"/>
                  <w:vAlign w:val="center"/>
                </w:tcPr>
                <w:p w14:paraId="76D82AFA">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1m</w:t>
                  </w:r>
                </w:p>
              </w:tc>
            </w:tr>
          </w:tbl>
          <w:p w14:paraId="4676DBA0">
            <w:pPr>
              <w:keepNext w:val="0"/>
              <w:keepLines w:val="0"/>
              <w:suppressLineNumbers w:val="0"/>
              <w:adjustRightInd w:val="0"/>
              <w:snapToGrid w:val="0"/>
              <w:spacing w:before="156" w:beforeLines="50" w:beforeAutospacing="0" w:after="0" w:afterAutospacing="0" w:line="240" w:lineRule="auto"/>
              <w:ind w:left="0" w:right="0"/>
              <w:jc w:val="left"/>
              <w:rPr>
                <w:rFonts w:hint="default" w:cs="Times New Roman"/>
                <w:b/>
                <w:color w:val="auto"/>
                <w:kern w:val="2"/>
                <w:sz w:val="21"/>
                <w:szCs w:val="21"/>
                <w:lang w:val="en-US" w:eastAsia="zh-CN"/>
              </w:rPr>
            </w:pPr>
            <w:r>
              <w:rPr>
                <w:rFonts w:hint="eastAsia" w:cs="Times New Roman"/>
                <w:b/>
                <w:color w:val="auto"/>
                <w:kern w:val="2"/>
                <w:sz w:val="21"/>
                <w:szCs w:val="21"/>
                <w:lang w:val="en-US" w:eastAsia="zh-CN"/>
              </w:rPr>
              <w:t>备注：原料进厂及产品出厂均使用行车转移至/出运输车辆；运输车辆在厂区内运行的时间较短，且一般低速行驶，故本次不考虑车辆运行的噪音。</w:t>
            </w:r>
          </w:p>
          <w:p w14:paraId="1E11EE7B">
            <w:pPr>
              <w:keepNext w:val="0"/>
              <w:keepLines w:val="0"/>
              <w:suppressLineNumbers w:val="0"/>
              <w:adjustRightInd w:val="0"/>
              <w:snapToGrid w:val="0"/>
              <w:spacing w:before="156" w:beforeLines="50" w:beforeAutospacing="0" w:after="0" w:afterAutospacing="0"/>
              <w:ind w:left="0" w:right="0"/>
              <w:jc w:val="center"/>
              <w:rPr>
                <w:rFonts w:hint="default" w:ascii="Times New Roman" w:hAnsi="Times New Roman" w:eastAsia="宋体" w:cs="Times New Roman"/>
                <w:b/>
                <w:color w:val="auto"/>
                <w:kern w:val="2"/>
                <w:sz w:val="24"/>
                <w:szCs w:val="32"/>
              </w:rPr>
            </w:pPr>
          </w:p>
          <w:p w14:paraId="19459B98">
            <w:pPr>
              <w:keepNext w:val="0"/>
              <w:keepLines w:val="0"/>
              <w:suppressLineNumbers w:val="0"/>
              <w:adjustRightInd w:val="0"/>
              <w:snapToGrid w:val="0"/>
              <w:spacing w:before="156" w:beforeLines="50" w:beforeAutospacing="0" w:after="0" w:afterAutospacing="0"/>
              <w:ind w:left="0" w:right="0"/>
              <w:jc w:val="center"/>
              <w:rPr>
                <w:rFonts w:hint="default" w:ascii="Times New Roman" w:hAnsi="Times New Roman" w:eastAsia="宋体" w:cs="Times New Roman"/>
                <w:b/>
                <w:color w:val="auto"/>
                <w:kern w:val="2"/>
                <w:sz w:val="24"/>
                <w:szCs w:val="32"/>
              </w:rPr>
            </w:pPr>
          </w:p>
          <w:p w14:paraId="3E0162C4">
            <w:pPr>
              <w:keepNext w:val="0"/>
              <w:keepLines w:val="0"/>
              <w:suppressLineNumbers w:val="0"/>
              <w:adjustRightInd w:val="0"/>
              <w:snapToGrid w:val="0"/>
              <w:spacing w:before="156" w:beforeLines="50" w:beforeAutospacing="0" w:after="0" w:afterAutospacing="0"/>
              <w:ind w:left="0" w:right="0"/>
              <w:jc w:val="center"/>
              <w:rPr>
                <w:rFonts w:hint="default" w:ascii="Times New Roman" w:hAnsi="Times New Roman" w:eastAsia="宋体" w:cs="Times New Roman"/>
                <w:b/>
                <w:color w:val="auto"/>
                <w:kern w:val="2"/>
                <w:sz w:val="24"/>
                <w:szCs w:val="32"/>
              </w:rPr>
            </w:pPr>
            <w:r>
              <w:rPr>
                <w:rFonts w:hint="default" w:ascii="Times New Roman" w:hAnsi="Times New Roman" w:eastAsia="宋体" w:cs="Times New Roman"/>
                <w:b/>
                <w:color w:val="auto"/>
                <w:kern w:val="2"/>
                <w:sz w:val="24"/>
                <w:szCs w:val="32"/>
              </w:rPr>
              <w:t>表</w:t>
            </w:r>
            <w:r>
              <w:rPr>
                <w:rFonts w:hint="eastAsia" w:ascii="Times New Roman" w:hAnsi="Times New Roman" w:cs="Times New Roman"/>
                <w:b/>
                <w:color w:val="auto"/>
                <w:kern w:val="2"/>
                <w:sz w:val="24"/>
                <w:szCs w:val="32"/>
                <w:lang w:val="en-US" w:eastAsia="zh-CN"/>
              </w:rPr>
              <w:t>4.3-1-2</w:t>
            </w:r>
            <w:r>
              <w:rPr>
                <w:rFonts w:hint="default" w:ascii="Times New Roman" w:hAnsi="Times New Roman" w:eastAsia="宋体" w:cs="Times New Roman"/>
                <w:b/>
                <w:color w:val="auto"/>
                <w:kern w:val="2"/>
                <w:sz w:val="24"/>
                <w:szCs w:val="32"/>
              </w:rPr>
              <w:t xml:space="preserve"> </w:t>
            </w:r>
            <w:r>
              <w:rPr>
                <w:rFonts w:hint="eastAsia" w:ascii="Times New Roman" w:hAnsi="Times New Roman" w:cs="Times New Roman"/>
                <w:b/>
                <w:color w:val="auto"/>
                <w:kern w:val="2"/>
                <w:sz w:val="24"/>
                <w:szCs w:val="32"/>
                <w:lang w:val="en-US" w:eastAsia="zh-CN"/>
              </w:rPr>
              <w:t xml:space="preserve"> 建设项目</w:t>
            </w:r>
            <w:r>
              <w:rPr>
                <w:rFonts w:hint="default" w:ascii="Times New Roman" w:hAnsi="Times New Roman" w:eastAsia="宋体" w:cs="Times New Roman"/>
                <w:b/>
                <w:color w:val="auto"/>
                <w:kern w:val="2"/>
                <w:sz w:val="24"/>
                <w:szCs w:val="32"/>
              </w:rPr>
              <w:t>工业企业噪声源强调查清单（室外声源）</w:t>
            </w:r>
          </w:p>
          <w:tbl>
            <w:tblPr>
              <w:tblStyle w:val="27"/>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083"/>
              <w:gridCol w:w="816"/>
              <w:gridCol w:w="775"/>
              <w:gridCol w:w="716"/>
              <w:gridCol w:w="553"/>
              <w:gridCol w:w="1827"/>
              <w:gridCol w:w="1429"/>
              <w:gridCol w:w="749"/>
            </w:tblGrid>
            <w:tr w14:paraId="5E786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Merge w:val="restart"/>
                  <w:noWrap w:val="0"/>
                  <w:vAlign w:val="center"/>
                </w:tcPr>
                <w:p w14:paraId="0EB6217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640" w:type="pct"/>
                  <w:vMerge w:val="restart"/>
                  <w:noWrap w:val="0"/>
                  <w:vAlign w:val="center"/>
                </w:tcPr>
                <w:p w14:paraId="77AEF4A8">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声源名称</w:t>
                  </w:r>
                </w:p>
              </w:tc>
              <w:tc>
                <w:tcPr>
                  <w:tcW w:w="482" w:type="pct"/>
                  <w:vMerge w:val="restart"/>
                  <w:noWrap w:val="0"/>
                  <w:vAlign w:val="center"/>
                </w:tcPr>
                <w:p w14:paraId="705C2DA1">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型号</w:t>
                  </w:r>
                </w:p>
              </w:tc>
              <w:tc>
                <w:tcPr>
                  <w:tcW w:w="1208" w:type="pct"/>
                  <w:gridSpan w:val="3"/>
                  <w:noWrap w:val="0"/>
                  <w:vAlign w:val="center"/>
                </w:tcPr>
                <w:p w14:paraId="33782DB4">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空间相对位置/m</w:t>
                  </w:r>
                </w:p>
              </w:tc>
              <w:tc>
                <w:tcPr>
                  <w:tcW w:w="1080" w:type="pct"/>
                  <w:noWrap w:val="0"/>
                  <w:vAlign w:val="center"/>
                </w:tcPr>
                <w:p w14:paraId="1F9EEE00">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声源源强</w:t>
                  </w:r>
                </w:p>
              </w:tc>
              <w:tc>
                <w:tcPr>
                  <w:tcW w:w="845" w:type="pct"/>
                  <w:vMerge w:val="restart"/>
                  <w:noWrap w:val="0"/>
                  <w:vAlign w:val="center"/>
                </w:tcPr>
                <w:p w14:paraId="2C28107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声源控制措施</w:t>
                  </w:r>
                </w:p>
              </w:tc>
              <w:tc>
                <w:tcPr>
                  <w:tcW w:w="442" w:type="pct"/>
                  <w:vMerge w:val="restart"/>
                  <w:noWrap w:val="0"/>
                  <w:vAlign w:val="center"/>
                </w:tcPr>
                <w:p w14:paraId="293B832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运行时段</w:t>
                  </w:r>
                </w:p>
              </w:tc>
            </w:tr>
            <w:tr w14:paraId="730DD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vMerge w:val="continue"/>
                  <w:noWrap w:val="0"/>
                  <w:vAlign w:val="center"/>
                </w:tcPr>
                <w:p w14:paraId="1B5CDC92">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p>
              </w:tc>
              <w:tc>
                <w:tcPr>
                  <w:tcW w:w="640" w:type="pct"/>
                  <w:vMerge w:val="continue"/>
                  <w:noWrap w:val="0"/>
                  <w:vAlign w:val="center"/>
                </w:tcPr>
                <w:p w14:paraId="53759CC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p>
              </w:tc>
              <w:tc>
                <w:tcPr>
                  <w:tcW w:w="482" w:type="pct"/>
                  <w:vMerge w:val="continue"/>
                  <w:noWrap w:val="0"/>
                  <w:vAlign w:val="center"/>
                </w:tcPr>
                <w:p w14:paraId="1CC99B7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p>
              </w:tc>
              <w:tc>
                <w:tcPr>
                  <w:tcW w:w="458" w:type="pct"/>
                  <w:noWrap w:val="0"/>
                  <w:vAlign w:val="center"/>
                </w:tcPr>
                <w:p w14:paraId="7197A31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X</w:t>
                  </w:r>
                </w:p>
              </w:tc>
              <w:tc>
                <w:tcPr>
                  <w:tcW w:w="423" w:type="pct"/>
                  <w:noWrap w:val="0"/>
                  <w:vAlign w:val="center"/>
                </w:tcPr>
                <w:p w14:paraId="61D07DD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Y</w:t>
                  </w:r>
                </w:p>
              </w:tc>
              <w:tc>
                <w:tcPr>
                  <w:tcW w:w="327" w:type="pct"/>
                  <w:noWrap w:val="0"/>
                  <w:vAlign w:val="center"/>
                </w:tcPr>
                <w:p w14:paraId="075FBA9A">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Z</w:t>
                  </w:r>
                </w:p>
              </w:tc>
              <w:tc>
                <w:tcPr>
                  <w:tcW w:w="1080" w:type="pct"/>
                  <w:noWrap w:val="0"/>
                  <w:vAlign w:val="center"/>
                </w:tcPr>
                <w:p w14:paraId="1D6EA89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（声压级/距声源距离）/(dB(A)/m)</w:t>
                  </w:r>
                </w:p>
              </w:tc>
              <w:tc>
                <w:tcPr>
                  <w:tcW w:w="845" w:type="pct"/>
                  <w:vMerge w:val="continue"/>
                  <w:noWrap w:val="0"/>
                  <w:vAlign w:val="center"/>
                </w:tcPr>
                <w:p w14:paraId="04BA2B85">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p>
              </w:tc>
              <w:tc>
                <w:tcPr>
                  <w:tcW w:w="442" w:type="pct"/>
                  <w:vMerge w:val="continue"/>
                  <w:noWrap w:val="0"/>
                  <w:vAlign w:val="center"/>
                </w:tcPr>
                <w:p w14:paraId="4E14EEC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p>
              </w:tc>
            </w:tr>
            <w:tr w14:paraId="0A1F8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299" w:type="pct"/>
                  <w:noWrap w:val="0"/>
                  <w:vAlign w:val="center"/>
                </w:tcPr>
                <w:p w14:paraId="28E2E90F">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40" w:type="pct"/>
                  <w:noWrap w:val="0"/>
                  <w:vAlign w:val="center"/>
                </w:tcPr>
                <w:p w14:paraId="3BA4A34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风机</w:t>
                  </w:r>
                </w:p>
              </w:tc>
              <w:tc>
                <w:tcPr>
                  <w:tcW w:w="482" w:type="pct"/>
                  <w:noWrap w:val="0"/>
                  <w:vAlign w:val="center"/>
                </w:tcPr>
                <w:p w14:paraId="2580F1E3">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8" w:type="pct"/>
                  <w:shd w:val="clear" w:color="auto" w:fill="auto"/>
                  <w:noWrap w:val="0"/>
                  <w:vAlign w:val="center"/>
                </w:tcPr>
                <w:p w14:paraId="1B6EFDA8">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-35.8</w:t>
                  </w:r>
                </w:p>
              </w:tc>
              <w:tc>
                <w:tcPr>
                  <w:tcW w:w="423" w:type="pct"/>
                  <w:shd w:val="clear" w:color="auto" w:fill="auto"/>
                  <w:noWrap w:val="0"/>
                  <w:vAlign w:val="center"/>
                </w:tcPr>
                <w:p w14:paraId="4C34867E">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44.7</w:t>
                  </w:r>
                </w:p>
              </w:tc>
              <w:tc>
                <w:tcPr>
                  <w:tcW w:w="327" w:type="pct"/>
                  <w:shd w:val="clear" w:color="auto" w:fill="auto"/>
                  <w:noWrap w:val="0"/>
                  <w:vAlign w:val="center"/>
                </w:tcPr>
                <w:p w14:paraId="37E06DA3">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1.2</w:t>
                  </w:r>
                </w:p>
              </w:tc>
              <w:tc>
                <w:tcPr>
                  <w:tcW w:w="1080" w:type="pct"/>
                  <w:noWrap w:val="0"/>
                  <w:vAlign w:val="center"/>
                </w:tcPr>
                <w:p w14:paraId="7284D38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r>
                    <w:rPr>
                      <w:rFonts w:hint="default" w:ascii="Times New Roman" w:hAnsi="Times New Roman" w:cs="Times New Roman"/>
                      <w:color w:val="auto"/>
                    </w:rPr>
                    <w:t>/1</w:t>
                  </w:r>
                </w:p>
              </w:tc>
              <w:tc>
                <w:tcPr>
                  <w:tcW w:w="845" w:type="pct"/>
                  <w:vMerge w:val="restart"/>
                  <w:noWrap w:val="0"/>
                  <w:vAlign w:val="center"/>
                </w:tcPr>
                <w:p w14:paraId="20F4224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bCs/>
                      <w:color w:val="auto"/>
                      <w:szCs w:val="21"/>
                    </w:rPr>
                    <w:t>减振、消音、距离衰减</w:t>
                  </w:r>
                </w:p>
              </w:tc>
              <w:tc>
                <w:tcPr>
                  <w:tcW w:w="442" w:type="pct"/>
                  <w:noWrap w:val="0"/>
                  <w:vAlign w:val="center"/>
                </w:tcPr>
                <w:p w14:paraId="6E4ABACC">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h</w:t>
                  </w:r>
                </w:p>
              </w:tc>
            </w:tr>
            <w:tr w14:paraId="7E847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299" w:type="pct"/>
                  <w:noWrap w:val="0"/>
                  <w:vAlign w:val="center"/>
                </w:tcPr>
                <w:p w14:paraId="2236B71E">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2</w:t>
                  </w:r>
                </w:p>
              </w:tc>
              <w:tc>
                <w:tcPr>
                  <w:tcW w:w="640" w:type="pct"/>
                  <w:noWrap w:val="0"/>
                  <w:vAlign w:val="center"/>
                </w:tcPr>
                <w:p w14:paraId="3F461023">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冷却泵</w:t>
                  </w:r>
                </w:p>
              </w:tc>
              <w:tc>
                <w:tcPr>
                  <w:tcW w:w="482" w:type="pct"/>
                  <w:noWrap w:val="0"/>
                  <w:vAlign w:val="center"/>
                </w:tcPr>
                <w:p w14:paraId="703B3BE4">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458" w:type="pct"/>
                  <w:shd w:val="clear" w:color="auto" w:fill="auto"/>
                  <w:noWrap w:val="0"/>
                  <w:vAlign w:val="center"/>
                </w:tcPr>
                <w:p w14:paraId="71EB68A4">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-32</w:t>
                  </w:r>
                </w:p>
              </w:tc>
              <w:tc>
                <w:tcPr>
                  <w:tcW w:w="423" w:type="pct"/>
                  <w:shd w:val="clear" w:color="auto" w:fill="auto"/>
                  <w:noWrap w:val="0"/>
                  <w:vAlign w:val="center"/>
                </w:tcPr>
                <w:p w14:paraId="4CF2F1FF">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50.6</w:t>
                  </w:r>
                </w:p>
              </w:tc>
              <w:tc>
                <w:tcPr>
                  <w:tcW w:w="327" w:type="pct"/>
                  <w:shd w:val="clear" w:color="auto" w:fill="auto"/>
                  <w:noWrap w:val="0"/>
                  <w:vAlign w:val="center"/>
                </w:tcPr>
                <w:p w14:paraId="4A9D7D05">
                  <w:pPr>
                    <w:keepNext w:val="0"/>
                    <w:keepLines w:val="0"/>
                    <w:pageBreakBefore w:val="0"/>
                    <w:widowControl w:val="0"/>
                    <w:suppressLineNumbers w:val="0"/>
                    <w:kinsoku/>
                    <w:wordWrap/>
                    <w:overflowPunct/>
                    <w:topLinePunct w:val="0"/>
                    <w:autoSpaceDE w:val="0"/>
                    <w:autoSpaceDN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1.2</w:t>
                  </w:r>
                </w:p>
              </w:tc>
              <w:tc>
                <w:tcPr>
                  <w:tcW w:w="1080" w:type="pct"/>
                  <w:noWrap w:val="0"/>
                  <w:vAlign w:val="center"/>
                </w:tcPr>
                <w:p w14:paraId="084B3497">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85</w:t>
                  </w:r>
                  <w:r>
                    <w:rPr>
                      <w:rFonts w:hint="default" w:ascii="Times New Roman" w:hAnsi="Times New Roman" w:cs="Times New Roman"/>
                      <w:color w:val="auto"/>
                    </w:rPr>
                    <w:t>/1</w:t>
                  </w:r>
                </w:p>
              </w:tc>
              <w:tc>
                <w:tcPr>
                  <w:tcW w:w="845" w:type="pct"/>
                  <w:vMerge w:val="continue"/>
                  <w:noWrap w:val="0"/>
                  <w:vAlign w:val="center"/>
                </w:tcPr>
                <w:p w14:paraId="73F4F5D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bCs/>
                      <w:color w:val="auto"/>
                      <w:szCs w:val="21"/>
                    </w:rPr>
                  </w:pPr>
                </w:p>
              </w:tc>
              <w:tc>
                <w:tcPr>
                  <w:tcW w:w="442" w:type="pct"/>
                  <w:noWrap w:val="0"/>
                  <w:vAlign w:val="center"/>
                </w:tcPr>
                <w:p w14:paraId="77719E4D">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h</w:t>
                  </w:r>
                </w:p>
              </w:tc>
            </w:tr>
          </w:tbl>
          <w:p w14:paraId="2E1BA1D3">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jc w:val="left"/>
              <w:textAlignment w:val="auto"/>
              <w:rPr>
                <w:rFonts w:hint="default" w:ascii="Times New Roman" w:hAnsi="Times New Roman" w:cs="Times New Roman"/>
                <w:b/>
                <w:color w:val="auto"/>
                <w:sz w:val="24"/>
              </w:rPr>
            </w:pPr>
            <w:r>
              <w:rPr>
                <w:rFonts w:hint="eastAsia" w:ascii="Times New Roman" w:hAnsi="Times New Roman" w:cs="Times New Roman"/>
                <w:b/>
                <w:color w:val="auto"/>
                <w:sz w:val="24"/>
              </w:rPr>
              <w:t>2、</w:t>
            </w:r>
            <w:r>
              <w:rPr>
                <w:rFonts w:hint="default" w:ascii="Times New Roman" w:hAnsi="Times New Roman" w:cs="Times New Roman"/>
                <w:b/>
                <w:color w:val="auto"/>
                <w:sz w:val="24"/>
              </w:rPr>
              <w:t>噪声防治措施</w:t>
            </w:r>
          </w:p>
          <w:p w14:paraId="5B2E076B">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应按照《工业企业噪声控制设计规范》对厂内主要噪声源合理布局：</w:t>
            </w:r>
          </w:p>
          <w:p w14:paraId="4AD0F8F1">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①在满足工艺流程要求的前提下，高噪声设备相对集中</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并尽量布置在厂房的一隅，车间隔声能力应按25dB</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A</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设计，并能充分利用建筑物的隔声及距离的衰减。</w:t>
            </w:r>
          </w:p>
          <w:p w14:paraId="43D9D272">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②高噪声设备安装减振底座，风机进出口加装消声器，设计降噪量达15dB（A）左右。有强烈振动的设备，不布置在楼板或平台上。</w:t>
            </w:r>
          </w:p>
          <w:p w14:paraId="31BBCFC9">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③设备布置时，考虑与其配用的噪声控制专用设备的安装和维修所需的空间。</w:t>
            </w:r>
          </w:p>
          <w:p w14:paraId="52F29167">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④选用噪声较低、振动较小的设备</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在对主要噪声源设备选择时，应收集和比较同类型设备的噪声指标</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对于噪声较大的设备，应从设备选型开始要求供货商提供符合要求的低噪声设备。</w:t>
            </w:r>
          </w:p>
          <w:p w14:paraId="1C376880">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bCs/>
                <w:color w:val="auto"/>
                <w:sz w:val="24"/>
              </w:rPr>
            </w:pPr>
            <w:r>
              <w:rPr>
                <w:rFonts w:hint="default" w:ascii="Times New Roman" w:hAnsi="Times New Roman" w:eastAsia="宋体" w:cs="Times New Roman"/>
                <w:color w:val="auto"/>
              </w:rPr>
              <w:t>⑤</w:t>
            </w:r>
            <w:r>
              <w:rPr>
                <w:rFonts w:hint="default"/>
                <w:bCs/>
                <w:color w:val="auto"/>
                <w:sz w:val="24"/>
              </w:rPr>
              <w:t>保持设备处于良好的运转状态，防止因设备运转不正常而增大噪声，要经常进行保养，加润滑油，减少</w:t>
            </w:r>
            <w:r>
              <w:rPr>
                <w:rFonts w:hint="eastAsia"/>
                <w:bCs/>
                <w:color w:val="auto"/>
                <w:sz w:val="24"/>
              </w:rPr>
              <w:t>摩擦力</w:t>
            </w:r>
            <w:r>
              <w:rPr>
                <w:rFonts w:hint="default"/>
                <w:bCs/>
                <w:color w:val="auto"/>
                <w:sz w:val="24"/>
              </w:rPr>
              <w:t>，降低噪声。</w:t>
            </w:r>
          </w:p>
          <w:p w14:paraId="34111EA6">
            <w:pPr>
              <w:pStyle w:val="97"/>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50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⑥</w:t>
            </w:r>
            <w:r>
              <w:rPr>
                <w:rFonts w:hint="default"/>
                <w:bCs/>
                <w:color w:val="auto"/>
                <w:sz w:val="24"/>
              </w:rPr>
              <w:t>结合绿化措施，在厂界周围设绿化带，种植花草树木，以有效地起隔声和衰减噪声的作用。</w:t>
            </w:r>
          </w:p>
          <w:p w14:paraId="6E3B7B2D">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cs="Times New Roman"/>
                <w:b/>
                <w:color w:val="auto"/>
                <w:sz w:val="24"/>
              </w:rPr>
            </w:pPr>
            <w:r>
              <w:rPr>
                <w:rFonts w:hint="eastAsia" w:ascii="Times New Roman" w:hAnsi="Times New Roman" w:cs="Times New Roman"/>
                <w:b/>
                <w:color w:val="auto"/>
                <w:sz w:val="24"/>
              </w:rPr>
              <w:t>3、预测</w:t>
            </w:r>
          </w:p>
          <w:p w14:paraId="246DCD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Cs/>
                <w:color w:val="auto"/>
                <w:sz w:val="24"/>
              </w:rPr>
            </w:pPr>
            <w:r>
              <w:rPr>
                <w:rFonts w:hint="eastAsia" w:ascii="Times New Roman" w:hAnsi="Times New Roman" w:cs="Times New Roman"/>
                <w:bCs/>
                <w:color w:val="auto"/>
                <w:sz w:val="24"/>
              </w:rPr>
              <w:t>根据项目建设内容及《环境影响评价技术导则—声环境》（</w:t>
            </w:r>
            <w:r>
              <w:rPr>
                <w:rFonts w:hint="default" w:ascii="Times New Roman" w:hAnsi="Times New Roman" w:cs="Times New Roman"/>
                <w:bCs/>
                <w:color w:val="auto"/>
                <w:sz w:val="24"/>
              </w:rPr>
              <w:t>HJ2.4-2021）的要求，项目环评采用的模型为《环境影响评价技术导则 声环境》（HJ2.4.2021</w:t>
            </w:r>
            <w:r>
              <w:rPr>
                <w:rFonts w:hint="eastAsia" w:ascii="Times New Roman" w:hAnsi="Times New Roman" w:cs="Times New Roman"/>
                <w:bCs/>
                <w:color w:val="auto"/>
                <w:sz w:val="24"/>
              </w:rPr>
              <w:t>）</w:t>
            </w:r>
            <w:r>
              <w:rPr>
                <w:rFonts w:hint="default" w:ascii="Times New Roman" w:hAnsi="Times New Roman" w:cs="Times New Roman"/>
                <w:bCs/>
                <w:color w:val="auto"/>
                <w:sz w:val="24"/>
              </w:rPr>
              <w:t>附录A（规范性附录）户外声传播的衰减和附录B（规范性附录）中“B.1工业噪声预测计算模型”。</w:t>
            </w:r>
          </w:p>
          <w:p w14:paraId="3A098817">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sz w:val="24"/>
              </w:rPr>
              <w:t>（</w:t>
            </w:r>
            <w:r>
              <w:rPr>
                <w:rFonts w:hint="default" w:ascii="Times New Roman" w:hAnsi="Times New Roman" w:cs="Times New Roman"/>
                <w:bCs/>
                <w:color w:val="auto"/>
                <w:kern w:val="0"/>
                <w:sz w:val="24"/>
              </w:rPr>
              <w:t>1）单个室外点声源在预测点产生的声级计算公式</w:t>
            </w:r>
          </w:p>
          <w:p w14:paraId="5DC3A481">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已知声源的倍频带声功率级，预测点位置的倍频带声压级Lp</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r</w:t>
            </w:r>
            <w:r>
              <w:rPr>
                <w:rFonts w:hint="eastAsia" w:ascii="Times New Roman" w:hAnsi="Times New Roman" w:cs="Times New Roman"/>
                <w:bCs/>
                <w:color w:val="auto"/>
                <w:sz w:val="24"/>
                <w:lang w:eastAsia="zh-CN"/>
              </w:rPr>
              <w:t>）</w:t>
            </w:r>
            <w:r>
              <w:rPr>
                <w:rFonts w:hint="default" w:ascii="Times New Roman" w:hAnsi="Times New Roman" w:cs="Times New Roman"/>
                <w:bCs/>
                <w:color w:val="auto"/>
                <w:sz w:val="24"/>
              </w:rPr>
              <w:t>按下式计算：</w:t>
            </w:r>
          </w:p>
          <w:p w14:paraId="104A4485">
            <w:pPr>
              <w:pStyle w:val="3"/>
              <w:keepNext w:val="0"/>
              <w:keepLines w:val="0"/>
              <w:numPr>
                <w:ilvl w:val="0"/>
                <w:numId w:val="0"/>
              </w:numPr>
              <w:suppressLineNumbers w:val="0"/>
              <w:spacing w:before="0" w:beforeAutospacing="0" w:after="0" w:afterAutospacing="0"/>
              <w:ind w:left="0" w:right="0"/>
              <w:rPr>
                <w:rFonts w:hint="eastAsia" w:ascii="Times New Roman" w:hAnsi="Times New Roman" w:cs="Times New Roman"/>
                <w:color w:val="auto"/>
                <w:sz w:val="24"/>
                <w:lang w:eastAsia="zh-CN"/>
              </w:rPr>
            </w:pPr>
          </w:p>
        </w:tc>
      </w:tr>
    </w:tbl>
    <w:p w14:paraId="6AE4A890">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W w:w="9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71"/>
      </w:tblGrid>
      <w:tr w14:paraId="7E9F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noWrap w:val="0"/>
            <w:vAlign w:val="center"/>
          </w:tcPr>
          <w:p w14:paraId="2436A7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3F6A245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25D5CF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57CF27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7F001AB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77C6EACB">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4"/>
                <w:szCs w:val="24"/>
                <w:highlight w:val="none"/>
                <w:lang w:val="en-US" w:eastAsia="zh-CN" w:bidi="ar-SA"/>
              </w:rPr>
            </w:pPr>
            <w:r>
              <w:rPr>
                <w:rFonts w:hint="default" w:cs="Times New Roman"/>
                <w:bCs/>
                <w:color w:val="auto"/>
                <w:sz w:val="24"/>
                <w:highlight w:val="none"/>
              </w:rPr>
              <w:t>措施</w:t>
            </w:r>
          </w:p>
        </w:tc>
        <w:tc>
          <w:tcPr>
            <w:tcW w:w="8671" w:type="dxa"/>
            <w:noWrap w:val="0"/>
            <w:vAlign w:val="center"/>
          </w:tcPr>
          <w:p w14:paraId="64A08C64">
            <w:pPr>
              <w:keepNext w:val="0"/>
              <w:keepLines w:val="0"/>
              <w:suppressLineNumbers w:val="0"/>
              <w:adjustRightInd w:val="0"/>
              <w:snapToGrid w:val="0"/>
              <w:spacing w:before="0" w:beforeAutospacing="0" w:after="0" w:afterAutospacing="0" w:line="480" w:lineRule="atLeast"/>
              <w:ind w:left="0" w:right="0" w:firstLine="480" w:firstLineChars="200"/>
              <w:jc w:val="center"/>
              <w:rPr>
                <w:rFonts w:hint="default" w:ascii="Times New Roman" w:hAnsi="Times New Roman" w:cs="Times New Roman"/>
                <w:i/>
                <w:color w:val="auto"/>
                <w:kern w:val="0"/>
                <w:sz w:val="24"/>
                <w:vertAlign w:val="subscript"/>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w:t>
            </w:r>
            <w:r>
              <w:rPr>
                <w:rFonts w:hint="default" w:ascii="Times New Roman" w:hAnsi="Times New Roman" w:cs="Times New Roman"/>
                <w:i/>
                <w:color w:val="auto"/>
                <w:kern w:val="0"/>
                <w:sz w:val="24"/>
              </w:rPr>
              <w:t>(r)=L</w:t>
            </w:r>
            <w:r>
              <w:rPr>
                <w:rFonts w:hint="default" w:ascii="Times New Roman" w:hAnsi="Times New Roman" w:cs="Times New Roman"/>
                <w:i/>
                <w:color w:val="auto"/>
                <w:kern w:val="0"/>
                <w:sz w:val="24"/>
                <w:vertAlign w:val="subscript"/>
              </w:rPr>
              <w:t>w</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D</w:t>
            </w:r>
            <w:r>
              <w:rPr>
                <w:rFonts w:hint="default" w:ascii="Times New Roman" w:hAnsi="Times New Roman" w:cs="Times New Roman"/>
                <w:i/>
                <w:color w:val="auto"/>
                <w:kern w:val="0"/>
                <w:sz w:val="24"/>
                <w:vertAlign w:val="subscript"/>
              </w:rPr>
              <w:t>c</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 A</w:t>
            </w:r>
            <w:r>
              <w:rPr>
                <w:rFonts w:hint="default" w:ascii="Times New Roman" w:hAnsi="Times New Roman" w:cs="Times New Roman"/>
                <w:i/>
                <w:color w:val="auto"/>
                <w:kern w:val="0"/>
                <w:sz w:val="24"/>
                <w:vertAlign w:val="subscript"/>
              </w:rPr>
              <w:t>div</w:t>
            </w:r>
            <w:r>
              <w:rPr>
                <w:rFonts w:hint="default" w:ascii="Times New Roman" w:hAnsi="Times New Roman" w:cs="Times New Roman"/>
                <w:i/>
                <w:color w:val="auto"/>
                <w:kern w:val="0"/>
                <w:sz w:val="24"/>
              </w:rPr>
              <w:t>+ A</w:t>
            </w:r>
            <w:r>
              <w:rPr>
                <w:rFonts w:hint="default" w:ascii="Times New Roman" w:hAnsi="Times New Roman" w:cs="Times New Roman"/>
                <w:i/>
                <w:color w:val="auto"/>
                <w:kern w:val="0"/>
                <w:sz w:val="24"/>
                <w:vertAlign w:val="subscript"/>
              </w:rPr>
              <w:t>atm</w:t>
            </w:r>
            <w:r>
              <w:rPr>
                <w:rFonts w:hint="default" w:ascii="Times New Roman" w:hAnsi="Times New Roman" w:cs="Times New Roman"/>
                <w:i/>
                <w:color w:val="auto"/>
                <w:kern w:val="0"/>
                <w:sz w:val="24"/>
              </w:rPr>
              <w:t xml:space="preserve"> + A</w:t>
            </w:r>
            <w:r>
              <w:rPr>
                <w:rFonts w:hint="default" w:ascii="Times New Roman" w:hAnsi="Times New Roman" w:cs="Times New Roman"/>
                <w:i/>
                <w:color w:val="auto"/>
                <w:kern w:val="0"/>
                <w:sz w:val="24"/>
                <w:vertAlign w:val="subscript"/>
              </w:rPr>
              <w:t>gr</w:t>
            </w:r>
            <w:r>
              <w:rPr>
                <w:rFonts w:hint="default" w:ascii="Times New Roman" w:hAnsi="Times New Roman" w:cs="Times New Roman"/>
                <w:i/>
                <w:color w:val="auto"/>
                <w:kern w:val="0"/>
                <w:sz w:val="24"/>
              </w:rPr>
              <w:t xml:space="preserve"> + A</w:t>
            </w:r>
            <w:r>
              <w:rPr>
                <w:rFonts w:hint="default" w:ascii="Times New Roman" w:hAnsi="Times New Roman" w:cs="Times New Roman"/>
                <w:i/>
                <w:color w:val="auto"/>
                <w:kern w:val="0"/>
                <w:sz w:val="24"/>
                <w:vertAlign w:val="subscript"/>
              </w:rPr>
              <w:t>bar</w:t>
            </w:r>
            <w:r>
              <w:rPr>
                <w:rFonts w:hint="default" w:ascii="Times New Roman" w:hAnsi="Times New Roman" w:cs="Times New Roman"/>
                <w:i/>
                <w:color w:val="auto"/>
                <w:kern w:val="0"/>
                <w:sz w:val="24"/>
              </w:rPr>
              <w:t xml:space="preserve"> + A</w:t>
            </w:r>
            <w:r>
              <w:rPr>
                <w:rFonts w:hint="default" w:ascii="Times New Roman" w:hAnsi="Times New Roman" w:cs="Times New Roman"/>
                <w:i/>
                <w:color w:val="auto"/>
                <w:kern w:val="0"/>
                <w:sz w:val="24"/>
                <w:vertAlign w:val="subscript"/>
              </w:rPr>
              <w:t>misc</w:t>
            </w:r>
            <w:r>
              <w:rPr>
                <w:rFonts w:hint="default" w:ascii="Times New Roman" w:hAnsi="Times New Roman" w:cs="Times New Roman"/>
                <w:i/>
                <w:color w:val="auto"/>
                <w:kern w:val="0"/>
                <w:sz w:val="24"/>
              </w:rPr>
              <w:t>)</w:t>
            </w:r>
          </w:p>
          <w:p w14:paraId="771B14DA">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color w:val="auto"/>
                <w:kern w:val="0"/>
                <w:sz w:val="24"/>
              </w:rPr>
            </w:pPr>
            <w:r>
              <w:rPr>
                <w:rFonts w:hint="default" w:ascii="Times New Roman" w:hAnsi="Times New Roman" w:cs="Times New Roman"/>
                <w:bCs/>
                <w:color w:val="auto"/>
                <w:sz w:val="24"/>
              </w:rPr>
              <w:t>式中：</w:t>
            </w: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w:t>
            </w:r>
            <w:r>
              <w:rPr>
                <w:rFonts w:hint="default" w:ascii="Times New Roman" w:hAnsi="Times New Roman" w:cs="Times New Roman"/>
                <w:i/>
                <w:color w:val="auto"/>
                <w:kern w:val="0"/>
                <w:sz w:val="24"/>
              </w:rPr>
              <w:t>(r)</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预测点处声压级，dB；</w:t>
            </w:r>
          </w:p>
          <w:p w14:paraId="625CCB49">
            <w:pPr>
              <w:keepNext w:val="0"/>
              <w:keepLines w:val="0"/>
              <w:suppressLineNumbers w:val="0"/>
              <w:adjustRightInd w:val="0"/>
              <w:snapToGrid w:val="0"/>
              <w:spacing w:before="0" w:beforeAutospacing="0" w:after="0" w:afterAutospacing="0" w:line="480" w:lineRule="atLeast"/>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w</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由点声源产生的声功率级（A计权或倍频带），dB；</w:t>
            </w:r>
          </w:p>
          <w:p w14:paraId="367B7EFC">
            <w:pPr>
              <w:keepNext w:val="0"/>
              <w:keepLines w:val="0"/>
              <w:suppressLineNumbers w:val="0"/>
              <w:adjustRightInd w:val="0"/>
              <w:snapToGrid w:val="0"/>
              <w:spacing w:before="0" w:beforeAutospacing="0" w:after="0" w:afterAutospacing="0" w:line="480" w:lineRule="atLeast"/>
              <w:ind w:left="0" w:right="0" w:firstLine="1200" w:firstLineChars="500"/>
              <w:rPr>
                <w:rFonts w:hint="default" w:ascii="Times New Roman" w:hAnsi="Times New Roman" w:cs="Times New Roman"/>
                <w:bCs/>
                <w:color w:val="auto"/>
                <w:sz w:val="24"/>
              </w:rPr>
            </w:pPr>
            <w:r>
              <w:rPr>
                <w:rFonts w:hint="default" w:ascii="Times New Roman" w:hAnsi="Times New Roman" w:cs="Times New Roman"/>
                <w:i/>
                <w:color w:val="auto"/>
                <w:kern w:val="0"/>
                <w:sz w:val="24"/>
              </w:rPr>
              <w:t>D</w:t>
            </w:r>
            <w:r>
              <w:rPr>
                <w:rFonts w:hint="default" w:ascii="Times New Roman" w:hAnsi="Times New Roman" w:cs="Times New Roman"/>
                <w:i/>
                <w:color w:val="auto"/>
                <w:kern w:val="0"/>
                <w:sz w:val="24"/>
                <w:vertAlign w:val="subscript"/>
              </w:rPr>
              <w:t>c</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指向性校正，它描述点声源的等效连续声压级与产生声功率级</w:t>
            </w: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w</w:t>
            </w:r>
            <w:r>
              <w:rPr>
                <w:rFonts w:hint="default" w:ascii="Times New Roman" w:hAnsi="Times New Roman" w:cs="Times New Roman"/>
                <w:color w:val="auto"/>
                <w:kern w:val="0"/>
                <w:sz w:val="24"/>
              </w:rPr>
              <w:t>的全</w:t>
            </w:r>
            <w:r>
              <w:rPr>
                <w:rFonts w:hint="default" w:ascii="Times New Roman" w:hAnsi="Times New Roman" w:cs="Times New Roman"/>
                <w:bCs/>
                <w:color w:val="auto"/>
                <w:sz w:val="24"/>
              </w:rPr>
              <w:t>向点声源在规定方向的声级的偏差程度，dB；</w:t>
            </w:r>
          </w:p>
          <w:p w14:paraId="50E69E09">
            <w:pPr>
              <w:keepNext w:val="0"/>
              <w:keepLines w:val="0"/>
              <w:suppressLineNumbers w:val="0"/>
              <w:adjustRightInd w:val="0"/>
              <w:snapToGrid w:val="0"/>
              <w:spacing w:before="0" w:beforeAutospacing="0" w:after="0" w:afterAutospacing="0" w:line="480" w:lineRule="atLeast"/>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A</w:t>
            </w:r>
            <w:r>
              <w:rPr>
                <w:rFonts w:hint="default" w:ascii="Times New Roman" w:hAnsi="Times New Roman" w:cs="Times New Roman"/>
                <w:i/>
                <w:color w:val="auto"/>
                <w:kern w:val="0"/>
                <w:sz w:val="24"/>
                <w:vertAlign w:val="subscript"/>
              </w:rPr>
              <w:t>div</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几何发散引起的衰减，dB，公式：</w:t>
            </w:r>
            <w:r>
              <w:rPr>
                <w:rFonts w:hint="default" w:ascii="Times New Roman" w:hAnsi="Times New Roman" w:cs="Times New Roman"/>
                <w:color w:val="auto"/>
                <w:kern w:val="0"/>
                <w:sz w:val="24"/>
              </w:rPr>
              <w:t>A</w:t>
            </w:r>
            <w:r>
              <w:rPr>
                <w:rFonts w:hint="default" w:ascii="Times New Roman" w:hAnsi="Times New Roman" w:cs="Times New Roman"/>
                <w:color w:val="auto"/>
                <w:kern w:val="0"/>
                <w:sz w:val="24"/>
                <w:vertAlign w:val="subscript"/>
              </w:rPr>
              <w:t>div</w:t>
            </w:r>
            <w:r>
              <w:rPr>
                <w:rFonts w:hint="default" w:ascii="Times New Roman" w:hAnsi="Times New Roman" w:cs="Times New Roman"/>
                <w:color w:val="auto"/>
                <w:kern w:val="0"/>
                <w:sz w:val="24"/>
              </w:rPr>
              <w:t>=20lg（r/r</w:t>
            </w:r>
            <w:r>
              <w:rPr>
                <w:rFonts w:hint="default" w:ascii="Times New Roman" w:hAnsi="Times New Roman" w:cs="Times New Roman"/>
                <w:color w:val="auto"/>
                <w:kern w:val="0"/>
                <w:sz w:val="24"/>
                <w:vertAlign w:val="subscript"/>
              </w:rPr>
              <w:t>0</w:t>
            </w:r>
            <w:r>
              <w:rPr>
                <w:rFonts w:hint="default" w:ascii="Times New Roman" w:hAnsi="Times New Roman" w:cs="Times New Roman"/>
                <w:color w:val="auto"/>
                <w:kern w:val="0"/>
                <w:sz w:val="24"/>
              </w:rPr>
              <w:t>）；</w:t>
            </w:r>
          </w:p>
          <w:p w14:paraId="2DB8A54D">
            <w:pPr>
              <w:keepNext w:val="0"/>
              <w:keepLines w:val="0"/>
              <w:suppressLineNumbers w:val="0"/>
              <w:spacing w:before="0" w:beforeAutospacing="0" w:after="0" w:afterAutospacing="0" w:line="480" w:lineRule="atLeast"/>
              <w:ind w:left="0" w:right="0" w:firstLine="1200" w:firstLineChars="500"/>
              <w:rPr>
                <w:rFonts w:hint="default" w:ascii="Times New Roman" w:hAnsi="Times New Roman" w:cs="Times New Roman"/>
                <w:bCs/>
                <w:color w:val="auto"/>
                <w:sz w:val="24"/>
              </w:rPr>
            </w:pPr>
            <w:r>
              <w:rPr>
                <w:rFonts w:hint="default" w:ascii="Times New Roman" w:hAnsi="Times New Roman" w:cs="Times New Roman"/>
                <w:i/>
                <w:color w:val="auto"/>
                <w:kern w:val="0"/>
                <w:sz w:val="24"/>
              </w:rPr>
              <w:t>A</w:t>
            </w:r>
            <w:r>
              <w:rPr>
                <w:rFonts w:hint="default" w:ascii="Times New Roman" w:hAnsi="Times New Roman" w:cs="Times New Roman"/>
                <w:i/>
                <w:color w:val="auto"/>
                <w:kern w:val="0"/>
                <w:sz w:val="24"/>
                <w:vertAlign w:val="subscript"/>
              </w:rPr>
              <w:t>atm</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大气吸收引起的衰减，dB，公式：</w:t>
            </w:r>
            <w:r>
              <w:rPr>
                <w:rFonts w:hint="default" w:ascii="Times New Roman" w:hAnsi="Times New Roman" w:cs="Times New Roman"/>
                <w:color w:val="auto"/>
                <w:sz w:val="24"/>
              </w:rPr>
              <w:drawing>
                <wp:inline distT="0" distB="0" distL="114300" distR="114300">
                  <wp:extent cx="962025" cy="287655"/>
                  <wp:effectExtent l="0" t="0" r="9525" b="17145"/>
                  <wp:docPr id="15"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6"/>
                          <pic:cNvPicPr>
                            <a:picLocks noChangeAspect="1"/>
                          </pic:cNvPicPr>
                        </pic:nvPicPr>
                        <pic:blipFill>
                          <a:blip r:embed="rId13"/>
                          <a:stretch>
                            <a:fillRect/>
                          </a:stretch>
                        </pic:blipFill>
                        <pic:spPr>
                          <a:xfrm>
                            <a:off x="0" y="0"/>
                            <a:ext cx="962025" cy="287655"/>
                          </a:xfrm>
                          <a:prstGeom prst="rect">
                            <a:avLst/>
                          </a:prstGeom>
                          <a:noFill/>
                          <a:ln>
                            <a:noFill/>
                          </a:ln>
                        </pic:spPr>
                      </pic:pic>
                    </a:graphicData>
                  </a:graphic>
                </wp:inline>
              </w:drawing>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其中α为大气吸收衰减系数；</w:t>
            </w:r>
          </w:p>
          <w:p w14:paraId="46E74380">
            <w:pPr>
              <w:keepNext w:val="0"/>
              <w:keepLines w:val="0"/>
              <w:suppressLineNumbers w:val="0"/>
              <w:spacing w:before="0" w:beforeAutospacing="0" w:after="0" w:afterAutospacing="0" w:line="480" w:lineRule="atLeast"/>
              <w:ind w:left="0" w:right="0" w:firstLine="1080" w:firstLineChars="450"/>
              <w:rPr>
                <w:rFonts w:hint="default" w:ascii="Times New Roman" w:hAnsi="Times New Roman" w:cs="Times New Roman"/>
                <w:bCs/>
                <w:color w:val="auto"/>
                <w:sz w:val="24"/>
              </w:rPr>
            </w:pPr>
            <w:r>
              <w:rPr>
                <w:rFonts w:hint="default" w:ascii="Times New Roman" w:hAnsi="Times New Roman" w:cs="Times New Roman"/>
                <w:i/>
                <w:color w:val="auto"/>
                <w:kern w:val="0"/>
                <w:sz w:val="24"/>
              </w:rPr>
              <w:t>A</w:t>
            </w:r>
            <w:r>
              <w:rPr>
                <w:rFonts w:hint="default" w:ascii="Times New Roman" w:hAnsi="Times New Roman" w:cs="Times New Roman"/>
                <w:i/>
                <w:color w:val="auto"/>
                <w:kern w:val="0"/>
                <w:sz w:val="24"/>
                <w:vertAlign w:val="subscript"/>
              </w:rPr>
              <w:t>gr</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地面效应引起的衰减，dB，公式：</w:t>
            </w:r>
            <w:r>
              <w:rPr>
                <w:rFonts w:hint="default" w:ascii="Times New Roman" w:hAnsi="Times New Roman" w:cs="Times New Roman"/>
                <w:color w:val="auto"/>
                <w:sz w:val="24"/>
              </w:rPr>
              <w:drawing>
                <wp:inline distT="0" distB="0" distL="114300" distR="114300">
                  <wp:extent cx="1802130" cy="287655"/>
                  <wp:effectExtent l="0" t="0" r="7620" b="17145"/>
                  <wp:docPr id="16"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7"/>
                          <pic:cNvPicPr>
                            <a:picLocks noChangeAspect="1"/>
                          </pic:cNvPicPr>
                        </pic:nvPicPr>
                        <pic:blipFill>
                          <a:blip r:embed="rId14"/>
                          <a:stretch>
                            <a:fillRect/>
                          </a:stretch>
                        </pic:blipFill>
                        <pic:spPr>
                          <a:xfrm>
                            <a:off x="0" y="0"/>
                            <a:ext cx="1802130" cy="287655"/>
                          </a:xfrm>
                          <a:prstGeom prst="rect">
                            <a:avLst/>
                          </a:prstGeom>
                          <a:noFill/>
                          <a:ln>
                            <a:noFill/>
                          </a:ln>
                        </pic:spPr>
                      </pic:pic>
                    </a:graphicData>
                  </a:graphic>
                </wp:inline>
              </w:drawing>
            </w:r>
            <w:r>
              <w:rPr>
                <w:rFonts w:hint="default" w:ascii="Times New Roman" w:hAnsi="Times New Roman" w:cs="Times New Roman"/>
                <w:bCs/>
                <w:color w:val="auto"/>
                <w:sz w:val="24"/>
              </w:rPr>
              <w:t>，其中hm为传播</w:t>
            </w:r>
            <w:r>
              <w:rPr>
                <w:rFonts w:hint="eastAsia" w:ascii="Times New Roman" w:hAnsi="Times New Roman" w:cs="Times New Roman"/>
                <w:bCs/>
                <w:color w:val="auto"/>
                <w:sz w:val="24"/>
              </w:rPr>
              <w:t>路径</w:t>
            </w:r>
            <w:r>
              <w:rPr>
                <w:rFonts w:hint="default" w:ascii="Times New Roman" w:hAnsi="Times New Roman" w:cs="Times New Roman"/>
                <w:bCs/>
                <w:color w:val="auto"/>
                <w:sz w:val="24"/>
              </w:rPr>
              <w:t>的平均离地高度（m）；</w:t>
            </w:r>
          </w:p>
          <w:p w14:paraId="6ADABA49">
            <w:pPr>
              <w:keepNext w:val="0"/>
              <w:keepLines w:val="0"/>
              <w:suppressLineNumbers w:val="0"/>
              <w:adjustRightInd w:val="0"/>
              <w:snapToGrid w:val="0"/>
              <w:spacing w:before="0" w:beforeAutospacing="0" w:after="0" w:afterAutospacing="0" w:line="480" w:lineRule="atLeast"/>
              <w:ind w:left="0" w:right="0" w:firstLine="1200" w:firstLineChars="500"/>
              <w:rPr>
                <w:rFonts w:hint="default" w:ascii="Times New Roman" w:hAnsi="Times New Roman" w:cs="Times New Roman"/>
                <w:bCs/>
                <w:color w:val="auto"/>
                <w:sz w:val="24"/>
              </w:rPr>
            </w:pPr>
            <w:r>
              <w:rPr>
                <w:rFonts w:hint="default" w:ascii="Times New Roman" w:hAnsi="Times New Roman" w:cs="Times New Roman"/>
                <w:i/>
                <w:color w:val="auto"/>
                <w:kern w:val="0"/>
                <w:sz w:val="24"/>
              </w:rPr>
              <w:t>A</w:t>
            </w:r>
            <w:r>
              <w:rPr>
                <w:rFonts w:hint="default" w:ascii="Times New Roman" w:hAnsi="Times New Roman" w:cs="Times New Roman"/>
                <w:i/>
                <w:color w:val="auto"/>
                <w:kern w:val="0"/>
                <w:sz w:val="24"/>
                <w:vertAlign w:val="subscript"/>
              </w:rPr>
              <w:t>bar</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障碍物屏蔽引起的衰减，dB，在单绕射（即薄屏障）情况，衰减最大取20dB(A)；在双绕射（即厚屏障）情况，衰减最大取25dB(A)；</w:t>
            </w:r>
          </w:p>
          <w:p w14:paraId="1C284465">
            <w:pPr>
              <w:keepNext w:val="0"/>
              <w:keepLines w:val="0"/>
              <w:suppressLineNumbers w:val="0"/>
              <w:adjustRightInd w:val="0"/>
              <w:snapToGrid w:val="0"/>
              <w:spacing w:before="0" w:beforeAutospacing="0" w:after="0" w:afterAutospacing="0" w:line="480" w:lineRule="atLeast"/>
              <w:ind w:left="0" w:right="0" w:firstLine="1200" w:firstLineChars="500"/>
              <w:rPr>
                <w:rFonts w:hint="default" w:ascii="Times New Roman" w:hAnsi="Times New Roman" w:cs="Times New Roman"/>
                <w:bCs/>
                <w:color w:val="auto"/>
                <w:sz w:val="24"/>
              </w:rPr>
            </w:pPr>
            <w:r>
              <w:rPr>
                <w:rFonts w:hint="default" w:ascii="Times New Roman" w:hAnsi="Times New Roman" w:cs="Times New Roman"/>
                <w:i/>
                <w:color w:val="auto"/>
                <w:kern w:val="0"/>
                <w:sz w:val="24"/>
              </w:rPr>
              <w:t>A</w:t>
            </w:r>
            <w:r>
              <w:rPr>
                <w:rFonts w:hint="default" w:ascii="Times New Roman" w:hAnsi="Times New Roman" w:cs="Times New Roman"/>
                <w:i/>
                <w:color w:val="auto"/>
                <w:kern w:val="0"/>
                <w:sz w:val="24"/>
                <w:vertAlign w:val="subscript"/>
              </w:rPr>
              <w:t>misc</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其他多方面效应引起的衰减，dB。</w:t>
            </w:r>
          </w:p>
          <w:p w14:paraId="72686A85">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在不能取得声源倍频带声功率级或倍频带声压级，只能获得A声功率级或某点的A声级时，可按下式做近似计算：</w:t>
            </w:r>
          </w:p>
          <w:p w14:paraId="0C7CD8C0">
            <w:pPr>
              <w:keepNext w:val="0"/>
              <w:keepLines w:val="0"/>
              <w:suppressLineNumbers w:val="0"/>
              <w:adjustRightInd w:val="0"/>
              <w:snapToGrid w:val="0"/>
              <w:spacing w:before="0" w:beforeAutospacing="0" w:after="0" w:afterAutospacing="0" w:line="480" w:lineRule="atLeast"/>
              <w:ind w:left="0" w:right="0" w:firstLine="420"/>
              <w:jc w:val="center"/>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A</w:t>
            </w:r>
            <w:r>
              <w:rPr>
                <w:rFonts w:hint="default" w:ascii="Times New Roman" w:hAnsi="Times New Roman" w:cs="Times New Roman"/>
                <w:i/>
                <w:color w:val="auto"/>
                <w:kern w:val="0"/>
                <w:sz w:val="24"/>
              </w:rPr>
              <w:t>(r)</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aw</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D</w:t>
            </w:r>
            <w:r>
              <w:rPr>
                <w:rFonts w:hint="default" w:ascii="Times New Roman" w:hAnsi="Times New Roman" w:cs="Times New Roman"/>
                <w:i/>
                <w:color w:val="auto"/>
                <w:kern w:val="0"/>
                <w:sz w:val="24"/>
                <w:vertAlign w:val="subscript"/>
              </w:rPr>
              <w:t>c</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A</w:t>
            </w:r>
            <w:r>
              <w:rPr>
                <w:rFonts w:hint="default" w:ascii="Times New Roman" w:hAnsi="Times New Roman" w:cs="Times New Roman"/>
                <w:color w:val="auto"/>
                <w:kern w:val="0"/>
                <w:sz w:val="24"/>
              </w:rPr>
              <w:t>或</w:t>
            </w: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A</w:t>
            </w:r>
            <w:r>
              <w:rPr>
                <w:rFonts w:hint="default" w:ascii="Times New Roman" w:hAnsi="Times New Roman" w:cs="Times New Roman"/>
                <w:i/>
                <w:color w:val="auto"/>
                <w:kern w:val="0"/>
                <w:sz w:val="24"/>
              </w:rPr>
              <w:t>(r)</w:t>
            </w:r>
            <w:r>
              <w:rPr>
                <w:rFonts w:hint="default" w:ascii="Times New Roman" w:hAnsi="Times New Roman" w:cs="Times New Roman"/>
                <w:color w:val="auto"/>
                <w:kern w:val="0"/>
                <w:sz w:val="24"/>
              </w:rPr>
              <w:t xml:space="preserve">= </w:t>
            </w: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A</w:t>
            </w:r>
            <w:r>
              <w:rPr>
                <w:rFonts w:hint="default" w:ascii="Times New Roman" w:hAnsi="Times New Roman" w:cs="Times New Roman"/>
                <w:i/>
                <w:color w:val="auto"/>
                <w:kern w:val="0"/>
                <w:sz w:val="24"/>
              </w:rPr>
              <w:t>(r</w:t>
            </w:r>
            <w:r>
              <w:rPr>
                <w:rFonts w:hint="default" w:ascii="Times New Roman" w:hAnsi="Times New Roman" w:cs="Times New Roman"/>
                <w:i/>
                <w:color w:val="auto"/>
                <w:kern w:val="0"/>
                <w:sz w:val="24"/>
                <w:vertAlign w:val="subscript"/>
              </w:rPr>
              <w:t>0</w:t>
            </w:r>
            <w:r>
              <w:rPr>
                <w:rFonts w:hint="default" w:ascii="Times New Roman" w:hAnsi="Times New Roman" w:cs="Times New Roman"/>
                <w:i/>
                <w:color w:val="auto"/>
                <w:kern w:val="0"/>
                <w:sz w:val="24"/>
              </w:rPr>
              <w:t>)</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A</w:t>
            </w:r>
          </w:p>
          <w:p w14:paraId="3252DADF">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A可选择对A声级影响最大的倍频带计算，一般可选中心频率为500Hz的倍频带作估算。</w:t>
            </w:r>
          </w:p>
          <w:p w14:paraId="2703B32C">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（2）室内声源等效室外声源声功率级计算方法</w:t>
            </w:r>
          </w:p>
          <w:p w14:paraId="6943CA29">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如图5.5-1所示，声源位于室内，室内声源可采用等效室外声源声功率级法进行计算。设靠近开口处</w:t>
            </w:r>
            <w:r>
              <w:rPr>
                <w:rFonts w:hint="eastAsia" w:ascii="Times New Roman" w:hAnsi="Times New Roman" w:cs="Times New Roman"/>
                <w:bCs/>
                <w:color w:val="auto"/>
                <w:sz w:val="24"/>
              </w:rPr>
              <w:t>（</w:t>
            </w:r>
            <w:r>
              <w:rPr>
                <w:rFonts w:hint="default" w:ascii="Times New Roman" w:hAnsi="Times New Roman" w:cs="Times New Roman"/>
                <w:bCs/>
                <w:color w:val="auto"/>
                <w:sz w:val="24"/>
              </w:rPr>
              <w:t>或窗户）室内、室外某倍频带的声压级分别为Lp1和Lp2。若声源所在室内声场为近似扩散声场，则室外的倍频带声压级可按公式（A1）近似求出：</w:t>
            </w:r>
          </w:p>
          <w:p w14:paraId="570ED9A1">
            <w:pPr>
              <w:keepNext w:val="0"/>
              <w:keepLines w:val="0"/>
              <w:suppressLineNumbers w:val="0"/>
              <w:adjustRightInd w:val="0"/>
              <w:snapToGrid w:val="0"/>
              <w:spacing w:before="0" w:beforeAutospacing="0" w:after="0" w:afterAutospacing="0" w:line="480" w:lineRule="atLeast"/>
              <w:ind w:left="0" w:right="0" w:firstLine="3117" w:firstLineChars="1299"/>
              <w:jc w:val="left"/>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p2</w:t>
            </w:r>
            <w:r>
              <w:rPr>
                <w:rFonts w:hint="default" w:ascii="Times New Roman" w:hAnsi="Times New Roman" w:cs="Times New Roman"/>
                <w:color w:val="auto"/>
                <w:kern w:val="0"/>
                <w:sz w:val="24"/>
              </w:rPr>
              <w:t xml:space="preserve">= </w:t>
            </w: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p1</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TL</w:t>
            </w:r>
            <w:r>
              <w:rPr>
                <w:rFonts w:hint="default" w:ascii="Times New Roman" w:hAnsi="Times New Roman" w:cs="Times New Roman"/>
                <w:color w:val="auto"/>
                <w:kern w:val="0"/>
                <w:sz w:val="24"/>
              </w:rPr>
              <w:t>+6)                      （A</w:t>
            </w:r>
            <w:r>
              <w:rPr>
                <w:rFonts w:hint="default" w:ascii="Times New Roman" w:hAnsi="Times New Roman" w:cs="Times New Roman"/>
                <w:color w:val="auto"/>
                <w:kern w:val="0"/>
                <w:sz w:val="24"/>
                <w:vertAlign w:val="subscript"/>
              </w:rPr>
              <w:t>1</w:t>
            </w:r>
            <w:r>
              <w:rPr>
                <w:rFonts w:hint="default" w:ascii="Times New Roman" w:hAnsi="Times New Roman" w:cs="Times New Roman"/>
                <w:color w:val="auto"/>
                <w:kern w:val="0"/>
                <w:sz w:val="24"/>
              </w:rPr>
              <w:t>）</w:t>
            </w:r>
          </w:p>
          <w:p w14:paraId="18FD0AE4">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式中：TL——隔墙（或窗户）倍频带的隔声量，dB。</w:t>
            </w:r>
          </w:p>
          <w:p w14:paraId="59C7D547">
            <w:pPr>
              <w:keepNext w:val="0"/>
              <w:keepLines w:val="0"/>
              <w:suppressLineNumbers w:val="0"/>
              <w:spacing w:before="0" w:beforeAutospacing="0" w:after="0" w:afterAutospacing="0" w:line="480" w:lineRule="atLeast"/>
              <w:ind w:left="0" w:right="0" w:firstLine="42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269490" cy="1310640"/>
                  <wp:effectExtent l="0" t="0" r="16510" b="3810"/>
                  <wp:docPr id="17"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8"/>
                          <pic:cNvPicPr>
                            <a:picLocks noChangeAspect="1"/>
                          </pic:cNvPicPr>
                        </pic:nvPicPr>
                        <pic:blipFill>
                          <a:blip r:embed="rId15"/>
                          <a:stretch>
                            <a:fillRect/>
                          </a:stretch>
                        </pic:blipFill>
                        <pic:spPr>
                          <a:xfrm>
                            <a:off x="0" y="0"/>
                            <a:ext cx="2269490" cy="1310640"/>
                          </a:xfrm>
                          <a:prstGeom prst="rect">
                            <a:avLst/>
                          </a:prstGeom>
                          <a:noFill/>
                          <a:ln>
                            <a:noFill/>
                          </a:ln>
                        </pic:spPr>
                      </pic:pic>
                    </a:graphicData>
                  </a:graphic>
                </wp:inline>
              </w:drawing>
            </w:r>
          </w:p>
          <w:p w14:paraId="01B19B71">
            <w:pPr>
              <w:keepNext w:val="0"/>
              <w:keepLines w:val="0"/>
              <w:suppressLineNumbers w:val="0"/>
              <w:adjustRightInd w:val="0"/>
              <w:snapToGrid w:val="0"/>
              <w:spacing w:before="0" w:beforeAutospacing="0" w:after="0" w:afterAutospacing="0" w:line="480" w:lineRule="atLeast"/>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图4.3-1 室内声源等效为室外声源图例</w:t>
            </w:r>
          </w:p>
          <w:p w14:paraId="68461190">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也可按公式（A2）计算某一室内声源靠近围护结构处产生的倍频带声压级：</w:t>
            </w:r>
          </w:p>
          <w:p w14:paraId="3678A91F">
            <w:pPr>
              <w:keepNext w:val="0"/>
              <w:keepLines w:val="0"/>
              <w:suppressLineNumbers w:val="0"/>
              <w:spacing w:before="0" w:beforeAutospacing="0" w:after="0" w:afterAutospacing="0" w:line="480" w:lineRule="atLeast"/>
              <w:ind w:left="0" w:right="0" w:firstLine="420"/>
              <w:jc w:val="righ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48460" cy="323850"/>
                  <wp:effectExtent l="0" t="0" r="8890" b="0"/>
                  <wp:docPr id="18"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9"/>
                          <pic:cNvPicPr>
                            <a:picLocks noChangeAspect="1"/>
                          </pic:cNvPicPr>
                        </pic:nvPicPr>
                        <pic:blipFill>
                          <a:blip r:embed="rId16"/>
                          <a:stretch>
                            <a:fillRect/>
                          </a:stretch>
                        </pic:blipFill>
                        <pic:spPr>
                          <a:xfrm>
                            <a:off x="0" y="0"/>
                            <a:ext cx="1648460" cy="323850"/>
                          </a:xfrm>
                          <a:prstGeom prst="rect">
                            <a:avLst/>
                          </a:prstGeom>
                          <a:noFill/>
                          <a:ln>
                            <a:noFill/>
                          </a:ln>
                        </pic:spPr>
                      </pic:pic>
                    </a:graphicData>
                  </a:graphic>
                </wp:inline>
              </w:drawing>
            </w:r>
            <w:r>
              <w:rPr>
                <w:rFonts w:hint="default" w:ascii="Times New Roman" w:hAnsi="Times New Roman" w:cs="Times New Roman"/>
                <w:color w:val="auto"/>
                <w:sz w:val="24"/>
              </w:rPr>
              <w:t xml:space="preserve">                </w:t>
            </w:r>
            <w:r>
              <w:rPr>
                <w:rFonts w:hint="default" w:ascii="Times New Roman" w:hAnsi="Times New Roman" w:cs="Times New Roman"/>
                <w:color w:val="auto"/>
                <w:kern w:val="0"/>
                <w:sz w:val="24"/>
              </w:rPr>
              <w:t xml:space="preserve"> （A</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w:t>
            </w:r>
          </w:p>
          <w:p w14:paraId="4E990DC0">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式中：</w:t>
            </w:r>
          </w:p>
          <w:p w14:paraId="354F82C0">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bCs/>
                <w:color w:val="auto"/>
                <w:sz w:val="24"/>
              </w:rPr>
            </w:pPr>
            <w:r>
              <w:rPr>
                <w:rFonts w:hint="default" w:ascii="Times New Roman" w:hAnsi="Times New Roman" w:cs="Times New Roman"/>
                <w:bCs/>
                <w:color w:val="auto"/>
                <w:sz w:val="24"/>
              </w:rPr>
              <w:t>Q——指向性因数；通常对无指向性声源，当声源放在房间中心时，Q=1；当放在一面墙的中心时，Q =2；当放在两面墙夹角处时，Q =4；当放在三面墙夹角处时，Q=8。</w:t>
            </w:r>
          </w:p>
          <w:p w14:paraId="37B9DE04">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bCs/>
                <w:color w:val="auto"/>
                <w:sz w:val="24"/>
              </w:rPr>
            </w:pPr>
            <w:r>
              <w:rPr>
                <w:rFonts w:hint="default" w:ascii="Times New Roman" w:hAnsi="Times New Roman" w:cs="Times New Roman"/>
                <w:bCs/>
                <w:color w:val="auto"/>
                <w:sz w:val="24"/>
              </w:rPr>
              <w:t>R——房间常数；R=Sα/(1－α)，S为房间内表面面积，m2 ；α为平均吸声系数。</w:t>
            </w:r>
          </w:p>
          <w:p w14:paraId="7F3047A1">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bCs/>
                <w:color w:val="auto"/>
                <w:sz w:val="24"/>
              </w:rPr>
            </w:pPr>
            <w:r>
              <w:rPr>
                <w:rFonts w:hint="default" w:ascii="Times New Roman" w:hAnsi="Times New Roman" w:cs="Times New Roman"/>
                <w:bCs/>
                <w:color w:val="auto"/>
                <w:sz w:val="24"/>
              </w:rPr>
              <w:t>r——声源到靠近围护结构某点处的距离，m。</w:t>
            </w:r>
          </w:p>
          <w:p w14:paraId="0D06088E">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然后按公式（A3）计算出所有室内声源在围护结构处产生的i倍频带叠加声压级：</w:t>
            </w:r>
          </w:p>
          <w:p w14:paraId="0898D006">
            <w:pPr>
              <w:keepNext w:val="0"/>
              <w:keepLines w:val="0"/>
              <w:suppressLineNumbers w:val="0"/>
              <w:spacing w:before="0" w:beforeAutospacing="0" w:after="0" w:afterAutospacing="0" w:line="480" w:lineRule="atLeast"/>
              <w:ind w:left="0" w:right="0" w:firstLine="420"/>
              <w:jc w:val="right"/>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68475" cy="469900"/>
                  <wp:effectExtent l="0" t="0" r="3175" b="6350"/>
                  <wp:docPr id="1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0"/>
                          <pic:cNvPicPr>
                            <a:picLocks noChangeAspect="1"/>
                          </pic:cNvPicPr>
                        </pic:nvPicPr>
                        <pic:blipFill>
                          <a:blip r:embed="rId17"/>
                          <a:stretch>
                            <a:fillRect/>
                          </a:stretch>
                        </pic:blipFill>
                        <pic:spPr>
                          <a:xfrm>
                            <a:off x="0" y="0"/>
                            <a:ext cx="1768475" cy="469900"/>
                          </a:xfrm>
                          <a:prstGeom prst="rect">
                            <a:avLst/>
                          </a:prstGeom>
                          <a:noFill/>
                          <a:ln>
                            <a:noFill/>
                          </a:ln>
                        </pic:spPr>
                      </pic:pic>
                    </a:graphicData>
                  </a:graphic>
                </wp:inline>
              </w:drawing>
            </w:r>
            <w:r>
              <w:rPr>
                <w:rFonts w:hint="default" w:ascii="Times New Roman" w:hAnsi="Times New Roman" w:cs="Times New Roman"/>
                <w:color w:val="auto"/>
                <w:sz w:val="24"/>
              </w:rPr>
              <w:t xml:space="preserve">                </w:t>
            </w:r>
            <w:r>
              <w:rPr>
                <w:rFonts w:hint="default" w:ascii="Times New Roman" w:hAnsi="Times New Roman" w:cs="Times New Roman"/>
                <w:color w:val="auto"/>
                <w:kern w:val="0"/>
                <w:sz w:val="24"/>
              </w:rPr>
              <w:t xml:space="preserve"> （A</w:t>
            </w:r>
            <w:r>
              <w:rPr>
                <w:rFonts w:hint="default" w:ascii="Times New Roman" w:hAnsi="Times New Roman" w:cs="Times New Roman"/>
                <w:color w:val="auto"/>
                <w:kern w:val="0"/>
                <w:sz w:val="24"/>
                <w:vertAlign w:val="subscript"/>
              </w:rPr>
              <w:t>3</w:t>
            </w:r>
            <w:r>
              <w:rPr>
                <w:rFonts w:hint="default" w:ascii="Times New Roman" w:hAnsi="Times New Roman" w:cs="Times New Roman"/>
                <w:color w:val="auto"/>
                <w:kern w:val="0"/>
                <w:sz w:val="24"/>
              </w:rPr>
              <w:t>）</w:t>
            </w:r>
          </w:p>
          <w:p w14:paraId="35128004">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式中：</w:t>
            </w:r>
          </w:p>
          <w:p w14:paraId="1CEF6707">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bCs/>
                <w:color w:val="auto"/>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p1i</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—靠近围护结构处室内N个声源i倍频带的叠加声压级，dB</w:t>
            </w:r>
            <w:r>
              <w:rPr>
                <w:rFonts w:hint="eastAsia" w:ascii="Times New Roman" w:hAnsi="Times New Roman" w:cs="Times New Roman"/>
                <w:bCs/>
                <w:color w:val="auto"/>
                <w:sz w:val="24"/>
              </w:rPr>
              <w:t>；</w:t>
            </w:r>
          </w:p>
          <w:p w14:paraId="3CDF45FD">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bCs/>
                <w:color w:val="auto"/>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p1ij</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—室内j声源i倍频带的声压级，dB；</w:t>
            </w:r>
          </w:p>
          <w:p w14:paraId="3AB98A46">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bCs/>
                <w:color w:val="auto"/>
                <w:sz w:val="24"/>
              </w:rPr>
            </w:pPr>
            <w:r>
              <w:rPr>
                <w:rFonts w:hint="default" w:ascii="Times New Roman" w:hAnsi="Times New Roman" w:cs="Times New Roman"/>
                <w:i/>
                <w:color w:val="auto"/>
                <w:kern w:val="0"/>
                <w:sz w:val="24"/>
              </w:rPr>
              <w:t>N</w:t>
            </w:r>
            <w:r>
              <w:rPr>
                <w:rFonts w:hint="default" w:ascii="Times New Roman" w:hAnsi="Times New Roman" w:cs="Times New Roman"/>
                <w:color w:val="auto"/>
                <w:kern w:val="0"/>
                <w:sz w:val="24"/>
              </w:rPr>
              <w:t>——</w:t>
            </w:r>
            <w:r>
              <w:rPr>
                <w:rFonts w:hint="default" w:ascii="Times New Roman" w:hAnsi="Times New Roman" w:cs="Times New Roman"/>
                <w:bCs/>
                <w:color w:val="auto"/>
                <w:sz w:val="24"/>
              </w:rPr>
              <w:t>室内声源总数。</w:t>
            </w:r>
          </w:p>
          <w:p w14:paraId="18546B9D">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bCs/>
                <w:color w:val="auto"/>
                <w:sz w:val="24"/>
              </w:rPr>
            </w:pPr>
            <w:r>
              <w:rPr>
                <w:rFonts w:hint="default" w:ascii="Times New Roman" w:hAnsi="Times New Roman" w:cs="Times New Roman"/>
                <w:bCs/>
                <w:color w:val="auto"/>
                <w:sz w:val="24"/>
              </w:rPr>
              <w:t>在室内近似为扩散声场时，按公式（A4）计算出靠近室外围护结构处的声压级：</w:t>
            </w:r>
          </w:p>
          <w:p w14:paraId="4FBAE2DD">
            <w:pPr>
              <w:keepNext w:val="0"/>
              <w:keepLines w:val="0"/>
              <w:suppressLineNumbers w:val="0"/>
              <w:adjustRightInd w:val="0"/>
              <w:snapToGrid w:val="0"/>
              <w:spacing w:before="0" w:beforeAutospacing="0" w:after="0" w:afterAutospacing="0" w:line="480" w:lineRule="atLeast"/>
              <w:ind w:left="0" w:right="0" w:firstLine="420"/>
              <w:jc w:val="right"/>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p2i</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 xml:space="preserve"> L</w:t>
            </w:r>
            <w:r>
              <w:rPr>
                <w:rFonts w:hint="default" w:ascii="Times New Roman" w:hAnsi="Times New Roman" w:cs="Times New Roman"/>
                <w:i/>
                <w:color w:val="auto"/>
                <w:kern w:val="0"/>
                <w:sz w:val="24"/>
                <w:vertAlign w:val="subscript"/>
              </w:rPr>
              <w:t>p1i</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TL</w:t>
            </w:r>
            <w:r>
              <w:rPr>
                <w:rFonts w:hint="default" w:ascii="Times New Roman" w:hAnsi="Times New Roman" w:cs="Times New Roman"/>
                <w:i/>
                <w:color w:val="auto"/>
                <w:kern w:val="0"/>
                <w:sz w:val="24"/>
                <w:vertAlign w:val="subscript"/>
              </w:rPr>
              <w:t>i</w:t>
            </w:r>
            <w:r>
              <w:rPr>
                <w:rFonts w:hint="default" w:ascii="Times New Roman" w:hAnsi="Times New Roman" w:cs="Times New Roman"/>
                <w:color w:val="auto"/>
                <w:kern w:val="0"/>
                <w:sz w:val="24"/>
              </w:rPr>
              <w:t>+6)             （A</w:t>
            </w:r>
            <w:r>
              <w:rPr>
                <w:rFonts w:hint="default" w:ascii="Times New Roman" w:hAnsi="Times New Roman" w:cs="Times New Roman"/>
                <w:color w:val="auto"/>
                <w:kern w:val="0"/>
                <w:sz w:val="24"/>
                <w:vertAlign w:val="subscript"/>
              </w:rPr>
              <w:t>4</w:t>
            </w:r>
            <w:r>
              <w:rPr>
                <w:rFonts w:hint="default" w:ascii="Times New Roman" w:hAnsi="Times New Roman" w:cs="Times New Roman"/>
                <w:color w:val="auto"/>
                <w:kern w:val="0"/>
                <w:sz w:val="24"/>
              </w:rPr>
              <w:t>）</w:t>
            </w:r>
          </w:p>
          <w:p w14:paraId="1994BC03">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w:t>
            </w:r>
          </w:p>
          <w:p w14:paraId="1A59A22B">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p2i</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w:t>
            </w:r>
            <w:r>
              <w:rPr>
                <w:rFonts w:hint="default" w:ascii="Times New Roman" w:hAnsi="Times New Roman" w:cs="Times New Roman"/>
                <w:color w:val="auto"/>
                <w:kern w:val="0"/>
                <w:sz w:val="24"/>
              </w:rPr>
              <w:t>）——靠近围护结构处室外N个声源i倍频带的叠加声压级，dB；</w:t>
            </w:r>
          </w:p>
          <w:p w14:paraId="59379231">
            <w:pPr>
              <w:keepNext w:val="0"/>
              <w:keepLines w:val="0"/>
              <w:suppressLineNumbers w:val="0"/>
              <w:adjustRightInd w:val="0"/>
              <w:snapToGrid w:val="0"/>
              <w:spacing w:before="0" w:beforeAutospacing="0" w:after="0" w:afterAutospacing="0" w:line="480" w:lineRule="atLeast"/>
              <w:ind w:left="0" w:right="0" w:firstLine="991" w:firstLineChars="413"/>
              <w:rPr>
                <w:rFonts w:hint="default" w:ascii="Times New Roman" w:hAnsi="Times New Roman" w:cs="Times New Roman"/>
                <w:color w:val="auto"/>
                <w:kern w:val="0"/>
                <w:sz w:val="24"/>
              </w:rPr>
            </w:pPr>
            <w:r>
              <w:rPr>
                <w:rFonts w:hint="default" w:ascii="Times New Roman" w:hAnsi="Times New Roman" w:cs="Times New Roman"/>
                <w:i/>
                <w:color w:val="auto"/>
                <w:kern w:val="0"/>
                <w:sz w:val="24"/>
              </w:rPr>
              <w:t>TL</w:t>
            </w:r>
            <w:r>
              <w:rPr>
                <w:rFonts w:hint="default" w:ascii="Times New Roman" w:hAnsi="Times New Roman" w:cs="Times New Roman"/>
                <w:i/>
                <w:color w:val="auto"/>
                <w:kern w:val="0"/>
                <w:sz w:val="24"/>
                <w:vertAlign w:val="subscript"/>
              </w:rPr>
              <w:t>i</w:t>
            </w:r>
            <w:r>
              <w:rPr>
                <w:rFonts w:hint="default" w:ascii="Times New Roman" w:hAnsi="Times New Roman" w:cs="Times New Roman"/>
                <w:color w:val="auto"/>
                <w:kern w:val="0"/>
                <w:sz w:val="24"/>
              </w:rPr>
              <w:t>——围护结构i倍频带的隔声量，dB。</w:t>
            </w:r>
          </w:p>
          <w:p w14:paraId="0047D421">
            <w:pPr>
              <w:keepNext w:val="0"/>
              <w:keepLines w:val="0"/>
              <w:suppressLineNumbers w:val="0"/>
              <w:adjustRightInd w:val="0"/>
              <w:snapToGrid w:val="0"/>
              <w:spacing w:before="0" w:beforeAutospacing="0" w:after="0" w:afterAutospacing="0" w:line="480" w:lineRule="atLeast"/>
              <w:ind w:left="0" w:right="0" w:firstLine="420"/>
              <w:rPr>
                <w:rFonts w:hint="default" w:ascii="Times New Roman" w:hAnsi="Times New Roman" w:cs="Times New Roman"/>
                <w:color w:val="auto"/>
                <w:kern w:val="0"/>
                <w:sz w:val="24"/>
              </w:rPr>
            </w:pPr>
            <w:r>
              <w:rPr>
                <w:rFonts w:hint="default" w:ascii="Times New Roman" w:hAnsi="Times New Roman" w:cs="Times New Roman"/>
                <w:color w:val="auto"/>
                <w:kern w:val="0"/>
                <w:sz w:val="24"/>
              </w:rPr>
              <w:t>然后按公式（A</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）将室外声源的声压级和透过面积换算成等效的室外声源，计算出中心位置位于透声面积（S）处的等效声源的倍频带声功率级。</w:t>
            </w:r>
          </w:p>
          <w:p w14:paraId="0E2915E2">
            <w:pPr>
              <w:keepNext w:val="0"/>
              <w:keepLines w:val="0"/>
              <w:suppressLineNumbers w:val="0"/>
              <w:adjustRightInd w:val="0"/>
              <w:snapToGrid w:val="0"/>
              <w:spacing w:before="0" w:beforeAutospacing="0" w:after="0" w:afterAutospacing="0" w:line="480" w:lineRule="atLeast"/>
              <w:ind w:left="0" w:right="0" w:firstLine="420"/>
              <w:jc w:val="center"/>
              <w:rPr>
                <w:rFonts w:hint="default" w:ascii="Times New Roman" w:hAnsi="Times New Roman" w:cs="Times New Roman"/>
                <w:color w:val="auto"/>
                <w:sz w:val="24"/>
              </w:rPr>
            </w:pPr>
            <w:r>
              <w:rPr>
                <w:rFonts w:hint="default" w:ascii="Times New Roman" w:hAnsi="Times New Roman" w:cs="Times New Roman"/>
                <w:i/>
                <w:color w:val="auto"/>
                <w:kern w:val="0"/>
                <w:sz w:val="24"/>
              </w:rPr>
              <w:t>L</w:t>
            </w:r>
            <w:r>
              <w:rPr>
                <w:rFonts w:hint="default" w:ascii="Times New Roman" w:hAnsi="Times New Roman" w:cs="Times New Roman"/>
                <w:i/>
                <w:color w:val="auto"/>
                <w:kern w:val="0"/>
                <w:sz w:val="24"/>
                <w:vertAlign w:val="subscript"/>
              </w:rPr>
              <w:t>w</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 xml:space="preserve"> L</w:t>
            </w:r>
            <w:r>
              <w:rPr>
                <w:rFonts w:hint="default" w:ascii="Times New Roman" w:hAnsi="Times New Roman" w:cs="Times New Roman"/>
                <w:i/>
                <w:color w:val="auto"/>
                <w:kern w:val="0"/>
                <w:sz w:val="24"/>
                <w:vertAlign w:val="subscript"/>
              </w:rPr>
              <w:t xml:space="preserve"> p2</w:t>
            </w:r>
            <w:r>
              <w:rPr>
                <w:rFonts w:hint="default" w:ascii="Times New Roman" w:hAnsi="Times New Roman" w:cs="Times New Roman"/>
                <w:color w:val="auto"/>
                <w:kern w:val="0"/>
                <w:sz w:val="24"/>
              </w:rPr>
              <w:t>（</w:t>
            </w:r>
            <w:r>
              <w:rPr>
                <w:rFonts w:hint="default" w:ascii="Times New Roman" w:hAnsi="Times New Roman" w:cs="Times New Roman"/>
                <w:i/>
                <w:color w:val="auto"/>
                <w:kern w:val="0"/>
                <w:sz w:val="24"/>
              </w:rPr>
              <w:t>T</w:t>
            </w:r>
            <w:r>
              <w:rPr>
                <w:rFonts w:hint="default" w:ascii="Times New Roman" w:hAnsi="Times New Roman" w:cs="Times New Roman"/>
                <w:color w:val="auto"/>
                <w:kern w:val="0"/>
                <w:sz w:val="24"/>
              </w:rPr>
              <w:t xml:space="preserve">）+10lg </w:t>
            </w:r>
            <w:r>
              <w:rPr>
                <w:rFonts w:hint="default" w:ascii="Times New Roman" w:hAnsi="Times New Roman" w:cs="Times New Roman"/>
                <w:i/>
                <w:color w:val="auto"/>
                <w:kern w:val="0"/>
                <w:sz w:val="24"/>
              </w:rPr>
              <w:t xml:space="preserve">S </w:t>
            </w:r>
            <w:r>
              <w:rPr>
                <w:rFonts w:hint="default" w:ascii="Times New Roman" w:hAnsi="Times New Roman" w:cs="Times New Roman"/>
                <w:color w:val="auto"/>
                <w:kern w:val="0"/>
                <w:sz w:val="24"/>
              </w:rPr>
              <w:t xml:space="preserve">             （A</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w:t>
            </w:r>
          </w:p>
          <w:p w14:paraId="7EC4F558">
            <w:pPr>
              <w:pStyle w:val="97"/>
              <w:keepNext w:val="0"/>
              <w:keepLines w:val="0"/>
              <w:suppressLineNumbers w:val="0"/>
              <w:spacing w:before="0" w:beforeLines="0" w:beforeAutospacing="0" w:after="0" w:afterLines="0" w:afterAutospacing="0" w:line="440" w:lineRule="exact"/>
              <w:ind w:left="0" w:right="0" w:firstLine="500"/>
              <w:rPr>
                <w:rFonts w:hint="default"/>
                <w:color w:val="auto"/>
                <w:sz w:val="24"/>
              </w:rPr>
            </w:pPr>
            <w:r>
              <w:rPr>
                <w:rFonts w:hint="default"/>
                <w:color w:val="auto"/>
                <w:sz w:val="24"/>
              </w:rPr>
              <w:t>噪声源对厂界</w:t>
            </w:r>
            <w:r>
              <w:rPr>
                <w:rFonts w:hint="eastAsia"/>
                <w:color w:val="auto"/>
                <w:sz w:val="24"/>
              </w:rPr>
              <w:t>及敏感点</w:t>
            </w:r>
            <w:r>
              <w:rPr>
                <w:rFonts w:hint="default"/>
                <w:color w:val="auto"/>
                <w:sz w:val="24"/>
              </w:rPr>
              <w:t>噪声的影响预测结果见表</w:t>
            </w:r>
            <w:r>
              <w:rPr>
                <w:rFonts w:hint="default" w:ascii="Times New Roman" w:hAnsi="Times New Roman" w:cs="Times New Roman"/>
                <w:color w:val="auto"/>
                <w:sz w:val="24"/>
              </w:rPr>
              <w:t>4.3-3</w:t>
            </w:r>
            <w:r>
              <w:rPr>
                <w:rFonts w:hint="default"/>
                <w:color w:val="auto"/>
                <w:sz w:val="24"/>
              </w:rPr>
              <w:t>。</w:t>
            </w:r>
          </w:p>
          <w:p w14:paraId="465D6FC9">
            <w:pPr>
              <w:pStyle w:val="97"/>
              <w:keepNext w:val="0"/>
              <w:keepLines w:val="0"/>
              <w:suppressLineNumbers w:val="0"/>
              <w:spacing w:before="0" w:beforeLines="0" w:beforeAutospacing="0" w:after="0" w:afterLines="0" w:afterAutospacing="0" w:line="440" w:lineRule="exact"/>
              <w:ind w:left="0" w:right="0" w:firstLine="500"/>
              <w:rPr>
                <w:rFonts w:hint="default" w:ascii="Times New Roman" w:hAnsi="Times New Roman" w:eastAsia="宋体" w:cs="Times New Roman"/>
                <w:color w:val="auto"/>
              </w:rPr>
            </w:pPr>
            <w:r>
              <w:rPr>
                <w:rFonts w:hint="default" w:ascii="Times New Roman" w:hAnsi="Times New Roman" w:eastAsia="宋体" w:cs="Times New Roman"/>
                <w:color w:val="auto"/>
              </w:rPr>
              <w:t>噪声预测情况及监测要求见下表。</w:t>
            </w:r>
          </w:p>
          <w:p w14:paraId="7C5EFBD3">
            <w:pPr>
              <w:keepNext w:val="0"/>
              <w:keepLines w:val="0"/>
              <w:suppressLineNumbers w:val="0"/>
              <w:adjustRightInd w:val="0"/>
              <w:snapToGrid w:val="0"/>
              <w:spacing w:before="72" w:beforeLines="30" w:beforeAutospacing="0" w:after="0" w:afterAutospacing="0"/>
              <w:ind w:left="0" w:right="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w:t>
            </w:r>
            <w:r>
              <w:rPr>
                <w:rFonts w:hint="eastAsia" w:ascii="Times New Roman" w:hAnsi="Times New Roman" w:eastAsia="宋体" w:cs="Times New Roman"/>
                <w:b/>
                <w:color w:val="auto"/>
                <w:sz w:val="24"/>
                <w:lang w:val="en-US" w:eastAsia="zh-CN"/>
              </w:rPr>
              <w:t>4.3-3</w:t>
            </w:r>
            <w:r>
              <w:rPr>
                <w:rFonts w:hint="default" w:ascii="Times New Roman" w:hAnsi="Times New Roman" w:eastAsia="宋体" w:cs="Times New Roman"/>
                <w:b/>
                <w:color w:val="auto"/>
                <w:sz w:val="24"/>
              </w:rPr>
              <w:t xml:space="preserve"> 各厂界噪声预测结果  单位：dB（A）</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795"/>
              <w:gridCol w:w="795"/>
              <w:gridCol w:w="799"/>
              <w:gridCol w:w="985"/>
              <w:gridCol w:w="1405"/>
              <w:gridCol w:w="1406"/>
              <w:gridCol w:w="1178"/>
            </w:tblGrid>
            <w:tr w14:paraId="51779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645" w:type="pct"/>
                  <w:vMerge w:val="restart"/>
                  <w:noWrap w:val="0"/>
                  <w:vAlign w:val="center"/>
                </w:tcPr>
                <w:p w14:paraId="1777A71E">
                  <w:pPr>
                    <w:keepNext w:val="0"/>
                    <w:keepLines w:val="0"/>
                    <w:suppressLineNumbers w:val="0"/>
                    <w:spacing w:before="0" w:beforeAutospacing="0" w:after="0" w:afterAutospacing="0"/>
                    <w:ind w:left="0" w:right="0"/>
                    <w:jc w:val="center"/>
                    <w:rPr>
                      <w:rFonts w:hint="default"/>
                      <w:color w:val="auto"/>
                      <w:szCs w:val="21"/>
                    </w:rPr>
                  </w:pPr>
                  <w:r>
                    <w:rPr>
                      <w:rFonts w:hint="default"/>
                      <w:b/>
                      <w:color w:val="auto"/>
                      <w:szCs w:val="21"/>
                    </w:rPr>
                    <w:t>预测方位</w:t>
                  </w:r>
                </w:p>
              </w:tc>
              <w:tc>
                <w:tcPr>
                  <w:tcW w:w="1412" w:type="pct"/>
                  <w:gridSpan w:val="3"/>
                  <w:noWrap w:val="0"/>
                  <w:vAlign w:val="center"/>
                </w:tcPr>
                <w:p w14:paraId="04308E98">
                  <w:pPr>
                    <w:keepNext w:val="0"/>
                    <w:keepLines w:val="0"/>
                    <w:suppressLineNumbers w:val="0"/>
                    <w:spacing w:before="0" w:beforeAutospacing="0" w:after="0" w:afterAutospacing="0"/>
                    <w:ind w:left="0" w:right="0"/>
                    <w:jc w:val="center"/>
                    <w:rPr>
                      <w:rFonts w:hint="default"/>
                      <w:color w:val="auto"/>
                      <w:szCs w:val="21"/>
                    </w:rPr>
                  </w:pPr>
                  <w:r>
                    <w:rPr>
                      <w:rFonts w:hint="default"/>
                      <w:b/>
                      <w:color w:val="auto"/>
                      <w:szCs w:val="21"/>
                    </w:rPr>
                    <w:t>空间相对位置/m</w:t>
                  </w:r>
                </w:p>
              </w:tc>
              <w:tc>
                <w:tcPr>
                  <w:tcW w:w="582" w:type="pct"/>
                  <w:vMerge w:val="restart"/>
                  <w:noWrap w:val="0"/>
                  <w:vAlign w:val="center"/>
                </w:tcPr>
                <w:p w14:paraId="0DC7230A">
                  <w:pPr>
                    <w:keepNext w:val="0"/>
                    <w:keepLines w:val="0"/>
                    <w:suppressLineNumbers w:val="0"/>
                    <w:spacing w:before="0" w:beforeAutospacing="0" w:after="0" w:afterAutospacing="0"/>
                    <w:ind w:left="0" w:right="0"/>
                    <w:jc w:val="center"/>
                    <w:rPr>
                      <w:rFonts w:hint="default"/>
                      <w:color w:val="auto"/>
                      <w:szCs w:val="21"/>
                    </w:rPr>
                  </w:pPr>
                  <w:r>
                    <w:rPr>
                      <w:rFonts w:hint="default"/>
                      <w:b/>
                      <w:color w:val="auto"/>
                      <w:szCs w:val="21"/>
                    </w:rPr>
                    <w:t>时段</w:t>
                  </w:r>
                </w:p>
              </w:tc>
              <w:tc>
                <w:tcPr>
                  <w:tcW w:w="830" w:type="pct"/>
                  <w:vMerge w:val="restart"/>
                  <w:noWrap w:val="0"/>
                  <w:vAlign w:val="center"/>
                </w:tcPr>
                <w:p w14:paraId="19CBD035">
                  <w:pPr>
                    <w:keepNext w:val="0"/>
                    <w:keepLines w:val="0"/>
                    <w:suppressLineNumbers w:val="0"/>
                    <w:spacing w:before="0" w:beforeAutospacing="0" w:after="0" w:afterAutospacing="0"/>
                    <w:ind w:left="0" w:right="0"/>
                    <w:jc w:val="center"/>
                    <w:rPr>
                      <w:rFonts w:hint="default"/>
                      <w:color w:val="auto"/>
                      <w:szCs w:val="21"/>
                    </w:rPr>
                  </w:pPr>
                  <w:r>
                    <w:rPr>
                      <w:rFonts w:hint="eastAsia"/>
                      <w:b/>
                      <w:color w:val="auto"/>
                      <w:szCs w:val="21"/>
                      <w:lang w:val="en-US" w:eastAsia="zh-CN"/>
                    </w:rPr>
                    <w:t>贡献值</w:t>
                  </w:r>
                  <w:r>
                    <w:rPr>
                      <w:rFonts w:hint="default"/>
                      <w:b/>
                      <w:color w:val="auto"/>
                      <w:szCs w:val="21"/>
                    </w:rPr>
                    <w:t>（dB(A</w:t>
                  </w:r>
                  <w:r>
                    <w:rPr>
                      <w:rFonts w:hint="eastAsia"/>
                      <w:b/>
                      <w:color w:val="auto"/>
                      <w:szCs w:val="21"/>
                      <w:lang w:eastAsia="zh-CN"/>
                    </w:rPr>
                    <w:t>）</w:t>
                  </w:r>
                  <w:r>
                    <w:rPr>
                      <w:rFonts w:hint="default"/>
                      <w:b/>
                      <w:color w:val="auto"/>
                      <w:szCs w:val="21"/>
                    </w:rPr>
                    <w:t>）</w:t>
                  </w:r>
                </w:p>
              </w:tc>
              <w:tc>
                <w:tcPr>
                  <w:tcW w:w="831" w:type="pct"/>
                  <w:vMerge w:val="restart"/>
                  <w:noWrap w:val="0"/>
                  <w:vAlign w:val="center"/>
                </w:tcPr>
                <w:p w14:paraId="7E448197">
                  <w:pPr>
                    <w:keepNext w:val="0"/>
                    <w:keepLines w:val="0"/>
                    <w:suppressLineNumbers w:val="0"/>
                    <w:spacing w:before="0" w:beforeAutospacing="0" w:after="0" w:afterAutospacing="0"/>
                    <w:ind w:left="0" w:right="0"/>
                    <w:jc w:val="center"/>
                    <w:rPr>
                      <w:rFonts w:hint="default"/>
                      <w:color w:val="auto"/>
                      <w:szCs w:val="21"/>
                    </w:rPr>
                  </w:pPr>
                  <w:r>
                    <w:rPr>
                      <w:rFonts w:hint="default"/>
                      <w:b/>
                      <w:color w:val="auto"/>
                      <w:szCs w:val="21"/>
                    </w:rPr>
                    <w:t>标准限值（dB(A</w:t>
                  </w:r>
                  <w:r>
                    <w:rPr>
                      <w:rFonts w:hint="eastAsia"/>
                      <w:b/>
                      <w:color w:val="auto"/>
                      <w:szCs w:val="21"/>
                      <w:lang w:eastAsia="zh-CN"/>
                    </w:rPr>
                    <w:t>）</w:t>
                  </w:r>
                  <w:r>
                    <w:rPr>
                      <w:rFonts w:hint="default"/>
                      <w:b/>
                      <w:color w:val="auto"/>
                      <w:szCs w:val="21"/>
                    </w:rPr>
                    <w:t>）</w:t>
                  </w:r>
                </w:p>
              </w:tc>
              <w:tc>
                <w:tcPr>
                  <w:tcW w:w="696" w:type="pct"/>
                  <w:vMerge w:val="restart"/>
                  <w:noWrap w:val="0"/>
                  <w:vAlign w:val="center"/>
                </w:tcPr>
                <w:p w14:paraId="757B0267">
                  <w:pPr>
                    <w:keepNext w:val="0"/>
                    <w:keepLines w:val="0"/>
                    <w:suppressLineNumbers w:val="0"/>
                    <w:spacing w:before="0" w:beforeAutospacing="0" w:after="0" w:afterAutospacing="0"/>
                    <w:ind w:left="0" w:right="0"/>
                    <w:jc w:val="center"/>
                    <w:rPr>
                      <w:rFonts w:hint="default"/>
                      <w:color w:val="auto"/>
                      <w:szCs w:val="21"/>
                    </w:rPr>
                  </w:pPr>
                  <w:r>
                    <w:rPr>
                      <w:rFonts w:hint="default"/>
                      <w:b/>
                      <w:color w:val="auto"/>
                      <w:szCs w:val="21"/>
                    </w:rPr>
                    <w:t>达标情况</w:t>
                  </w:r>
                </w:p>
              </w:tc>
            </w:tr>
            <w:tr w14:paraId="4B019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exact"/>
                <w:jc w:val="center"/>
              </w:trPr>
              <w:tc>
                <w:tcPr>
                  <w:tcW w:w="645" w:type="pct"/>
                  <w:vMerge w:val="continue"/>
                  <w:shd w:val="clear" w:color="auto" w:fill="FFFFFF"/>
                  <w:noWrap w:val="0"/>
                  <w:vAlign w:val="center"/>
                </w:tcPr>
                <w:p w14:paraId="5B127519">
                  <w:pPr>
                    <w:keepNext w:val="0"/>
                    <w:keepLines w:val="0"/>
                    <w:suppressLineNumbers w:val="0"/>
                    <w:spacing w:before="0" w:beforeAutospacing="0" w:after="0" w:afterAutospacing="0"/>
                    <w:ind w:left="0" w:right="0"/>
                    <w:jc w:val="center"/>
                    <w:rPr>
                      <w:rFonts w:hint="default"/>
                      <w:color w:val="auto"/>
                      <w:szCs w:val="21"/>
                    </w:rPr>
                  </w:pPr>
                </w:p>
              </w:tc>
              <w:tc>
                <w:tcPr>
                  <w:tcW w:w="470" w:type="pct"/>
                  <w:shd w:val="clear" w:color="auto" w:fill="auto"/>
                  <w:noWrap w:val="0"/>
                  <w:vAlign w:val="center"/>
                </w:tcPr>
                <w:p w14:paraId="27CB8134">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
                    </w:rPr>
                    <w:t>X</w:t>
                  </w:r>
                </w:p>
              </w:tc>
              <w:tc>
                <w:tcPr>
                  <w:tcW w:w="470" w:type="pct"/>
                  <w:shd w:val="clear" w:color="auto" w:fill="auto"/>
                  <w:noWrap w:val="0"/>
                  <w:vAlign w:val="center"/>
                </w:tcPr>
                <w:p w14:paraId="1EC72A2B">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
                    </w:rPr>
                    <w:t>Y</w:t>
                  </w:r>
                </w:p>
              </w:tc>
              <w:tc>
                <w:tcPr>
                  <w:tcW w:w="470" w:type="pct"/>
                  <w:shd w:val="clear" w:color="auto" w:fill="auto"/>
                  <w:noWrap w:val="0"/>
                  <w:vAlign w:val="center"/>
                </w:tcPr>
                <w:p w14:paraId="43810690">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
                    </w:rPr>
                    <w:t>Z</w:t>
                  </w:r>
                </w:p>
              </w:tc>
              <w:tc>
                <w:tcPr>
                  <w:tcW w:w="582" w:type="pct"/>
                  <w:vMerge w:val="continue"/>
                  <w:shd w:val="clear" w:color="auto" w:fill="FFFFFF"/>
                  <w:noWrap w:val="0"/>
                  <w:vAlign w:val="center"/>
                </w:tcPr>
                <w:p w14:paraId="7684D491">
                  <w:pPr>
                    <w:keepNext w:val="0"/>
                    <w:keepLines w:val="0"/>
                    <w:suppressLineNumbers w:val="0"/>
                    <w:spacing w:before="0" w:beforeAutospacing="0" w:after="0" w:afterAutospacing="0"/>
                    <w:ind w:left="0" w:right="0"/>
                    <w:jc w:val="center"/>
                    <w:rPr>
                      <w:rFonts w:hint="default"/>
                      <w:color w:val="auto"/>
                      <w:szCs w:val="21"/>
                    </w:rPr>
                  </w:pPr>
                </w:p>
              </w:tc>
              <w:tc>
                <w:tcPr>
                  <w:tcW w:w="830" w:type="pct"/>
                  <w:vMerge w:val="continue"/>
                  <w:shd w:val="clear" w:color="auto" w:fill="FFFFFF"/>
                  <w:noWrap w:val="0"/>
                  <w:vAlign w:val="center"/>
                </w:tcPr>
                <w:p w14:paraId="2EF8D89F">
                  <w:pPr>
                    <w:keepNext w:val="0"/>
                    <w:keepLines w:val="0"/>
                    <w:suppressLineNumbers w:val="0"/>
                    <w:spacing w:before="0" w:beforeAutospacing="0" w:after="0" w:afterAutospacing="0"/>
                    <w:ind w:left="0" w:right="0"/>
                    <w:jc w:val="center"/>
                    <w:rPr>
                      <w:rFonts w:hint="default"/>
                      <w:color w:val="auto"/>
                      <w:szCs w:val="21"/>
                    </w:rPr>
                  </w:pPr>
                </w:p>
              </w:tc>
              <w:tc>
                <w:tcPr>
                  <w:tcW w:w="831" w:type="pct"/>
                  <w:vMerge w:val="continue"/>
                  <w:shd w:val="clear" w:color="auto" w:fill="FFFFFF"/>
                  <w:noWrap w:val="0"/>
                  <w:vAlign w:val="center"/>
                </w:tcPr>
                <w:p w14:paraId="22A6919C">
                  <w:pPr>
                    <w:keepNext w:val="0"/>
                    <w:keepLines w:val="0"/>
                    <w:suppressLineNumbers w:val="0"/>
                    <w:spacing w:before="0" w:beforeAutospacing="0" w:after="0" w:afterAutospacing="0"/>
                    <w:ind w:left="0" w:right="0"/>
                    <w:jc w:val="center"/>
                    <w:rPr>
                      <w:rFonts w:hint="default"/>
                      <w:color w:val="auto"/>
                      <w:szCs w:val="21"/>
                    </w:rPr>
                  </w:pPr>
                </w:p>
              </w:tc>
              <w:tc>
                <w:tcPr>
                  <w:tcW w:w="696" w:type="pct"/>
                  <w:vMerge w:val="continue"/>
                  <w:shd w:val="clear" w:color="auto" w:fill="FFFFFF"/>
                  <w:noWrap w:val="0"/>
                  <w:vAlign w:val="center"/>
                </w:tcPr>
                <w:p w14:paraId="7CB8CABF">
                  <w:pPr>
                    <w:keepNext w:val="0"/>
                    <w:keepLines w:val="0"/>
                    <w:suppressLineNumbers w:val="0"/>
                    <w:spacing w:before="0" w:beforeAutospacing="0" w:after="0" w:afterAutospacing="0"/>
                    <w:ind w:left="0" w:right="0"/>
                    <w:jc w:val="center"/>
                    <w:rPr>
                      <w:rFonts w:hint="default"/>
                      <w:color w:val="auto"/>
                      <w:szCs w:val="21"/>
                    </w:rPr>
                  </w:pPr>
                </w:p>
              </w:tc>
            </w:tr>
            <w:tr w14:paraId="49361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restart"/>
                  <w:shd w:val="clear" w:color="auto" w:fill="auto"/>
                  <w:noWrap w:val="0"/>
                  <w:vAlign w:val="center"/>
                </w:tcPr>
                <w:p w14:paraId="64906607">
                  <w:pPr>
                    <w:keepNext w:val="0"/>
                    <w:keepLines w:val="0"/>
                    <w:suppressLineNumbers w:val="0"/>
                    <w:spacing w:before="0" w:beforeAutospacing="0" w:after="0" w:afterAutospacing="0"/>
                    <w:ind w:left="0" w:right="0"/>
                    <w:jc w:val="center"/>
                    <w:rPr>
                      <w:rFonts w:hint="eastAsia"/>
                      <w:color w:val="auto"/>
                      <w:szCs w:val="21"/>
                    </w:rPr>
                  </w:pPr>
                  <w:r>
                    <w:rPr>
                      <w:rFonts w:hint="default" w:eastAsia="Arial"/>
                      <w:color w:val="auto"/>
                      <w:szCs w:val="21"/>
                    </w:rPr>
                    <w:t>东侧</w:t>
                  </w:r>
                  <w:r>
                    <w:rPr>
                      <w:rFonts w:hint="eastAsia"/>
                      <w:color w:val="auto"/>
                    </w:rPr>
                    <w:t>厂界</w:t>
                  </w:r>
                </w:p>
              </w:tc>
              <w:tc>
                <w:tcPr>
                  <w:tcW w:w="470" w:type="pct"/>
                  <w:shd w:val="clear" w:color="auto" w:fill="auto"/>
                  <w:noWrap w:val="0"/>
                  <w:vAlign w:val="center"/>
                </w:tcPr>
                <w:p w14:paraId="57884F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51.9</w:t>
                  </w:r>
                </w:p>
              </w:tc>
              <w:tc>
                <w:tcPr>
                  <w:tcW w:w="470" w:type="pct"/>
                  <w:shd w:val="clear" w:color="auto" w:fill="auto"/>
                  <w:noWrap w:val="0"/>
                  <w:vAlign w:val="center"/>
                </w:tcPr>
                <w:p w14:paraId="34ADCF6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51.5</w:t>
                  </w:r>
                </w:p>
              </w:tc>
              <w:tc>
                <w:tcPr>
                  <w:tcW w:w="470" w:type="pct"/>
                  <w:shd w:val="clear" w:color="auto" w:fill="auto"/>
                  <w:noWrap w:val="0"/>
                  <w:vAlign w:val="center"/>
                </w:tcPr>
                <w:p w14:paraId="065DA7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582" w:type="pct"/>
                  <w:shd w:val="clear" w:color="auto" w:fill="auto"/>
                  <w:noWrap w:val="0"/>
                  <w:vAlign w:val="center"/>
                </w:tcPr>
                <w:p w14:paraId="48C258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昼间</w:t>
                  </w:r>
                </w:p>
              </w:tc>
              <w:tc>
                <w:tcPr>
                  <w:tcW w:w="830" w:type="pct"/>
                  <w:shd w:val="clear" w:color="auto" w:fill="auto"/>
                  <w:noWrap w:val="0"/>
                  <w:vAlign w:val="center"/>
                </w:tcPr>
                <w:p w14:paraId="7884F39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39.1</w:t>
                  </w:r>
                </w:p>
              </w:tc>
              <w:tc>
                <w:tcPr>
                  <w:tcW w:w="831" w:type="pct"/>
                  <w:shd w:val="clear" w:color="auto" w:fill="auto"/>
                  <w:noWrap w:val="0"/>
                  <w:vAlign w:val="center"/>
                </w:tcPr>
                <w:p w14:paraId="4F830886">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65</w:t>
                  </w:r>
                </w:p>
              </w:tc>
              <w:tc>
                <w:tcPr>
                  <w:tcW w:w="696" w:type="pct"/>
                  <w:shd w:val="clear" w:color="auto" w:fill="auto"/>
                  <w:noWrap w:val="0"/>
                  <w:vAlign w:val="center"/>
                </w:tcPr>
                <w:p w14:paraId="79A21132">
                  <w:pPr>
                    <w:keepNext w:val="0"/>
                    <w:keepLines w:val="0"/>
                    <w:suppressLineNumbers w:val="0"/>
                    <w:spacing w:before="24" w:beforeAutospacing="0" w:after="24" w:afterAutospacing="0"/>
                    <w:ind w:left="-53" w:leftChars="-25" w:right="-53" w:rightChars="-25"/>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0221D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continue"/>
                  <w:shd w:val="clear" w:color="auto" w:fill="auto"/>
                  <w:noWrap w:val="0"/>
                  <w:vAlign w:val="center"/>
                </w:tcPr>
                <w:p w14:paraId="78899573">
                  <w:pPr>
                    <w:keepNext w:val="0"/>
                    <w:keepLines w:val="0"/>
                    <w:suppressLineNumbers w:val="0"/>
                    <w:spacing w:before="0" w:beforeAutospacing="0" w:after="0" w:afterAutospacing="0"/>
                    <w:ind w:left="0" w:right="0"/>
                    <w:jc w:val="center"/>
                    <w:rPr>
                      <w:rFonts w:hint="default"/>
                      <w:color w:val="auto"/>
                      <w:szCs w:val="21"/>
                    </w:rPr>
                  </w:pPr>
                </w:p>
              </w:tc>
              <w:tc>
                <w:tcPr>
                  <w:tcW w:w="470" w:type="pct"/>
                  <w:shd w:val="clear" w:color="auto" w:fill="auto"/>
                  <w:noWrap w:val="0"/>
                  <w:vAlign w:val="center"/>
                </w:tcPr>
                <w:p w14:paraId="29E5E2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51.9</w:t>
                  </w:r>
                </w:p>
              </w:tc>
              <w:tc>
                <w:tcPr>
                  <w:tcW w:w="470" w:type="pct"/>
                  <w:shd w:val="clear" w:color="auto" w:fill="auto"/>
                  <w:noWrap w:val="0"/>
                  <w:vAlign w:val="center"/>
                </w:tcPr>
                <w:p w14:paraId="32EE5B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51.5</w:t>
                  </w:r>
                </w:p>
              </w:tc>
              <w:tc>
                <w:tcPr>
                  <w:tcW w:w="470" w:type="pct"/>
                  <w:shd w:val="clear" w:color="auto" w:fill="auto"/>
                  <w:noWrap w:val="0"/>
                  <w:vAlign w:val="center"/>
                </w:tcPr>
                <w:p w14:paraId="4B7F07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582" w:type="pct"/>
                  <w:shd w:val="clear" w:color="auto" w:fill="auto"/>
                  <w:noWrap w:val="0"/>
                  <w:vAlign w:val="center"/>
                </w:tcPr>
                <w:p w14:paraId="3E9BFE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夜间</w:t>
                  </w:r>
                </w:p>
              </w:tc>
              <w:tc>
                <w:tcPr>
                  <w:tcW w:w="830" w:type="pct"/>
                  <w:shd w:val="clear" w:color="auto" w:fill="auto"/>
                  <w:noWrap w:val="0"/>
                  <w:vAlign w:val="center"/>
                </w:tcPr>
                <w:p w14:paraId="3492D3A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39.1</w:t>
                  </w:r>
                </w:p>
              </w:tc>
              <w:tc>
                <w:tcPr>
                  <w:tcW w:w="831" w:type="pct"/>
                  <w:shd w:val="clear" w:color="auto" w:fill="auto"/>
                  <w:noWrap w:val="0"/>
                  <w:vAlign w:val="center"/>
                </w:tcPr>
                <w:p w14:paraId="71C4DF81">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96" w:type="pct"/>
                  <w:shd w:val="clear" w:color="auto" w:fill="auto"/>
                  <w:noWrap w:val="0"/>
                  <w:vAlign w:val="center"/>
                </w:tcPr>
                <w:p w14:paraId="4D3A9D48">
                  <w:pPr>
                    <w:keepNext w:val="0"/>
                    <w:keepLines w:val="0"/>
                    <w:suppressLineNumbers w:val="0"/>
                    <w:spacing w:before="24" w:beforeAutospacing="0" w:after="24" w:afterAutospacing="0"/>
                    <w:ind w:left="-53" w:leftChars="-25" w:right="-53" w:rightChars="-25"/>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301C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restart"/>
                  <w:shd w:val="clear" w:color="auto" w:fill="auto"/>
                  <w:noWrap w:val="0"/>
                  <w:vAlign w:val="center"/>
                </w:tcPr>
                <w:p w14:paraId="728230F5">
                  <w:pPr>
                    <w:keepNext w:val="0"/>
                    <w:keepLines w:val="0"/>
                    <w:suppressLineNumbers w:val="0"/>
                    <w:spacing w:before="0" w:beforeAutospacing="0" w:after="0" w:afterAutospacing="0"/>
                    <w:ind w:left="0" w:right="0"/>
                    <w:jc w:val="center"/>
                    <w:rPr>
                      <w:rFonts w:hint="eastAsia"/>
                      <w:color w:val="auto"/>
                      <w:szCs w:val="21"/>
                    </w:rPr>
                  </w:pPr>
                  <w:r>
                    <w:rPr>
                      <w:rFonts w:hint="default" w:eastAsia="Arial"/>
                      <w:color w:val="auto"/>
                      <w:szCs w:val="21"/>
                    </w:rPr>
                    <w:t>南侧</w:t>
                  </w:r>
                  <w:r>
                    <w:rPr>
                      <w:rFonts w:hint="eastAsia"/>
                      <w:color w:val="auto"/>
                      <w:szCs w:val="21"/>
                    </w:rPr>
                    <w:t>厂界</w:t>
                  </w:r>
                </w:p>
              </w:tc>
              <w:tc>
                <w:tcPr>
                  <w:tcW w:w="470" w:type="pct"/>
                  <w:shd w:val="clear" w:color="auto" w:fill="auto"/>
                  <w:noWrap w:val="0"/>
                  <w:vAlign w:val="center"/>
                </w:tcPr>
                <w:p w14:paraId="3507D7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-55.1</w:t>
                  </w:r>
                </w:p>
              </w:tc>
              <w:tc>
                <w:tcPr>
                  <w:tcW w:w="470" w:type="pct"/>
                  <w:shd w:val="clear" w:color="auto" w:fill="auto"/>
                  <w:noWrap w:val="0"/>
                  <w:vAlign w:val="center"/>
                </w:tcPr>
                <w:p w14:paraId="6D6D8D6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-95.1</w:t>
                  </w:r>
                </w:p>
              </w:tc>
              <w:tc>
                <w:tcPr>
                  <w:tcW w:w="470" w:type="pct"/>
                  <w:shd w:val="clear" w:color="auto" w:fill="auto"/>
                  <w:noWrap w:val="0"/>
                  <w:vAlign w:val="center"/>
                </w:tcPr>
                <w:p w14:paraId="05347BA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582" w:type="pct"/>
                  <w:shd w:val="clear" w:color="auto" w:fill="auto"/>
                  <w:noWrap w:val="0"/>
                  <w:vAlign w:val="center"/>
                </w:tcPr>
                <w:p w14:paraId="556F4D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昼间</w:t>
                  </w:r>
                </w:p>
              </w:tc>
              <w:tc>
                <w:tcPr>
                  <w:tcW w:w="830" w:type="pct"/>
                  <w:shd w:val="clear" w:color="auto" w:fill="auto"/>
                  <w:noWrap w:val="0"/>
                  <w:vAlign w:val="center"/>
                </w:tcPr>
                <w:p w14:paraId="5D273A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23.8</w:t>
                  </w:r>
                </w:p>
              </w:tc>
              <w:tc>
                <w:tcPr>
                  <w:tcW w:w="831" w:type="pct"/>
                  <w:shd w:val="clear" w:color="auto" w:fill="auto"/>
                  <w:noWrap w:val="0"/>
                  <w:vAlign w:val="center"/>
                </w:tcPr>
                <w:p w14:paraId="2488EA42">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65</w:t>
                  </w:r>
                </w:p>
              </w:tc>
              <w:tc>
                <w:tcPr>
                  <w:tcW w:w="696" w:type="pct"/>
                  <w:shd w:val="clear" w:color="auto" w:fill="auto"/>
                  <w:noWrap w:val="0"/>
                  <w:vAlign w:val="center"/>
                </w:tcPr>
                <w:p w14:paraId="795647E8">
                  <w:pPr>
                    <w:keepNext w:val="0"/>
                    <w:keepLines w:val="0"/>
                    <w:suppressLineNumbers w:val="0"/>
                    <w:spacing w:before="0" w:beforeAutospacing="0" w:after="0" w:afterAutospacing="0"/>
                    <w:ind w:left="-73" w:leftChars="0" w:right="-73"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388962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continue"/>
                  <w:shd w:val="clear" w:color="auto" w:fill="auto"/>
                  <w:noWrap w:val="0"/>
                  <w:vAlign w:val="center"/>
                </w:tcPr>
                <w:p w14:paraId="373D1B39">
                  <w:pPr>
                    <w:keepNext w:val="0"/>
                    <w:keepLines w:val="0"/>
                    <w:suppressLineNumbers w:val="0"/>
                    <w:spacing w:before="0" w:beforeAutospacing="0" w:after="0" w:afterAutospacing="0"/>
                    <w:ind w:left="0" w:right="0"/>
                    <w:jc w:val="center"/>
                    <w:rPr>
                      <w:rFonts w:hint="default"/>
                      <w:color w:val="auto"/>
                      <w:szCs w:val="21"/>
                    </w:rPr>
                  </w:pPr>
                </w:p>
              </w:tc>
              <w:tc>
                <w:tcPr>
                  <w:tcW w:w="470" w:type="pct"/>
                  <w:shd w:val="clear" w:color="auto" w:fill="auto"/>
                  <w:noWrap w:val="0"/>
                  <w:vAlign w:val="center"/>
                </w:tcPr>
                <w:p w14:paraId="0E2A1E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-55.1</w:t>
                  </w:r>
                </w:p>
              </w:tc>
              <w:tc>
                <w:tcPr>
                  <w:tcW w:w="470" w:type="pct"/>
                  <w:shd w:val="clear" w:color="auto" w:fill="auto"/>
                  <w:noWrap w:val="0"/>
                  <w:vAlign w:val="center"/>
                </w:tcPr>
                <w:p w14:paraId="4CAFA8E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-95.1</w:t>
                  </w:r>
                </w:p>
              </w:tc>
              <w:tc>
                <w:tcPr>
                  <w:tcW w:w="470" w:type="pct"/>
                  <w:shd w:val="clear" w:color="auto" w:fill="auto"/>
                  <w:noWrap w:val="0"/>
                  <w:vAlign w:val="center"/>
                </w:tcPr>
                <w:p w14:paraId="2D83FB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582" w:type="pct"/>
                  <w:shd w:val="clear" w:color="auto" w:fill="auto"/>
                  <w:noWrap w:val="0"/>
                  <w:vAlign w:val="center"/>
                </w:tcPr>
                <w:p w14:paraId="0A3248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夜间</w:t>
                  </w:r>
                </w:p>
              </w:tc>
              <w:tc>
                <w:tcPr>
                  <w:tcW w:w="830" w:type="pct"/>
                  <w:shd w:val="clear" w:color="auto" w:fill="auto"/>
                  <w:noWrap w:val="0"/>
                  <w:vAlign w:val="center"/>
                </w:tcPr>
                <w:p w14:paraId="783266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23.8</w:t>
                  </w:r>
                </w:p>
              </w:tc>
              <w:tc>
                <w:tcPr>
                  <w:tcW w:w="831" w:type="pct"/>
                  <w:shd w:val="clear" w:color="auto" w:fill="auto"/>
                  <w:noWrap w:val="0"/>
                  <w:vAlign w:val="center"/>
                </w:tcPr>
                <w:p w14:paraId="7B3948A9">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96" w:type="pct"/>
                  <w:shd w:val="clear" w:color="auto" w:fill="auto"/>
                  <w:noWrap w:val="0"/>
                  <w:vAlign w:val="center"/>
                </w:tcPr>
                <w:p w14:paraId="56E3EC42">
                  <w:pPr>
                    <w:keepNext w:val="0"/>
                    <w:keepLines w:val="0"/>
                    <w:suppressLineNumbers w:val="0"/>
                    <w:spacing w:before="0" w:beforeAutospacing="0" w:after="0" w:afterAutospacing="0"/>
                    <w:ind w:left="-73" w:leftChars="0" w:right="-73"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03D23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restart"/>
                  <w:shd w:val="clear" w:color="auto" w:fill="auto"/>
                  <w:noWrap w:val="0"/>
                  <w:vAlign w:val="center"/>
                </w:tcPr>
                <w:p w14:paraId="1AE5C653">
                  <w:pPr>
                    <w:keepNext w:val="0"/>
                    <w:keepLines w:val="0"/>
                    <w:suppressLineNumbers w:val="0"/>
                    <w:spacing w:before="0" w:beforeAutospacing="0" w:after="0" w:afterAutospacing="0"/>
                    <w:ind w:left="0" w:right="0"/>
                    <w:jc w:val="center"/>
                    <w:rPr>
                      <w:rFonts w:hint="eastAsia"/>
                      <w:color w:val="auto"/>
                      <w:szCs w:val="21"/>
                    </w:rPr>
                  </w:pPr>
                  <w:r>
                    <w:rPr>
                      <w:rFonts w:hint="default" w:eastAsia="Arial"/>
                      <w:color w:val="auto"/>
                      <w:szCs w:val="21"/>
                    </w:rPr>
                    <w:t>西侧</w:t>
                  </w:r>
                  <w:r>
                    <w:rPr>
                      <w:rFonts w:hint="eastAsia"/>
                      <w:color w:val="auto"/>
                      <w:szCs w:val="21"/>
                    </w:rPr>
                    <w:t>厂界</w:t>
                  </w:r>
                </w:p>
              </w:tc>
              <w:tc>
                <w:tcPr>
                  <w:tcW w:w="470" w:type="pct"/>
                  <w:shd w:val="clear" w:color="auto" w:fill="auto"/>
                  <w:noWrap w:val="0"/>
                  <w:vAlign w:val="center"/>
                </w:tcPr>
                <w:p w14:paraId="78A75B74">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-67.7</w:t>
                  </w:r>
                </w:p>
              </w:tc>
              <w:tc>
                <w:tcPr>
                  <w:tcW w:w="470" w:type="pct"/>
                  <w:shd w:val="clear" w:color="auto" w:fill="auto"/>
                  <w:noWrap w:val="0"/>
                  <w:vAlign w:val="center"/>
                </w:tcPr>
                <w:p w14:paraId="72BF1852">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45.5</w:t>
                  </w:r>
                </w:p>
              </w:tc>
              <w:tc>
                <w:tcPr>
                  <w:tcW w:w="470" w:type="pct"/>
                  <w:shd w:val="clear" w:color="auto" w:fill="auto"/>
                  <w:noWrap w:val="0"/>
                  <w:vAlign w:val="center"/>
                </w:tcPr>
                <w:p w14:paraId="4D385F83">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1.2</w:t>
                  </w:r>
                </w:p>
              </w:tc>
              <w:tc>
                <w:tcPr>
                  <w:tcW w:w="582" w:type="pct"/>
                  <w:shd w:val="clear" w:color="auto" w:fill="auto"/>
                  <w:noWrap w:val="0"/>
                  <w:vAlign w:val="center"/>
                </w:tcPr>
                <w:p w14:paraId="792D885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昼间</w:t>
                  </w:r>
                </w:p>
              </w:tc>
              <w:tc>
                <w:tcPr>
                  <w:tcW w:w="830" w:type="pct"/>
                  <w:shd w:val="clear" w:color="auto" w:fill="auto"/>
                  <w:noWrap w:val="0"/>
                  <w:vAlign w:val="center"/>
                </w:tcPr>
                <w:p w14:paraId="33043B01">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50</w:t>
                  </w:r>
                </w:p>
              </w:tc>
              <w:tc>
                <w:tcPr>
                  <w:tcW w:w="831" w:type="pct"/>
                  <w:shd w:val="clear" w:color="auto" w:fill="auto"/>
                  <w:noWrap w:val="0"/>
                  <w:vAlign w:val="center"/>
                </w:tcPr>
                <w:p w14:paraId="50BC7564">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65</w:t>
                  </w:r>
                </w:p>
              </w:tc>
              <w:tc>
                <w:tcPr>
                  <w:tcW w:w="696" w:type="pct"/>
                  <w:shd w:val="clear" w:color="auto" w:fill="auto"/>
                  <w:noWrap w:val="0"/>
                  <w:vAlign w:val="center"/>
                </w:tcPr>
                <w:p w14:paraId="77E56756">
                  <w:pPr>
                    <w:keepNext w:val="0"/>
                    <w:keepLines w:val="0"/>
                    <w:suppressLineNumbers w:val="0"/>
                    <w:spacing w:before="0" w:beforeAutospacing="0" w:after="0" w:afterAutospacing="0"/>
                    <w:ind w:left="-73" w:leftChars="0" w:right="-73"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7A431A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continue"/>
                  <w:shd w:val="clear" w:color="auto" w:fill="auto"/>
                  <w:noWrap w:val="0"/>
                  <w:vAlign w:val="center"/>
                </w:tcPr>
                <w:p w14:paraId="5C242992">
                  <w:pPr>
                    <w:keepNext w:val="0"/>
                    <w:keepLines w:val="0"/>
                    <w:suppressLineNumbers w:val="0"/>
                    <w:spacing w:before="0" w:beforeAutospacing="0" w:after="0" w:afterAutospacing="0"/>
                    <w:ind w:left="0" w:right="0"/>
                    <w:jc w:val="center"/>
                    <w:rPr>
                      <w:rFonts w:hint="default"/>
                      <w:color w:val="auto"/>
                      <w:szCs w:val="21"/>
                    </w:rPr>
                  </w:pPr>
                </w:p>
              </w:tc>
              <w:tc>
                <w:tcPr>
                  <w:tcW w:w="470" w:type="pct"/>
                  <w:shd w:val="clear" w:color="auto" w:fill="auto"/>
                  <w:noWrap w:val="0"/>
                  <w:vAlign w:val="center"/>
                </w:tcPr>
                <w:p w14:paraId="0BAC7910">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-67.7</w:t>
                  </w:r>
                </w:p>
              </w:tc>
              <w:tc>
                <w:tcPr>
                  <w:tcW w:w="470" w:type="pct"/>
                  <w:shd w:val="clear" w:color="auto" w:fill="auto"/>
                  <w:noWrap w:val="0"/>
                  <w:vAlign w:val="center"/>
                </w:tcPr>
                <w:p w14:paraId="5D38BE0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45.5</w:t>
                  </w:r>
                </w:p>
              </w:tc>
              <w:tc>
                <w:tcPr>
                  <w:tcW w:w="470" w:type="pct"/>
                  <w:shd w:val="clear" w:color="auto" w:fill="auto"/>
                  <w:noWrap w:val="0"/>
                  <w:vAlign w:val="center"/>
                </w:tcPr>
                <w:p w14:paraId="3FC9084A">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1.2</w:t>
                  </w:r>
                </w:p>
              </w:tc>
              <w:tc>
                <w:tcPr>
                  <w:tcW w:w="582" w:type="pct"/>
                  <w:shd w:val="clear" w:color="auto" w:fill="auto"/>
                  <w:noWrap w:val="0"/>
                  <w:vAlign w:val="center"/>
                </w:tcPr>
                <w:p w14:paraId="35CC9E99">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夜间</w:t>
                  </w:r>
                </w:p>
              </w:tc>
              <w:tc>
                <w:tcPr>
                  <w:tcW w:w="830" w:type="pct"/>
                  <w:shd w:val="clear" w:color="auto" w:fill="auto"/>
                  <w:noWrap w:val="0"/>
                  <w:vAlign w:val="center"/>
                </w:tcPr>
                <w:p w14:paraId="0D8EB577">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Arial" w:cs="Times New Roman"/>
                      <w:b w:val="0"/>
                      <w:bCs/>
                      <w:color w:val="auto"/>
                      <w:sz w:val="21"/>
                      <w:szCs w:val="21"/>
                    </w:rPr>
                    <w:t>50</w:t>
                  </w:r>
                </w:p>
              </w:tc>
              <w:tc>
                <w:tcPr>
                  <w:tcW w:w="831" w:type="pct"/>
                  <w:shd w:val="clear" w:color="auto" w:fill="auto"/>
                  <w:noWrap w:val="0"/>
                  <w:vAlign w:val="center"/>
                </w:tcPr>
                <w:p w14:paraId="6DE28A29">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96" w:type="pct"/>
                  <w:shd w:val="clear" w:color="auto" w:fill="auto"/>
                  <w:noWrap w:val="0"/>
                  <w:vAlign w:val="center"/>
                </w:tcPr>
                <w:p w14:paraId="653FF5C0">
                  <w:pPr>
                    <w:keepNext w:val="0"/>
                    <w:keepLines w:val="0"/>
                    <w:suppressLineNumbers w:val="0"/>
                    <w:spacing w:before="0" w:beforeAutospacing="0" w:after="0" w:afterAutospacing="0"/>
                    <w:ind w:left="-73" w:leftChars="0" w:right="-73"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C998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restart"/>
                  <w:shd w:val="clear" w:color="auto" w:fill="auto"/>
                  <w:noWrap w:val="0"/>
                  <w:vAlign w:val="center"/>
                </w:tcPr>
                <w:p w14:paraId="3C0AD61A">
                  <w:pPr>
                    <w:keepNext w:val="0"/>
                    <w:keepLines w:val="0"/>
                    <w:suppressLineNumbers w:val="0"/>
                    <w:spacing w:before="0" w:beforeAutospacing="0" w:after="0" w:afterAutospacing="0"/>
                    <w:ind w:left="0" w:right="0"/>
                    <w:jc w:val="center"/>
                    <w:rPr>
                      <w:rFonts w:hint="eastAsia"/>
                      <w:color w:val="auto"/>
                      <w:szCs w:val="21"/>
                    </w:rPr>
                  </w:pPr>
                  <w:r>
                    <w:rPr>
                      <w:rFonts w:hint="default" w:eastAsia="Arial"/>
                      <w:color w:val="auto"/>
                      <w:szCs w:val="21"/>
                    </w:rPr>
                    <w:t>北侧</w:t>
                  </w:r>
                  <w:r>
                    <w:rPr>
                      <w:rFonts w:hint="eastAsia"/>
                      <w:color w:val="auto"/>
                      <w:szCs w:val="21"/>
                    </w:rPr>
                    <w:t>厂界</w:t>
                  </w:r>
                </w:p>
              </w:tc>
              <w:tc>
                <w:tcPr>
                  <w:tcW w:w="470" w:type="pct"/>
                  <w:shd w:val="clear" w:color="auto" w:fill="auto"/>
                  <w:noWrap w:val="0"/>
                  <w:vAlign w:val="center"/>
                </w:tcPr>
                <w:p w14:paraId="09C183D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4.3</w:t>
                  </w:r>
                </w:p>
              </w:tc>
              <w:tc>
                <w:tcPr>
                  <w:tcW w:w="470" w:type="pct"/>
                  <w:shd w:val="clear" w:color="auto" w:fill="auto"/>
                  <w:noWrap w:val="0"/>
                  <w:vAlign w:val="center"/>
                </w:tcPr>
                <w:p w14:paraId="7FC736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93.1</w:t>
                  </w:r>
                </w:p>
              </w:tc>
              <w:tc>
                <w:tcPr>
                  <w:tcW w:w="470" w:type="pct"/>
                  <w:shd w:val="clear" w:color="auto" w:fill="auto"/>
                  <w:noWrap w:val="0"/>
                  <w:vAlign w:val="center"/>
                </w:tcPr>
                <w:p w14:paraId="244D18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582" w:type="pct"/>
                  <w:shd w:val="clear" w:color="auto" w:fill="auto"/>
                  <w:noWrap w:val="0"/>
                  <w:vAlign w:val="center"/>
                </w:tcPr>
                <w:p w14:paraId="1AD090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昼间</w:t>
                  </w:r>
                </w:p>
              </w:tc>
              <w:tc>
                <w:tcPr>
                  <w:tcW w:w="830" w:type="pct"/>
                  <w:shd w:val="clear" w:color="auto" w:fill="auto"/>
                  <w:noWrap w:val="0"/>
                  <w:vAlign w:val="center"/>
                </w:tcPr>
                <w:p w14:paraId="0293D3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43.5</w:t>
                  </w:r>
                </w:p>
              </w:tc>
              <w:tc>
                <w:tcPr>
                  <w:tcW w:w="831" w:type="pct"/>
                  <w:shd w:val="clear" w:color="auto" w:fill="auto"/>
                  <w:noWrap w:val="0"/>
                  <w:vAlign w:val="center"/>
                </w:tcPr>
                <w:p w14:paraId="55BE1C54">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65</w:t>
                  </w:r>
                </w:p>
              </w:tc>
              <w:tc>
                <w:tcPr>
                  <w:tcW w:w="696" w:type="pct"/>
                  <w:shd w:val="clear" w:color="auto" w:fill="auto"/>
                  <w:noWrap w:val="0"/>
                  <w:vAlign w:val="center"/>
                </w:tcPr>
                <w:p w14:paraId="51AB1160">
                  <w:pPr>
                    <w:keepNext w:val="0"/>
                    <w:keepLines w:val="0"/>
                    <w:suppressLineNumbers w:val="0"/>
                    <w:spacing w:before="0" w:beforeAutospacing="0" w:after="0" w:afterAutospacing="0"/>
                    <w:ind w:left="-73" w:leftChars="0" w:right="-73"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r w14:paraId="62F56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95" w:hRule="exact"/>
                <w:jc w:val="center"/>
              </w:trPr>
              <w:tc>
                <w:tcPr>
                  <w:tcW w:w="645" w:type="pct"/>
                  <w:vMerge w:val="continue"/>
                  <w:shd w:val="clear" w:color="auto" w:fill="auto"/>
                  <w:noWrap w:val="0"/>
                  <w:vAlign w:val="center"/>
                </w:tcPr>
                <w:p w14:paraId="427247F9">
                  <w:pPr>
                    <w:keepNext w:val="0"/>
                    <w:keepLines w:val="0"/>
                    <w:suppressLineNumbers w:val="0"/>
                    <w:spacing w:before="0" w:beforeAutospacing="0" w:after="0" w:afterAutospacing="0"/>
                    <w:ind w:left="0" w:right="0"/>
                    <w:jc w:val="center"/>
                    <w:rPr>
                      <w:rFonts w:hint="default"/>
                      <w:color w:val="auto"/>
                      <w:szCs w:val="21"/>
                    </w:rPr>
                  </w:pPr>
                </w:p>
              </w:tc>
              <w:tc>
                <w:tcPr>
                  <w:tcW w:w="470" w:type="pct"/>
                  <w:shd w:val="clear" w:color="auto" w:fill="auto"/>
                  <w:noWrap w:val="0"/>
                  <w:vAlign w:val="center"/>
                </w:tcPr>
                <w:p w14:paraId="34209B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4.3</w:t>
                  </w:r>
                </w:p>
              </w:tc>
              <w:tc>
                <w:tcPr>
                  <w:tcW w:w="470" w:type="pct"/>
                  <w:shd w:val="clear" w:color="auto" w:fill="auto"/>
                  <w:noWrap w:val="0"/>
                  <w:vAlign w:val="center"/>
                </w:tcPr>
                <w:p w14:paraId="68F809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93.1</w:t>
                  </w:r>
                </w:p>
              </w:tc>
              <w:tc>
                <w:tcPr>
                  <w:tcW w:w="470" w:type="pct"/>
                  <w:shd w:val="clear" w:color="auto" w:fill="auto"/>
                  <w:noWrap w:val="0"/>
                  <w:vAlign w:val="center"/>
                </w:tcPr>
                <w:p w14:paraId="30B9D2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1.2</w:t>
                  </w:r>
                </w:p>
              </w:tc>
              <w:tc>
                <w:tcPr>
                  <w:tcW w:w="582" w:type="pct"/>
                  <w:shd w:val="clear" w:color="auto" w:fill="auto"/>
                  <w:noWrap w:val="0"/>
                  <w:vAlign w:val="center"/>
                </w:tcPr>
                <w:p w14:paraId="1B328A8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夜间</w:t>
                  </w:r>
                </w:p>
              </w:tc>
              <w:tc>
                <w:tcPr>
                  <w:tcW w:w="830" w:type="pct"/>
                  <w:shd w:val="clear" w:color="auto" w:fill="auto"/>
                  <w:noWrap w:val="0"/>
                  <w:vAlign w:val="center"/>
                </w:tcPr>
                <w:p w14:paraId="0345BB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Arial" w:cs="Times New Roman"/>
                      <w:color w:val="auto"/>
                      <w:sz w:val="21"/>
                      <w:szCs w:val="21"/>
                    </w:rPr>
                    <w:t>43.5</w:t>
                  </w:r>
                </w:p>
              </w:tc>
              <w:tc>
                <w:tcPr>
                  <w:tcW w:w="831" w:type="pct"/>
                  <w:shd w:val="clear" w:color="auto" w:fill="auto"/>
                  <w:noWrap w:val="0"/>
                  <w:vAlign w:val="center"/>
                </w:tcPr>
                <w:p w14:paraId="1FDFD55F">
                  <w:pPr>
                    <w:keepNext w:val="0"/>
                    <w:keepLines w:val="0"/>
                    <w:widowControl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96" w:type="pct"/>
                  <w:shd w:val="clear" w:color="auto" w:fill="auto"/>
                  <w:noWrap w:val="0"/>
                  <w:vAlign w:val="center"/>
                </w:tcPr>
                <w:p w14:paraId="6D2EECB0">
                  <w:pPr>
                    <w:keepNext w:val="0"/>
                    <w:keepLines w:val="0"/>
                    <w:suppressLineNumbers w:val="0"/>
                    <w:spacing w:before="0" w:beforeAutospacing="0" w:after="0" w:afterAutospacing="0"/>
                    <w:ind w:left="-73" w:leftChars="0" w:right="-73"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达标</w:t>
                  </w:r>
                </w:p>
              </w:tc>
            </w:tr>
          </w:tbl>
          <w:p w14:paraId="4A1CC455">
            <w:pPr>
              <w:pStyle w:val="97"/>
              <w:keepNext w:val="0"/>
              <w:keepLines w:val="0"/>
              <w:suppressLineNumbers w:val="0"/>
              <w:spacing w:before="0" w:beforeLines="0" w:beforeAutospacing="0" w:after="0" w:afterLines="0" w:afterAutospacing="0" w:line="440" w:lineRule="exact"/>
              <w:ind w:left="0" w:right="0" w:firstLine="500"/>
              <w:rPr>
                <w:rFonts w:hint="default" w:ascii="Times New Roman" w:hAnsi="Times New Roman" w:eastAsia="宋体" w:cs="Times New Roman"/>
                <w:color w:val="auto"/>
              </w:rPr>
            </w:pPr>
            <w:r>
              <w:rPr>
                <w:rFonts w:hint="default" w:ascii="Times New Roman" w:hAnsi="Times New Roman" w:eastAsia="宋体" w:cs="Times New Roman"/>
                <w:color w:val="auto"/>
              </w:rPr>
              <w:t>由以上对各厂界的噪声的预测结果可知，在采取有效的降噪措施之后，东、南、西、北厂界噪声预测值均符合《工业企业厂界噪声排放标准》（GB 12348-2008）中的3类标准的要求。</w:t>
            </w:r>
          </w:p>
          <w:p w14:paraId="1B30F577">
            <w:pPr>
              <w:pStyle w:val="97"/>
              <w:keepNext w:val="0"/>
              <w:keepLines w:val="0"/>
              <w:suppressLineNumbers w:val="0"/>
              <w:spacing w:before="0" w:beforeLines="0" w:beforeAutospacing="0" w:after="0" w:afterLines="0" w:afterAutospacing="0" w:line="440" w:lineRule="exact"/>
              <w:ind w:left="0" w:right="0" w:firstLine="502"/>
              <w:rPr>
                <w:rFonts w:hint="default" w:ascii="Times New Roman" w:hAnsi="Times New Roman" w:eastAsia="宋体" w:cs="Times New Roman"/>
                <w:b/>
                <w:bCs w:val="0"/>
                <w:color w:val="auto"/>
              </w:rPr>
            </w:pPr>
            <w:r>
              <w:rPr>
                <w:rFonts w:hint="eastAsia" w:ascii="Times New Roman" w:hAnsi="Times New Roman" w:eastAsia="宋体" w:cs="Times New Roman"/>
                <w:b/>
                <w:bCs w:val="0"/>
                <w:color w:val="auto"/>
                <w:lang w:val="en-US" w:eastAsia="zh-CN"/>
              </w:rPr>
              <w:t>4、</w:t>
            </w:r>
            <w:r>
              <w:rPr>
                <w:rFonts w:hint="default" w:ascii="Times New Roman" w:hAnsi="Times New Roman" w:eastAsia="宋体" w:cs="Times New Roman"/>
                <w:b/>
                <w:bCs w:val="0"/>
                <w:color w:val="auto"/>
              </w:rPr>
              <w:t>监测计划</w:t>
            </w:r>
          </w:p>
          <w:p w14:paraId="4EB22012">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监测点位：厂界四周布设4个点位；</w:t>
            </w:r>
          </w:p>
          <w:p w14:paraId="61D7716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监测频次：按</w:t>
            </w:r>
            <w:r>
              <w:rPr>
                <w:rFonts w:hint="eastAsia" w:ascii="Times New Roman" w:hAnsi="Times New Roman" w:cs="Times New Roman"/>
                <w:color w:val="auto"/>
                <w:sz w:val="24"/>
              </w:rPr>
              <w:t>《排污许可证申请与核发技术规范 工业噪声》（HJ1301-2023）</w:t>
            </w:r>
            <w:r>
              <w:rPr>
                <w:rFonts w:hint="default" w:ascii="Times New Roman" w:hAnsi="Times New Roman" w:cs="Times New Roman"/>
                <w:color w:val="auto"/>
                <w:sz w:val="24"/>
              </w:rPr>
              <w:t>中要求，1次/季度；</w:t>
            </w:r>
          </w:p>
          <w:p w14:paraId="40374E6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监测因子：</w:t>
            </w:r>
            <w:r>
              <w:rPr>
                <w:rFonts w:hint="default" w:ascii="Times New Roman" w:hAnsi="Times New Roman" w:cs="Times New Roman"/>
                <w:bCs/>
                <w:color w:val="auto"/>
                <w:sz w:val="24"/>
              </w:rPr>
              <w:t>厂界噪声</w:t>
            </w:r>
            <w:r>
              <w:rPr>
                <w:rFonts w:hint="default" w:ascii="Times New Roman" w:hAnsi="Times New Roman" w:cs="Times New Roman"/>
                <w:color w:val="auto"/>
                <w:sz w:val="24"/>
              </w:rPr>
              <w:t>昼间</w:t>
            </w:r>
            <w:r>
              <w:rPr>
                <w:rFonts w:hint="default" w:ascii="Times New Roman" w:hAnsi="Times New Roman" w:cs="Times New Roman"/>
                <w:bCs/>
                <w:color w:val="auto"/>
                <w:sz w:val="24"/>
              </w:rPr>
              <w:t>等效连续A声级</w:t>
            </w:r>
            <w:r>
              <w:rPr>
                <w:rFonts w:hint="default" w:ascii="Times New Roman" w:hAnsi="Times New Roman" w:cs="Times New Roman"/>
                <w:color w:val="auto"/>
                <w:sz w:val="24"/>
              </w:rPr>
              <w:t>Leq(A)。</w:t>
            </w:r>
          </w:p>
          <w:p w14:paraId="66D5E49F">
            <w:pPr>
              <w:keepNext w:val="0"/>
              <w:keepLines w:val="0"/>
              <w:suppressLineNumbers w:val="0"/>
              <w:tabs>
                <w:tab w:val="left" w:pos="2160"/>
              </w:tabs>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噪声监测位置、监测因子、频率等详见表</w:t>
            </w:r>
            <w:r>
              <w:rPr>
                <w:rFonts w:hint="eastAsia" w:ascii="Times New Roman" w:hAnsi="Times New Roman" w:cs="Times New Roman"/>
                <w:color w:val="auto"/>
                <w:sz w:val="24"/>
              </w:rPr>
              <w:t>4.3-4</w:t>
            </w:r>
            <w:r>
              <w:rPr>
                <w:rFonts w:hint="default" w:ascii="Times New Roman" w:hAnsi="Times New Roman" w:cs="Times New Roman"/>
                <w:color w:val="auto"/>
                <w:sz w:val="24"/>
              </w:rPr>
              <w:t>。</w:t>
            </w:r>
          </w:p>
          <w:p w14:paraId="1E1EB1F6">
            <w:pPr>
              <w:pStyle w:val="107"/>
              <w:keepNext w:val="0"/>
              <w:keepLines w:val="0"/>
              <w:suppressLineNumbers w:val="0"/>
              <w:spacing w:before="0" w:beforeLines="0" w:beforeAutospacing="0" w:after="0" w:afterAutospacing="0" w:line="480" w:lineRule="exact"/>
              <w:ind w:left="0" w:right="0" w:firstLine="0" w:firstLineChars="0"/>
              <w:jc w:val="center"/>
              <w:rPr>
                <w:rFonts w:hint="default" w:ascii="Times New Roman" w:hAnsi="Times New Roman" w:cs="宋体"/>
                <w:b/>
                <w:color w:val="auto"/>
                <w:lang w:val="en-US" w:eastAsia="zh-CN"/>
              </w:rPr>
            </w:pPr>
            <w:r>
              <w:rPr>
                <w:rFonts w:hint="default" w:ascii="Times New Roman" w:hAnsi="Times New Roman" w:cs="宋体"/>
                <w:b/>
                <w:color w:val="auto"/>
                <w:lang w:val="en-US" w:eastAsia="zh-CN"/>
              </w:rPr>
              <w:t>表</w:t>
            </w:r>
            <w:r>
              <w:rPr>
                <w:rFonts w:hint="eastAsia" w:ascii="Times New Roman" w:hAnsi="Times New Roman" w:cs="宋体"/>
                <w:b/>
                <w:color w:val="auto"/>
                <w:lang w:val="en-US" w:eastAsia="zh-CN"/>
              </w:rPr>
              <w:t>4.</w:t>
            </w:r>
            <w:r>
              <w:rPr>
                <w:rFonts w:hint="default" w:ascii="Times New Roman" w:hAnsi="Times New Roman" w:cs="宋体"/>
                <w:b/>
                <w:color w:val="auto"/>
                <w:lang w:val="en-US" w:eastAsia="zh-CN"/>
              </w:rPr>
              <w:t>3</w:t>
            </w:r>
            <w:r>
              <w:rPr>
                <w:rFonts w:hint="eastAsia" w:ascii="Times New Roman" w:hAnsi="Times New Roman" w:cs="宋体"/>
                <w:b/>
                <w:color w:val="auto"/>
                <w:lang w:val="en-US" w:eastAsia="zh-CN"/>
              </w:rPr>
              <w:t>-4</w:t>
            </w:r>
            <w:r>
              <w:rPr>
                <w:rFonts w:hint="default" w:ascii="Times New Roman" w:hAnsi="Times New Roman" w:cs="宋体"/>
                <w:b/>
                <w:color w:val="auto"/>
                <w:lang w:val="en-US" w:eastAsia="zh-CN"/>
              </w:rPr>
              <w:t xml:space="preserve">  噪声监测因子及频次表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567"/>
              <w:gridCol w:w="2560"/>
              <w:gridCol w:w="3325"/>
            </w:tblGrid>
            <w:tr w14:paraId="7B928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18" w:type="pct"/>
                  <w:noWrap w:val="0"/>
                  <w:vAlign w:val="center"/>
                </w:tcPr>
                <w:p w14:paraId="6D237A0A">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514" w:type="pct"/>
                  <w:noWrap w:val="0"/>
                  <w:vAlign w:val="center"/>
                </w:tcPr>
                <w:p w14:paraId="7C312E09">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监测因子</w:t>
                  </w:r>
                </w:p>
              </w:tc>
              <w:tc>
                <w:tcPr>
                  <w:tcW w:w="1966" w:type="pct"/>
                  <w:noWrap w:val="0"/>
                  <w:vAlign w:val="center"/>
                </w:tcPr>
                <w:p w14:paraId="38AF6CBC">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监测频次</w:t>
                  </w:r>
                </w:p>
              </w:tc>
            </w:tr>
            <w:tr w14:paraId="61027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exact"/>
                <w:jc w:val="center"/>
              </w:trPr>
              <w:tc>
                <w:tcPr>
                  <w:tcW w:w="1518" w:type="pct"/>
                  <w:noWrap w:val="0"/>
                  <w:vAlign w:val="center"/>
                </w:tcPr>
                <w:p w14:paraId="62B62C7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厂界四周</w:t>
                  </w:r>
                </w:p>
              </w:tc>
              <w:tc>
                <w:tcPr>
                  <w:tcW w:w="1514" w:type="pct"/>
                  <w:noWrap w:val="0"/>
                  <w:vAlign w:val="center"/>
                </w:tcPr>
                <w:p w14:paraId="291D6CEA">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Cs/>
                      <w:color w:val="auto"/>
                      <w:szCs w:val="21"/>
                    </w:rPr>
                    <w:t>等效连续A声级</w:t>
                  </w:r>
                </w:p>
              </w:tc>
              <w:tc>
                <w:tcPr>
                  <w:tcW w:w="1966" w:type="pct"/>
                  <w:noWrap w:val="0"/>
                  <w:vAlign w:val="center"/>
                </w:tcPr>
                <w:p w14:paraId="7D6E649C">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Cs/>
                      <w:color w:val="auto"/>
                      <w:szCs w:val="21"/>
                    </w:rPr>
                    <w:t>1次/季度</w:t>
                  </w:r>
                </w:p>
              </w:tc>
            </w:tr>
          </w:tbl>
          <w:p w14:paraId="12B3F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四、固体废物</w:t>
            </w:r>
          </w:p>
          <w:p w14:paraId="3381C5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2" w:firstLineChars="200"/>
              <w:textAlignment w:val="auto"/>
              <w:rPr>
                <w:rFonts w:hint="eastAsia" w:ascii="Times New Roman" w:hAnsi="Times New Roman" w:cs="Times New Roman"/>
                <w:b/>
                <w:bCs/>
                <w:color w:val="auto"/>
                <w:sz w:val="24"/>
              </w:rPr>
            </w:pPr>
            <w:r>
              <w:rPr>
                <w:rFonts w:hint="eastAsia" w:ascii="Times New Roman" w:hAnsi="Times New Roman" w:cs="Times New Roman"/>
                <w:b/>
                <w:bCs/>
                <w:color w:val="auto"/>
                <w:sz w:val="24"/>
              </w:rPr>
              <w:t>1、产生情况</w:t>
            </w:r>
          </w:p>
          <w:p w14:paraId="4F425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lang w:val="en-US" w:eastAsia="zh-CN"/>
              </w:rPr>
              <w:t>本项目不新增员工</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不新增生活垃圾。</w:t>
            </w:r>
            <w:r>
              <w:rPr>
                <w:rFonts w:hint="eastAsia" w:ascii="Times New Roman" w:hAnsi="Times New Roman" w:cs="Times New Roman"/>
                <w:color w:val="auto"/>
                <w:sz w:val="24"/>
              </w:rPr>
              <w:t>本项目产生的固废主要</w:t>
            </w:r>
            <w:r>
              <w:rPr>
                <w:rFonts w:hint="eastAsia" w:ascii="Times New Roman" w:hAnsi="Times New Roman" w:cs="Times New Roman"/>
                <w:color w:val="auto"/>
                <w:sz w:val="24"/>
                <w:lang w:val="en-US" w:eastAsia="zh-CN"/>
              </w:rPr>
              <w:t>为</w:t>
            </w:r>
            <w:r>
              <w:rPr>
                <w:rFonts w:hint="eastAsia" w:ascii="Times New Roman" w:hAnsi="Times New Roman" w:cs="Times New Roman"/>
                <w:color w:val="auto"/>
                <w:sz w:val="24"/>
              </w:rPr>
              <w:t>一般固废</w:t>
            </w:r>
            <w:r>
              <w:rPr>
                <w:rFonts w:hint="eastAsia" w:cs="Times New Roman"/>
                <w:color w:val="auto"/>
                <w:sz w:val="24"/>
                <w:lang w:eastAsia="zh-CN"/>
              </w:rPr>
              <w:t>、</w:t>
            </w:r>
            <w:r>
              <w:rPr>
                <w:rFonts w:hint="eastAsia" w:cs="Times New Roman"/>
                <w:color w:val="auto"/>
                <w:sz w:val="24"/>
                <w:lang w:val="en-US" w:eastAsia="zh-CN"/>
              </w:rPr>
              <w:t>危险废物</w:t>
            </w:r>
            <w:r>
              <w:rPr>
                <w:rFonts w:hint="eastAsia" w:ascii="Times New Roman" w:hAnsi="Times New Roman" w:cs="Times New Roman"/>
                <w:color w:val="auto"/>
                <w:sz w:val="24"/>
              </w:rPr>
              <w:t>。</w:t>
            </w:r>
          </w:p>
          <w:p w14:paraId="6F1E04E9">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焊渣（S7）：焊接过程产生少量焊渣，项目年使用钢焊丝3t，则产生焊渣约0.3t/a，经收集后外售综合利用。</w:t>
            </w:r>
          </w:p>
          <w:p w14:paraId="70041E74">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废炉渣（S</w:t>
            </w:r>
            <w:r>
              <w:rPr>
                <w:rFonts w:hint="eastAsia" w:cs="Times New Roman"/>
                <w:color w:val="auto"/>
                <w:kern w:val="0"/>
                <w:sz w:val="24"/>
                <w:szCs w:val="24"/>
                <w:lang w:val="en-US" w:eastAsia="zh-CN"/>
              </w:rPr>
              <w:t>8</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电渣重熔</w:t>
            </w:r>
            <w:r>
              <w:rPr>
                <w:rFonts w:hint="eastAsia" w:ascii="Times New Roman" w:hAnsi="Times New Roman" w:eastAsia="宋体" w:cs="Times New Roman"/>
                <w:color w:val="auto"/>
                <w:kern w:val="0"/>
                <w:sz w:val="24"/>
                <w:szCs w:val="24"/>
                <w:lang w:val="en-US" w:eastAsia="zh-CN"/>
              </w:rPr>
              <w:t>过程中产生废炉渣，产生量约为铸件的1%，项目</w:t>
            </w:r>
            <w:r>
              <w:rPr>
                <w:rFonts w:hint="eastAsia" w:cs="Times New Roman"/>
                <w:color w:val="auto"/>
                <w:kern w:val="0"/>
                <w:sz w:val="24"/>
                <w:szCs w:val="24"/>
                <w:lang w:val="en-US" w:eastAsia="zh-CN"/>
              </w:rPr>
              <w:t>电渣重熔工段</w:t>
            </w:r>
            <w:r>
              <w:rPr>
                <w:rFonts w:hint="eastAsia" w:ascii="Times New Roman" w:hAnsi="Times New Roman" w:eastAsia="宋体" w:cs="Times New Roman"/>
                <w:color w:val="auto"/>
                <w:kern w:val="0"/>
                <w:sz w:val="24"/>
                <w:szCs w:val="24"/>
                <w:lang w:val="en-US" w:eastAsia="zh-CN"/>
              </w:rPr>
              <w:t>年产铸件15000t，则产生废炉渣150t/a，经收集后外售综合利用。</w:t>
            </w:r>
          </w:p>
          <w:p w14:paraId="53C41589">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废</w:t>
            </w:r>
            <w:r>
              <w:rPr>
                <w:rFonts w:hint="eastAsia" w:cs="Times New Roman"/>
                <w:color w:val="auto"/>
                <w:kern w:val="0"/>
                <w:sz w:val="24"/>
                <w:szCs w:val="24"/>
                <w:lang w:val="en-US" w:eastAsia="zh-CN"/>
              </w:rPr>
              <w:t>浇冒口</w:t>
            </w:r>
            <w:r>
              <w:rPr>
                <w:rFonts w:hint="eastAsia" w:ascii="Times New Roman" w:hAnsi="Times New Roman" w:eastAsia="宋体" w:cs="Times New Roman"/>
                <w:color w:val="auto"/>
                <w:kern w:val="0"/>
                <w:sz w:val="24"/>
                <w:szCs w:val="24"/>
                <w:lang w:val="en-US" w:eastAsia="zh-CN"/>
              </w:rPr>
              <w:t>（S9）：</w:t>
            </w:r>
            <w:r>
              <w:rPr>
                <w:rFonts w:hint="eastAsia" w:cs="Times New Roman"/>
                <w:color w:val="auto"/>
                <w:kern w:val="0"/>
                <w:sz w:val="24"/>
                <w:szCs w:val="24"/>
                <w:lang w:val="en-US" w:eastAsia="zh-CN"/>
              </w:rPr>
              <w:t>使用锯床去冒口过程中产生废浇冒口，产生量约为铸件的1%，</w:t>
            </w:r>
            <w:r>
              <w:rPr>
                <w:rFonts w:hint="eastAsia" w:ascii="Times New Roman" w:hAnsi="Times New Roman" w:eastAsia="宋体" w:cs="Times New Roman"/>
                <w:color w:val="auto"/>
                <w:kern w:val="0"/>
                <w:sz w:val="24"/>
                <w:szCs w:val="24"/>
                <w:lang w:val="en-US" w:eastAsia="zh-CN"/>
              </w:rPr>
              <w:t>项目</w:t>
            </w:r>
            <w:r>
              <w:rPr>
                <w:rFonts w:hint="eastAsia" w:cs="Times New Roman"/>
                <w:color w:val="auto"/>
                <w:kern w:val="0"/>
                <w:sz w:val="24"/>
                <w:szCs w:val="24"/>
                <w:lang w:val="en-US" w:eastAsia="zh-CN"/>
              </w:rPr>
              <w:t>电渣重熔工段</w:t>
            </w:r>
            <w:r>
              <w:rPr>
                <w:rFonts w:hint="eastAsia" w:ascii="Times New Roman" w:hAnsi="Times New Roman" w:eastAsia="宋体" w:cs="Times New Roman"/>
                <w:color w:val="auto"/>
                <w:kern w:val="0"/>
                <w:sz w:val="24"/>
                <w:szCs w:val="24"/>
                <w:lang w:val="en-US" w:eastAsia="zh-CN"/>
              </w:rPr>
              <w:t>年产铸件15000t，则产生废浇冒口150t/a，经收集后回用于中频炉熔化。</w:t>
            </w:r>
          </w:p>
          <w:p w14:paraId="1540D4E7">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废包装材料：项目铝矾土、萤石均采用包装袋包装，焊丝采用纸盒包装，年使用萤石180t、铝矾土210t、焊丝3t，则产生废包装材料约2.34t/a，经收集后外售综合利用</w:t>
            </w:r>
            <w:r>
              <w:rPr>
                <w:rFonts w:hint="eastAsia" w:ascii="Times New Roman" w:hAnsi="Times New Roman" w:cs="Times New Roman"/>
                <w:color w:val="auto"/>
                <w:kern w:val="0"/>
                <w:sz w:val="24"/>
              </w:rPr>
              <w:t>。</w:t>
            </w:r>
          </w:p>
          <w:p w14:paraId="2C1155D8">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布袋除尘器收尘：项目采用布袋除尘器收集</w:t>
            </w:r>
            <w:r>
              <w:rPr>
                <w:rFonts w:hint="eastAsia" w:cs="Times New Roman"/>
                <w:color w:val="auto"/>
                <w:kern w:val="0"/>
                <w:sz w:val="24"/>
                <w:szCs w:val="24"/>
                <w:lang w:val="en-US" w:eastAsia="zh-CN"/>
              </w:rPr>
              <w:t>电渣重熔过程中产生的烟尘</w:t>
            </w:r>
            <w:r>
              <w:rPr>
                <w:rFonts w:hint="eastAsia" w:ascii="Times New Roman" w:hAnsi="Times New Roman" w:eastAsia="宋体" w:cs="Times New Roman"/>
                <w:color w:val="auto"/>
                <w:kern w:val="0"/>
                <w:sz w:val="24"/>
                <w:szCs w:val="24"/>
                <w:lang w:val="en-US" w:eastAsia="zh-CN"/>
              </w:rPr>
              <w:t>，根据工程分析，布袋除尘器收集量约</w:t>
            </w:r>
            <w:r>
              <w:rPr>
                <w:rFonts w:hint="eastAsia" w:cs="Times New Roman"/>
                <w:color w:val="auto"/>
                <w:kern w:val="0"/>
                <w:sz w:val="24"/>
                <w:szCs w:val="24"/>
                <w:lang w:val="en-US" w:eastAsia="zh-CN"/>
              </w:rPr>
              <w:t>6.485</w:t>
            </w:r>
            <w:r>
              <w:rPr>
                <w:rFonts w:hint="eastAsia" w:ascii="Times New Roman" w:hAnsi="Times New Roman" w:eastAsia="宋体" w:cs="Times New Roman"/>
                <w:color w:val="auto"/>
                <w:kern w:val="0"/>
                <w:sz w:val="24"/>
                <w:szCs w:val="24"/>
                <w:lang w:val="en-US" w:eastAsia="zh-CN"/>
              </w:rPr>
              <w:t>t/a</w:t>
            </w:r>
            <w:r>
              <w:rPr>
                <w:rFonts w:hint="eastAsia" w:cs="Times New Roman"/>
                <w:color w:val="auto"/>
                <w:kern w:val="0"/>
                <w:sz w:val="24"/>
                <w:szCs w:val="24"/>
                <w:lang w:val="en-US" w:eastAsia="zh-CN"/>
              </w:rPr>
              <w:t>；布袋除尘器内喷石灰粉用于处理氟化物，根据工程分析，产生氟化钙沉淀约0.312t/a，纳入布袋除尘器收尘一并收集处理；综上，布袋除尘器收尘共6.797t/a，</w:t>
            </w:r>
            <w:r>
              <w:rPr>
                <w:rFonts w:hint="eastAsia" w:ascii="Times New Roman" w:hAnsi="Times New Roman" w:eastAsia="宋体" w:cs="Times New Roman"/>
                <w:color w:val="auto"/>
                <w:kern w:val="0"/>
                <w:sz w:val="24"/>
                <w:szCs w:val="24"/>
                <w:lang w:val="en-US" w:eastAsia="zh-CN"/>
              </w:rPr>
              <w:t>经收集后</w:t>
            </w:r>
            <w:r>
              <w:rPr>
                <w:rFonts w:hint="eastAsia" w:cs="Times New Roman"/>
                <w:color w:val="auto"/>
                <w:kern w:val="0"/>
                <w:sz w:val="24"/>
                <w:szCs w:val="24"/>
                <w:lang w:val="en-US" w:eastAsia="zh-CN"/>
              </w:rPr>
              <w:t>委托有资质单位集中处理</w:t>
            </w:r>
            <w:r>
              <w:rPr>
                <w:rFonts w:hint="eastAsia" w:ascii="Times New Roman" w:hAnsi="Times New Roman" w:eastAsia="宋体" w:cs="Times New Roman"/>
                <w:color w:val="auto"/>
                <w:kern w:val="0"/>
                <w:sz w:val="24"/>
                <w:szCs w:val="24"/>
                <w:lang w:val="en-US" w:eastAsia="zh-CN"/>
              </w:rPr>
              <w:t>。</w:t>
            </w:r>
          </w:p>
          <w:p w14:paraId="169E2531">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废布袋：布袋除尘器处理烟尘过程中会产生破损布袋，产生量约1t/a，经收集后</w:t>
            </w:r>
            <w:r>
              <w:rPr>
                <w:rFonts w:hint="eastAsia" w:cs="Times New Roman"/>
                <w:color w:val="auto"/>
                <w:kern w:val="0"/>
                <w:sz w:val="24"/>
                <w:lang w:val="en-US" w:eastAsia="zh-CN"/>
              </w:rPr>
              <w:t>委托有资质单位集中处理</w:t>
            </w:r>
            <w:r>
              <w:rPr>
                <w:rFonts w:hint="eastAsia" w:ascii="Times New Roman" w:hAnsi="Times New Roman" w:cs="Times New Roman"/>
                <w:color w:val="auto"/>
                <w:kern w:val="0"/>
                <w:sz w:val="24"/>
                <w:lang w:val="en-US" w:eastAsia="zh-CN"/>
              </w:rPr>
              <w:t>。</w:t>
            </w:r>
          </w:p>
          <w:p w14:paraId="3A23EDEA">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废切削液（S10）：</w:t>
            </w:r>
            <w:r>
              <w:rPr>
                <w:rFonts w:hint="eastAsia" w:cs="Times New Roman"/>
                <w:color w:val="auto"/>
                <w:kern w:val="0"/>
                <w:sz w:val="24"/>
                <w:szCs w:val="24"/>
                <w:lang w:val="en-US" w:eastAsia="zh-CN"/>
              </w:rPr>
              <w:t>使用锯床去冒口过程中添加切削液</w:t>
            </w:r>
            <w:r>
              <w:rPr>
                <w:rFonts w:hint="default"/>
                <w:bCs/>
                <w:color w:val="auto"/>
                <w:sz w:val="24"/>
                <w:szCs w:val="24"/>
                <w:lang w:val="en-US" w:eastAsia="zh-CN"/>
              </w:rPr>
              <w:t>（按照1:</w:t>
            </w:r>
            <w:r>
              <w:rPr>
                <w:rFonts w:hint="eastAsia"/>
                <w:bCs/>
                <w:color w:val="auto"/>
                <w:sz w:val="24"/>
                <w:szCs w:val="24"/>
                <w:lang w:val="en-US" w:eastAsia="zh-CN"/>
              </w:rPr>
              <w:t>20</w:t>
            </w:r>
            <w:r>
              <w:rPr>
                <w:rFonts w:hint="default"/>
                <w:bCs/>
                <w:color w:val="auto"/>
                <w:sz w:val="24"/>
                <w:szCs w:val="24"/>
                <w:lang w:val="en-US" w:eastAsia="zh-CN"/>
              </w:rPr>
              <w:t>的比例进行配水使用）</w:t>
            </w:r>
            <w:r>
              <w:rPr>
                <w:rFonts w:hint="eastAsia" w:cs="Times New Roman"/>
                <w:color w:val="auto"/>
                <w:kern w:val="0"/>
                <w:sz w:val="24"/>
                <w:szCs w:val="24"/>
                <w:lang w:val="en-US" w:eastAsia="zh-CN"/>
              </w:rPr>
              <w:t>，主要起润滑和冷却的作用，切削液循环使用，平均每6个月更换一次，废切削液产生量约1t/a，经收集后委托有资质单位集中处理。</w:t>
            </w:r>
          </w:p>
          <w:p w14:paraId="1A35B20D">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rPr>
            </w:pPr>
            <w:r>
              <w:rPr>
                <w:rFonts w:hint="eastAsia" w:cs="Times New Roman"/>
                <w:color w:val="auto"/>
                <w:kern w:val="0"/>
                <w:sz w:val="24"/>
                <w:lang w:val="en-US" w:eastAsia="zh-CN"/>
              </w:rPr>
              <w:t>废包装桶：切削液采用200kg/桶的包装桶包装，本项目年使用切削液1t，则产生废包装桶5个，约0.05t/a，经收集后委托有资质单位集中处理。</w:t>
            </w:r>
          </w:p>
          <w:p w14:paraId="08D95F57">
            <w:pPr>
              <w:keepNext w:val="0"/>
              <w:keepLines w:val="0"/>
              <w:pageBreakBefore w:val="0"/>
              <w:widowControl w:val="0"/>
              <w:numPr>
                <w:ilvl w:val="0"/>
                <w:numId w:val="9"/>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cs="Times New Roman"/>
                <w:color w:val="auto"/>
                <w:sz w:val="24"/>
                <w:lang w:val="en-US" w:eastAsia="zh-CN"/>
              </w:rPr>
              <w:t>“以新带老”措施：</w:t>
            </w:r>
            <w:r>
              <w:rPr>
                <w:rFonts w:hint="eastAsia" w:cs="Times New Roman"/>
                <w:b w:val="0"/>
                <w:bCs w:val="0"/>
                <w:color w:val="auto"/>
                <w:sz w:val="24"/>
                <w:szCs w:val="24"/>
                <w:lang w:val="en-US" w:eastAsia="zh-CN"/>
              </w:rPr>
              <w:t>原有布袋除尘器运行过程中会产生少量破损布袋。经与建设单位核实，废布袋产生量约1.5t/a，经收集后外售综合利用。</w:t>
            </w:r>
          </w:p>
          <w:p w14:paraId="4762D09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原有项目切割烟尘采用滤筒除尘器进行处理，滤筒除尘器运行过程中会产生少量废滤筒，产生量约0.5t/a，经收集后外售综合利用。</w:t>
            </w:r>
          </w:p>
          <w:p w14:paraId="018BEAD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cs="Times New Roman"/>
                <w:b w:val="0"/>
                <w:bCs w:val="0"/>
                <w:color w:val="auto"/>
                <w:sz w:val="24"/>
                <w:szCs w:val="24"/>
                <w:lang w:val="en-US" w:eastAsia="zh-CN"/>
              </w:rPr>
              <w:t>原有已建项目未考虑中频炉、精炼炉在日常修理过程中产生废耐火材料（耐火砖），经与建设单位核实，废耐火材料产生量约200t/a，经收集后由厂家回收。</w:t>
            </w:r>
          </w:p>
          <w:p w14:paraId="4BC8709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righ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机加工设备运行维护过程中产生的少量废</w:t>
            </w:r>
            <w:r>
              <w:rPr>
                <w:rFonts w:hint="eastAsia" w:cs="Times New Roman"/>
                <w:b w:val="0"/>
                <w:bCs w:val="0"/>
                <w:color w:val="auto"/>
                <w:sz w:val="24"/>
                <w:szCs w:val="24"/>
                <w:lang w:val="en-US" w:eastAsia="zh-CN"/>
              </w:rPr>
              <w:t>润滑</w:t>
            </w:r>
            <w:r>
              <w:rPr>
                <w:rFonts w:hint="eastAsia" w:ascii="Times New Roman" w:hAnsi="Times New Roman" w:eastAsia="宋体" w:cs="Times New Roman"/>
                <w:b w:val="0"/>
                <w:bCs w:val="0"/>
                <w:color w:val="auto"/>
                <w:sz w:val="24"/>
                <w:szCs w:val="24"/>
                <w:lang w:val="en-US" w:eastAsia="zh-CN"/>
              </w:rPr>
              <w:t>油，经与建设单位核实，</w:t>
            </w:r>
            <w:r>
              <w:rPr>
                <w:rFonts w:hint="eastAsia" w:cs="Times New Roman"/>
                <w:b w:val="0"/>
                <w:bCs w:val="0"/>
                <w:color w:val="auto"/>
                <w:sz w:val="24"/>
                <w:szCs w:val="24"/>
                <w:lang w:val="en-US" w:eastAsia="zh-CN"/>
              </w:rPr>
              <w:t>废润滑油</w:t>
            </w:r>
            <w:r>
              <w:rPr>
                <w:rFonts w:hint="eastAsia" w:ascii="Times New Roman" w:hAnsi="Times New Roman" w:eastAsia="宋体" w:cs="Times New Roman"/>
                <w:b w:val="0"/>
                <w:bCs w:val="0"/>
                <w:color w:val="auto"/>
                <w:sz w:val="24"/>
                <w:szCs w:val="24"/>
                <w:lang w:val="en-US" w:eastAsia="zh-CN"/>
              </w:rPr>
              <w:t>产生量约0.</w:t>
            </w:r>
            <w:r>
              <w:rPr>
                <w:rFonts w:hint="eastAsia" w:cs="Times New Roman"/>
                <w:b w:val="0"/>
                <w:bCs w:val="0"/>
                <w:color w:val="auto"/>
                <w:sz w:val="24"/>
                <w:szCs w:val="24"/>
                <w:lang w:val="en-US" w:eastAsia="zh-CN"/>
              </w:rPr>
              <w:t>3</w:t>
            </w:r>
            <w:r>
              <w:rPr>
                <w:rFonts w:hint="eastAsia" w:ascii="Times New Roman" w:hAnsi="Times New Roman" w:eastAsia="宋体" w:cs="Times New Roman"/>
                <w:b w:val="0"/>
                <w:bCs w:val="0"/>
                <w:color w:val="auto"/>
                <w:sz w:val="24"/>
                <w:szCs w:val="24"/>
                <w:lang w:val="en-US" w:eastAsia="zh-CN"/>
              </w:rPr>
              <w:t>t/a，经收集后委托有资质单位集中处置。</w:t>
            </w:r>
          </w:p>
          <w:p w14:paraId="476253C4">
            <w:pPr>
              <w:pStyle w:val="3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color w:val="auto"/>
                <w:lang w:val="en-US" w:eastAsia="zh-CN"/>
              </w:rPr>
            </w:pPr>
            <w:r>
              <w:rPr>
                <w:rFonts w:hint="eastAsia" w:cs="Times New Roman"/>
                <w:b w:val="0"/>
                <w:bCs w:val="0"/>
                <w:color w:val="auto"/>
                <w:sz w:val="24"/>
                <w:szCs w:val="24"/>
                <w:lang w:val="en-US" w:eastAsia="zh-CN"/>
              </w:rPr>
              <w:t>原有项目</w:t>
            </w:r>
            <w:r>
              <w:rPr>
                <w:rFonts w:hint="eastAsia" w:cs="Times New Roman"/>
                <w:color w:val="auto"/>
                <w:kern w:val="0"/>
                <w:sz w:val="24"/>
                <w:lang w:val="en-US" w:eastAsia="zh-CN"/>
              </w:rPr>
              <w:t>切削液采用200kg/桶的包装桶包装，</w:t>
            </w:r>
            <w:r>
              <w:rPr>
                <w:rFonts w:hint="eastAsia" w:cs="Times New Roman"/>
                <w:b w:val="0"/>
                <w:bCs w:val="0"/>
                <w:color w:val="auto"/>
                <w:sz w:val="24"/>
                <w:szCs w:val="24"/>
                <w:lang w:val="en-US" w:eastAsia="zh-CN"/>
              </w:rPr>
              <w:t>切削液年用量3t，</w:t>
            </w:r>
            <w:r>
              <w:rPr>
                <w:rFonts w:hint="eastAsia" w:cs="Times New Roman"/>
                <w:color w:val="auto"/>
                <w:kern w:val="0"/>
                <w:sz w:val="24"/>
                <w:lang w:val="en-US" w:eastAsia="zh-CN"/>
              </w:rPr>
              <w:t>则产生废包装桶15个，约0.15t/a，经收集后委托有资质单位集中处理。</w:t>
            </w:r>
          </w:p>
          <w:p w14:paraId="6AC9C4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本项目固体废弃物全部“零”排放，控制率达到100%，不会造成二次污染。</w:t>
            </w:r>
          </w:p>
          <w:p w14:paraId="2C9BCA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6232AAF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703BE95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1193227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03B8668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0E6FDDD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245188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529703A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5FBD8A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4FC30FC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2AE9BD0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512F15D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3254288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74CE4CD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01C774B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3A6706D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1E18D1A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7FCD06F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cs="Times New Roman"/>
                <w:color w:val="auto"/>
                <w:sz w:val="24"/>
              </w:rPr>
            </w:pPr>
          </w:p>
          <w:p w14:paraId="1999A5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val="en-US" w:eastAsia="zh-CN"/>
              </w:rPr>
            </w:pPr>
          </w:p>
        </w:tc>
      </w:tr>
    </w:tbl>
    <w:p w14:paraId="6C3D4165">
      <w:pPr>
        <w:pStyle w:val="3"/>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2794"/>
      </w:tblGrid>
      <w:tr w14:paraId="3000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dxa"/>
            <w:noWrap w:val="0"/>
            <w:vAlign w:val="top"/>
          </w:tcPr>
          <w:p w14:paraId="0C64E9EC">
            <w:pPr>
              <w:pStyle w:val="3"/>
              <w:keepNext w:val="0"/>
              <w:keepLines w:val="0"/>
              <w:numPr>
                <w:ilvl w:val="0"/>
                <w:numId w:val="0"/>
              </w:numPr>
              <w:suppressLineNumbers w:val="0"/>
              <w:spacing w:before="0" w:beforeAutospacing="0" w:after="0" w:afterAutospacing="0"/>
              <w:ind w:left="1680" w:leftChars="0" w:right="0"/>
              <w:rPr>
                <w:rFonts w:hint="default" w:ascii="Times New Roman" w:hAnsi="Times New Roman" w:cs="Times New Roman"/>
                <w:color w:val="auto"/>
                <w:vertAlign w:val="baseline"/>
              </w:rPr>
            </w:pPr>
          </w:p>
        </w:tc>
        <w:tc>
          <w:tcPr>
            <w:tcW w:w="12794" w:type="dxa"/>
            <w:noWrap w:val="0"/>
            <w:vAlign w:val="top"/>
          </w:tcPr>
          <w:p w14:paraId="4B8B7B5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mallCaps/>
                <w:color w:val="auto"/>
                <w:sz w:val="24"/>
              </w:rPr>
            </w:pPr>
            <w:r>
              <w:rPr>
                <w:rFonts w:hint="default" w:ascii="Times New Roman" w:hAnsi="Times New Roman" w:cs="Times New Roman"/>
                <w:b/>
                <w:smallCaps/>
                <w:color w:val="auto"/>
                <w:sz w:val="24"/>
              </w:rPr>
              <w:t>表</w:t>
            </w:r>
            <w:r>
              <w:rPr>
                <w:rFonts w:hint="eastAsia" w:ascii="Times New Roman" w:hAnsi="Times New Roman" w:cs="Times New Roman"/>
                <w:b/>
                <w:smallCaps/>
                <w:color w:val="auto"/>
                <w:sz w:val="24"/>
              </w:rPr>
              <w:t>4</w:t>
            </w:r>
            <w:r>
              <w:rPr>
                <w:rFonts w:hint="default" w:ascii="Times New Roman" w:hAnsi="Times New Roman" w:cs="Times New Roman"/>
                <w:b/>
                <w:smallCaps/>
                <w:color w:val="auto"/>
                <w:sz w:val="24"/>
              </w:rPr>
              <w:t>.4-</w:t>
            </w:r>
            <w:r>
              <w:rPr>
                <w:rFonts w:hint="eastAsia" w:ascii="Times New Roman" w:hAnsi="Times New Roman" w:cs="Times New Roman"/>
                <w:b/>
                <w:smallCaps/>
                <w:color w:val="auto"/>
                <w:sz w:val="24"/>
                <w:lang w:val="en-US" w:eastAsia="zh-CN"/>
              </w:rPr>
              <w:t>1</w:t>
            </w:r>
            <w:r>
              <w:rPr>
                <w:rFonts w:hint="eastAsia" w:ascii="Times New Roman" w:hAnsi="Times New Roman" w:cs="Times New Roman"/>
                <w:b/>
                <w:smallCaps/>
                <w:color w:val="auto"/>
                <w:sz w:val="24"/>
              </w:rPr>
              <w:t xml:space="preserve">  </w:t>
            </w:r>
            <w:r>
              <w:rPr>
                <w:rFonts w:hint="default" w:ascii="Times New Roman" w:hAnsi="Times New Roman" w:cs="Times New Roman"/>
                <w:b/>
                <w:smallCaps/>
                <w:color w:val="auto"/>
                <w:sz w:val="24"/>
              </w:rPr>
              <w:t>本项目固体废物分析结果汇总表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6"/>
              <w:gridCol w:w="2629"/>
              <w:gridCol w:w="467"/>
              <w:gridCol w:w="1823"/>
              <w:gridCol w:w="613"/>
              <w:gridCol w:w="1903"/>
              <w:gridCol w:w="1323"/>
              <w:gridCol w:w="645"/>
              <w:gridCol w:w="935"/>
              <w:gridCol w:w="1226"/>
              <w:gridCol w:w="678"/>
            </w:tblGrid>
            <w:tr w14:paraId="0526D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33" w:type="pct"/>
                  <w:noWrap w:val="0"/>
                  <w:vAlign w:val="center"/>
                </w:tcPr>
                <w:p w14:paraId="2821D77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045" w:type="pct"/>
                  <w:noWrap w:val="0"/>
                  <w:vAlign w:val="center"/>
                </w:tcPr>
                <w:p w14:paraId="0D609B6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固废名称</w:t>
                  </w:r>
                </w:p>
              </w:tc>
              <w:tc>
                <w:tcPr>
                  <w:tcW w:w="185" w:type="pct"/>
                  <w:noWrap w:val="0"/>
                  <w:vAlign w:val="center"/>
                </w:tcPr>
                <w:p w14:paraId="2B6EC0B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属性</w:t>
                  </w:r>
                </w:p>
              </w:tc>
              <w:tc>
                <w:tcPr>
                  <w:tcW w:w="724" w:type="pct"/>
                  <w:noWrap w:val="0"/>
                  <w:vAlign w:val="center"/>
                </w:tcPr>
                <w:p w14:paraId="2090174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产生工序</w:t>
                  </w:r>
                </w:p>
              </w:tc>
              <w:tc>
                <w:tcPr>
                  <w:tcW w:w="243" w:type="pct"/>
                  <w:noWrap w:val="0"/>
                  <w:vAlign w:val="center"/>
                </w:tcPr>
                <w:p w14:paraId="2282BE9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756" w:type="pct"/>
                  <w:noWrap w:val="0"/>
                  <w:vAlign w:val="center"/>
                </w:tcPr>
                <w:p w14:paraId="201ECC8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主要成分</w:t>
                  </w:r>
                </w:p>
              </w:tc>
              <w:tc>
                <w:tcPr>
                  <w:tcW w:w="525" w:type="pct"/>
                  <w:noWrap w:val="0"/>
                  <w:vAlign w:val="center"/>
                </w:tcPr>
                <w:p w14:paraId="39441F39">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危险特性鉴别方法</w:t>
                  </w:r>
                </w:p>
              </w:tc>
              <w:tc>
                <w:tcPr>
                  <w:tcW w:w="256" w:type="pct"/>
                  <w:noWrap w:val="0"/>
                  <w:vAlign w:val="center"/>
                </w:tcPr>
                <w:p w14:paraId="3B861DD7">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危险特性</w:t>
                  </w:r>
                </w:p>
              </w:tc>
              <w:tc>
                <w:tcPr>
                  <w:tcW w:w="371" w:type="pct"/>
                  <w:noWrap w:val="0"/>
                  <w:vAlign w:val="center"/>
                </w:tcPr>
                <w:p w14:paraId="2E1B31CA">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废物类别</w:t>
                  </w:r>
                </w:p>
              </w:tc>
              <w:tc>
                <w:tcPr>
                  <w:tcW w:w="487" w:type="pct"/>
                  <w:noWrap w:val="0"/>
                  <w:vAlign w:val="center"/>
                </w:tcPr>
                <w:p w14:paraId="08428E64">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废物代码</w:t>
                  </w:r>
                </w:p>
              </w:tc>
              <w:tc>
                <w:tcPr>
                  <w:tcW w:w="269" w:type="pct"/>
                  <w:noWrap w:val="0"/>
                  <w:vAlign w:val="center"/>
                </w:tcPr>
                <w:p w14:paraId="1578369D">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r>
                    <w:rPr>
                      <w:rFonts w:hint="eastAsia" w:ascii="Times New Roman" w:hAnsi="Times New Roman" w:cs="Times New Roman"/>
                      <w:b/>
                      <w:bCs/>
                      <w:color w:val="auto"/>
                      <w:szCs w:val="21"/>
                    </w:rPr>
                    <w:t>t</w:t>
                  </w:r>
                  <w:r>
                    <w:rPr>
                      <w:rFonts w:hint="default" w:ascii="Times New Roman" w:hAnsi="Times New Roman" w:cs="Times New Roman"/>
                      <w:b/>
                      <w:bCs/>
                      <w:color w:val="auto"/>
                      <w:szCs w:val="21"/>
                    </w:rPr>
                    <w:t>/</w:t>
                  </w:r>
                  <w:r>
                    <w:rPr>
                      <w:rFonts w:hint="eastAsia" w:ascii="Times New Roman" w:hAnsi="Times New Roman" w:cs="Times New Roman"/>
                      <w:b/>
                      <w:bCs/>
                      <w:color w:val="auto"/>
                      <w:szCs w:val="21"/>
                    </w:rPr>
                    <w:t>a</w:t>
                  </w:r>
                  <w:r>
                    <w:rPr>
                      <w:rFonts w:hint="default" w:ascii="Times New Roman" w:hAnsi="Times New Roman" w:cs="Times New Roman"/>
                      <w:b/>
                      <w:bCs/>
                      <w:color w:val="auto"/>
                      <w:szCs w:val="21"/>
                    </w:rPr>
                    <w:t>）</w:t>
                  </w:r>
                </w:p>
              </w:tc>
            </w:tr>
            <w:tr w14:paraId="3BA1B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noWrap w:val="0"/>
                  <w:vAlign w:val="center"/>
                </w:tcPr>
                <w:p w14:paraId="318BFBB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45" w:type="pct"/>
                  <w:noWrap w:val="0"/>
                  <w:vAlign w:val="center"/>
                </w:tcPr>
                <w:p w14:paraId="0E0ECA7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焊渣</w:t>
                  </w:r>
                </w:p>
              </w:tc>
              <w:tc>
                <w:tcPr>
                  <w:tcW w:w="185" w:type="pct"/>
                  <w:vMerge w:val="restart"/>
                  <w:noWrap w:val="0"/>
                  <w:vAlign w:val="center"/>
                </w:tcPr>
                <w:p w14:paraId="4393768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一般固废</w:t>
                  </w:r>
                </w:p>
              </w:tc>
              <w:tc>
                <w:tcPr>
                  <w:tcW w:w="724" w:type="pct"/>
                  <w:noWrap w:val="0"/>
                  <w:vAlign w:val="center"/>
                </w:tcPr>
                <w:p w14:paraId="2043D8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焊接</w:t>
                  </w:r>
                </w:p>
              </w:tc>
              <w:tc>
                <w:tcPr>
                  <w:tcW w:w="243" w:type="pct"/>
                  <w:noWrap w:val="0"/>
                  <w:vAlign w:val="center"/>
                </w:tcPr>
                <w:p w14:paraId="609A165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固态</w:t>
                  </w:r>
                </w:p>
              </w:tc>
              <w:tc>
                <w:tcPr>
                  <w:tcW w:w="756" w:type="pct"/>
                  <w:noWrap w:val="0"/>
                  <w:vAlign w:val="center"/>
                </w:tcPr>
                <w:p w14:paraId="13FC437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合金钢</w:t>
                  </w:r>
                </w:p>
              </w:tc>
              <w:tc>
                <w:tcPr>
                  <w:tcW w:w="525" w:type="pct"/>
                  <w:vMerge w:val="restart"/>
                  <w:noWrap w:val="0"/>
                  <w:vAlign w:val="center"/>
                </w:tcPr>
                <w:p w14:paraId="2218842C">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ascii="Times New Roman" w:hAnsi="Times New Roman" w:cs="Times New Roman"/>
                      <w:color w:val="auto"/>
                      <w:szCs w:val="21"/>
                    </w:rPr>
                    <w:t>《固体废物分类与代码名录》（生态环境部办公厅2024年1月22日印发）</w:t>
                  </w:r>
                </w:p>
              </w:tc>
              <w:tc>
                <w:tcPr>
                  <w:tcW w:w="256" w:type="pct"/>
                  <w:noWrap w:val="0"/>
                  <w:vAlign w:val="center"/>
                </w:tcPr>
                <w:p w14:paraId="367B48C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w:t>
                  </w:r>
                </w:p>
              </w:tc>
              <w:tc>
                <w:tcPr>
                  <w:tcW w:w="371" w:type="pct"/>
                  <w:noWrap w:val="0"/>
                  <w:vAlign w:val="center"/>
                </w:tcPr>
                <w:p w14:paraId="6B992C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SW17</w:t>
                  </w:r>
                </w:p>
              </w:tc>
              <w:tc>
                <w:tcPr>
                  <w:tcW w:w="487" w:type="pct"/>
                  <w:noWrap w:val="0"/>
                  <w:vAlign w:val="center"/>
                </w:tcPr>
                <w:p w14:paraId="30233A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900-001-S17</w:t>
                  </w:r>
                </w:p>
              </w:tc>
              <w:tc>
                <w:tcPr>
                  <w:tcW w:w="269" w:type="pct"/>
                  <w:noWrap w:val="0"/>
                  <w:vAlign w:val="center"/>
                </w:tcPr>
                <w:p w14:paraId="2B9BB3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0.3</w:t>
                  </w:r>
                </w:p>
              </w:tc>
            </w:tr>
            <w:tr w14:paraId="02448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noWrap w:val="0"/>
                  <w:vAlign w:val="center"/>
                </w:tcPr>
                <w:p w14:paraId="518A7FF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045" w:type="pct"/>
                  <w:noWrap w:val="0"/>
                  <w:vAlign w:val="center"/>
                </w:tcPr>
                <w:p w14:paraId="3B7B8C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废炉渣</w:t>
                  </w:r>
                </w:p>
              </w:tc>
              <w:tc>
                <w:tcPr>
                  <w:tcW w:w="185" w:type="pct"/>
                  <w:vMerge w:val="continue"/>
                  <w:noWrap w:val="0"/>
                  <w:vAlign w:val="center"/>
                </w:tcPr>
                <w:p w14:paraId="67BBFA9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32EAD9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电渣重熔</w:t>
                  </w:r>
                </w:p>
              </w:tc>
              <w:tc>
                <w:tcPr>
                  <w:tcW w:w="243" w:type="pct"/>
                  <w:noWrap w:val="0"/>
                  <w:vAlign w:val="center"/>
                </w:tcPr>
                <w:p w14:paraId="39DC33E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固态</w:t>
                  </w:r>
                </w:p>
              </w:tc>
              <w:tc>
                <w:tcPr>
                  <w:tcW w:w="756" w:type="pct"/>
                  <w:noWrap w:val="0"/>
                  <w:vAlign w:val="center"/>
                </w:tcPr>
                <w:p w14:paraId="44B9D3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金属</w:t>
                  </w:r>
                </w:p>
              </w:tc>
              <w:tc>
                <w:tcPr>
                  <w:tcW w:w="525" w:type="pct"/>
                  <w:vMerge w:val="continue"/>
                  <w:noWrap w:val="0"/>
                  <w:vAlign w:val="center"/>
                </w:tcPr>
                <w:p w14:paraId="7237C801">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noWrap w:val="0"/>
                  <w:vAlign w:val="center"/>
                </w:tcPr>
                <w:p w14:paraId="6C981DF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71" w:type="pct"/>
                  <w:shd w:val="clear" w:color="auto" w:fill="auto"/>
                  <w:noWrap w:val="0"/>
                  <w:vAlign w:val="center"/>
                </w:tcPr>
                <w:p w14:paraId="5D399A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SW03</w:t>
                  </w:r>
                </w:p>
              </w:tc>
              <w:tc>
                <w:tcPr>
                  <w:tcW w:w="487" w:type="pct"/>
                  <w:shd w:val="clear" w:color="auto" w:fill="auto"/>
                  <w:noWrap w:val="0"/>
                  <w:vAlign w:val="center"/>
                </w:tcPr>
                <w:p w14:paraId="63853D6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900-099-S03</w:t>
                  </w:r>
                </w:p>
              </w:tc>
              <w:tc>
                <w:tcPr>
                  <w:tcW w:w="269" w:type="pct"/>
                  <w:noWrap w:val="0"/>
                  <w:vAlign w:val="center"/>
                </w:tcPr>
                <w:p w14:paraId="1F75E1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w:t>
                  </w:r>
                </w:p>
              </w:tc>
            </w:tr>
            <w:tr w14:paraId="4D110C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noWrap w:val="0"/>
                  <w:vAlign w:val="center"/>
                </w:tcPr>
                <w:p w14:paraId="73E0319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1045" w:type="pct"/>
                  <w:noWrap w:val="0"/>
                  <w:vAlign w:val="center"/>
                </w:tcPr>
                <w:p w14:paraId="0DD64FF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废浇冒口</w:t>
                  </w:r>
                </w:p>
              </w:tc>
              <w:tc>
                <w:tcPr>
                  <w:tcW w:w="185" w:type="pct"/>
                  <w:vMerge w:val="continue"/>
                  <w:noWrap w:val="0"/>
                  <w:vAlign w:val="center"/>
                </w:tcPr>
                <w:p w14:paraId="0CE8CE7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19373D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去冒口</w:t>
                  </w:r>
                </w:p>
              </w:tc>
              <w:tc>
                <w:tcPr>
                  <w:tcW w:w="243" w:type="pct"/>
                  <w:noWrap w:val="0"/>
                  <w:vAlign w:val="center"/>
                </w:tcPr>
                <w:p w14:paraId="4A1A290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固态</w:t>
                  </w:r>
                </w:p>
              </w:tc>
              <w:tc>
                <w:tcPr>
                  <w:tcW w:w="756" w:type="pct"/>
                  <w:noWrap w:val="0"/>
                  <w:vAlign w:val="center"/>
                </w:tcPr>
                <w:p w14:paraId="0485553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金属</w:t>
                  </w:r>
                </w:p>
              </w:tc>
              <w:tc>
                <w:tcPr>
                  <w:tcW w:w="525" w:type="pct"/>
                  <w:vMerge w:val="continue"/>
                  <w:noWrap w:val="0"/>
                  <w:vAlign w:val="center"/>
                </w:tcPr>
                <w:p w14:paraId="1AFDED1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shd w:val="clear" w:color="auto" w:fill="auto"/>
                  <w:noWrap w:val="0"/>
                  <w:vAlign w:val="center"/>
                </w:tcPr>
                <w:p w14:paraId="57A5BF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w:t>
                  </w:r>
                </w:p>
              </w:tc>
              <w:tc>
                <w:tcPr>
                  <w:tcW w:w="371" w:type="pct"/>
                  <w:shd w:val="clear" w:color="auto" w:fill="auto"/>
                  <w:noWrap w:val="0"/>
                  <w:vAlign w:val="center"/>
                </w:tcPr>
                <w:p w14:paraId="0AD1D0F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487" w:type="pct"/>
                  <w:shd w:val="clear" w:color="auto" w:fill="auto"/>
                  <w:noWrap w:val="0"/>
                  <w:vAlign w:val="center"/>
                </w:tcPr>
                <w:p w14:paraId="70078A1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269" w:type="pct"/>
                  <w:noWrap w:val="0"/>
                  <w:vAlign w:val="center"/>
                </w:tcPr>
                <w:p w14:paraId="331741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w:t>
                  </w:r>
                </w:p>
              </w:tc>
            </w:tr>
            <w:tr w14:paraId="1010A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noWrap w:val="0"/>
                  <w:vAlign w:val="center"/>
                </w:tcPr>
                <w:p w14:paraId="5327156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1045" w:type="pct"/>
                  <w:noWrap w:val="0"/>
                  <w:vAlign w:val="center"/>
                </w:tcPr>
                <w:p w14:paraId="6167F3D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废包装材料</w:t>
                  </w:r>
                </w:p>
              </w:tc>
              <w:tc>
                <w:tcPr>
                  <w:tcW w:w="185" w:type="pct"/>
                  <w:vMerge w:val="continue"/>
                  <w:noWrap w:val="0"/>
                  <w:vAlign w:val="center"/>
                </w:tcPr>
                <w:p w14:paraId="72181F2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150C5D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原料拆包</w:t>
                  </w:r>
                </w:p>
              </w:tc>
              <w:tc>
                <w:tcPr>
                  <w:tcW w:w="243" w:type="pct"/>
                  <w:noWrap w:val="0"/>
                  <w:vAlign w:val="center"/>
                </w:tcPr>
                <w:p w14:paraId="2A69B45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固态</w:t>
                  </w:r>
                </w:p>
              </w:tc>
              <w:tc>
                <w:tcPr>
                  <w:tcW w:w="756" w:type="pct"/>
                  <w:noWrap w:val="0"/>
                  <w:vAlign w:val="center"/>
                </w:tcPr>
                <w:p w14:paraId="62C985B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尼龙袋、纸板</w:t>
                  </w:r>
                </w:p>
              </w:tc>
              <w:tc>
                <w:tcPr>
                  <w:tcW w:w="525" w:type="pct"/>
                  <w:vMerge w:val="continue"/>
                  <w:noWrap w:val="0"/>
                  <w:vAlign w:val="center"/>
                </w:tcPr>
                <w:p w14:paraId="4296E90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shd w:val="clear" w:color="auto" w:fill="auto"/>
                  <w:noWrap w:val="0"/>
                  <w:vAlign w:val="center"/>
                </w:tcPr>
                <w:p w14:paraId="1FC4934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w:t>
                  </w:r>
                </w:p>
              </w:tc>
              <w:tc>
                <w:tcPr>
                  <w:tcW w:w="371" w:type="pct"/>
                  <w:shd w:val="clear" w:color="auto" w:fill="auto"/>
                  <w:noWrap w:val="0"/>
                  <w:vAlign w:val="center"/>
                </w:tcPr>
                <w:p w14:paraId="329625A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487" w:type="pct"/>
                  <w:shd w:val="clear" w:color="auto" w:fill="auto"/>
                  <w:noWrap w:val="0"/>
                  <w:vAlign w:val="center"/>
                </w:tcPr>
                <w:p w14:paraId="78623C8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900-003-S17</w:t>
                  </w:r>
                </w:p>
              </w:tc>
              <w:tc>
                <w:tcPr>
                  <w:tcW w:w="269" w:type="pct"/>
                  <w:noWrap w:val="0"/>
                  <w:vAlign w:val="center"/>
                </w:tcPr>
                <w:p w14:paraId="61F6A1C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2.34</w:t>
                  </w:r>
                </w:p>
              </w:tc>
            </w:tr>
            <w:tr w14:paraId="252A8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shd w:val="clear" w:color="auto" w:fill="auto"/>
                  <w:noWrap w:val="0"/>
                  <w:vAlign w:val="center"/>
                </w:tcPr>
                <w:p w14:paraId="786BE0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w:t>
                  </w:r>
                </w:p>
              </w:tc>
              <w:tc>
                <w:tcPr>
                  <w:tcW w:w="1045" w:type="pct"/>
                  <w:shd w:val="clear" w:color="auto" w:fill="auto"/>
                  <w:noWrap w:val="0"/>
                  <w:vAlign w:val="center"/>
                </w:tcPr>
                <w:p w14:paraId="40A0431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废滤筒</w:t>
                  </w:r>
                </w:p>
              </w:tc>
              <w:tc>
                <w:tcPr>
                  <w:tcW w:w="185" w:type="pct"/>
                  <w:vMerge w:val="continue"/>
                  <w:shd w:val="clear" w:color="auto" w:fill="auto"/>
                  <w:noWrap w:val="0"/>
                  <w:vAlign w:val="center"/>
                </w:tcPr>
                <w:p w14:paraId="6A8F1D6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724" w:type="pct"/>
                  <w:shd w:val="clear" w:color="auto" w:fill="auto"/>
                  <w:noWrap w:val="0"/>
                  <w:vAlign w:val="center"/>
                </w:tcPr>
                <w:p w14:paraId="57621BD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切割烟尘处理</w:t>
                  </w:r>
                </w:p>
              </w:tc>
              <w:tc>
                <w:tcPr>
                  <w:tcW w:w="243" w:type="pct"/>
                  <w:shd w:val="clear" w:color="auto" w:fill="auto"/>
                  <w:noWrap w:val="0"/>
                  <w:vAlign w:val="center"/>
                </w:tcPr>
                <w:p w14:paraId="7F14F23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756" w:type="pct"/>
                  <w:shd w:val="clear" w:color="auto" w:fill="auto"/>
                  <w:noWrap w:val="0"/>
                  <w:vAlign w:val="center"/>
                </w:tcPr>
                <w:p w14:paraId="6330553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滤筒</w:t>
                  </w:r>
                </w:p>
              </w:tc>
              <w:tc>
                <w:tcPr>
                  <w:tcW w:w="525" w:type="pct"/>
                  <w:vMerge w:val="continue"/>
                  <w:shd w:val="clear" w:color="auto" w:fill="auto"/>
                  <w:noWrap w:val="0"/>
                  <w:vAlign w:val="center"/>
                </w:tcPr>
                <w:p w14:paraId="227AFB0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256" w:type="pct"/>
                  <w:shd w:val="clear" w:color="auto" w:fill="auto"/>
                  <w:noWrap w:val="0"/>
                  <w:vAlign w:val="center"/>
                </w:tcPr>
                <w:p w14:paraId="23B4013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1" w:type="pct"/>
                  <w:shd w:val="clear" w:color="auto" w:fill="auto"/>
                  <w:noWrap w:val="0"/>
                  <w:vAlign w:val="center"/>
                </w:tcPr>
                <w:p w14:paraId="791A5D2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SW17</w:t>
                  </w:r>
                </w:p>
              </w:tc>
              <w:tc>
                <w:tcPr>
                  <w:tcW w:w="487" w:type="pct"/>
                  <w:shd w:val="clear" w:color="auto" w:fill="auto"/>
                  <w:noWrap w:val="0"/>
                  <w:vAlign w:val="center"/>
                </w:tcPr>
                <w:p w14:paraId="47EA524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900-0</w:t>
                  </w:r>
                  <w:r>
                    <w:rPr>
                      <w:rFonts w:hint="eastAsia" w:ascii="Times New Roman" w:hAnsi="Times New Roman" w:cs="Times New Roman"/>
                      <w:color w:val="auto"/>
                      <w:szCs w:val="21"/>
                      <w:lang w:val="en-US" w:eastAsia="zh-CN"/>
                    </w:rPr>
                    <w:t>99</w:t>
                  </w:r>
                  <w:r>
                    <w:rPr>
                      <w:rFonts w:hint="eastAsia" w:ascii="Times New Roman" w:hAnsi="Times New Roman" w:cs="Times New Roman"/>
                      <w:color w:val="auto"/>
                      <w:szCs w:val="21"/>
                    </w:rPr>
                    <w:t>-S17</w:t>
                  </w:r>
                </w:p>
              </w:tc>
              <w:tc>
                <w:tcPr>
                  <w:tcW w:w="269" w:type="pct"/>
                  <w:shd w:val="clear" w:color="auto" w:fill="auto"/>
                  <w:noWrap w:val="0"/>
                  <w:vAlign w:val="center"/>
                </w:tcPr>
                <w:p w14:paraId="28D418E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0.5</w:t>
                  </w:r>
                </w:p>
              </w:tc>
            </w:tr>
            <w:tr w14:paraId="644EE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shd w:val="clear" w:color="auto" w:fill="auto"/>
                  <w:noWrap w:val="0"/>
                  <w:vAlign w:val="center"/>
                </w:tcPr>
                <w:p w14:paraId="5F60586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p>
              </w:tc>
              <w:tc>
                <w:tcPr>
                  <w:tcW w:w="1045" w:type="pct"/>
                  <w:noWrap w:val="0"/>
                  <w:vAlign w:val="center"/>
                </w:tcPr>
                <w:p w14:paraId="75FB41A5">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废耐火材料</w:t>
                  </w:r>
                </w:p>
              </w:tc>
              <w:tc>
                <w:tcPr>
                  <w:tcW w:w="185" w:type="pct"/>
                  <w:vMerge w:val="continue"/>
                  <w:noWrap w:val="0"/>
                  <w:vAlign w:val="center"/>
                </w:tcPr>
                <w:p w14:paraId="659A2D0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44D7BDB0">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设备维护保养</w:t>
                  </w:r>
                </w:p>
              </w:tc>
              <w:tc>
                <w:tcPr>
                  <w:tcW w:w="243" w:type="pct"/>
                  <w:noWrap w:val="0"/>
                  <w:vAlign w:val="center"/>
                </w:tcPr>
                <w:p w14:paraId="760FB39E">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固态</w:t>
                  </w:r>
                </w:p>
              </w:tc>
              <w:tc>
                <w:tcPr>
                  <w:tcW w:w="756" w:type="pct"/>
                  <w:noWrap w:val="0"/>
                  <w:vAlign w:val="center"/>
                </w:tcPr>
                <w:p w14:paraId="0D1BE32B">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耐火砖</w:t>
                  </w:r>
                </w:p>
              </w:tc>
              <w:tc>
                <w:tcPr>
                  <w:tcW w:w="525" w:type="pct"/>
                  <w:vMerge w:val="continue"/>
                  <w:noWrap w:val="0"/>
                  <w:vAlign w:val="center"/>
                </w:tcPr>
                <w:p w14:paraId="1E714A5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shd w:val="clear" w:color="auto" w:fill="auto"/>
                  <w:noWrap w:val="0"/>
                  <w:vAlign w:val="center"/>
                </w:tcPr>
                <w:p w14:paraId="3E2281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71" w:type="pct"/>
                  <w:shd w:val="clear" w:color="auto" w:fill="auto"/>
                  <w:noWrap w:val="0"/>
                  <w:vAlign w:val="center"/>
                </w:tcPr>
                <w:p w14:paraId="515A23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SW59</w:t>
                  </w:r>
                </w:p>
              </w:tc>
              <w:tc>
                <w:tcPr>
                  <w:tcW w:w="487" w:type="pct"/>
                  <w:shd w:val="clear" w:color="auto" w:fill="auto"/>
                  <w:noWrap w:val="0"/>
                  <w:vAlign w:val="center"/>
                </w:tcPr>
                <w:p w14:paraId="0551725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900-003-S59</w:t>
                  </w:r>
                </w:p>
              </w:tc>
              <w:tc>
                <w:tcPr>
                  <w:tcW w:w="269" w:type="pct"/>
                  <w:noWrap w:val="0"/>
                  <w:vAlign w:val="center"/>
                </w:tcPr>
                <w:p w14:paraId="34118307">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200</w:t>
                  </w:r>
                </w:p>
              </w:tc>
            </w:tr>
            <w:tr w14:paraId="1EE7B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shd w:val="clear" w:color="auto" w:fill="auto"/>
                  <w:noWrap w:val="0"/>
                  <w:vAlign w:val="center"/>
                </w:tcPr>
                <w:p w14:paraId="04E2CB1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w:t>
                  </w:r>
                </w:p>
              </w:tc>
              <w:tc>
                <w:tcPr>
                  <w:tcW w:w="1045" w:type="pct"/>
                  <w:shd w:val="clear" w:color="auto" w:fill="auto"/>
                  <w:noWrap w:val="0"/>
                  <w:vAlign w:val="center"/>
                </w:tcPr>
                <w:p w14:paraId="7382A09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布袋除尘器收尘（电渣重熔）</w:t>
                  </w:r>
                </w:p>
              </w:tc>
              <w:tc>
                <w:tcPr>
                  <w:tcW w:w="185" w:type="pct"/>
                  <w:vMerge w:val="restart"/>
                  <w:shd w:val="clear" w:color="auto" w:fill="auto"/>
                  <w:noWrap w:val="0"/>
                  <w:vAlign w:val="center"/>
                </w:tcPr>
                <w:p w14:paraId="160EE43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危险废物</w:t>
                  </w:r>
                </w:p>
              </w:tc>
              <w:tc>
                <w:tcPr>
                  <w:tcW w:w="724" w:type="pct"/>
                  <w:shd w:val="clear" w:color="auto" w:fill="auto"/>
                  <w:noWrap w:val="0"/>
                  <w:vAlign w:val="center"/>
                </w:tcPr>
                <w:p w14:paraId="4A3969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243" w:type="pct"/>
                  <w:shd w:val="clear" w:color="auto" w:fill="auto"/>
                  <w:noWrap w:val="0"/>
                  <w:vAlign w:val="center"/>
                </w:tcPr>
                <w:p w14:paraId="546AFDC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756" w:type="pct"/>
                  <w:shd w:val="clear" w:color="auto" w:fill="auto"/>
                  <w:noWrap w:val="0"/>
                  <w:vAlign w:val="center"/>
                </w:tcPr>
                <w:p w14:paraId="060A1A2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钢</w:t>
                  </w:r>
                </w:p>
              </w:tc>
              <w:tc>
                <w:tcPr>
                  <w:tcW w:w="525" w:type="pct"/>
                  <w:vMerge w:val="restart"/>
                  <w:shd w:val="clear" w:color="auto" w:fill="auto"/>
                  <w:noWrap w:val="0"/>
                  <w:vAlign w:val="center"/>
                </w:tcPr>
                <w:p w14:paraId="7586D2DB">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《国家危险废物名录》（2</w:t>
                  </w:r>
                  <w:r>
                    <w:rPr>
                      <w:rFonts w:hint="default" w:ascii="Times New Roman" w:hAnsi="Times New Roman" w:cs="Times New Roman"/>
                      <w:color w:val="auto"/>
                      <w:szCs w:val="21"/>
                    </w:rPr>
                    <w:t>02</w:t>
                  </w:r>
                  <w:r>
                    <w:rPr>
                      <w:rFonts w:hint="eastAsia" w:ascii="Times New Roman" w:hAnsi="Times New Roman" w:cs="Times New Roman"/>
                      <w:color w:val="auto"/>
                      <w:szCs w:val="21"/>
                      <w:lang w:val="en-US" w:eastAsia="zh-CN"/>
                    </w:rPr>
                    <w:t>5</w:t>
                  </w:r>
                  <w:r>
                    <w:rPr>
                      <w:rFonts w:hint="eastAsia" w:ascii="Times New Roman" w:hAnsi="Times New Roman" w:cs="Times New Roman"/>
                      <w:color w:val="auto"/>
                      <w:szCs w:val="21"/>
                    </w:rPr>
                    <w:t>）</w:t>
                  </w:r>
                </w:p>
              </w:tc>
              <w:tc>
                <w:tcPr>
                  <w:tcW w:w="256" w:type="pct"/>
                  <w:shd w:val="clear" w:color="auto" w:fill="auto"/>
                  <w:noWrap w:val="0"/>
                  <w:vAlign w:val="center"/>
                </w:tcPr>
                <w:p w14:paraId="63E6855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T</w:t>
                  </w:r>
                </w:p>
              </w:tc>
              <w:tc>
                <w:tcPr>
                  <w:tcW w:w="371" w:type="pct"/>
                  <w:shd w:val="clear" w:color="auto" w:fill="auto"/>
                  <w:noWrap w:val="0"/>
                  <w:vAlign w:val="center"/>
                </w:tcPr>
                <w:p w14:paraId="6D63EA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HW21</w:t>
                  </w:r>
                </w:p>
              </w:tc>
              <w:tc>
                <w:tcPr>
                  <w:tcW w:w="487" w:type="pct"/>
                  <w:shd w:val="clear" w:color="auto" w:fill="auto"/>
                  <w:noWrap w:val="0"/>
                  <w:vAlign w:val="center"/>
                </w:tcPr>
                <w:p w14:paraId="39B632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314-002-21</w:t>
                  </w:r>
                </w:p>
              </w:tc>
              <w:tc>
                <w:tcPr>
                  <w:tcW w:w="269" w:type="pct"/>
                  <w:shd w:val="clear" w:color="auto" w:fill="auto"/>
                  <w:noWrap w:val="0"/>
                  <w:vAlign w:val="center"/>
                </w:tcPr>
                <w:p w14:paraId="433E93A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6.797</w:t>
                  </w:r>
                </w:p>
              </w:tc>
            </w:tr>
            <w:tr w14:paraId="771F6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shd w:val="clear" w:color="auto" w:fill="auto"/>
                  <w:noWrap w:val="0"/>
                  <w:vAlign w:val="center"/>
                </w:tcPr>
                <w:p w14:paraId="64329FB4">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8</w:t>
                  </w:r>
                </w:p>
              </w:tc>
              <w:tc>
                <w:tcPr>
                  <w:tcW w:w="1045" w:type="pct"/>
                  <w:shd w:val="clear" w:color="auto" w:fill="auto"/>
                  <w:noWrap w:val="0"/>
                  <w:vAlign w:val="center"/>
                </w:tcPr>
                <w:p w14:paraId="560DDA1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废布袋（电渣重熔）</w:t>
                  </w:r>
                </w:p>
              </w:tc>
              <w:tc>
                <w:tcPr>
                  <w:tcW w:w="185" w:type="pct"/>
                  <w:vMerge w:val="continue"/>
                  <w:noWrap w:val="0"/>
                  <w:vAlign w:val="center"/>
                </w:tcPr>
                <w:p w14:paraId="36D4911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shd w:val="clear" w:color="auto" w:fill="auto"/>
                  <w:noWrap w:val="0"/>
                  <w:vAlign w:val="center"/>
                </w:tcPr>
                <w:p w14:paraId="5DE01E0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243" w:type="pct"/>
                  <w:shd w:val="clear" w:color="auto" w:fill="auto"/>
                  <w:noWrap w:val="0"/>
                  <w:vAlign w:val="center"/>
                </w:tcPr>
                <w:p w14:paraId="432D5C1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756" w:type="pct"/>
                  <w:shd w:val="clear" w:color="auto" w:fill="auto"/>
                  <w:noWrap w:val="0"/>
                  <w:vAlign w:val="center"/>
                </w:tcPr>
                <w:p w14:paraId="771AADF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w:t>
                  </w:r>
                </w:p>
              </w:tc>
              <w:tc>
                <w:tcPr>
                  <w:tcW w:w="525" w:type="pct"/>
                  <w:vMerge w:val="continue"/>
                  <w:noWrap w:val="0"/>
                  <w:vAlign w:val="center"/>
                </w:tcPr>
                <w:p w14:paraId="61523135">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shd w:val="clear" w:color="auto" w:fill="auto"/>
                  <w:noWrap w:val="0"/>
                  <w:vAlign w:val="center"/>
                </w:tcPr>
                <w:p w14:paraId="1DCF8B1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w:t>
                  </w:r>
                  <w:r>
                    <w:rPr>
                      <w:rFonts w:hint="eastAsia" w:ascii="Times New Roman" w:hAnsi="Times New Roman" w:cs="Times New Roman"/>
                      <w:color w:val="auto"/>
                      <w:szCs w:val="21"/>
                      <w:lang w:val="en-US" w:eastAsia="zh-CN"/>
                    </w:rPr>
                    <w:t>/In</w:t>
                  </w:r>
                </w:p>
              </w:tc>
              <w:tc>
                <w:tcPr>
                  <w:tcW w:w="371" w:type="pct"/>
                  <w:shd w:val="clear" w:color="auto" w:fill="auto"/>
                  <w:noWrap w:val="0"/>
                  <w:vAlign w:val="center"/>
                </w:tcPr>
                <w:p w14:paraId="4172313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HW49</w:t>
                  </w:r>
                </w:p>
              </w:tc>
              <w:tc>
                <w:tcPr>
                  <w:tcW w:w="487" w:type="pct"/>
                  <w:shd w:val="clear" w:color="auto" w:fill="auto"/>
                  <w:noWrap w:val="0"/>
                  <w:vAlign w:val="center"/>
                </w:tcPr>
                <w:p w14:paraId="42AD3E7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69" w:type="pct"/>
                  <w:shd w:val="clear" w:color="auto" w:fill="auto"/>
                  <w:noWrap w:val="0"/>
                  <w:vAlign w:val="center"/>
                </w:tcPr>
                <w:p w14:paraId="73FD3A3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r>
            <w:tr w14:paraId="6B924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shd w:val="clear" w:color="auto" w:fill="auto"/>
                  <w:noWrap w:val="0"/>
                  <w:vAlign w:val="center"/>
                </w:tcPr>
                <w:p w14:paraId="282000A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045" w:type="pct"/>
                  <w:noWrap w:val="0"/>
                  <w:vAlign w:val="center"/>
                </w:tcPr>
                <w:p w14:paraId="6686E2BB">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废切削液</w:t>
                  </w:r>
                </w:p>
              </w:tc>
              <w:tc>
                <w:tcPr>
                  <w:tcW w:w="185" w:type="pct"/>
                  <w:vMerge w:val="continue"/>
                  <w:noWrap w:val="0"/>
                  <w:vAlign w:val="center"/>
                </w:tcPr>
                <w:p w14:paraId="10021F53">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0DDA16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去冒口</w:t>
                  </w:r>
                </w:p>
              </w:tc>
              <w:tc>
                <w:tcPr>
                  <w:tcW w:w="243" w:type="pct"/>
                  <w:noWrap w:val="0"/>
                  <w:vAlign w:val="center"/>
                </w:tcPr>
                <w:p w14:paraId="736E9C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液态</w:t>
                  </w:r>
                </w:p>
              </w:tc>
              <w:tc>
                <w:tcPr>
                  <w:tcW w:w="756" w:type="pct"/>
                  <w:noWrap w:val="0"/>
                  <w:vAlign w:val="center"/>
                </w:tcPr>
                <w:p w14:paraId="03174F16">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烃水化合物</w:t>
                  </w:r>
                </w:p>
              </w:tc>
              <w:tc>
                <w:tcPr>
                  <w:tcW w:w="525" w:type="pct"/>
                  <w:vMerge w:val="continue"/>
                  <w:noWrap w:val="0"/>
                  <w:vAlign w:val="center"/>
                </w:tcPr>
                <w:p w14:paraId="16F7A0C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noWrap w:val="0"/>
                  <w:vAlign w:val="center"/>
                </w:tcPr>
                <w:p w14:paraId="1981380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T</w:t>
                  </w:r>
                </w:p>
              </w:tc>
              <w:tc>
                <w:tcPr>
                  <w:tcW w:w="371" w:type="pct"/>
                  <w:shd w:val="clear" w:color="auto" w:fill="auto"/>
                  <w:noWrap w:val="0"/>
                  <w:vAlign w:val="center"/>
                </w:tcPr>
                <w:p w14:paraId="11A136B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HW09</w:t>
                  </w:r>
                </w:p>
              </w:tc>
              <w:tc>
                <w:tcPr>
                  <w:tcW w:w="487" w:type="pct"/>
                  <w:shd w:val="clear" w:color="auto" w:fill="auto"/>
                  <w:noWrap w:val="0"/>
                  <w:vAlign w:val="center"/>
                </w:tcPr>
                <w:p w14:paraId="6155082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900-006-09</w:t>
                  </w:r>
                </w:p>
              </w:tc>
              <w:tc>
                <w:tcPr>
                  <w:tcW w:w="269" w:type="pct"/>
                  <w:noWrap w:val="0"/>
                  <w:vAlign w:val="center"/>
                </w:tcPr>
                <w:p w14:paraId="39A368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r>
            <w:tr w14:paraId="16A26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shd w:val="clear" w:color="auto" w:fill="auto"/>
                  <w:noWrap w:val="0"/>
                  <w:vAlign w:val="center"/>
                </w:tcPr>
                <w:p w14:paraId="0FCC23F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45" w:type="pct"/>
                  <w:noWrap w:val="0"/>
                  <w:vAlign w:val="center"/>
                </w:tcPr>
                <w:p w14:paraId="2FE4D225">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废包装桶</w:t>
                  </w:r>
                </w:p>
              </w:tc>
              <w:tc>
                <w:tcPr>
                  <w:tcW w:w="185" w:type="pct"/>
                  <w:vMerge w:val="continue"/>
                  <w:noWrap w:val="0"/>
                  <w:vAlign w:val="center"/>
                </w:tcPr>
                <w:p w14:paraId="728C33EC">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6C5AA50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原料拆包</w:t>
                  </w:r>
                </w:p>
              </w:tc>
              <w:tc>
                <w:tcPr>
                  <w:tcW w:w="243" w:type="pct"/>
                  <w:noWrap w:val="0"/>
                  <w:vAlign w:val="center"/>
                </w:tcPr>
                <w:p w14:paraId="742B7BE6">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cs="Times New Roman"/>
                      <w:color w:val="auto"/>
                      <w:szCs w:val="21"/>
                      <w:lang w:val="en-US" w:eastAsia="zh-CN"/>
                    </w:rPr>
                    <w:t>固态</w:t>
                  </w:r>
                </w:p>
              </w:tc>
              <w:tc>
                <w:tcPr>
                  <w:tcW w:w="756" w:type="pct"/>
                  <w:noWrap w:val="0"/>
                  <w:vAlign w:val="center"/>
                </w:tcPr>
                <w:p w14:paraId="2C17D97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沾有切削液的包装桶</w:t>
                  </w:r>
                </w:p>
              </w:tc>
              <w:tc>
                <w:tcPr>
                  <w:tcW w:w="525" w:type="pct"/>
                  <w:vMerge w:val="continue"/>
                  <w:noWrap w:val="0"/>
                  <w:vAlign w:val="center"/>
                </w:tcPr>
                <w:p w14:paraId="58F655C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noWrap w:val="0"/>
                  <w:vAlign w:val="center"/>
                </w:tcPr>
                <w:p w14:paraId="2D6FC57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T</w:t>
                  </w:r>
                  <w:r>
                    <w:rPr>
                      <w:rFonts w:hint="eastAsia" w:ascii="Times New Roman" w:hAnsi="Times New Roman" w:cs="Times New Roman"/>
                      <w:color w:val="auto"/>
                      <w:szCs w:val="21"/>
                      <w:lang w:val="en-US" w:eastAsia="zh-CN"/>
                    </w:rPr>
                    <w:t>/In</w:t>
                  </w:r>
                </w:p>
              </w:tc>
              <w:tc>
                <w:tcPr>
                  <w:tcW w:w="371" w:type="pct"/>
                  <w:noWrap w:val="0"/>
                  <w:vAlign w:val="center"/>
                </w:tcPr>
                <w:p w14:paraId="2AF25CD0">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HW49</w:t>
                  </w:r>
                </w:p>
              </w:tc>
              <w:tc>
                <w:tcPr>
                  <w:tcW w:w="487" w:type="pct"/>
                  <w:noWrap w:val="0"/>
                  <w:vAlign w:val="center"/>
                </w:tcPr>
                <w:p w14:paraId="687198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900-041-49</w:t>
                  </w:r>
                </w:p>
              </w:tc>
              <w:tc>
                <w:tcPr>
                  <w:tcW w:w="269" w:type="pct"/>
                  <w:noWrap w:val="0"/>
                  <w:vAlign w:val="center"/>
                </w:tcPr>
                <w:p w14:paraId="305D32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w:t>
                  </w:r>
                </w:p>
              </w:tc>
            </w:tr>
            <w:tr w14:paraId="51091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33" w:type="pct"/>
                  <w:noWrap w:val="0"/>
                  <w:vAlign w:val="center"/>
                </w:tcPr>
                <w:p w14:paraId="0F3559E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045" w:type="pct"/>
                  <w:noWrap w:val="0"/>
                  <w:vAlign w:val="center"/>
                </w:tcPr>
                <w:p w14:paraId="3C995B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废润滑油</w:t>
                  </w:r>
                </w:p>
              </w:tc>
              <w:tc>
                <w:tcPr>
                  <w:tcW w:w="185" w:type="pct"/>
                  <w:vMerge w:val="continue"/>
                  <w:noWrap w:val="0"/>
                  <w:vAlign w:val="center"/>
                </w:tcPr>
                <w:p w14:paraId="203827F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24" w:type="pct"/>
                  <w:noWrap w:val="0"/>
                  <w:vAlign w:val="center"/>
                </w:tcPr>
                <w:p w14:paraId="2B628CF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设备维护保养</w:t>
                  </w:r>
                </w:p>
              </w:tc>
              <w:tc>
                <w:tcPr>
                  <w:tcW w:w="243" w:type="pct"/>
                  <w:noWrap w:val="0"/>
                  <w:vAlign w:val="center"/>
                </w:tcPr>
                <w:p w14:paraId="67AB78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液态</w:t>
                  </w:r>
                </w:p>
              </w:tc>
              <w:tc>
                <w:tcPr>
                  <w:tcW w:w="756" w:type="pct"/>
                  <w:noWrap w:val="0"/>
                  <w:vAlign w:val="center"/>
                </w:tcPr>
                <w:p w14:paraId="46058F5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机械油</w:t>
                  </w:r>
                </w:p>
              </w:tc>
              <w:tc>
                <w:tcPr>
                  <w:tcW w:w="525" w:type="pct"/>
                  <w:vMerge w:val="continue"/>
                  <w:noWrap w:val="0"/>
                  <w:vAlign w:val="center"/>
                </w:tcPr>
                <w:p w14:paraId="0B64B46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56" w:type="pct"/>
                  <w:noWrap w:val="0"/>
                  <w:vAlign w:val="center"/>
                </w:tcPr>
                <w:p w14:paraId="66C4954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371" w:type="pct"/>
                  <w:noWrap w:val="0"/>
                  <w:vAlign w:val="center"/>
                </w:tcPr>
                <w:p w14:paraId="7A4938A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HW08</w:t>
                  </w:r>
                </w:p>
              </w:tc>
              <w:tc>
                <w:tcPr>
                  <w:tcW w:w="487" w:type="pct"/>
                  <w:noWrap w:val="0"/>
                  <w:vAlign w:val="center"/>
                </w:tcPr>
                <w:p w14:paraId="37BE834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269" w:type="pct"/>
                  <w:noWrap w:val="0"/>
                  <w:vAlign w:val="center"/>
                </w:tcPr>
                <w:p w14:paraId="3A8D3AF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3</w:t>
                  </w:r>
                </w:p>
              </w:tc>
            </w:tr>
          </w:tbl>
          <w:p w14:paraId="15858B19">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smallCaps/>
                <w:color w:val="auto"/>
                <w:sz w:val="24"/>
              </w:rPr>
            </w:pPr>
            <w:r>
              <w:rPr>
                <w:rFonts w:hint="default" w:ascii="Times New Roman" w:hAnsi="Times New Roman" w:cs="Times New Roman"/>
                <w:b/>
                <w:smallCaps/>
                <w:color w:val="auto"/>
                <w:sz w:val="24"/>
              </w:rPr>
              <w:t>表</w:t>
            </w:r>
            <w:r>
              <w:rPr>
                <w:rFonts w:hint="eastAsia" w:ascii="Times New Roman" w:hAnsi="Times New Roman" w:cs="Times New Roman"/>
                <w:b/>
                <w:smallCaps/>
                <w:color w:val="auto"/>
                <w:sz w:val="24"/>
              </w:rPr>
              <w:t>4</w:t>
            </w:r>
            <w:r>
              <w:rPr>
                <w:rFonts w:hint="default" w:ascii="Times New Roman" w:hAnsi="Times New Roman" w:cs="Times New Roman"/>
                <w:b/>
                <w:smallCaps/>
                <w:color w:val="auto"/>
                <w:sz w:val="24"/>
              </w:rPr>
              <w:t>.4-</w:t>
            </w:r>
            <w:r>
              <w:rPr>
                <w:rFonts w:hint="eastAsia" w:ascii="Times New Roman" w:hAnsi="Times New Roman" w:cs="Times New Roman"/>
                <w:b/>
                <w:smallCaps/>
                <w:color w:val="auto"/>
                <w:sz w:val="24"/>
              </w:rPr>
              <w:t xml:space="preserve">2  </w:t>
            </w:r>
            <w:r>
              <w:rPr>
                <w:rFonts w:hint="default" w:ascii="Times New Roman" w:hAnsi="Times New Roman" w:cs="Times New Roman"/>
                <w:b/>
                <w:smallCaps/>
                <w:color w:val="auto"/>
                <w:sz w:val="24"/>
              </w:rPr>
              <w:t>项目</w:t>
            </w:r>
            <w:r>
              <w:rPr>
                <w:rFonts w:hint="eastAsia" w:ascii="Times New Roman" w:hAnsi="Times New Roman" w:cs="Times New Roman"/>
                <w:b/>
                <w:smallCaps/>
                <w:color w:val="auto"/>
                <w:sz w:val="24"/>
                <w:lang w:val="en-US" w:eastAsia="zh-CN"/>
              </w:rPr>
              <w:t>建成后全厂</w:t>
            </w:r>
            <w:r>
              <w:rPr>
                <w:rFonts w:hint="default" w:ascii="Times New Roman" w:hAnsi="Times New Roman" w:cs="Times New Roman"/>
                <w:b/>
                <w:smallCaps/>
                <w:color w:val="auto"/>
                <w:sz w:val="24"/>
              </w:rPr>
              <w:t>固体废物分析结果汇总表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3"/>
              <w:gridCol w:w="2548"/>
              <w:gridCol w:w="387"/>
              <w:gridCol w:w="2323"/>
              <w:gridCol w:w="629"/>
              <w:gridCol w:w="1968"/>
              <w:gridCol w:w="1016"/>
              <w:gridCol w:w="597"/>
              <w:gridCol w:w="951"/>
              <w:gridCol w:w="1258"/>
              <w:gridCol w:w="643"/>
            </w:tblGrid>
            <w:tr w14:paraId="7BA86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00" w:type="pct"/>
                  <w:noWrap w:val="0"/>
                  <w:vAlign w:val="center"/>
                </w:tcPr>
                <w:p w14:paraId="73F43DAB">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pacing w:val="-8"/>
                      <w:sz w:val="21"/>
                      <w:szCs w:val="21"/>
                    </w:rPr>
                  </w:pPr>
                  <w:r>
                    <w:rPr>
                      <w:rFonts w:hint="default" w:ascii="Times New Roman" w:hAnsi="Times New Roman" w:cs="Times New Roman"/>
                      <w:b/>
                      <w:color w:val="auto"/>
                      <w:spacing w:val="-8"/>
                      <w:sz w:val="21"/>
                      <w:szCs w:val="21"/>
                    </w:rPr>
                    <w:t>序号</w:t>
                  </w:r>
                </w:p>
              </w:tc>
              <w:tc>
                <w:tcPr>
                  <w:tcW w:w="1013" w:type="pct"/>
                  <w:noWrap w:val="0"/>
                  <w:vAlign w:val="center"/>
                </w:tcPr>
                <w:p w14:paraId="49ECC13F">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固体废物名称</w:t>
                  </w:r>
                </w:p>
              </w:tc>
              <w:tc>
                <w:tcPr>
                  <w:tcW w:w="153" w:type="pct"/>
                  <w:noWrap w:val="0"/>
                  <w:vAlign w:val="center"/>
                </w:tcPr>
                <w:p w14:paraId="34D29E2E">
                  <w:pPr>
                    <w:pStyle w:val="13"/>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属性</w:t>
                  </w:r>
                </w:p>
              </w:tc>
              <w:tc>
                <w:tcPr>
                  <w:tcW w:w="923" w:type="pct"/>
                  <w:noWrap w:val="0"/>
                  <w:vAlign w:val="center"/>
                </w:tcPr>
                <w:p w14:paraId="4EEE45E6">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产生工序</w:t>
                  </w:r>
                </w:p>
              </w:tc>
              <w:tc>
                <w:tcPr>
                  <w:tcW w:w="250" w:type="pct"/>
                  <w:noWrap w:val="0"/>
                  <w:vAlign w:val="center"/>
                </w:tcPr>
                <w:p w14:paraId="73E1D173">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形态</w:t>
                  </w:r>
                </w:p>
              </w:tc>
              <w:tc>
                <w:tcPr>
                  <w:tcW w:w="782" w:type="pct"/>
                  <w:noWrap w:val="0"/>
                  <w:vAlign w:val="center"/>
                </w:tcPr>
                <w:p w14:paraId="3605353B">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主要成分</w:t>
                  </w:r>
                </w:p>
              </w:tc>
              <w:tc>
                <w:tcPr>
                  <w:tcW w:w="404" w:type="pct"/>
                  <w:shd w:val="clear" w:color="auto" w:fill="auto"/>
                  <w:noWrap w:val="0"/>
                  <w:vAlign w:val="center"/>
                </w:tcPr>
                <w:p w14:paraId="37AFB52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危险特性鉴别方法</w:t>
                  </w:r>
                </w:p>
              </w:tc>
              <w:tc>
                <w:tcPr>
                  <w:tcW w:w="237" w:type="pct"/>
                  <w:shd w:val="clear" w:color="auto" w:fill="auto"/>
                  <w:noWrap w:val="0"/>
                  <w:vAlign w:val="center"/>
                </w:tcPr>
                <w:p w14:paraId="2B4F008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危险特性</w:t>
                  </w:r>
                </w:p>
              </w:tc>
              <w:tc>
                <w:tcPr>
                  <w:tcW w:w="378" w:type="pct"/>
                  <w:shd w:val="clear" w:color="auto" w:fill="auto"/>
                  <w:noWrap w:val="0"/>
                  <w:vAlign w:val="center"/>
                </w:tcPr>
                <w:p w14:paraId="752211C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cs="Times New Roman"/>
                      <w:b/>
                      <w:bCs/>
                      <w:color w:val="auto"/>
                      <w:szCs w:val="21"/>
                    </w:rPr>
                    <w:t>废物类别</w:t>
                  </w:r>
                </w:p>
              </w:tc>
              <w:tc>
                <w:tcPr>
                  <w:tcW w:w="500" w:type="pct"/>
                  <w:noWrap w:val="0"/>
                  <w:vAlign w:val="center"/>
                </w:tcPr>
                <w:p w14:paraId="14FD55B1">
                  <w:pPr>
                    <w:pStyle w:val="13"/>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废物代码</w:t>
                  </w:r>
                </w:p>
              </w:tc>
              <w:tc>
                <w:tcPr>
                  <w:tcW w:w="255" w:type="pct"/>
                  <w:noWrap w:val="0"/>
                  <w:vAlign w:val="center"/>
                </w:tcPr>
                <w:p w14:paraId="0403DA33">
                  <w:pPr>
                    <w:pStyle w:val="13"/>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产生量（t/a）</w:t>
                  </w:r>
                </w:p>
              </w:tc>
            </w:tr>
            <w:tr w14:paraId="3E348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 w:type="pct"/>
                  <w:noWrap w:val="0"/>
                  <w:vAlign w:val="center"/>
                </w:tcPr>
                <w:p w14:paraId="35D993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1013" w:type="pct"/>
                  <w:noWrap w:val="0"/>
                  <w:vAlign w:val="center"/>
                </w:tcPr>
                <w:p w14:paraId="7FA3A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废炉渣</w:t>
                  </w:r>
                </w:p>
              </w:tc>
              <w:tc>
                <w:tcPr>
                  <w:tcW w:w="153" w:type="pct"/>
                  <w:vMerge w:val="restart"/>
                  <w:noWrap w:val="0"/>
                  <w:vAlign w:val="center"/>
                </w:tcPr>
                <w:p w14:paraId="5EE88228">
                  <w:pPr>
                    <w:keepNext w:val="0"/>
                    <w:keepLines w:val="0"/>
                    <w:widowControl/>
                    <w:suppressLineNumbers w:val="0"/>
                    <w:spacing w:before="0" w:beforeAutospacing="0" w:after="0" w:afterAutospacing="0"/>
                    <w:ind w:left="0" w:leftChars="0" w:right="0" w:rightChars="0"/>
                    <w:jc w:val="center"/>
                    <w:rPr>
                      <w:rFonts w:hint="default" w:ascii="Times New Roman" w:hAnsi="宋体" w:eastAsia="宋体" w:cs="Times New Roman"/>
                      <w:color w:val="auto"/>
                      <w:kern w:val="2"/>
                      <w:sz w:val="21"/>
                      <w:szCs w:val="21"/>
                      <w:highlight w:val="none"/>
                      <w:lang w:val="en-US" w:eastAsia="zh-CN" w:bidi="ar-SA"/>
                    </w:rPr>
                  </w:pPr>
                  <w:r>
                    <w:rPr>
                      <w:rFonts w:hint="eastAsia" w:cs="Times New Roman"/>
                      <w:color w:val="auto"/>
                      <w:kern w:val="0"/>
                      <w:szCs w:val="21"/>
                      <w:lang w:val="en-US" w:eastAsia="zh-CN" w:bidi="ar"/>
                    </w:rPr>
                    <w:t>一般固废</w:t>
                  </w:r>
                </w:p>
                <w:p w14:paraId="25BA6AD1">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p>
              </w:tc>
              <w:tc>
                <w:tcPr>
                  <w:tcW w:w="923" w:type="pct"/>
                  <w:noWrap w:val="0"/>
                  <w:vAlign w:val="center"/>
                </w:tcPr>
                <w:p w14:paraId="5DFC4A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中频炉、钢包精炼炉、真空精炼炉、电渣重熔</w:t>
                  </w:r>
                </w:p>
              </w:tc>
              <w:tc>
                <w:tcPr>
                  <w:tcW w:w="250" w:type="pct"/>
                  <w:noWrap w:val="0"/>
                  <w:vAlign w:val="center"/>
                </w:tcPr>
                <w:p w14:paraId="069341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固态</w:t>
                  </w:r>
                </w:p>
              </w:tc>
              <w:tc>
                <w:tcPr>
                  <w:tcW w:w="782" w:type="pct"/>
                  <w:noWrap w:val="0"/>
                  <w:vAlign w:val="center"/>
                </w:tcPr>
                <w:p w14:paraId="23ECEFE9">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r>
                    <w:rPr>
                      <w:rFonts w:hint="eastAsia" w:cs="Times New Roman"/>
                      <w:color w:val="auto"/>
                      <w:szCs w:val="21"/>
                      <w:lang w:val="en-US" w:eastAsia="zh-CN"/>
                    </w:rPr>
                    <w:t>金属</w:t>
                  </w:r>
                </w:p>
              </w:tc>
              <w:tc>
                <w:tcPr>
                  <w:tcW w:w="404" w:type="pct"/>
                  <w:vMerge w:val="restart"/>
                  <w:shd w:val="clear" w:color="auto" w:fill="auto"/>
                  <w:noWrap w:val="0"/>
                  <w:vAlign w:val="center"/>
                </w:tcPr>
                <w:p w14:paraId="3C8CF9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Cs w:val="21"/>
                    </w:rPr>
                    <w:t>《固体废物分类与代码名录》（生态环境部办公厅2024年1月22日印发）</w:t>
                  </w:r>
                </w:p>
              </w:tc>
              <w:tc>
                <w:tcPr>
                  <w:tcW w:w="237" w:type="pct"/>
                  <w:shd w:val="clear" w:color="auto" w:fill="auto"/>
                  <w:noWrap w:val="0"/>
                  <w:vAlign w:val="center"/>
                </w:tcPr>
                <w:p w14:paraId="6D549B7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w:t>
                  </w:r>
                </w:p>
              </w:tc>
              <w:tc>
                <w:tcPr>
                  <w:tcW w:w="378" w:type="pct"/>
                  <w:shd w:val="clear" w:color="auto" w:fill="auto"/>
                  <w:noWrap w:val="0"/>
                  <w:vAlign w:val="center"/>
                </w:tcPr>
                <w:p w14:paraId="0742D6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SW03</w:t>
                  </w:r>
                </w:p>
              </w:tc>
              <w:tc>
                <w:tcPr>
                  <w:tcW w:w="500" w:type="pct"/>
                  <w:shd w:val="clear" w:color="auto" w:fill="auto"/>
                  <w:noWrap w:val="0"/>
                  <w:vAlign w:val="center"/>
                </w:tcPr>
                <w:p w14:paraId="3EA074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900-099-S03</w:t>
                  </w:r>
                </w:p>
              </w:tc>
              <w:tc>
                <w:tcPr>
                  <w:tcW w:w="255" w:type="pct"/>
                  <w:noWrap w:val="0"/>
                  <w:vAlign w:val="center"/>
                </w:tcPr>
                <w:p w14:paraId="5D9BC6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500</w:t>
                  </w:r>
                </w:p>
              </w:tc>
            </w:tr>
            <w:tr w14:paraId="51AF7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noWrap w:val="0"/>
                  <w:vAlign w:val="center"/>
                </w:tcPr>
                <w:p w14:paraId="1CB2AB1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013" w:type="pct"/>
                  <w:noWrap w:val="0"/>
                  <w:vAlign w:val="center"/>
                </w:tcPr>
                <w:p w14:paraId="027A5ABB">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废石英砂</w:t>
                  </w:r>
                </w:p>
              </w:tc>
              <w:tc>
                <w:tcPr>
                  <w:tcW w:w="153" w:type="pct"/>
                  <w:vMerge w:val="continue"/>
                  <w:noWrap w:val="0"/>
                  <w:vAlign w:val="center"/>
                </w:tcPr>
                <w:p w14:paraId="228BA758">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p>
              </w:tc>
              <w:tc>
                <w:tcPr>
                  <w:tcW w:w="923" w:type="pct"/>
                  <w:noWrap w:val="0"/>
                  <w:vAlign w:val="center"/>
                </w:tcPr>
                <w:p w14:paraId="59D74088">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250" w:type="pct"/>
                  <w:noWrap w:val="0"/>
                  <w:vAlign w:val="center"/>
                </w:tcPr>
                <w:p w14:paraId="48ECCC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cs="Times New Roman"/>
                      <w:color w:val="auto"/>
                      <w:lang w:val="en-US" w:eastAsia="zh-CN"/>
                    </w:rPr>
                    <w:t>固态</w:t>
                  </w:r>
                </w:p>
              </w:tc>
              <w:tc>
                <w:tcPr>
                  <w:tcW w:w="782" w:type="pct"/>
                  <w:noWrap w:val="0"/>
                  <w:vAlign w:val="center"/>
                </w:tcPr>
                <w:p w14:paraId="25740473">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石英砂</w:t>
                  </w:r>
                </w:p>
              </w:tc>
              <w:tc>
                <w:tcPr>
                  <w:tcW w:w="404" w:type="pct"/>
                  <w:vMerge w:val="continue"/>
                  <w:shd w:val="clear" w:color="auto" w:fill="auto"/>
                  <w:noWrap w:val="0"/>
                  <w:vAlign w:val="center"/>
                </w:tcPr>
                <w:p w14:paraId="47397B0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0DA7508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51A0C04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6C23711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900-010-S17</w:t>
                  </w:r>
                </w:p>
              </w:tc>
              <w:tc>
                <w:tcPr>
                  <w:tcW w:w="255" w:type="pct"/>
                  <w:noWrap w:val="0"/>
                  <w:vAlign w:val="center"/>
                </w:tcPr>
                <w:p w14:paraId="2FFA35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120</w:t>
                  </w:r>
                </w:p>
              </w:tc>
            </w:tr>
            <w:tr w14:paraId="7EE26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58DC3A2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rPr>
                    <w:t>3</w:t>
                  </w:r>
                </w:p>
              </w:tc>
              <w:tc>
                <w:tcPr>
                  <w:tcW w:w="1013" w:type="pct"/>
                  <w:noWrap w:val="0"/>
                  <w:vAlign w:val="center"/>
                </w:tcPr>
                <w:p w14:paraId="0AF926B8">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废稻壳灰</w:t>
                  </w:r>
                </w:p>
              </w:tc>
              <w:tc>
                <w:tcPr>
                  <w:tcW w:w="153" w:type="pct"/>
                  <w:vMerge w:val="continue"/>
                  <w:noWrap w:val="0"/>
                  <w:vAlign w:val="center"/>
                </w:tcPr>
                <w:p w14:paraId="47D87243">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p>
              </w:tc>
              <w:tc>
                <w:tcPr>
                  <w:tcW w:w="923" w:type="pct"/>
                  <w:noWrap w:val="0"/>
                  <w:vAlign w:val="center"/>
                </w:tcPr>
                <w:p w14:paraId="60CD9555">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w:t>
                  </w:r>
                </w:p>
              </w:tc>
              <w:tc>
                <w:tcPr>
                  <w:tcW w:w="250" w:type="pct"/>
                  <w:noWrap w:val="0"/>
                  <w:vAlign w:val="center"/>
                </w:tcPr>
                <w:p w14:paraId="1E7CFC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cs="Times New Roman"/>
                      <w:color w:val="auto"/>
                      <w:lang w:val="en-US" w:eastAsia="zh-CN"/>
                    </w:rPr>
                    <w:t>固态</w:t>
                  </w:r>
                </w:p>
              </w:tc>
              <w:tc>
                <w:tcPr>
                  <w:tcW w:w="782" w:type="pct"/>
                  <w:noWrap w:val="0"/>
                  <w:vAlign w:val="center"/>
                </w:tcPr>
                <w:p w14:paraId="4BAACCA7">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稻壳灰</w:t>
                  </w:r>
                </w:p>
              </w:tc>
              <w:tc>
                <w:tcPr>
                  <w:tcW w:w="404" w:type="pct"/>
                  <w:vMerge w:val="continue"/>
                  <w:shd w:val="clear" w:color="auto" w:fill="auto"/>
                  <w:noWrap w:val="0"/>
                  <w:vAlign w:val="center"/>
                </w:tcPr>
                <w:p w14:paraId="7FEE844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0296824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78" w:type="pct"/>
                  <w:shd w:val="clear" w:color="auto" w:fill="auto"/>
                  <w:noWrap w:val="0"/>
                  <w:vAlign w:val="center"/>
                </w:tcPr>
                <w:p w14:paraId="55CC71A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SW59</w:t>
                  </w:r>
                </w:p>
              </w:tc>
              <w:tc>
                <w:tcPr>
                  <w:tcW w:w="500" w:type="pct"/>
                  <w:noWrap w:val="0"/>
                  <w:vAlign w:val="center"/>
                </w:tcPr>
                <w:p w14:paraId="69D67ECA">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900-099-S59</w:t>
                  </w:r>
                </w:p>
              </w:tc>
              <w:tc>
                <w:tcPr>
                  <w:tcW w:w="255" w:type="pct"/>
                  <w:noWrap w:val="0"/>
                  <w:vAlign w:val="center"/>
                </w:tcPr>
                <w:p w14:paraId="13C682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60</w:t>
                  </w:r>
                </w:p>
              </w:tc>
            </w:tr>
            <w:tr w14:paraId="195BC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16B1989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4</w:t>
                  </w:r>
                </w:p>
              </w:tc>
              <w:tc>
                <w:tcPr>
                  <w:tcW w:w="1013" w:type="pct"/>
                  <w:noWrap w:val="0"/>
                  <w:vAlign w:val="center"/>
                </w:tcPr>
                <w:p w14:paraId="73A97599">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废浇冒口</w:t>
                  </w:r>
                </w:p>
              </w:tc>
              <w:tc>
                <w:tcPr>
                  <w:tcW w:w="153" w:type="pct"/>
                  <w:vMerge w:val="continue"/>
                  <w:noWrap w:val="0"/>
                  <w:vAlign w:val="center"/>
                </w:tcPr>
                <w:p w14:paraId="44156D19">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Cs w:val="21"/>
                      <w:lang w:val="en-US" w:eastAsia="zh-CN" w:bidi="ar"/>
                    </w:rPr>
                  </w:pPr>
                </w:p>
              </w:tc>
              <w:tc>
                <w:tcPr>
                  <w:tcW w:w="923" w:type="pct"/>
                  <w:noWrap w:val="0"/>
                  <w:vAlign w:val="center"/>
                </w:tcPr>
                <w:p w14:paraId="1AB39198">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精铸、去冒口</w:t>
                  </w:r>
                </w:p>
              </w:tc>
              <w:tc>
                <w:tcPr>
                  <w:tcW w:w="250" w:type="pct"/>
                  <w:noWrap w:val="0"/>
                  <w:vAlign w:val="center"/>
                </w:tcPr>
                <w:p w14:paraId="1A4EC3C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lang w:val="en-US" w:eastAsia="zh-CN"/>
                    </w:rPr>
                    <w:t>固态</w:t>
                  </w:r>
                </w:p>
              </w:tc>
              <w:tc>
                <w:tcPr>
                  <w:tcW w:w="782" w:type="pct"/>
                  <w:noWrap w:val="0"/>
                  <w:vAlign w:val="center"/>
                </w:tcPr>
                <w:p w14:paraId="08EF4D4A">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金属</w:t>
                  </w:r>
                </w:p>
              </w:tc>
              <w:tc>
                <w:tcPr>
                  <w:tcW w:w="404" w:type="pct"/>
                  <w:vMerge w:val="continue"/>
                  <w:shd w:val="clear" w:color="auto" w:fill="auto"/>
                  <w:noWrap w:val="0"/>
                  <w:vAlign w:val="center"/>
                </w:tcPr>
                <w:p w14:paraId="641FB67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7AD4603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367AEE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20CFB7B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255" w:type="pct"/>
                  <w:noWrap w:val="0"/>
                  <w:vAlign w:val="center"/>
                </w:tcPr>
                <w:p w14:paraId="49EC45E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450</w:t>
                  </w:r>
                </w:p>
              </w:tc>
            </w:tr>
            <w:tr w14:paraId="7ED02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1BD8438B">
                  <w:pPr>
                    <w:keepNext w:val="0"/>
                    <w:keepLines w:val="0"/>
                    <w:suppressLineNumbers w:val="0"/>
                    <w:adjustRightInd w:val="0"/>
                    <w:snapToGrid w:val="0"/>
                    <w:spacing w:before="0" w:beforeAutospacing="0" w:after="0" w:afterAutospacing="0"/>
                    <w:ind w:left="0" w:leftChars="0" w:right="0" w:rightChars="0"/>
                    <w:jc w:val="center"/>
                    <w:rPr>
                      <w:rFonts w:hint="eastAsia" w:cs="Times New Roman"/>
                      <w:color w:val="auto"/>
                      <w:kern w:val="2"/>
                      <w:sz w:val="21"/>
                      <w:szCs w:val="24"/>
                      <w:lang w:val="en-US" w:eastAsia="zh-CN" w:bidi="ar-SA"/>
                    </w:rPr>
                  </w:pPr>
                  <w:r>
                    <w:rPr>
                      <w:rFonts w:hint="eastAsia" w:cs="Times New Roman"/>
                      <w:color w:val="auto"/>
                      <w:kern w:val="2"/>
                      <w:sz w:val="21"/>
                      <w:szCs w:val="24"/>
                      <w:lang w:val="en-US" w:eastAsia="zh-CN" w:bidi="ar-SA"/>
                    </w:rPr>
                    <w:t>5</w:t>
                  </w:r>
                </w:p>
              </w:tc>
              <w:tc>
                <w:tcPr>
                  <w:tcW w:w="1013" w:type="pct"/>
                  <w:noWrap w:val="0"/>
                  <w:vAlign w:val="center"/>
                </w:tcPr>
                <w:p w14:paraId="475115D3">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焊渣</w:t>
                  </w:r>
                </w:p>
              </w:tc>
              <w:tc>
                <w:tcPr>
                  <w:tcW w:w="153" w:type="pct"/>
                  <w:vMerge w:val="continue"/>
                  <w:shd w:val="clear" w:color="auto" w:fill="auto"/>
                  <w:noWrap w:val="0"/>
                  <w:vAlign w:val="center"/>
                </w:tcPr>
                <w:p w14:paraId="62865C59">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c>
                <w:tcPr>
                  <w:tcW w:w="923" w:type="pct"/>
                  <w:shd w:val="clear" w:color="auto" w:fill="auto"/>
                  <w:noWrap w:val="0"/>
                  <w:vAlign w:val="center"/>
                </w:tcPr>
                <w:p w14:paraId="46E53F2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焊接</w:t>
                  </w:r>
                </w:p>
              </w:tc>
              <w:tc>
                <w:tcPr>
                  <w:tcW w:w="250" w:type="pct"/>
                  <w:shd w:val="clear" w:color="auto" w:fill="auto"/>
                  <w:noWrap w:val="0"/>
                  <w:vAlign w:val="center"/>
                </w:tcPr>
                <w:p w14:paraId="3124DB3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固态</w:t>
                  </w:r>
                </w:p>
              </w:tc>
              <w:tc>
                <w:tcPr>
                  <w:tcW w:w="782" w:type="pct"/>
                  <w:shd w:val="clear" w:color="auto" w:fill="auto"/>
                  <w:noWrap w:val="0"/>
                  <w:vAlign w:val="center"/>
                </w:tcPr>
                <w:p w14:paraId="7D3C792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合金钢</w:t>
                  </w:r>
                </w:p>
              </w:tc>
              <w:tc>
                <w:tcPr>
                  <w:tcW w:w="404" w:type="pct"/>
                  <w:vMerge w:val="continue"/>
                  <w:shd w:val="clear" w:color="auto" w:fill="auto"/>
                  <w:noWrap w:val="0"/>
                  <w:vAlign w:val="center"/>
                </w:tcPr>
                <w:p w14:paraId="3CD93F5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18B6C58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p>
              </w:tc>
              <w:tc>
                <w:tcPr>
                  <w:tcW w:w="378" w:type="pct"/>
                  <w:shd w:val="clear" w:color="auto" w:fill="auto"/>
                  <w:noWrap w:val="0"/>
                  <w:vAlign w:val="center"/>
                </w:tcPr>
                <w:p w14:paraId="4CE0E5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3C8DFDC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255" w:type="pct"/>
                  <w:noWrap w:val="0"/>
                  <w:vAlign w:val="center"/>
                </w:tcPr>
                <w:p w14:paraId="6A60DBAE">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0.3</w:t>
                  </w:r>
                </w:p>
              </w:tc>
            </w:tr>
            <w:tr w14:paraId="1EAC3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14D3A8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w:t>
                  </w:r>
                </w:p>
              </w:tc>
              <w:tc>
                <w:tcPr>
                  <w:tcW w:w="1013" w:type="pct"/>
                  <w:shd w:val="clear" w:color="auto" w:fill="auto"/>
                  <w:noWrap w:val="0"/>
                  <w:vAlign w:val="center"/>
                </w:tcPr>
                <w:p w14:paraId="525A19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Cs w:val="21"/>
                      <w:lang w:val="en-US" w:eastAsia="zh-CN" w:bidi="ar"/>
                    </w:rPr>
                    <w:t>布袋除尘器收尘（金属烟尘）</w:t>
                  </w:r>
                </w:p>
              </w:tc>
              <w:tc>
                <w:tcPr>
                  <w:tcW w:w="153" w:type="pct"/>
                  <w:vMerge w:val="continue"/>
                  <w:shd w:val="clear" w:color="auto" w:fill="auto"/>
                  <w:noWrap w:val="0"/>
                  <w:vAlign w:val="center"/>
                </w:tcPr>
                <w:p w14:paraId="7C46E0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val="en-US" w:eastAsia="zh-CN" w:bidi="ar"/>
                    </w:rPr>
                  </w:pPr>
                </w:p>
              </w:tc>
              <w:tc>
                <w:tcPr>
                  <w:tcW w:w="923" w:type="pct"/>
                  <w:shd w:val="clear" w:color="auto" w:fill="auto"/>
                  <w:noWrap w:val="0"/>
                  <w:vAlign w:val="center"/>
                </w:tcPr>
                <w:p w14:paraId="103CA4B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Cs w:val="21"/>
                      <w:lang w:val="en-US" w:eastAsia="zh-CN" w:bidi="ar"/>
                    </w:rPr>
                    <w:t>熔化烟尘</w:t>
                  </w:r>
                  <w:r>
                    <w:rPr>
                      <w:rFonts w:hint="eastAsia" w:cs="Times New Roman"/>
                      <w:color w:val="auto"/>
                      <w:kern w:val="0"/>
                      <w:szCs w:val="21"/>
                      <w:lang w:val="en-US" w:eastAsia="zh-CN" w:bidi="ar"/>
                    </w:rPr>
                    <w:t>、精炼烟尘</w:t>
                  </w:r>
                  <w:r>
                    <w:rPr>
                      <w:rFonts w:hint="eastAsia" w:ascii="Times New Roman" w:hAnsi="Times New Roman" w:cs="Times New Roman"/>
                      <w:color w:val="auto"/>
                      <w:kern w:val="0"/>
                      <w:szCs w:val="21"/>
                      <w:lang w:val="en-US" w:eastAsia="zh-CN" w:bidi="ar"/>
                    </w:rPr>
                    <w:t>处理</w:t>
                  </w:r>
                </w:p>
              </w:tc>
              <w:tc>
                <w:tcPr>
                  <w:tcW w:w="250" w:type="pct"/>
                  <w:shd w:val="clear" w:color="auto" w:fill="auto"/>
                  <w:noWrap w:val="0"/>
                  <w:vAlign w:val="center"/>
                </w:tcPr>
                <w:p w14:paraId="214C44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固态</w:t>
                  </w:r>
                </w:p>
              </w:tc>
              <w:tc>
                <w:tcPr>
                  <w:tcW w:w="782" w:type="pct"/>
                  <w:shd w:val="clear" w:color="auto" w:fill="auto"/>
                  <w:noWrap w:val="0"/>
                  <w:vAlign w:val="center"/>
                </w:tcPr>
                <w:p w14:paraId="75015F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金属</w:t>
                  </w:r>
                </w:p>
              </w:tc>
              <w:tc>
                <w:tcPr>
                  <w:tcW w:w="404" w:type="pct"/>
                  <w:vMerge w:val="continue"/>
                  <w:shd w:val="clear" w:color="auto" w:fill="auto"/>
                  <w:noWrap w:val="0"/>
                  <w:vAlign w:val="center"/>
                </w:tcPr>
                <w:p w14:paraId="4201F4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434ABB2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7536633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4795249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255" w:type="pct"/>
                  <w:shd w:val="clear" w:color="auto" w:fill="auto"/>
                  <w:noWrap w:val="0"/>
                  <w:vAlign w:val="center"/>
                </w:tcPr>
                <w:p w14:paraId="4128B0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53.884</w:t>
                  </w:r>
                </w:p>
              </w:tc>
            </w:tr>
            <w:tr w14:paraId="72B39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4DED6E8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7</w:t>
                  </w:r>
                </w:p>
              </w:tc>
              <w:tc>
                <w:tcPr>
                  <w:tcW w:w="1013" w:type="pct"/>
                  <w:shd w:val="clear" w:color="auto" w:fill="auto"/>
                  <w:noWrap w:val="0"/>
                  <w:vAlign w:val="center"/>
                </w:tcPr>
                <w:p w14:paraId="2CFDA6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Cs w:val="21"/>
                      <w:lang w:val="en-US" w:eastAsia="zh-CN" w:bidi="ar"/>
                    </w:rPr>
                    <w:t>废布袋</w:t>
                  </w:r>
                </w:p>
              </w:tc>
              <w:tc>
                <w:tcPr>
                  <w:tcW w:w="153" w:type="pct"/>
                  <w:vMerge w:val="continue"/>
                  <w:noWrap w:val="0"/>
                  <w:vAlign w:val="center"/>
                </w:tcPr>
                <w:p w14:paraId="122DFE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val="en-US" w:eastAsia="zh-CN" w:bidi="ar"/>
                    </w:rPr>
                  </w:pPr>
                </w:p>
              </w:tc>
              <w:tc>
                <w:tcPr>
                  <w:tcW w:w="923" w:type="pct"/>
                  <w:shd w:val="clear" w:color="auto" w:fill="auto"/>
                  <w:noWrap w:val="0"/>
                  <w:vAlign w:val="center"/>
                </w:tcPr>
                <w:p w14:paraId="40F5597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Cs w:val="21"/>
                      <w:lang w:val="en-US" w:eastAsia="zh-CN" w:bidi="ar"/>
                    </w:rPr>
                    <w:t>熔化烟尘</w:t>
                  </w:r>
                  <w:r>
                    <w:rPr>
                      <w:rFonts w:hint="eastAsia" w:cs="Times New Roman"/>
                      <w:color w:val="auto"/>
                      <w:kern w:val="0"/>
                      <w:szCs w:val="21"/>
                      <w:lang w:val="en-US" w:eastAsia="zh-CN" w:bidi="ar"/>
                    </w:rPr>
                    <w:t>、精炼烟尘</w:t>
                  </w:r>
                  <w:r>
                    <w:rPr>
                      <w:rFonts w:hint="eastAsia" w:ascii="Times New Roman" w:hAnsi="Times New Roman" w:cs="Times New Roman"/>
                      <w:color w:val="auto"/>
                      <w:kern w:val="0"/>
                      <w:szCs w:val="21"/>
                      <w:lang w:val="en-US" w:eastAsia="zh-CN" w:bidi="ar"/>
                    </w:rPr>
                    <w:t>处理</w:t>
                  </w:r>
                </w:p>
              </w:tc>
              <w:tc>
                <w:tcPr>
                  <w:tcW w:w="250" w:type="pct"/>
                  <w:shd w:val="clear" w:color="auto" w:fill="auto"/>
                  <w:noWrap w:val="0"/>
                  <w:vAlign w:val="center"/>
                </w:tcPr>
                <w:p w14:paraId="118F00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固态</w:t>
                  </w:r>
                </w:p>
              </w:tc>
              <w:tc>
                <w:tcPr>
                  <w:tcW w:w="782" w:type="pct"/>
                  <w:shd w:val="clear" w:color="auto" w:fill="auto"/>
                  <w:noWrap w:val="0"/>
                  <w:vAlign w:val="center"/>
                </w:tcPr>
                <w:p w14:paraId="3682DA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布袋</w:t>
                  </w:r>
                </w:p>
              </w:tc>
              <w:tc>
                <w:tcPr>
                  <w:tcW w:w="404" w:type="pct"/>
                  <w:vMerge w:val="continue"/>
                  <w:shd w:val="clear" w:color="auto" w:fill="auto"/>
                  <w:noWrap w:val="0"/>
                  <w:vAlign w:val="center"/>
                </w:tcPr>
                <w:p w14:paraId="16A40A7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40B3806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00179F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SW17</w:t>
                  </w:r>
                </w:p>
              </w:tc>
              <w:tc>
                <w:tcPr>
                  <w:tcW w:w="500" w:type="pct"/>
                  <w:shd w:val="clear" w:color="auto" w:fill="auto"/>
                  <w:noWrap w:val="0"/>
                  <w:vAlign w:val="center"/>
                </w:tcPr>
                <w:p w14:paraId="310B41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900-0</w:t>
                  </w:r>
                  <w:r>
                    <w:rPr>
                      <w:rFonts w:hint="eastAsia" w:ascii="Times New Roman" w:hAnsi="Times New Roman" w:cs="Times New Roman"/>
                      <w:color w:val="auto"/>
                      <w:szCs w:val="21"/>
                      <w:lang w:val="en-US" w:eastAsia="zh-CN"/>
                    </w:rPr>
                    <w:t>99</w:t>
                  </w:r>
                  <w:r>
                    <w:rPr>
                      <w:rFonts w:hint="eastAsia" w:ascii="Times New Roman" w:hAnsi="Times New Roman" w:cs="Times New Roman"/>
                      <w:color w:val="auto"/>
                      <w:szCs w:val="21"/>
                    </w:rPr>
                    <w:t>-S17</w:t>
                  </w:r>
                </w:p>
              </w:tc>
              <w:tc>
                <w:tcPr>
                  <w:tcW w:w="255" w:type="pct"/>
                  <w:shd w:val="clear" w:color="auto" w:fill="auto"/>
                  <w:noWrap w:val="0"/>
                  <w:vAlign w:val="center"/>
                </w:tcPr>
                <w:p w14:paraId="0606A5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1.5</w:t>
                  </w:r>
                </w:p>
              </w:tc>
            </w:tr>
            <w:tr w14:paraId="7676D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679DD60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w:t>
                  </w:r>
                </w:p>
              </w:tc>
              <w:tc>
                <w:tcPr>
                  <w:tcW w:w="1013" w:type="pct"/>
                  <w:shd w:val="clear" w:color="auto" w:fill="auto"/>
                  <w:noWrap w:val="0"/>
                  <w:vAlign w:val="center"/>
                </w:tcPr>
                <w:p w14:paraId="57AE4F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废滤筒</w:t>
                  </w:r>
                </w:p>
              </w:tc>
              <w:tc>
                <w:tcPr>
                  <w:tcW w:w="153" w:type="pct"/>
                  <w:vMerge w:val="continue"/>
                  <w:noWrap w:val="0"/>
                  <w:vAlign w:val="center"/>
                </w:tcPr>
                <w:p w14:paraId="266F16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val="en-US" w:eastAsia="zh-CN" w:bidi="ar"/>
                    </w:rPr>
                  </w:pPr>
                </w:p>
              </w:tc>
              <w:tc>
                <w:tcPr>
                  <w:tcW w:w="923" w:type="pct"/>
                  <w:shd w:val="clear" w:color="auto" w:fill="auto"/>
                  <w:noWrap w:val="0"/>
                  <w:vAlign w:val="center"/>
                </w:tcPr>
                <w:p w14:paraId="12CBA20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切割烟尘处理</w:t>
                  </w:r>
                </w:p>
              </w:tc>
              <w:tc>
                <w:tcPr>
                  <w:tcW w:w="250" w:type="pct"/>
                  <w:shd w:val="clear" w:color="auto" w:fill="auto"/>
                  <w:noWrap w:val="0"/>
                  <w:vAlign w:val="center"/>
                </w:tcPr>
                <w:p w14:paraId="438C077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782" w:type="pct"/>
                  <w:shd w:val="clear" w:color="auto" w:fill="auto"/>
                  <w:noWrap w:val="0"/>
                  <w:vAlign w:val="center"/>
                </w:tcPr>
                <w:p w14:paraId="47A5968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滤筒</w:t>
                  </w:r>
                </w:p>
              </w:tc>
              <w:tc>
                <w:tcPr>
                  <w:tcW w:w="404" w:type="pct"/>
                  <w:vMerge w:val="continue"/>
                  <w:shd w:val="clear" w:color="auto" w:fill="auto"/>
                  <w:noWrap w:val="0"/>
                  <w:vAlign w:val="center"/>
                </w:tcPr>
                <w:p w14:paraId="6669B5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27DF58D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49D37BA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SW17</w:t>
                  </w:r>
                </w:p>
              </w:tc>
              <w:tc>
                <w:tcPr>
                  <w:tcW w:w="500" w:type="pct"/>
                  <w:shd w:val="clear" w:color="auto" w:fill="auto"/>
                  <w:noWrap w:val="0"/>
                  <w:vAlign w:val="center"/>
                </w:tcPr>
                <w:p w14:paraId="6B24B9E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900-0</w:t>
                  </w:r>
                  <w:r>
                    <w:rPr>
                      <w:rFonts w:hint="eastAsia" w:ascii="Times New Roman" w:hAnsi="Times New Roman" w:cs="Times New Roman"/>
                      <w:color w:val="auto"/>
                      <w:szCs w:val="21"/>
                      <w:lang w:val="en-US" w:eastAsia="zh-CN"/>
                    </w:rPr>
                    <w:t>99</w:t>
                  </w:r>
                  <w:r>
                    <w:rPr>
                      <w:rFonts w:hint="eastAsia" w:ascii="Times New Roman" w:hAnsi="Times New Roman" w:cs="Times New Roman"/>
                      <w:color w:val="auto"/>
                      <w:szCs w:val="21"/>
                    </w:rPr>
                    <w:t>-S17</w:t>
                  </w:r>
                </w:p>
              </w:tc>
              <w:tc>
                <w:tcPr>
                  <w:tcW w:w="255" w:type="pct"/>
                  <w:shd w:val="clear" w:color="auto" w:fill="auto"/>
                  <w:noWrap w:val="0"/>
                  <w:vAlign w:val="center"/>
                </w:tcPr>
                <w:p w14:paraId="42C7108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0.5</w:t>
                  </w:r>
                </w:p>
              </w:tc>
            </w:tr>
            <w:tr w14:paraId="79E96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7678C8D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9</w:t>
                  </w:r>
                </w:p>
              </w:tc>
              <w:tc>
                <w:tcPr>
                  <w:tcW w:w="1013" w:type="pct"/>
                  <w:shd w:val="clear" w:color="auto" w:fill="auto"/>
                  <w:noWrap w:val="0"/>
                  <w:vAlign w:val="center"/>
                </w:tcPr>
                <w:p w14:paraId="36B1C79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废耐火材料</w:t>
                  </w:r>
                </w:p>
              </w:tc>
              <w:tc>
                <w:tcPr>
                  <w:tcW w:w="153" w:type="pct"/>
                  <w:vMerge w:val="continue"/>
                  <w:noWrap w:val="0"/>
                  <w:vAlign w:val="center"/>
                </w:tcPr>
                <w:p w14:paraId="5DEB86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val="en-US" w:eastAsia="zh-CN" w:bidi="ar"/>
                    </w:rPr>
                  </w:pPr>
                </w:p>
              </w:tc>
              <w:tc>
                <w:tcPr>
                  <w:tcW w:w="923" w:type="pct"/>
                  <w:shd w:val="clear" w:color="auto" w:fill="auto"/>
                  <w:noWrap w:val="0"/>
                  <w:vAlign w:val="center"/>
                </w:tcPr>
                <w:p w14:paraId="38FE672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设备维护保养</w:t>
                  </w:r>
                </w:p>
              </w:tc>
              <w:tc>
                <w:tcPr>
                  <w:tcW w:w="250" w:type="pct"/>
                  <w:shd w:val="clear" w:color="auto" w:fill="auto"/>
                  <w:noWrap w:val="0"/>
                  <w:vAlign w:val="center"/>
                </w:tcPr>
                <w:p w14:paraId="4C75595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782" w:type="pct"/>
                  <w:shd w:val="clear" w:color="auto" w:fill="auto"/>
                  <w:noWrap w:val="0"/>
                  <w:vAlign w:val="center"/>
                </w:tcPr>
                <w:p w14:paraId="110DF2C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耐火砖</w:t>
                  </w:r>
                </w:p>
              </w:tc>
              <w:tc>
                <w:tcPr>
                  <w:tcW w:w="404" w:type="pct"/>
                  <w:vMerge w:val="continue"/>
                  <w:shd w:val="clear" w:color="auto" w:fill="auto"/>
                  <w:noWrap w:val="0"/>
                  <w:vAlign w:val="center"/>
                </w:tcPr>
                <w:p w14:paraId="108621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5BB0912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551ACFA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SW59</w:t>
                  </w:r>
                </w:p>
              </w:tc>
              <w:tc>
                <w:tcPr>
                  <w:tcW w:w="500" w:type="pct"/>
                  <w:shd w:val="clear" w:color="auto" w:fill="auto"/>
                  <w:noWrap w:val="0"/>
                  <w:vAlign w:val="center"/>
                </w:tcPr>
                <w:p w14:paraId="3D5C1F2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900-003-S59</w:t>
                  </w:r>
                </w:p>
              </w:tc>
              <w:tc>
                <w:tcPr>
                  <w:tcW w:w="255" w:type="pct"/>
                  <w:shd w:val="clear" w:color="auto" w:fill="auto"/>
                  <w:noWrap w:val="0"/>
                  <w:vAlign w:val="center"/>
                </w:tcPr>
                <w:p w14:paraId="5CDACE0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200</w:t>
                  </w:r>
                </w:p>
              </w:tc>
            </w:tr>
            <w:tr w14:paraId="43061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28A0EDF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10</w:t>
                  </w:r>
                </w:p>
              </w:tc>
              <w:tc>
                <w:tcPr>
                  <w:tcW w:w="1013" w:type="pct"/>
                  <w:shd w:val="clear" w:color="auto" w:fill="auto"/>
                  <w:noWrap w:val="0"/>
                  <w:vAlign w:val="center"/>
                </w:tcPr>
                <w:p w14:paraId="78A0D3D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废包装材料</w:t>
                  </w:r>
                </w:p>
              </w:tc>
              <w:tc>
                <w:tcPr>
                  <w:tcW w:w="153" w:type="pct"/>
                  <w:vMerge w:val="continue"/>
                  <w:shd w:val="clear" w:color="auto" w:fill="auto"/>
                  <w:noWrap w:val="0"/>
                  <w:vAlign w:val="center"/>
                </w:tcPr>
                <w:p w14:paraId="6E15531C">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0"/>
                      <w:szCs w:val="21"/>
                      <w:lang w:val="en-US" w:eastAsia="zh-CN" w:bidi="ar"/>
                    </w:rPr>
                  </w:pPr>
                </w:p>
              </w:tc>
              <w:tc>
                <w:tcPr>
                  <w:tcW w:w="923" w:type="pct"/>
                  <w:shd w:val="clear" w:color="auto" w:fill="auto"/>
                  <w:noWrap w:val="0"/>
                  <w:vAlign w:val="center"/>
                </w:tcPr>
                <w:p w14:paraId="1A39259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原料拆包</w:t>
                  </w:r>
                </w:p>
              </w:tc>
              <w:tc>
                <w:tcPr>
                  <w:tcW w:w="250" w:type="pct"/>
                  <w:shd w:val="clear" w:color="auto" w:fill="auto"/>
                  <w:noWrap w:val="0"/>
                  <w:vAlign w:val="center"/>
                </w:tcPr>
                <w:p w14:paraId="33DDA41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lang w:val="en-US" w:eastAsia="zh-CN"/>
                    </w:rPr>
                    <w:t>固态</w:t>
                  </w:r>
                </w:p>
              </w:tc>
              <w:tc>
                <w:tcPr>
                  <w:tcW w:w="782" w:type="pct"/>
                  <w:shd w:val="clear" w:color="auto" w:fill="auto"/>
                  <w:noWrap w:val="0"/>
                  <w:vAlign w:val="center"/>
                </w:tcPr>
                <w:p w14:paraId="41EBBD93">
                  <w:pPr>
                    <w:keepNext w:val="0"/>
                    <w:keepLines w:val="0"/>
                    <w:widowControl/>
                    <w:suppressLineNumbers w:val="0"/>
                    <w:spacing w:before="0" w:beforeAutospacing="0" w:after="0" w:afterAutospacing="0"/>
                    <w:ind w:left="0" w:leftChars="0" w:right="0" w:rightChars="0"/>
                    <w:jc w:val="center"/>
                    <w:textAlignment w:val="center"/>
                    <w:rPr>
                      <w:rFonts w:hint="eastAsia" w:cs="Times New Roman"/>
                      <w:color w:val="auto"/>
                      <w:kern w:val="2"/>
                      <w:sz w:val="21"/>
                      <w:szCs w:val="24"/>
                      <w:lang w:val="en-US" w:eastAsia="zh-CN" w:bidi="ar-SA"/>
                    </w:rPr>
                  </w:pPr>
                  <w:r>
                    <w:rPr>
                      <w:rFonts w:hint="eastAsia" w:cs="Times New Roman"/>
                      <w:color w:val="auto"/>
                      <w:szCs w:val="21"/>
                      <w:lang w:val="en-US" w:eastAsia="zh-CN"/>
                    </w:rPr>
                    <w:t>尼龙袋、纸板</w:t>
                  </w:r>
                </w:p>
              </w:tc>
              <w:tc>
                <w:tcPr>
                  <w:tcW w:w="404" w:type="pct"/>
                  <w:vMerge w:val="continue"/>
                  <w:shd w:val="clear" w:color="auto" w:fill="auto"/>
                  <w:noWrap w:val="0"/>
                  <w:vAlign w:val="center"/>
                </w:tcPr>
                <w:p w14:paraId="5882CF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45353F1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w:t>
                  </w:r>
                </w:p>
              </w:tc>
              <w:tc>
                <w:tcPr>
                  <w:tcW w:w="378" w:type="pct"/>
                  <w:shd w:val="clear" w:color="auto" w:fill="auto"/>
                  <w:noWrap w:val="0"/>
                  <w:vAlign w:val="center"/>
                </w:tcPr>
                <w:p w14:paraId="6024723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0FDADAE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900-003-S17</w:t>
                  </w:r>
                </w:p>
              </w:tc>
              <w:tc>
                <w:tcPr>
                  <w:tcW w:w="255" w:type="pct"/>
                  <w:shd w:val="clear" w:color="auto" w:fill="auto"/>
                  <w:noWrap w:val="0"/>
                  <w:vAlign w:val="center"/>
                </w:tcPr>
                <w:p w14:paraId="1C4D5E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3.24</w:t>
                  </w:r>
                </w:p>
              </w:tc>
            </w:tr>
            <w:tr w14:paraId="2F81A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25AAF54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11</w:t>
                  </w:r>
                </w:p>
              </w:tc>
              <w:tc>
                <w:tcPr>
                  <w:tcW w:w="1013" w:type="pct"/>
                  <w:shd w:val="clear" w:color="auto" w:fill="auto"/>
                  <w:noWrap w:val="0"/>
                  <w:vAlign w:val="center"/>
                </w:tcPr>
                <w:p w14:paraId="690481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金属氧化皮</w:t>
                  </w:r>
                </w:p>
              </w:tc>
              <w:tc>
                <w:tcPr>
                  <w:tcW w:w="153" w:type="pct"/>
                  <w:vMerge w:val="continue"/>
                  <w:shd w:val="clear" w:color="auto" w:fill="auto"/>
                  <w:noWrap w:val="0"/>
                  <w:vAlign w:val="center"/>
                </w:tcPr>
                <w:p w14:paraId="4757AE0F">
                  <w:pPr>
                    <w:pStyle w:val="71"/>
                    <w:keepNext w:val="0"/>
                    <w:keepLines w:val="0"/>
                    <w:suppressLineNumbers w:val="0"/>
                    <w:spacing w:before="0" w:beforeAutospacing="0" w:after="0" w:afterAutospacing="0"/>
                    <w:ind w:left="0" w:right="0"/>
                    <w:jc w:val="center"/>
                    <w:rPr>
                      <w:rFonts w:hint="eastAsia" w:ascii="Times New Roman" w:hAnsi="Times New Roman" w:cs="宋体"/>
                      <w:color w:val="auto"/>
                      <w:kern w:val="2"/>
                      <w:sz w:val="21"/>
                      <w:szCs w:val="21"/>
                      <w:highlight w:val="none"/>
                      <w:lang w:val="en-US" w:eastAsia="zh-CN" w:bidi="zh-CN"/>
                    </w:rPr>
                  </w:pPr>
                </w:p>
              </w:tc>
              <w:tc>
                <w:tcPr>
                  <w:tcW w:w="923" w:type="pct"/>
                  <w:shd w:val="clear" w:color="auto" w:fill="auto"/>
                  <w:noWrap w:val="0"/>
                  <w:vAlign w:val="center"/>
                </w:tcPr>
                <w:p w14:paraId="44B4EA57">
                  <w:pPr>
                    <w:pStyle w:val="71"/>
                    <w:keepNext w:val="0"/>
                    <w:keepLines w:val="0"/>
                    <w:suppressLineNumbers w:val="0"/>
                    <w:spacing w:before="0" w:beforeAutospacing="0" w:after="0" w:afterAutospacing="0"/>
                    <w:ind w:left="0" w:right="0"/>
                    <w:jc w:val="center"/>
                    <w:rPr>
                      <w:rFonts w:hint="default" w:ascii="Times New Roman" w:hAnsi="Times New Roman" w:eastAsia="宋体" w:cs="宋体"/>
                      <w:color w:val="auto"/>
                      <w:kern w:val="2"/>
                      <w:sz w:val="21"/>
                      <w:szCs w:val="21"/>
                      <w:highlight w:val="none"/>
                      <w:lang w:val="en-US" w:eastAsia="zh-CN" w:bidi="zh-CN"/>
                    </w:rPr>
                  </w:pPr>
                  <w:r>
                    <w:rPr>
                      <w:rFonts w:hint="eastAsia" w:ascii="Times New Roman" w:hAnsi="Times New Roman" w:cs="宋体"/>
                      <w:color w:val="auto"/>
                      <w:kern w:val="2"/>
                      <w:sz w:val="21"/>
                      <w:szCs w:val="21"/>
                      <w:highlight w:val="none"/>
                      <w:lang w:val="en-US" w:eastAsia="zh-CN" w:bidi="zh-CN"/>
                    </w:rPr>
                    <w:t>锻压成型</w:t>
                  </w:r>
                </w:p>
              </w:tc>
              <w:tc>
                <w:tcPr>
                  <w:tcW w:w="250" w:type="pct"/>
                  <w:noWrap w:val="0"/>
                  <w:vAlign w:val="center"/>
                </w:tcPr>
                <w:p w14:paraId="3C73DC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lang w:val="en-US" w:eastAsia="zh-CN"/>
                    </w:rPr>
                    <w:t>固态</w:t>
                  </w:r>
                </w:p>
              </w:tc>
              <w:tc>
                <w:tcPr>
                  <w:tcW w:w="782" w:type="pct"/>
                  <w:noWrap w:val="0"/>
                  <w:vAlign w:val="center"/>
                </w:tcPr>
                <w:p w14:paraId="1B8D58D0">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金属氧化物</w:t>
                  </w:r>
                </w:p>
              </w:tc>
              <w:tc>
                <w:tcPr>
                  <w:tcW w:w="404" w:type="pct"/>
                  <w:vMerge w:val="continue"/>
                  <w:shd w:val="clear" w:color="auto" w:fill="auto"/>
                  <w:noWrap w:val="0"/>
                  <w:vAlign w:val="center"/>
                </w:tcPr>
                <w:p w14:paraId="68C267D4">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4"/>
                      <w:lang w:val="en-US" w:eastAsia="zh-CN" w:bidi="ar-SA"/>
                    </w:rPr>
                  </w:pPr>
                </w:p>
              </w:tc>
              <w:tc>
                <w:tcPr>
                  <w:tcW w:w="237" w:type="pct"/>
                  <w:shd w:val="clear" w:color="auto" w:fill="auto"/>
                  <w:noWrap w:val="0"/>
                  <w:vAlign w:val="center"/>
                </w:tcPr>
                <w:p w14:paraId="5BCB30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73CD9F3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536DA50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255" w:type="pct"/>
                  <w:noWrap w:val="0"/>
                  <w:vAlign w:val="center"/>
                </w:tcPr>
                <w:p w14:paraId="3714E1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10</w:t>
                  </w:r>
                </w:p>
              </w:tc>
            </w:tr>
            <w:tr w14:paraId="5FCAF3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1D4C43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12</w:t>
                  </w:r>
                </w:p>
              </w:tc>
              <w:tc>
                <w:tcPr>
                  <w:tcW w:w="1013" w:type="pct"/>
                  <w:shd w:val="clear" w:color="auto" w:fill="auto"/>
                  <w:noWrap w:val="0"/>
                  <w:vAlign w:val="center"/>
                </w:tcPr>
                <w:p w14:paraId="4643A395">
                  <w:pPr>
                    <w:pStyle w:val="122"/>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废边角料</w:t>
                  </w:r>
                </w:p>
              </w:tc>
              <w:tc>
                <w:tcPr>
                  <w:tcW w:w="153" w:type="pct"/>
                  <w:vMerge w:val="continue"/>
                  <w:shd w:val="clear" w:color="auto" w:fill="auto"/>
                  <w:noWrap w:val="0"/>
                  <w:vAlign w:val="center"/>
                </w:tcPr>
                <w:p w14:paraId="727BE844">
                  <w:pPr>
                    <w:keepNext w:val="0"/>
                    <w:keepLines w:val="0"/>
                    <w:widowControl/>
                    <w:suppressLineNumbers w:val="0"/>
                    <w:spacing w:before="0" w:beforeAutospacing="0" w:after="0" w:afterAutospacing="0"/>
                    <w:ind w:left="0" w:right="0"/>
                    <w:jc w:val="center"/>
                    <w:rPr>
                      <w:rFonts w:hint="eastAsia" w:hAnsi="宋体"/>
                      <w:color w:val="auto"/>
                      <w:szCs w:val="21"/>
                      <w:highlight w:val="none"/>
                    </w:rPr>
                  </w:pPr>
                </w:p>
              </w:tc>
              <w:tc>
                <w:tcPr>
                  <w:tcW w:w="923" w:type="pct"/>
                  <w:shd w:val="clear" w:color="auto" w:fill="auto"/>
                  <w:noWrap w:val="0"/>
                  <w:vAlign w:val="center"/>
                </w:tcPr>
                <w:p w14:paraId="41B0C89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color w:val="auto"/>
                      <w:szCs w:val="21"/>
                      <w:highlight w:val="none"/>
                    </w:rPr>
                    <w:t>精加工</w:t>
                  </w:r>
                </w:p>
              </w:tc>
              <w:tc>
                <w:tcPr>
                  <w:tcW w:w="250" w:type="pct"/>
                  <w:noWrap w:val="0"/>
                  <w:vAlign w:val="center"/>
                </w:tcPr>
                <w:p w14:paraId="5D3C3ABD">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lang w:val="en-US" w:eastAsia="zh-CN"/>
                    </w:rPr>
                    <w:t>固态</w:t>
                  </w:r>
                </w:p>
              </w:tc>
              <w:tc>
                <w:tcPr>
                  <w:tcW w:w="782" w:type="pct"/>
                  <w:noWrap w:val="0"/>
                  <w:vAlign w:val="center"/>
                </w:tcPr>
                <w:p w14:paraId="434584BF">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金属</w:t>
                  </w:r>
                </w:p>
              </w:tc>
              <w:tc>
                <w:tcPr>
                  <w:tcW w:w="404" w:type="pct"/>
                  <w:vMerge w:val="continue"/>
                  <w:shd w:val="clear" w:color="auto" w:fill="auto"/>
                  <w:noWrap w:val="0"/>
                  <w:vAlign w:val="center"/>
                </w:tcPr>
                <w:p w14:paraId="4641DB74">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4"/>
                      <w:lang w:val="en-US" w:eastAsia="zh-CN" w:bidi="ar-SA"/>
                    </w:rPr>
                  </w:pPr>
                </w:p>
              </w:tc>
              <w:tc>
                <w:tcPr>
                  <w:tcW w:w="237" w:type="pct"/>
                  <w:shd w:val="clear" w:color="auto" w:fill="auto"/>
                  <w:noWrap w:val="0"/>
                  <w:vAlign w:val="center"/>
                </w:tcPr>
                <w:p w14:paraId="4E8BC6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219EE85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6883996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900-010-S17</w:t>
                  </w:r>
                </w:p>
              </w:tc>
              <w:tc>
                <w:tcPr>
                  <w:tcW w:w="255" w:type="pct"/>
                  <w:noWrap w:val="0"/>
                  <w:vAlign w:val="center"/>
                </w:tcPr>
                <w:p w14:paraId="190556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1000</w:t>
                  </w:r>
                </w:p>
              </w:tc>
            </w:tr>
            <w:tr w14:paraId="1D8D99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0349C6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13</w:t>
                  </w:r>
                </w:p>
              </w:tc>
              <w:tc>
                <w:tcPr>
                  <w:tcW w:w="1013" w:type="pct"/>
                  <w:shd w:val="clear" w:color="auto" w:fill="auto"/>
                  <w:noWrap w:val="0"/>
                  <w:vAlign w:val="center"/>
                </w:tcPr>
                <w:p w14:paraId="5D3BA48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r>
                    <w:rPr>
                      <w:rFonts w:hint="eastAsia" w:hAnsi="宋体"/>
                      <w:color w:val="auto"/>
                      <w:szCs w:val="21"/>
                      <w:highlight w:val="none"/>
                    </w:rPr>
                    <w:t>不合格</w:t>
                  </w:r>
                  <w:r>
                    <w:rPr>
                      <w:rFonts w:hint="eastAsia" w:hAnsi="宋体"/>
                      <w:color w:val="auto"/>
                      <w:szCs w:val="21"/>
                      <w:highlight w:val="none"/>
                      <w:lang w:val="en-US" w:eastAsia="zh-CN"/>
                    </w:rPr>
                    <w:t>品</w:t>
                  </w:r>
                </w:p>
              </w:tc>
              <w:tc>
                <w:tcPr>
                  <w:tcW w:w="153" w:type="pct"/>
                  <w:vMerge w:val="continue"/>
                  <w:shd w:val="clear" w:color="auto" w:fill="auto"/>
                  <w:noWrap w:val="0"/>
                  <w:vAlign w:val="center"/>
                </w:tcPr>
                <w:p w14:paraId="3A88729A">
                  <w:pPr>
                    <w:pStyle w:val="71"/>
                    <w:keepNext w:val="0"/>
                    <w:keepLines w:val="0"/>
                    <w:suppressLineNumbers w:val="0"/>
                    <w:spacing w:before="0" w:beforeAutospacing="0" w:after="0" w:afterAutospacing="0"/>
                    <w:ind w:left="0" w:right="0"/>
                    <w:jc w:val="center"/>
                    <w:rPr>
                      <w:rFonts w:hint="eastAsia" w:ascii="Times New Roman" w:hAnsi="宋体"/>
                      <w:color w:val="auto"/>
                      <w:sz w:val="21"/>
                      <w:szCs w:val="21"/>
                      <w:highlight w:val="none"/>
                      <w:lang w:val="en-US" w:eastAsia="zh-CN"/>
                    </w:rPr>
                  </w:pPr>
                </w:p>
              </w:tc>
              <w:tc>
                <w:tcPr>
                  <w:tcW w:w="923" w:type="pct"/>
                  <w:shd w:val="clear" w:color="auto" w:fill="auto"/>
                  <w:noWrap w:val="0"/>
                  <w:vAlign w:val="center"/>
                </w:tcPr>
                <w:p w14:paraId="664CDC0D">
                  <w:pPr>
                    <w:pStyle w:val="71"/>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highlight w:val="none"/>
                      <w:lang w:val="en-US" w:eastAsia="zh-CN" w:bidi="zh-CN"/>
                    </w:rPr>
                  </w:pPr>
                  <w:r>
                    <w:rPr>
                      <w:rFonts w:hint="eastAsia" w:ascii="Times New Roman" w:hAnsi="宋体"/>
                      <w:color w:val="auto"/>
                      <w:sz w:val="21"/>
                      <w:szCs w:val="21"/>
                      <w:highlight w:val="none"/>
                      <w:lang w:val="en-US" w:eastAsia="zh-CN"/>
                    </w:rPr>
                    <w:t>检验</w:t>
                  </w:r>
                </w:p>
              </w:tc>
              <w:tc>
                <w:tcPr>
                  <w:tcW w:w="250" w:type="pct"/>
                  <w:noWrap w:val="0"/>
                  <w:vAlign w:val="center"/>
                </w:tcPr>
                <w:p w14:paraId="59D03F33">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lang w:val="en-US" w:eastAsia="zh-CN"/>
                    </w:rPr>
                    <w:t>固态</w:t>
                  </w:r>
                </w:p>
              </w:tc>
              <w:tc>
                <w:tcPr>
                  <w:tcW w:w="782" w:type="pct"/>
                  <w:noWrap w:val="0"/>
                  <w:vAlign w:val="center"/>
                </w:tcPr>
                <w:p w14:paraId="63D41214">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金属</w:t>
                  </w:r>
                </w:p>
              </w:tc>
              <w:tc>
                <w:tcPr>
                  <w:tcW w:w="404" w:type="pct"/>
                  <w:vMerge w:val="continue"/>
                  <w:shd w:val="clear" w:color="auto" w:fill="auto"/>
                  <w:noWrap w:val="0"/>
                  <w:vAlign w:val="center"/>
                </w:tcPr>
                <w:p w14:paraId="7B8DBBEB">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4"/>
                      <w:lang w:val="en-US" w:eastAsia="zh-CN" w:bidi="ar-SA"/>
                    </w:rPr>
                  </w:pPr>
                </w:p>
              </w:tc>
              <w:tc>
                <w:tcPr>
                  <w:tcW w:w="237" w:type="pct"/>
                  <w:shd w:val="clear" w:color="auto" w:fill="auto"/>
                  <w:noWrap w:val="0"/>
                  <w:vAlign w:val="center"/>
                </w:tcPr>
                <w:p w14:paraId="5A55C23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044D4E9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00FCFBA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900-010-S17</w:t>
                  </w:r>
                </w:p>
              </w:tc>
              <w:tc>
                <w:tcPr>
                  <w:tcW w:w="255" w:type="pct"/>
                  <w:noWrap w:val="0"/>
                  <w:vAlign w:val="center"/>
                </w:tcPr>
                <w:p w14:paraId="21927B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10</w:t>
                  </w:r>
                </w:p>
              </w:tc>
            </w:tr>
            <w:tr w14:paraId="563CD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4C68001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14</w:t>
                  </w:r>
                </w:p>
              </w:tc>
              <w:tc>
                <w:tcPr>
                  <w:tcW w:w="1013" w:type="pct"/>
                  <w:shd w:val="clear" w:color="auto" w:fill="auto"/>
                  <w:noWrap w:val="0"/>
                  <w:vAlign w:val="center"/>
                </w:tcPr>
                <w:p w14:paraId="742FC242">
                  <w:pPr>
                    <w:keepNext w:val="0"/>
                    <w:keepLines w:val="0"/>
                    <w:suppressLineNumbers w:val="0"/>
                    <w:spacing w:before="0" w:beforeAutospacing="0" w:after="0" w:afterAutospacing="0"/>
                    <w:ind w:left="0" w:right="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废包装袋</w:t>
                  </w:r>
                </w:p>
              </w:tc>
              <w:tc>
                <w:tcPr>
                  <w:tcW w:w="153" w:type="pct"/>
                  <w:vMerge w:val="continue"/>
                  <w:shd w:val="clear" w:color="auto" w:fill="auto"/>
                  <w:noWrap w:val="0"/>
                  <w:vAlign w:val="center"/>
                </w:tcPr>
                <w:p w14:paraId="4D33CC9E">
                  <w:pPr>
                    <w:keepNext w:val="0"/>
                    <w:keepLines w:val="0"/>
                    <w:widowControl/>
                    <w:suppressLineNumbers w:val="0"/>
                    <w:spacing w:before="0" w:beforeAutospacing="0" w:after="0" w:afterAutospacing="0"/>
                    <w:ind w:left="0" w:right="0"/>
                    <w:jc w:val="center"/>
                    <w:rPr>
                      <w:rFonts w:hint="eastAsia" w:hAnsi="宋体"/>
                      <w:color w:val="auto"/>
                      <w:szCs w:val="21"/>
                      <w:highlight w:val="none"/>
                      <w:lang w:val="en-US" w:eastAsia="zh-CN"/>
                    </w:rPr>
                  </w:pPr>
                </w:p>
              </w:tc>
              <w:tc>
                <w:tcPr>
                  <w:tcW w:w="923" w:type="pct"/>
                  <w:shd w:val="clear" w:color="auto" w:fill="auto"/>
                  <w:noWrap w:val="0"/>
                  <w:vAlign w:val="center"/>
                </w:tcPr>
                <w:p w14:paraId="7E2F86AE">
                  <w:pPr>
                    <w:keepNext w:val="0"/>
                    <w:keepLines w:val="0"/>
                    <w:widowControl/>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包装入库</w:t>
                  </w:r>
                </w:p>
              </w:tc>
              <w:tc>
                <w:tcPr>
                  <w:tcW w:w="250" w:type="pct"/>
                  <w:noWrap w:val="0"/>
                  <w:vAlign w:val="center"/>
                </w:tcPr>
                <w:p w14:paraId="5DF634D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lang w:val="en-US" w:eastAsia="zh-CN"/>
                    </w:rPr>
                    <w:t>固态</w:t>
                  </w:r>
                </w:p>
              </w:tc>
              <w:tc>
                <w:tcPr>
                  <w:tcW w:w="782" w:type="pct"/>
                  <w:noWrap w:val="0"/>
                  <w:vAlign w:val="center"/>
                </w:tcPr>
                <w:p w14:paraId="56BA8D4B">
                  <w:pPr>
                    <w:keepNext w:val="0"/>
                    <w:keepLines w:val="0"/>
                    <w:widowControl/>
                    <w:suppressLineNumbers w:val="0"/>
                    <w:spacing w:before="0" w:beforeAutospacing="0" w:after="0" w:afterAutospacing="0"/>
                    <w:ind w:left="0" w:right="0"/>
                    <w:jc w:val="center"/>
                    <w:textAlignment w:val="center"/>
                    <w:rPr>
                      <w:rFonts w:hint="default" w:cs="Times New Roman"/>
                      <w:color w:val="auto"/>
                      <w:kern w:val="0"/>
                      <w:szCs w:val="21"/>
                      <w:lang w:val="en-US" w:eastAsia="zh-CN" w:bidi="ar"/>
                    </w:rPr>
                  </w:pPr>
                  <w:r>
                    <w:rPr>
                      <w:rFonts w:hint="eastAsia" w:cs="Times New Roman"/>
                      <w:color w:val="auto"/>
                      <w:kern w:val="0"/>
                      <w:szCs w:val="21"/>
                      <w:lang w:val="en-US" w:eastAsia="zh-CN" w:bidi="ar"/>
                    </w:rPr>
                    <w:t>尼龙袋</w:t>
                  </w:r>
                </w:p>
              </w:tc>
              <w:tc>
                <w:tcPr>
                  <w:tcW w:w="404" w:type="pct"/>
                  <w:vMerge w:val="continue"/>
                  <w:shd w:val="clear" w:color="auto" w:fill="auto"/>
                  <w:noWrap w:val="0"/>
                  <w:vAlign w:val="center"/>
                </w:tcPr>
                <w:p w14:paraId="028D98D5">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auto"/>
                      <w:kern w:val="2"/>
                      <w:sz w:val="21"/>
                      <w:szCs w:val="24"/>
                      <w:lang w:val="en-US" w:eastAsia="zh-CN" w:bidi="ar-SA"/>
                    </w:rPr>
                  </w:pPr>
                </w:p>
              </w:tc>
              <w:tc>
                <w:tcPr>
                  <w:tcW w:w="237" w:type="pct"/>
                  <w:shd w:val="clear" w:color="auto" w:fill="auto"/>
                  <w:noWrap w:val="0"/>
                  <w:vAlign w:val="center"/>
                </w:tcPr>
                <w:p w14:paraId="114574A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76EFF94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SW17</w:t>
                  </w:r>
                </w:p>
              </w:tc>
              <w:tc>
                <w:tcPr>
                  <w:tcW w:w="500" w:type="pct"/>
                  <w:shd w:val="clear" w:color="auto" w:fill="auto"/>
                  <w:noWrap w:val="0"/>
                  <w:vAlign w:val="center"/>
                </w:tcPr>
                <w:p w14:paraId="12E99F5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900-011-S17</w:t>
                  </w:r>
                </w:p>
              </w:tc>
              <w:tc>
                <w:tcPr>
                  <w:tcW w:w="255" w:type="pct"/>
                  <w:noWrap w:val="0"/>
                  <w:vAlign w:val="center"/>
                </w:tcPr>
                <w:p w14:paraId="03A58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0.05</w:t>
                  </w:r>
                </w:p>
              </w:tc>
            </w:tr>
            <w:tr w14:paraId="777E3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53AB52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15</w:t>
                  </w:r>
                </w:p>
              </w:tc>
              <w:tc>
                <w:tcPr>
                  <w:tcW w:w="1013" w:type="pct"/>
                  <w:shd w:val="clear" w:color="auto" w:fill="auto"/>
                  <w:noWrap w:val="0"/>
                  <w:vAlign w:val="center"/>
                </w:tcPr>
                <w:p w14:paraId="574CBA1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布袋除尘器收尘（电渣重熔）</w:t>
                  </w:r>
                </w:p>
              </w:tc>
              <w:tc>
                <w:tcPr>
                  <w:tcW w:w="153" w:type="pct"/>
                  <w:vMerge w:val="restart"/>
                  <w:shd w:val="clear" w:color="auto" w:fill="auto"/>
                  <w:noWrap w:val="0"/>
                  <w:vAlign w:val="center"/>
                </w:tcPr>
                <w:p w14:paraId="1EBA7623">
                  <w:pPr>
                    <w:keepNext w:val="0"/>
                    <w:keepLines w:val="0"/>
                    <w:widowControl/>
                    <w:suppressLineNumbers w:val="0"/>
                    <w:spacing w:before="0" w:beforeAutospacing="0" w:after="0" w:afterAutospacing="0"/>
                    <w:ind w:left="0" w:right="0"/>
                    <w:jc w:val="center"/>
                    <w:rPr>
                      <w:rFonts w:hint="default"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危险废物</w:t>
                  </w:r>
                </w:p>
              </w:tc>
              <w:tc>
                <w:tcPr>
                  <w:tcW w:w="923" w:type="pct"/>
                  <w:shd w:val="clear" w:color="auto" w:fill="auto"/>
                  <w:noWrap w:val="0"/>
                  <w:vAlign w:val="center"/>
                </w:tcPr>
                <w:p w14:paraId="5742159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250" w:type="pct"/>
                  <w:shd w:val="clear" w:color="auto" w:fill="auto"/>
                  <w:noWrap w:val="0"/>
                  <w:vAlign w:val="center"/>
                </w:tcPr>
                <w:p w14:paraId="1791C86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固态</w:t>
                  </w:r>
                </w:p>
              </w:tc>
              <w:tc>
                <w:tcPr>
                  <w:tcW w:w="782" w:type="pct"/>
                  <w:shd w:val="clear" w:color="auto" w:fill="auto"/>
                  <w:noWrap w:val="0"/>
                  <w:vAlign w:val="center"/>
                </w:tcPr>
                <w:p w14:paraId="039900C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金属</w:t>
                  </w:r>
                </w:p>
              </w:tc>
              <w:tc>
                <w:tcPr>
                  <w:tcW w:w="404" w:type="pct"/>
                  <w:vMerge w:val="restart"/>
                  <w:shd w:val="clear" w:color="auto" w:fill="auto"/>
                  <w:noWrap w:val="0"/>
                  <w:vAlign w:val="center"/>
                </w:tcPr>
                <w:p w14:paraId="21A5D8A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《国家危险废物名录》（2</w:t>
                  </w:r>
                  <w:r>
                    <w:rPr>
                      <w:rFonts w:hint="default" w:ascii="Times New Roman" w:hAnsi="Times New Roman" w:cs="Times New Roman"/>
                      <w:color w:val="auto"/>
                      <w:szCs w:val="21"/>
                    </w:rPr>
                    <w:t>02</w:t>
                  </w:r>
                  <w:r>
                    <w:rPr>
                      <w:rFonts w:hint="eastAsia" w:ascii="Times New Roman" w:hAnsi="Times New Roman" w:cs="Times New Roman"/>
                      <w:color w:val="auto"/>
                      <w:szCs w:val="21"/>
                      <w:lang w:val="en-US" w:eastAsia="zh-CN"/>
                    </w:rPr>
                    <w:t>5</w:t>
                  </w:r>
                  <w:r>
                    <w:rPr>
                      <w:rFonts w:hint="eastAsia" w:ascii="Times New Roman" w:hAnsi="Times New Roman" w:cs="Times New Roman"/>
                      <w:color w:val="auto"/>
                      <w:szCs w:val="21"/>
                    </w:rPr>
                    <w:t>）</w:t>
                  </w:r>
                </w:p>
              </w:tc>
              <w:tc>
                <w:tcPr>
                  <w:tcW w:w="237" w:type="pct"/>
                  <w:shd w:val="clear" w:color="auto" w:fill="auto"/>
                  <w:noWrap w:val="0"/>
                  <w:vAlign w:val="center"/>
                </w:tcPr>
                <w:p w14:paraId="042B66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T</w:t>
                  </w:r>
                </w:p>
              </w:tc>
              <w:tc>
                <w:tcPr>
                  <w:tcW w:w="378" w:type="pct"/>
                  <w:shd w:val="clear" w:color="auto" w:fill="auto"/>
                  <w:noWrap w:val="0"/>
                  <w:vAlign w:val="center"/>
                </w:tcPr>
                <w:p w14:paraId="77FC792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HW21</w:t>
                  </w:r>
                </w:p>
              </w:tc>
              <w:tc>
                <w:tcPr>
                  <w:tcW w:w="500" w:type="pct"/>
                  <w:shd w:val="clear" w:color="auto" w:fill="auto"/>
                  <w:noWrap w:val="0"/>
                  <w:vAlign w:val="center"/>
                </w:tcPr>
                <w:p w14:paraId="64E637B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314-002-21</w:t>
                  </w:r>
                </w:p>
              </w:tc>
              <w:tc>
                <w:tcPr>
                  <w:tcW w:w="255" w:type="pct"/>
                  <w:shd w:val="clear" w:color="auto" w:fill="auto"/>
                  <w:noWrap w:val="0"/>
                  <w:vAlign w:val="center"/>
                </w:tcPr>
                <w:p w14:paraId="59E73D3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6.797</w:t>
                  </w:r>
                </w:p>
              </w:tc>
            </w:tr>
            <w:tr w14:paraId="6792C2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1DA95B1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16</w:t>
                  </w:r>
                </w:p>
              </w:tc>
              <w:tc>
                <w:tcPr>
                  <w:tcW w:w="1013" w:type="pct"/>
                  <w:shd w:val="clear" w:color="auto" w:fill="auto"/>
                  <w:noWrap w:val="0"/>
                  <w:vAlign w:val="center"/>
                </w:tcPr>
                <w:p w14:paraId="365AFA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废布袋（电渣重熔）</w:t>
                  </w:r>
                </w:p>
              </w:tc>
              <w:tc>
                <w:tcPr>
                  <w:tcW w:w="153" w:type="pct"/>
                  <w:vMerge w:val="continue"/>
                  <w:shd w:val="clear" w:color="auto" w:fill="auto"/>
                  <w:noWrap w:val="0"/>
                  <w:vAlign w:val="center"/>
                </w:tcPr>
                <w:p w14:paraId="227225F5">
                  <w:pPr>
                    <w:keepNext w:val="0"/>
                    <w:keepLines w:val="0"/>
                    <w:widowControl/>
                    <w:suppressLineNumbers w:val="0"/>
                    <w:spacing w:before="0" w:beforeAutospacing="0" w:after="0" w:afterAutospacing="0"/>
                    <w:ind w:left="0" w:right="0"/>
                    <w:jc w:val="center"/>
                    <w:rPr>
                      <w:rFonts w:hint="eastAsia" w:hAnsi="宋体" w:eastAsia="宋体" w:cs="Times New Roman"/>
                      <w:color w:val="auto"/>
                      <w:kern w:val="2"/>
                      <w:sz w:val="21"/>
                      <w:szCs w:val="21"/>
                      <w:highlight w:val="none"/>
                      <w:lang w:val="en-US" w:eastAsia="zh-CN" w:bidi="ar-SA"/>
                    </w:rPr>
                  </w:pPr>
                </w:p>
              </w:tc>
              <w:tc>
                <w:tcPr>
                  <w:tcW w:w="923" w:type="pct"/>
                  <w:shd w:val="clear" w:color="auto" w:fill="auto"/>
                  <w:noWrap w:val="0"/>
                  <w:vAlign w:val="center"/>
                </w:tcPr>
                <w:p w14:paraId="6CD9BDB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250" w:type="pct"/>
                  <w:shd w:val="clear" w:color="auto" w:fill="auto"/>
                  <w:noWrap w:val="0"/>
                  <w:vAlign w:val="center"/>
                </w:tcPr>
                <w:p w14:paraId="4C766C4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固态</w:t>
                  </w:r>
                </w:p>
              </w:tc>
              <w:tc>
                <w:tcPr>
                  <w:tcW w:w="782" w:type="pct"/>
                  <w:shd w:val="clear" w:color="auto" w:fill="auto"/>
                  <w:noWrap w:val="0"/>
                  <w:vAlign w:val="center"/>
                </w:tcPr>
                <w:p w14:paraId="4EFF8A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Cs w:val="21"/>
                      <w:lang w:val="en-US" w:eastAsia="zh-CN" w:bidi="ar"/>
                    </w:rPr>
                    <w:t>布袋</w:t>
                  </w:r>
                </w:p>
              </w:tc>
              <w:tc>
                <w:tcPr>
                  <w:tcW w:w="404" w:type="pct"/>
                  <w:vMerge w:val="continue"/>
                  <w:shd w:val="clear" w:color="auto" w:fill="auto"/>
                  <w:noWrap w:val="0"/>
                  <w:vAlign w:val="center"/>
                </w:tcPr>
                <w:p w14:paraId="37413D4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Cs w:val="21"/>
                    </w:rPr>
                  </w:pPr>
                </w:p>
              </w:tc>
              <w:tc>
                <w:tcPr>
                  <w:tcW w:w="237" w:type="pct"/>
                  <w:shd w:val="clear" w:color="auto" w:fill="auto"/>
                  <w:noWrap w:val="0"/>
                  <w:vAlign w:val="center"/>
                </w:tcPr>
                <w:p w14:paraId="3721602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w:t>
                  </w:r>
                  <w:r>
                    <w:rPr>
                      <w:rFonts w:hint="eastAsia" w:ascii="Times New Roman" w:hAnsi="Times New Roman" w:cs="Times New Roman"/>
                      <w:color w:val="auto"/>
                      <w:szCs w:val="21"/>
                      <w:lang w:val="en-US" w:eastAsia="zh-CN"/>
                    </w:rPr>
                    <w:t>/In</w:t>
                  </w:r>
                </w:p>
              </w:tc>
              <w:tc>
                <w:tcPr>
                  <w:tcW w:w="378" w:type="pct"/>
                  <w:shd w:val="clear" w:color="auto" w:fill="auto"/>
                  <w:noWrap w:val="0"/>
                  <w:vAlign w:val="center"/>
                </w:tcPr>
                <w:p w14:paraId="0CBF9E4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HW49</w:t>
                  </w:r>
                </w:p>
              </w:tc>
              <w:tc>
                <w:tcPr>
                  <w:tcW w:w="500" w:type="pct"/>
                  <w:shd w:val="clear" w:color="auto" w:fill="auto"/>
                  <w:noWrap w:val="0"/>
                  <w:vAlign w:val="center"/>
                </w:tcPr>
                <w:p w14:paraId="2020B7B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55" w:type="pct"/>
                  <w:shd w:val="clear" w:color="auto" w:fill="auto"/>
                  <w:noWrap w:val="0"/>
                  <w:vAlign w:val="center"/>
                </w:tcPr>
                <w:p w14:paraId="1EE66FD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r>
            <w:tr w14:paraId="1561C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692C5E9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17</w:t>
                  </w:r>
                </w:p>
              </w:tc>
              <w:tc>
                <w:tcPr>
                  <w:tcW w:w="1013" w:type="pct"/>
                  <w:shd w:val="clear" w:color="auto" w:fill="auto"/>
                  <w:noWrap w:val="0"/>
                  <w:vAlign w:val="center"/>
                </w:tcPr>
                <w:p w14:paraId="1B341D18">
                  <w:pPr>
                    <w:keepNext w:val="0"/>
                    <w:keepLines w:val="0"/>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废切削液</w:t>
                  </w:r>
                </w:p>
              </w:tc>
              <w:tc>
                <w:tcPr>
                  <w:tcW w:w="153" w:type="pct"/>
                  <w:vMerge w:val="continue"/>
                  <w:shd w:val="clear" w:color="auto" w:fill="auto"/>
                  <w:noWrap w:val="0"/>
                  <w:vAlign w:val="center"/>
                </w:tcPr>
                <w:p w14:paraId="4A96696A">
                  <w:pPr>
                    <w:keepNext w:val="0"/>
                    <w:keepLines w:val="0"/>
                    <w:widowControl/>
                    <w:suppressLineNumbers w:val="0"/>
                    <w:spacing w:before="0" w:beforeAutospacing="0" w:after="0" w:afterAutospacing="0"/>
                    <w:ind w:left="0" w:right="0"/>
                    <w:jc w:val="center"/>
                    <w:rPr>
                      <w:rFonts w:hint="default" w:hAnsi="宋体" w:eastAsia="宋体" w:cs="Times New Roman"/>
                      <w:color w:val="auto"/>
                      <w:kern w:val="2"/>
                      <w:sz w:val="21"/>
                      <w:szCs w:val="21"/>
                      <w:highlight w:val="none"/>
                      <w:lang w:val="en-US" w:eastAsia="zh-CN" w:bidi="ar-SA"/>
                    </w:rPr>
                  </w:pPr>
                </w:p>
              </w:tc>
              <w:tc>
                <w:tcPr>
                  <w:tcW w:w="923" w:type="pct"/>
                  <w:shd w:val="clear" w:color="auto" w:fill="auto"/>
                  <w:noWrap w:val="0"/>
                  <w:vAlign w:val="center"/>
                </w:tcPr>
                <w:p w14:paraId="6A3BA516">
                  <w:pPr>
                    <w:keepNext w:val="0"/>
                    <w:keepLines w:val="0"/>
                    <w:widowControl/>
                    <w:suppressLineNumbers w:val="0"/>
                    <w:spacing w:before="0" w:beforeAutospacing="0" w:after="0" w:afterAutospacing="0"/>
                    <w:ind w:left="0" w:right="0"/>
                    <w:jc w:val="center"/>
                    <w:rPr>
                      <w:rFonts w:hint="default"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打磨、去冒口</w:t>
                  </w:r>
                </w:p>
              </w:tc>
              <w:tc>
                <w:tcPr>
                  <w:tcW w:w="250" w:type="pct"/>
                  <w:noWrap w:val="0"/>
                  <w:vAlign w:val="center"/>
                </w:tcPr>
                <w:p w14:paraId="467242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液态</w:t>
                  </w:r>
                </w:p>
              </w:tc>
              <w:tc>
                <w:tcPr>
                  <w:tcW w:w="782" w:type="pct"/>
                  <w:shd w:val="clear" w:color="auto" w:fill="auto"/>
                  <w:noWrap w:val="0"/>
                  <w:vAlign w:val="center"/>
                </w:tcPr>
                <w:p w14:paraId="17F7A55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烃水化合物</w:t>
                  </w:r>
                </w:p>
              </w:tc>
              <w:tc>
                <w:tcPr>
                  <w:tcW w:w="404" w:type="pct"/>
                  <w:vMerge w:val="continue"/>
                  <w:shd w:val="clear" w:color="auto" w:fill="auto"/>
                  <w:noWrap w:val="0"/>
                  <w:vAlign w:val="center"/>
                </w:tcPr>
                <w:p w14:paraId="40E64EC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741B1C4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T</w:t>
                  </w:r>
                </w:p>
              </w:tc>
              <w:tc>
                <w:tcPr>
                  <w:tcW w:w="378" w:type="pct"/>
                  <w:shd w:val="clear" w:color="auto" w:fill="auto"/>
                  <w:noWrap w:val="0"/>
                  <w:vAlign w:val="center"/>
                </w:tcPr>
                <w:p w14:paraId="2330B91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HW09</w:t>
                  </w:r>
                </w:p>
              </w:tc>
              <w:tc>
                <w:tcPr>
                  <w:tcW w:w="500" w:type="pct"/>
                  <w:noWrap w:val="0"/>
                  <w:vAlign w:val="center"/>
                </w:tcPr>
                <w:p w14:paraId="0E296E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olor w:val="auto"/>
                      <w:szCs w:val="21"/>
                      <w:highlight w:val="none"/>
                      <w:lang w:bidi="ar"/>
                    </w:rPr>
                    <w:t>900-006-09</w:t>
                  </w:r>
                </w:p>
              </w:tc>
              <w:tc>
                <w:tcPr>
                  <w:tcW w:w="255" w:type="pct"/>
                  <w:noWrap w:val="0"/>
                  <w:vAlign w:val="center"/>
                </w:tcPr>
                <w:p w14:paraId="6E0AEF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3.7</w:t>
                  </w:r>
                </w:p>
              </w:tc>
            </w:tr>
            <w:tr w14:paraId="5ED81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233BAF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18</w:t>
                  </w:r>
                </w:p>
              </w:tc>
              <w:tc>
                <w:tcPr>
                  <w:tcW w:w="1013" w:type="pct"/>
                  <w:shd w:val="clear" w:color="auto" w:fill="auto"/>
                  <w:noWrap w:val="0"/>
                  <w:vAlign w:val="center"/>
                </w:tcPr>
                <w:p w14:paraId="6A33406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磨削泥</w:t>
                  </w:r>
                </w:p>
              </w:tc>
              <w:tc>
                <w:tcPr>
                  <w:tcW w:w="153" w:type="pct"/>
                  <w:vMerge w:val="continue"/>
                  <w:shd w:val="clear" w:color="auto" w:fill="auto"/>
                  <w:noWrap w:val="0"/>
                  <w:vAlign w:val="center"/>
                </w:tcPr>
                <w:p w14:paraId="3B5C537E">
                  <w:pPr>
                    <w:pStyle w:val="71"/>
                    <w:keepNext w:val="0"/>
                    <w:keepLines w:val="0"/>
                    <w:suppressLineNumbers w:val="0"/>
                    <w:spacing w:before="0" w:beforeAutospacing="0" w:after="0" w:afterAutospacing="0"/>
                    <w:ind w:left="0" w:right="0"/>
                    <w:jc w:val="center"/>
                    <w:rPr>
                      <w:rFonts w:hint="eastAsia" w:hAnsi="宋体"/>
                      <w:color w:val="auto"/>
                      <w:szCs w:val="21"/>
                      <w:highlight w:val="none"/>
                    </w:rPr>
                  </w:pPr>
                </w:p>
              </w:tc>
              <w:tc>
                <w:tcPr>
                  <w:tcW w:w="923" w:type="pct"/>
                  <w:shd w:val="clear" w:color="auto" w:fill="auto"/>
                  <w:noWrap w:val="0"/>
                  <w:vAlign w:val="center"/>
                </w:tcPr>
                <w:p w14:paraId="45E9493C">
                  <w:pPr>
                    <w:pStyle w:val="71"/>
                    <w:keepNext w:val="0"/>
                    <w:keepLines w:val="0"/>
                    <w:suppressLineNumbers w:val="0"/>
                    <w:spacing w:before="0" w:beforeAutospacing="0" w:after="0" w:afterAutospacing="0"/>
                    <w:ind w:left="0" w:right="0"/>
                    <w:jc w:val="center"/>
                    <w:rPr>
                      <w:rFonts w:hint="eastAsia" w:ascii="Times New Roman" w:hAnsi="Times New Roman" w:eastAsia="宋体" w:cs="宋体"/>
                      <w:color w:val="auto"/>
                      <w:kern w:val="2"/>
                      <w:sz w:val="21"/>
                      <w:szCs w:val="21"/>
                      <w:highlight w:val="none"/>
                      <w:lang w:val="en-US" w:eastAsia="zh-CN" w:bidi="zh-CN"/>
                    </w:rPr>
                  </w:pPr>
                  <w:r>
                    <w:rPr>
                      <w:rFonts w:hint="eastAsia" w:hAnsi="宋体"/>
                      <w:color w:val="auto"/>
                      <w:szCs w:val="21"/>
                      <w:highlight w:val="none"/>
                    </w:rPr>
                    <w:t>打磨</w:t>
                  </w:r>
                </w:p>
              </w:tc>
              <w:tc>
                <w:tcPr>
                  <w:tcW w:w="250" w:type="pct"/>
                  <w:noWrap w:val="0"/>
                  <w:vAlign w:val="center"/>
                </w:tcPr>
                <w:p w14:paraId="0DE9124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kern w:val="0"/>
                      <w:szCs w:val="21"/>
                      <w:lang w:bidi="ar"/>
                    </w:rPr>
                  </w:pPr>
                  <w:r>
                    <w:rPr>
                      <w:rFonts w:hint="eastAsia" w:ascii="Times New Roman" w:hAnsi="Times New Roman" w:cs="Times New Roman"/>
                      <w:color w:val="auto"/>
                      <w:lang w:val="en-US" w:eastAsia="zh-CN"/>
                    </w:rPr>
                    <w:t>固态</w:t>
                  </w:r>
                </w:p>
              </w:tc>
              <w:tc>
                <w:tcPr>
                  <w:tcW w:w="782" w:type="pct"/>
                  <w:shd w:val="clear" w:color="auto" w:fill="auto"/>
                  <w:noWrap w:val="0"/>
                  <w:vAlign w:val="center"/>
                </w:tcPr>
                <w:p w14:paraId="7706E24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沾有切削液的金属屑</w:t>
                  </w:r>
                </w:p>
              </w:tc>
              <w:tc>
                <w:tcPr>
                  <w:tcW w:w="404" w:type="pct"/>
                  <w:vMerge w:val="continue"/>
                  <w:shd w:val="clear" w:color="auto" w:fill="auto"/>
                  <w:noWrap w:val="0"/>
                  <w:vAlign w:val="center"/>
                </w:tcPr>
                <w:p w14:paraId="045246C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6DFCCB9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378" w:type="pct"/>
                  <w:shd w:val="clear" w:color="auto" w:fill="auto"/>
                  <w:noWrap w:val="0"/>
                  <w:vAlign w:val="center"/>
                </w:tcPr>
                <w:p w14:paraId="7CDB43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HW09</w:t>
                  </w:r>
                </w:p>
              </w:tc>
              <w:tc>
                <w:tcPr>
                  <w:tcW w:w="500" w:type="pct"/>
                  <w:shd w:val="clear" w:color="auto" w:fill="auto"/>
                  <w:noWrap w:val="0"/>
                  <w:vAlign w:val="center"/>
                </w:tcPr>
                <w:p w14:paraId="6BB45E3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szCs w:val="21"/>
                      <w:highlight w:val="none"/>
                      <w:lang w:bidi="ar"/>
                    </w:rPr>
                    <w:t>900-006-09</w:t>
                  </w:r>
                </w:p>
              </w:tc>
              <w:tc>
                <w:tcPr>
                  <w:tcW w:w="255" w:type="pct"/>
                  <w:noWrap w:val="0"/>
                  <w:vAlign w:val="center"/>
                </w:tcPr>
                <w:p w14:paraId="2CA29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3</w:t>
                  </w:r>
                </w:p>
              </w:tc>
            </w:tr>
            <w:tr w14:paraId="48406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6BD3CE2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szCs w:val="21"/>
                      <w:lang w:val="en-US" w:eastAsia="zh-CN" w:bidi="ar"/>
                    </w:rPr>
                    <w:t>19</w:t>
                  </w:r>
                </w:p>
              </w:tc>
              <w:tc>
                <w:tcPr>
                  <w:tcW w:w="1013" w:type="pct"/>
                  <w:shd w:val="clear" w:color="auto" w:fill="auto"/>
                  <w:noWrap w:val="0"/>
                  <w:vAlign w:val="center"/>
                </w:tcPr>
                <w:p w14:paraId="4981DE9B">
                  <w:pPr>
                    <w:pStyle w:val="122"/>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w:t>
                  </w:r>
                  <w:r>
                    <w:rPr>
                      <w:rFonts w:hint="eastAsia" w:hAnsi="宋体" w:eastAsia="宋体" w:cs="Times New Roman"/>
                      <w:color w:val="auto"/>
                      <w:kern w:val="2"/>
                      <w:sz w:val="21"/>
                      <w:szCs w:val="21"/>
                      <w:highlight w:val="none"/>
                      <w:lang w:val="en-US" w:eastAsia="zh-CN" w:bidi="ar-SA"/>
                    </w:rPr>
                    <w:t>乳化油</w:t>
                  </w:r>
                </w:p>
              </w:tc>
              <w:tc>
                <w:tcPr>
                  <w:tcW w:w="153" w:type="pct"/>
                  <w:vMerge w:val="continue"/>
                  <w:shd w:val="clear" w:color="auto" w:fill="auto"/>
                  <w:noWrap w:val="0"/>
                  <w:vAlign w:val="center"/>
                </w:tcPr>
                <w:p w14:paraId="7BC5FEA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bidi="ar-SA"/>
                    </w:rPr>
                  </w:pPr>
                </w:p>
              </w:tc>
              <w:tc>
                <w:tcPr>
                  <w:tcW w:w="923" w:type="pct"/>
                  <w:shd w:val="clear" w:color="auto" w:fill="auto"/>
                  <w:noWrap w:val="0"/>
                  <w:vAlign w:val="center"/>
                </w:tcPr>
                <w:p w14:paraId="2B927B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精加工</w:t>
                  </w:r>
                </w:p>
              </w:tc>
              <w:tc>
                <w:tcPr>
                  <w:tcW w:w="250" w:type="pct"/>
                  <w:noWrap w:val="0"/>
                  <w:vAlign w:val="center"/>
                </w:tcPr>
                <w:p w14:paraId="568BB3A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液态</w:t>
                  </w:r>
                </w:p>
              </w:tc>
              <w:tc>
                <w:tcPr>
                  <w:tcW w:w="782" w:type="pct"/>
                  <w:shd w:val="clear" w:color="auto" w:fill="auto"/>
                  <w:noWrap w:val="0"/>
                  <w:vAlign w:val="center"/>
                </w:tcPr>
                <w:p w14:paraId="08259CF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烃水化合物</w:t>
                  </w:r>
                </w:p>
              </w:tc>
              <w:tc>
                <w:tcPr>
                  <w:tcW w:w="404" w:type="pct"/>
                  <w:vMerge w:val="continue"/>
                  <w:shd w:val="clear" w:color="auto" w:fill="auto"/>
                  <w:noWrap w:val="0"/>
                  <w:vAlign w:val="center"/>
                </w:tcPr>
                <w:p w14:paraId="1EEE9B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237" w:type="pct"/>
                  <w:shd w:val="clear" w:color="auto" w:fill="auto"/>
                  <w:noWrap w:val="0"/>
                  <w:vAlign w:val="center"/>
                </w:tcPr>
                <w:p w14:paraId="796F28B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T</w:t>
                  </w:r>
                </w:p>
              </w:tc>
              <w:tc>
                <w:tcPr>
                  <w:tcW w:w="378" w:type="pct"/>
                  <w:shd w:val="clear" w:color="auto" w:fill="auto"/>
                  <w:noWrap w:val="0"/>
                  <w:vAlign w:val="center"/>
                </w:tcPr>
                <w:p w14:paraId="39FE771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HW09</w:t>
                  </w:r>
                </w:p>
              </w:tc>
              <w:tc>
                <w:tcPr>
                  <w:tcW w:w="500" w:type="pct"/>
                  <w:noWrap w:val="0"/>
                  <w:vAlign w:val="center"/>
                </w:tcPr>
                <w:p w14:paraId="3193F49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lang w:val="en-US" w:eastAsia="zh-CN"/>
                    </w:rPr>
                  </w:pPr>
                  <w:r>
                    <w:rPr>
                      <w:rFonts w:hint="eastAsia"/>
                      <w:color w:val="auto"/>
                      <w:szCs w:val="21"/>
                      <w:highlight w:val="none"/>
                      <w:lang w:bidi="ar"/>
                    </w:rPr>
                    <w:t>900-006-09</w:t>
                  </w:r>
                </w:p>
              </w:tc>
              <w:tc>
                <w:tcPr>
                  <w:tcW w:w="255" w:type="pct"/>
                  <w:noWrap w:val="0"/>
                  <w:vAlign w:val="center"/>
                </w:tcPr>
                <w:p w14:paraId="6A3DAC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0.14</w:t>
                  </w:r>
                </w:p>
              </w:tc>
            </w:tr>
            <w:tr w14:paraId="56AB3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067C7A9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20</w:t>
                  </w:r>
                </w:p>
              </w:tc>
              <w:tc>
                <w:tcPr>
                  <w:tcW w:w="1013" w:type="pct"/>
                  <w:shd w:val="clear" w:color="auto" w:fill="auto"/>
                  <w:noWrap w:val="0"/>
                  <w:vAlign w:val="center"/>
                </w:tcPr>
                <w:p w14:paraId="2B446ED6">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废油桶</w:t>
                  </w:r>
                </w:p>
              </w:tc>
              <w:tc>
                <w:tcPr>
                  <w:tcW w:w="153" w:type="pct"/>
                  <w:vMerge w:val="continue"/>
                  <w:shd w:val="clear" w:color="auto" w:fill="auto"/>
                  <w:noWrap w:val="0"/>
                  <w:vAlign w:val="center"/>
                </w:tcPr>
                <w:p w14:paraId="12EE85C2">
                  <w:pPr>
                    <w:keepNext w:val="0"/>
                    <w:keepLines w:val="0"/>
                    <w:widowControl/>
                    <w:suppressLineNumbers w:val="0"/>
                    <w:spacing w:before="0" w:beforeAutospacing="0" w:after="0" w:afterAutospacing="0"/>
                    <w:ind w:left="0" w:right="0"/>
                    <w:jc w:val="center"/>
                    <w:rPr>
                      <w:rFonts w:hint="eastAsia" w:hAnsi="宋体"/>
                      <w:color w:val="auto"/>
                      <w:szCs w:val="21"/>
                      <w:highlight w:val="none"/>
                      <w:lang w:val="en-US" w:eastAsia="zh-CN"/>
                    </w:rPr>
                  </w:pPr>
                </w:p>
              </w:tc>
              <w:tc>
                <w:tcPr>
                  <w:tcW w:w="923" w:type="pct"/>
                  <w:shd w:val="clear" w:color="auto" w:fill="auto"/>
                  <w:noWrap w:val="0"/>
                  <w:vAlign w:val="center"/>
                </w:tcPr>
                <w:p w14:paraId="681B268D">
                  <w:pPr>
                    <w:keepNext w:val="0"/>
                    <w:keepLines w:val="0"/>
                    <w:widowControl/>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原料拆包</w:t>
                  </w:r>
                </w:p>
              </w:tc>
              <w:tc>
                <w:tcPr>
                  <w:tcW w:w="250" w:type="pct"/>
                  <w:noWrap w:val="0"/>
                  <w:vAlign w:val="center"/>
                </w:tcPr>
                <w:p w14:paraId="6EC3D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lang w:val="en-US" w:eastAsia="zh-CN"/>
                    </w:rPr>
                    <w:t>固态</w:t>
                  </w:r>
                </w:p>
              </w:tc>
              <w:tc>
                <w:tcPr>
                  <w:tcW w:w="782" w:type="pct"/>
                  <w:noWrap w:val="0"/>
                  <w:vAlign w:val="center"/>
                </w:tcPr>
                <w:p w14:paraId="0D9457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沾有润滑油的包装桶</w:t>
                  </w:r>
                </w:p>
              </w:tc>
              <w:tc>
                <w:tcPr>
                  <w:tcW w:w="404" w:type="pct"/>
                  <w:vMerge w:val="continue"/>
                  <w:shd w:val="clear" w:color="auto" w:fill="auto"/>
                  <w:noWrap w:val="0"/>
                  <w:vAlign w:val="top"/>
                </w:tcPr>
                <w:p w14:paraId="1398DFA3">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highlight w:val="none"/>
                      <w:lang w:val="en-US" w:eastAsia="zh-CN" w:bidi="ar"/>
                    </w:rPr>
                  </w:pPr>
                </w:p>
              </w:tc>
              <w:tc>
                <w:tcPr>
                  <w:tcW w:w="237" w:type="pct"/>
                  <w:shd w:val="clear" w:color="auto" w:fill="auto"/>
                  <w:noWrap w:val="0"/>
                  <w:vAlign w:val="center"/>
                </w:tcPr>
                <w:p w14:paraId="0E866BB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378" w:type="pct"/>
                  <w:shd w:val="clear" w:color="auto" w:fill="auto"/>
                  <w:noWrap w:val="0"/>
                  <w:vAlign w:val="center"/>
                </w:tcPr>
                <w:p w14:paraId="5DF0C22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HW08</w:t>
                  </w:r>
                </w:p>
              </w:tc>
              <w:tc>
                <w:tcPr>
                  <w:tcW w:w="500" w:type="pct"/>
                  <w:shd w:val="clear" w:color="auto" w:fill="auto"/>
                  <w:noWrap w:val="0"/>
                  <w:vAlign w:val="center"/>
                </w:tcPr>
                <w:p w14:paraId="43DF1C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w:t>
                  </w:r>
                  <w:r>
                    <w:rPr>
                      <w:rFonts w:hint="eastAsia" w:ascii="Times New Roman" w:hAnsi="Times New Roman" w:cs="Times New Roman"/>
                      <w:color w:val="auto"/>
                      <w:szCs w:val="21"/>
                      <w:lang w:val="en-US" w:eastAsia="zh-CN"/>
                    </w:rPr>
                    <w:t>49</w:t>
                  </w:r>
                  <w:r>
                    <w:rPr>
                      <w:rFonts w:hint="default" w:ascii="Times New Roman" w:hAnsi="Times New Roman" w:cs="Times New Roman"/>
                      <w:color w:val="auto"/>
                      <w:szCs w:val="21"/>
                    </w:rPr>
                    <w:t>-08</w:t>
                  </w:r>
                </w:p>
              </w:tc>
              <w:tc>
                <w:tcPr>
                  <w:tcW w:w="255" w:type="pct"/>
                  <w:noWrap w:val="0"/>
                  <w:vAlign w:val="center"/>
                </w:tcPr>
                <w:p w14:paraId="28500A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eastAsia" w:cs="Times New Roman"/>
                      <w:color w:val="auto"/>
                      <w:lang w:val="en-US" w:eastAsia="zh-CN"/>
                    </w:rPr>
                    <w:t>0.2</w:t>
                  </w:r>
                </w:p>
              </w:tc>
            </w:tr>
            <w:tr w14:paraId="74BEE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2939CBF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szCs w:val="21"/>
                      <w:lang w:val="en-US" w:eastAsia="zh-CN" w:bidi="ar"/>
                    </w:rPr>
                    <w:t>21</w:t>
                  </w:r>
                </w:p>
              </w:tc>
              <w:tc>
                <w:tcPr>
                  <w:tcW w:w="1013" w:type="pct"/>
                  <w:shd w:val="clear" w:color="auto" w:fill="auto"/>
                  <w:noWrap w:val="0"/>
                  <w:vAlign w:val="center"/>
                </w:tcPr>
                <w:p w14:paraId="004E8050">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废包装桶</w:t>
                  </w:r>
                </w:p>
              </w:tc>
              <w:tc>
                <w:tcPr>
                  <w:tcW w:w="153" w:type="pct"/>
                  <w:vMerge w:val="continue"/>
                  <w:shd w:val="clear" w:color="auto" w:fill="auto"/>
                  <w:noWrap w:val="0"/>
                  <w:vAlign w:val="center"/>
                </w:tcPr>
                <w:p w14:paraId="6733F52A">
                  <w:pPr>
                    <w:keepNext w:val="0"/>
                    <w:keepLines w:val="0"/>
                    <w:widowControl/>
                    <w:suppressLineNumbers w:val="0"/>
                    <w:spacing w:before="0" w:beforeAutospacing="0" w:after="0" w:afterAutospacing="0"/>
                    <w:ind w:left="0" w:right="0"/>
                    <w:jc w:val="center"/>
                    <w:rPr>
                      <w:rFonts w:hint="eastAsia" w:hAnsi="宋体"/>
                      <w:color w:val="auto"/>
                      <w:szCs w:val="21"/>
                      <w:highlight w:val="none"/>
                      <w:lang w:val="en-US" w:eastAsia="zh-CN"/>
                    </w:rPr>
                  </w:pPr>
                </w:p>
              </w:tc>
              <w:tc>
                <w:tcPr>
                  <w:tcW w:w="923" w:type="pct"/>
                  <w:shd w:val="clear" w:color="auto" w:fill="auto"/>
                  <w:noWrap w:val="0"/>
                  <w:vAlign w:val="center"/>
                </w:tcPr>
                <w:p w14:paraId="35D8E17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原料拆包</w:t>
                  </w:r>
                </w:p>
              </w:tc>
              <w:tc>
                <w:tcPr>
                  <w:tcW w:w="250" w:type="pct"/>
                  <w:shd w:val="clear" w:color="auto" w:fill="auto"/>
                  <w:noWrap w:val="0"/>
                  <w:vAlign w:val="center"/>
                </w:tcPr>
                <w:p w14:paraId="3B59266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782" w:type="pct"/>
                  <w:shd w:val="clear" w:color="auto" w:fill="auto"/>
                  <w:noWrap w:val="0"/>
                  <w:vAlign w:val="center"/>
                </w:tcPr>
                <w:p w14:paraId="7C3AA28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沾有切削液的包装桶</w:t>
                  </w:r>
                </w:p>
              </w:tc>
              <w:tc>
                <w:tcPr>
                  <w:tcW w:w="404" w:type="pct"/>
                  <w:vMerge w:val="continue"/>
                  <w:shd w:val="clear" w:color="auto" w:fill="auto"/>
                  <w:noWrap w:val="0"/>
                  <w:vAlign w:val="top"/>
                </w:tcPr>
                <w:p w14:paraId="3EA56A1B">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highlight w:val="none"/>
                      <w:lang w:val="en-US" w:eastAsia="zh-CN" w:bidi="ar"/>
                    </w:rPr>
                  </w:pPr>
                </w:p>
              </w:tc>
              <w:tc>
                <w:tcPr>
                  <w:tcW w:w="237" w:type="pct"/>
                  <w:shd w:val="clear" w:color="auto" w:fill="auto"/>
                  <w:noWrap w:val="0"/>
                  <w:vAlign w:val="center"/>
                </w:tcPr>
                <w:p w14:paraId="1D5539E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w:t>
                  </w:r>
                  <w:r>
                    <w:rPr>
                      <w:rFonts w:hint="eastAsia" w:ascii="Times New Roman" w:hAnsi="Times New Roman" w:cs="Times New Roman"/>
                      <w:color w:val="auto"/>
                      <w:szCs w:val="21"/>
                      <w:lang w:val="en-US" w:eastAsia="zh-CN"/>
                    </w:rPr>
                    <w:t>/In</w:t>
                  </w:r>
                </w:p>
              </w:tc>
              <w:tc>
                <w:tcPr>
                  <w:tcW w:w="378" w:type="pct"/>
                  <w:shd w:val="clear" w:color="auto" w:fill="auto"/>
                  <w:noWrap w:val="0"/>
                  <w:vAlign w:val="center"/>
                </w:tcPr>
                <w:p w14:paraId="4A26D58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HW49</w:t>
                  </w:r>
                </w:p>
              </w:tc>
              <w:tc>
                <w:tcPr>
                  <w:tcW w:w="500" w:type="pct"/>
                  <w:shd w:val="clear" w:color="auto" w:fill="auto"/>
                  <w:noWrap w:val="0"/>
                  <w:vAlign w:val="center"/>
                </w:tcPr>
                <w:p w14:paraId="2AF14E2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55" w:type="pct"/>
                  <w:shd w:val="clear" w:color="auto" w:fill="auto"/>
                  <w:noWrap w:val="0"/>
                  <w:vAlign w:val="center"/>
                </w:tcPr>
                <w:p w14:paraId="1E34689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0.2</w:t>
                  </w:r>
                </w:p>
              </w:tc>
            </w:tr>
            <w:tr w14:paraId="06E47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shd w:val="clear" w:color="auto" w:fill="auto"/>
                  <w:noWrap w:val="0"/>
                  <w:vAlign w:val="center"/>
                </w:tcPr>
                <w:p w14:paraId="4207693E">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bidi="ar"/>
                    </w:rPr>
                  </w:pPr>
                  <w:r>
                    <w:rPr>
                      <w:rFonts w:hint="eastAsia" w:cs="Times New Roman"/>
                      <w:color w:val="auto"/>
                      <w:szCs w:val="21"/>
                      <w:lang w:val="en-US" w:eastAsia="zh-CN" w:bidi="ar"/>
                    </w:rPr>
                    <w:t>22</w:t>
                  </w:r>
                </w:p>
              </w:tc>
              <w:tc>
                <w:tcPr>
                  <w:tcW w:w="1013" w:type="pct"/>
                  <w:shd w:val="clear" w:color="auto" w:fill="auto"/>
                  <w:noWrap w:val="0"/>
                  <w:vAlign w:val="center"/>
                </w:tcPr>
                <w:p w14:paraId="5954CD8E">
                  <w:pPr>
                    <w:keepNext w:val="0"/>
                    <w:keepLines w:val="0"/>
                    <w:suppressLineNumbers w:val="0"/>
                    <w:spacing w:before="0" w:beforeAutospacing="0" w:after="0" w:afterAutospacing="0"/>
                    <w:ind w:left="0" w:right="0"/>
                    <w:jc w:val="center"/>
                    <w:rPr>
                      <w:rFonts w:hint="default" w:hAnsi="宋体"/>
                      <w:color w:val="auto"/>
                      <w:szCs w:val="21"/>
                      <w:highlight w:val="none"/>
                      <w:lang w:val="en-US" w:eastAsia="zh-CN"/>
                    </w:rPr>
                  </w:pPr>
                  <w:r>
                    <w:rPr>
                      <w:rFonts w:hint="eastAsia" w:hAnsi="宋体"/>
                      <w:color w:val="auto"/>
                      <w:szCs w:val="21"/>
                      <w:highlight w:val="none"/>
                      <w:lang w:val="en-US" w:eastAsia="zh-CN"/>
                    </w:rPr>
                    <w:t>废润滑油</w:t>
                  </w:r>
                </w:p>
              </w:tc>
              <w:tc>
                <w:tcPr>
                  <w:tcW w:w="153" w:type="pct"/>
                  <w:vMerge w:val="continue"/>
                  <w:shd w:val="clear" w:color="auto" w:fill="auto"/>
                  <w:noWrap w:val="0"/>
                  <w:vAlign w:val="center"/>
                </w:tcPr>
                <w:p w14:paraId="4B74EEC3">
                  <w:pPr>
                    <w:keepNext w:val="0"/>
                    <w:keepLines w:val="0"/>
                    <w:widowControl/>
                    <w:suppressLineNumbers w:val="0"/>
                    <w:spacing w:before="0" w:beforeAutospacing="0" w:after="0" w:afterAutospacing="0"/>
                    <w:ind w:left="0" w:right="0"/>
                    <w:jc w:val="center"/>
                    <w:rPr>
                      <w:rFonts w:hint="eastAsia" w:hAnsi="宋体"/>
                      <w:color w:val="auto"/>
                      <w:szCs w:val="21"/>
                      <w:highlight w:val="none"/>
                      <w:lang w:val="en-US" w:eastAsia="zh-CN"/>
                    </w:rPr>
                  </w:pPr>
                </w:p>
              </w:tc>
              <w:tc>
                <w:tcPr>
                  <w:tcW w:w="923" w:type="pct"/>
                  <w:shd w:val="clear" w:color="auto" w:fill="auto"/>
                  <w:noWrap w:val="0"/>
                  <w:vAlign w:val="center"/>
                </w:tcPr>
                <w:p w14:paraId="6B60226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设备维护保养</w:t>
                  </w:r>
                </w:p>
              </w:tc>
              <w:tc>
                <w:tcPr>
                  <w:tcW w:w="250" w:type="pct"/>
                  <w:shd w:val="clear" w:color="auto" w:fill="auto"/>
                  <w:noWrap w:val="0"/>
                  <w:vAlign w:val="center"/>
                </w:tcPr>
                <w:p w14:paraId="6478811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液态</w:t>
                  </w:r>
                </w:p>
              </w:tc>
              <w:tc>
                <w:tcPr>
                  <w:tcW w:w="782" w:type="pct"/>
                  <w:shd w:val="clear" w:color="auto" w:fill="auto"/>
                  <w:noWrap w:val="0"/>
                  <w:vAlign w:val="center"/>
                </w:tcPr>
                <w:p w14:paraId="5AB2E31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机械油</w:t>
                  </w:r>
                </w:p>
              </w:tc>
              <w:tc>
                <w:tcPr>
                  <w:tcW w:w="404" w:type="pct"/>
                  <w:vMerge w:val="continue"/>
                  <w:shd w:val="clear" w:color="auto" w:fill="auto"/>
                  <w:noWrap w:val="0"/>
                  <w:vAlign w:val="top"/>
                </w:tcPr>
                <w:p w14:paraId="3AF97243">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highlight w:val="none"/>
                      <w:lang w:val="en-US" w:eastAsia="zh-CN" w:bidi="ar"/>
                    </w:rPr>
                  </w:pPr>
                </w:p>
              </w:tc>
              <w:tc>
                <w:tcPr>
                  <w:tcW w:w="237" w:type="pct"/>
                  <w:shd w:val="clear" w:color="auto" w:fill="auto"/>
                  <w:noWrap w:val="0"/>
                  <w:vAlign w:val="center"/>
                </w:tcPr>
                <w:p w14:paraId="72B41F8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378" w:type="pct"/>
                  <w:shd w:val="clear" w:color="auto" w:fill="auto"/>
                  <w:noWrap w:val="0"/>
                  <w:vAlign w:val="center"/>
                </w:tcPr>
                <w:p w14:paraId="0ABC35C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HW08</w:t>
                  </w:r>
                </w:p>
              </w:tc>
              <w:tc>
                <w:tcPr>
                  <w:tcW w:w="500" w:type="pct"/>
                  <w:shd w:val="clear" w:color="auto" w:fill="auto"/>
                  <w:noWrap w:val="0"/>
                  <w:vAlign w:val="center"/>
                </w:tcPr>
                <w:p w14:paraId="63DB0E7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255" w:type="pct"/>
                  <w:shd w:val="clear" w:color="auto" w:fill="auto"/>
                  <w:noWrap w:val="0"/>
                  <w:vAlign w:val="center"/>
                </w:tcPr>
                <w:p w14:paraId="22A2809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3</w:t>
                  </w:r>
                </w:p>
              </w:tc>
            </w:tr>
            <w:tr w14:paraId="659CB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5" w:hRule="exact"/>
                <w:jc w:val="center"/>
              </w:trPr>
              <w:tc>
                <w:tcPr>
                  <w:tcW w:w="100" w:type="pct"/>
                  <w:noWrap w:val="0"/>
                  <w:vAlign w:val="center"/>
                </w:tcPr>
                <w:p w14:paraId="1BC687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23</w:t>
                  </w:r>
                </w:p>
              </w:tc>
              <w:tc>
                <w:tcPr>
                  <w:tcW w:w="1013" w:type="pct"/>
                  <w:noWrap w:val="0"/>
                  <w:vAlign w:val="center"/>
                </w:tcPr>
                <w:p w14:paraId="3B8F4DC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生活垃圾</w:t>
                  </w:r>
                </w:p>
              </w:tc>
              <w:tc>
                <w:tcPr>
                  <w:tcW w:w="153" w:type="pct"/>
                  <w:noWrap w:val="0"/>
                  <w:vAlign w:val="center"/>
                </w:tcPr>
                <w:p w14:paraId="474B135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923" w:type="pct"/>
                  <w:noWrap w:val="0"/>
                  <w:vAlign w:val="center"/>
                </w:tcPr>
                <w:p w14:paraId="056671FA">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rPr>
                    <w:t>员工生活</w:t>
                  </w:r>
                </w:p>
              </w:tc>
              <w:tc>
                <w:tcPr>
                  <w:tcW w:w="250" w:type="pct"/>
                  <w:noWrap w:val="0"/>
                  <w:vAlign w:val="center"/>
                </w:tcPr>
                <w:p w14:paraId="0D9AE6C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bidi="ar"/>
                    </w:rPr>
                  </w:pPr>
                  <w:r>
                    <w:rPr>
                      <w:rFonts w:hint="eastAsia" w:ascii="Times New Roman" w:hAnsi="Times New Roman" w:cs="Times New Roman"/>
                      <w:color w:val="auto"/>
                      <w:szCs w:val="21"/>
                      <w:lang w:val="en-US" w:eastAsia="zh-CN"/>
                    </w:rPr>
                    <w:t>固态</w:t>
                  </w:r>
                </w:p>
              </w:tc>
              <w:tc>
                <w:tcPr>
                  <w:tcW w:w="782" w:type="pct"/>
                  <w:shd w:val="clear" w:color="auto" w:fill="auto"/>
                  <w:noWrap w:val="0"/>
                  <w:vAlign w:val="center"/>
                </w:tcPr>
                <w:p w14:paraId="71C566F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纸、果壳等</w:t>
                  </w:r>
                </w:p>
              </w:tc>
              <w:tc>
                <w:tcPr>
                  <w:tcW w:w="404" w:type="pct"/>
                  <w:shd w:val="clear" w:color="auto" w:fill="auto"/>
                  <w:noWrap w:val="0"/>
                  <w:vAlign w:val="center"/>
                </w:tcPr>
                <w:p w14:paraId="70D77E7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237" w:type="pct"/>
                  <w:shd w:val="clear" w:color="auto" w:fill="auto"/>
                  <w:noWrap w:val="0"/>
                  <w:vAlign w:val="center"/>
                </w:tcPr>
                <w:p w14:paraId="79F6A53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378" w:type="pct"/>
                  <w:shd w:val="clear" w:color="auto" w:fill="auto"/>
                  <w:noWrap w:val="0"/>
                  <w:vAlign w:val="center"/>
                </w:tcPr>
                <w:p w14:paraId="3E6A515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500" w:type="pct"/>
                  <w:shd w:val="clear" w:color="auto" w:fill="auto"/>
                  <w:noWrap w:val="0"/>
                  <w:vAlign w:val="center"/>
                </w:tcPr>
                <w:p w14:paraId="6EA3D3C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255" w:type="pct"/>
                  <w:noWrap w:val="0"/>
                  <w:vAlign w:val="center"/>
                </w:tcPr>
                <w:p w14:paraId="360E0E0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bidi="ar"/>
                    </w:rPr>
                  </w:pPr>
                  <w:r>
                    <w:rPr>
                      <w:rFonts w:hint="eastAsia" w:cs="Times New Roman"/>
                      <w:color w:val="auto"/>
                      <w:szCs w:val="21"/>
                      <w:lang w:val="en-US" w:eastAsia="zh-CN" w:bidi="ar"/>
                    </w:rPr>
                    <w:t>12</w:t>
                  </w:r>
                </w:p>
              </w:tc>
            </w:tr>
          </w:tbl>
          <w:p w14:paraId="453A85BC">
            <w:pPr>
              <w:keepNext w:val="0"/>
              <w:keepLines w:val="0"/>
              <w:suppressLineNumbers w:val="0"/>
              <w:spacing w:before="0" w:beforeAutospacing="0" w:after="0" w:afterAutospacing="0" w:line="240" w:lineRule="auto"/>
              <w:ind w:left="0" w:right="0"/>
              <w:jc w:val="left"/>
              <w:rPr>
                <w:rFonts w:hint="default" w:ascii="Times New Roman" w:hAnsi="Times New Roman" w:cs="Times New Roman"/>
                <w:b/>
                <w:color w:val="auto"/>
                <w:sz w:val="24"/>
                <w:lang w:val="en-US" w:eastAsia="zh-CN"/>
              </w:rPr>
            </w:pPr>
            <w:r>
              <w:rPr>
                <w:rFonts w:hint="eastAsia" w:cs="Times New Roman"/>
                <w:b/>
                <w:color w:val="auto"/>
                <w:sz w:val="24"/>
                <w:lang w:val="en-US" w:eastAsia="zh-CN"/>
              </w:rPr>
              <w:t>备注：原有熔化、精炼废气集气罩改为半密闭式集气罩后，布袋除尘器收尘量（金属烟尘）由51.048变为53.884。</w:t>
            </w:r>
          </w:p>
          <w:p w14:paraId="21C70738">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4"/>
              </w:rPr>
            </w:pPr>
            <w:r>
              <w:rPr>
                <w:rFonts w:hint="eastAsia" w:ascii="Times New Roman" w:hAnsi="Times New Roman" w:cs="Times New Roman"/>
                <w:b/>
                <w:color w:val="auto"/>
                <w:sz w:val="24"/>
                <w:lang w:val="en-US" w:eastAsia="zh-CN"/>
              </w:rPr>
              <w:t xml:space="preserve"> </w:t>
            </w:r>
            <w:r>
              <w:rPr>
                <w:rFonts w:hint="default" w:ascii="Times New Roman" w:hAnsi="Times New Roman" w:cs="Times New Roman"/>
                <w:b/>
                <w:color w:val="auto"/>
                <w:sz w:val="24"/>
              </w:rPr>
              <w:t>表</w:t>
            </w:r>
            <w:r>
              <w:rPr>
                <w:rFonts w:hint="eastAsia" w:ascii="Times New Roman" w:hAnsi="Times New Roman" w:cs="Times New Roman"/>
                <w:b/>
                <w:color w:val="auto"/>
                <w:sz w:val="24"/>
              </w:rPr>
              <w:t>4</w:t>
            </w:r>
            <w:r>
              <w:rPr>
                <w:rFonts w:hint="default" w:ascii="Times New Roman" w:hAnsi="Times New Roman" w:cs="Times New Roman"/>
                <w:b/>
                <w:color w:val="auto"/>
                <w:sz w:val="24"/>
              </w:rPr>
              <w:t>.4-</w:t>
            </w: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rPr>
              <w:t xml:space="preserve"> </w:t>
            </w:r>
            <w:r>
              <w:rPr>
                <w:rFonts w:hint="eastAsia" w:cs="Times New Roman"/>
                <w:b/>
                <w:bCs/>
                <w:color w:val="auto"/>
                <w:sz w:val="24"/>
                <w:lang w:val="en-US" w:eastAsia="zh-CN"/>
              </w:rPr>
              <w:t>全厂</w:t>
            </w:r>
            <w:r>
              <w:rPr>
                <w:rFonts w:hint="default" w:ascii="Times New Roman" w:hAnsi="Times New Roman" w:cs="Times New Roman"/>
                <w:b/>
                <w:bCs/>
                <w:color w:val="auto"/>
                <w:sz w:val="24"/>
              </w:rPr>
              <w:t>危险废物汇总表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33"/>
              <w:gridCol w:w="1380"/>
              <w:gridCol w:w="843"/>
              <w:gridCol w:w="1198"/>
              <w:gridCol w:w="674"/>
              <w:gridCol w:w="1194"/>
              <w:gridCol w:w="581"/>
              <w:gridCol w:w="1177"/>
              <w:gridCol w:w="1145"/>
              <w:gridCol w:w="710"/>
              <w:gridCol w:w="597"/>
              <w:gridCol w:w="2646"/>
            </w:tblGrid>
            <w:tr w14:paraId="4A160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2" w:type="pct"/>
                  <w:noWrap w:val="0"/>
                  <w:vAlign w:val="center"/>
                </w:tcPr>
                <w:p w14:paraId="1BA6B49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548" w:type="pct"/>
                  <w:noWrap w:val="0"/>
                  <w:vAlign w:val="center"/>
                </w:tcPr>
                <w:p w14:paraId="6763CD6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危险废物名称</w:t>
                  </w:r>
                </w:p>
              </w:tc>
              <w:tc>
                <w:tcPr>
                  <w:tcW w:w="335" w:type="pct"/>
                  <w:noWrap w:val="0"/>
                  <w:vAlign w:val="center"/>
                </w:tcPr>
                <w:p w14:paraId="16FA051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w:t>
                  </w:r>
                </w:p>
                <w:p w14:paraId="1C1AE64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物类别</w:t>
                  </w:r>
                </w:p>
              </w:tc>
              <w:tc>
                <w:tcPr>
                  <w:tcW w:w="476" w:type="pct"/>
                  <w:noWrap w:val="0"/>
                  <w:vAlign w:val="center"/>
                </w:tcPr>
                <w:p w14:paraId="6E900FB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w:t>
                  </w:r>
                </w:p>
                <w:p w14:paraId="471638A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物代码</w:t>
                  </w:r>
                </w:p>
              </w:tc>
              <w:tc>
                <w:tcPr>
                  <w:tcW w:w="267" w:type="pct"/>
                  <w:noWrap w:val="0"/>
                  <w:vAlign w:val="center"/>
                </w:tcPr>
                <w:p w14:paraId="2174538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p>
                <w:p w14:paraId="056285F9">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w:t>
                  </w:r>
                  <w:r>
                    <w:rPr>
                      <w:rFonts w:hint="eastAsia" w:ascii="Times New Roman" w:hAnsi="Times New Roman" w:cs="Times New Roman"/>
                      <w:b/>
                      <w:bCs/>
                      <w:color w:val="auto"/>
                      <w:szCs w:val="21"/>
                    </w:rPr>
                    <w:t>t</w:t>
                  </w:r>
                  <w:r>
                    <w:rPr>
                      <w:rFonts w:hint="default" w:ascii="Times New Roman" w:hAnsi="Times New Roman" w:cs="Times New Roman"/>
                      <w:b/>
                      <w:bCs/>
                      <w:color w:val="auto"/>
                      <w:szCs w:val="21"/>
                    </w:rPr>
                    <w:t>/</w:t>
                  </w:r>
                  <w:r>
                    <w:rPr>
                      <w:rFonts w:hint="eastAsia" w:ascii="Times New Roman" w:hAnsi="Times New Roman" w:cs="Times New Roman"/>
                      <w:b/>
                      <w:bCs/>
                      <w:color w:val="auto"/>
                      <w:szCs w:val="21"/>
                    </w:rPr>
                    <w:t>a</w:t>
                  </w:r>
                  <w:r>
                    <w:rPr>
                      <w:rFonts w:hint="default" w:ascii="Times New Roman" w:hAnsi="Times New Roman" w:cs="Times New Roman"/>
                      <w:b/>
                      <w:bCs/>
                      <w:color w:val="auto"/>
                      <w:szCs w:val="21"/>
                    </w:rPr>
                    <w:t>）</w:t>
                  </w:r>
                </w:p>
              </w:tc>
              <w:tc>
                <w:tcPr>
                  <w:tcW w:w="474" w:type="pct"/>
                  <w:noWrap w:val="0"/>
                  <w:vAlign w:val="center"/>
                </w:tcPr>
                <w:p w14:paraId="048D87F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产生工序及装置</w:t>
                  </w:r>
                </w:p>
              </w:tc>
              <w:tc>
                <w:tcPr>
                  <w:tcW w:w="230" w:type="pct"/>
                  <w:noWrap w:val="0"/>
                  <w:vAlign w:val="center"/>
                </w:tcPr>
                <w:p w14:paraId="6A4524B7">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形态</w:t>
                  </w:r>
                </w:p>
              </w:tc>
              <w:tc>
                <w:tcPr>
                  <w:tcW w:w="467" w:type="pct"/>
                  <w:noWrap w:val="0"/>
                  <w:vAlign w:val="center"/>
                </w:tcPr>
                <w:p w14:paraId="2B10D8A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主要</w:t>
                  </w:r>
                </w:p>
                <w:p w14:paraId="19FBC6C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成分</w:t>
                  </w:r>
                </w:p>
              </w:tc>
              <w:tc>
                <w:tcPr>
                  <w:tcW w:w="455" w:type="pct"/>
                  <w:noWrap w:val="0"/>
                  <w:vAlign w:val="center"/>
                </w:tcPr>
                <w:p w14:paraId="37F38F3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有害成分</w:t>
                  </w:r>
                </w:p>
              </w:tc>
              <w:tc>
                <w:tcPr>
                  <w:tcW w:w="282" w:type="pct"/>
                  <w:noWrap w:val="0"/>
                  <w:vAlign w:val="center"/>
                </w:tcPr>
                <w:p w14:paraId="1EFD80F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产废</w:t>
                  </w:r>
                </w:p>
                <w:p w14:paraId="49102EB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周期</w:t>
                  </w:r>
                </w:p>
              </w:tc>
              <w:tc>
                <w:tcPr>
                  <w:tcW w:w="237" w:type="pct"/>
                  <w:noWrap w:val="0"/>
                  <w:vAlign w:val="center"/>
                </w:tcPr>
                <w:p w14:paraId="2BCBF65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w:t>
                  </w:r>
                </w:p>
                <w:p w14:paraId="1FD7DC49">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特性</w:t>
                  </w:r>
                </w:p>
              </w:tc>
              <w:tc>
                <w:tcPr>
                  <w:tcW w:w="1051" w:type="pct"/>
                  <w:noWrap w:val="0"/>
                  <w:vAlign w:val="center"/>
                </w:tcPr>
                <w:p w14:paraId="29C4203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污染防</w:t>
                  </w:r>
                </w:p>
                <w:p w14:paraId="2072AE9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治措施</w:t>
                  </w:r>
                </w:p>
              </w:tc>
            </w:tr>
            <w:tr w14:paraId="2012E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shd w:val="clear" w:color="auto" w:fill="auto"/>
                  <w:noWrap w:val="0"/>
                  <w:vAlign w:val="center"/>
                </w:tcPr>
                <w:p w14:paraId="36FD1D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1</w:t>
                  </w:r>
                </w:p>
              </w:tc>
              <w:tc>
                <w:tcPr>
                  <w:tcW w:w="548" w:type="pct"/>
                  <w:shd w:val="clear" w:color="auto" w:fill="auto"/>
                  <w:noWrap w:val="0"/>
                  <w:vAlign w:val="center"/>
                </w:tcPr>
                <w:p w14:paraId="5F2D92C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布袋除尘器收尘（电渣重熔）</w:t>
                  </w:r>
                </w:p>
              </w:tc>
              <w:tc>
                <w:tcPr>
                  <w:tcW w:w="335" w:type="pct"/>
                  <w:shd w:val="clear" w:color="auto" w:fill="auto"/>
                  <w:noWrap w:val="0"/>
                  <w:vAlign w:val="center"/>
                </w:tcPr>
                <w:p w14:paraId="73596EE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HW21</w:t>
                  </w:r>
                </w:p>
              </w:tc>
              <w:tc>
                <w:tcPr>
                  <w:tcW w:w="476" w:type="pct"/>
                  <w:shd w:val="clear" w:color="auto" w:fill="auto"/>
                  <w:noWrap w:val="0"/>
                  <w:vAlign w:val="center"/>
                </w:tcPr>
                <w:p w14:paraId="34F84B3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314-002-21</w:t>
                  </w:r>
                </w:p>
              </w:tc>
              <w:tc>
                <w:tcPr>
                  <w:tcW w:w="267" w:type="pct"/>
                  <w:shd w:val="clear" w:color="auto" w:fill="auto"/>
                  <w:noWrap w:val="0"/>
                  <w:vAlign w:val="center"/>
                </w:tcPr>
                <w:p w14:paraId="296E02D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6.797</w:t>
                  </w:r>
                </w:p>
              </w:tc>
              <w:tc>
                <w:tcPr>
                  <w:tcW w:w="474" w:type="pct"/>
                  <w:shd w:val="clear" w:color="auto" w:fill="auto"/>
                  <w:noWrap w:val="0"/>
                  <w:vAlign w:val="center"/>
                </w:tcPr>
                <w:p w14:paraId="7FBC179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230" w:type="pct"/>
                  <w:shd w:val="clear" w:color="auto" w:fill="auto"/>
                  <w:noWrap w:val="0"/>
                  <w:vAlign w:val="center"/>
                </w:tcPr>
                <w:p w14:paraId="6AE422C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cs="Times New Roman"/>
                      <w:color w:val="auto"/>
                      <w:lang w:val="en-US" w:eastAsia="zh-CN"/>
                    </w:rPr>
                    <w:t>固态</w:t>
                  </w:r>
                </w:p>
              </w:tc>
              <w:tc>
                <w:tcPr>
                  <w:tcW w:w="467" w:type="pct"/>
                  <w:shd w:val="clear" w:color="auto" w:fill="auto"/>
                  <w:noWrap w:val="0"/>
                  <w:vAlign w:val="center"/>
                </w:tcPr>
                <w:p w14:paraId="1FAE287E">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含铬粉尘</w:t>
                  </w:r>
                </w:p>
              </w:tc>
              <w:tc>
                <w:tcPr>
                  <w:tcW w:w="455" w:type="pct"/>
                  <w:shd w:val="clear" w:color="auto" w:fill="auto"/>
                  <w:noWrap w:val="0"/>
                  <w:vAlign w:val="center"/>
                </w:tcPr>
                <w:p w14:paraId="2102E4ED">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铬及其化合物</w:t>
                  </w:r>
                </w:p>
              </w:tc>
              <w:tc>
                <w:tcPr>
                  <w:tcW w:w="282" w:type="pct"/>
                  <w:shd w:val="clear" w:color="auto" w:fill="auto"/>
                  <w:noWrap w:val="0"/>
                  <w:vAlign w:val="center"/>
                </w:tcPr>
                <w:p w14:paraId="0AE04D41">
                  <w:pPr>
                    <w:keepNext w:val="0"/>
                    <w:keepLines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1个月</w:t>
                  </w:r>
                </w:p>
              </w:tc>
              <w:tc>
                <w:tcPr>
                  <w:tcW w:w="237" w:type="pct"/>
                  <w:shd w:val="clear" w:color="auto" w:fill="auto"/>
                  <w:noWrap w:val="0"/>
                  <w:vAlign w:val="center"/>
                </w:tcPr>
                <w:p w14:paraId="0D1D84A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w:t>
                  </w:r>
                </w:p>
              </w:tc>
              <w:tc>
                <w:tcPr>
                  <w:tcW w:w="1051" w:type="pct"/>
                  <w:shd w:val="clear" w:color="auto" w:fill="auto"/>
                  <w:noWrap w:val="0"/>
                  <w:vAlign w:val="center"/>
                </w:tcPr>
                <w:p w14:paraId="548A717D">
                  <w:pPr>
                    <w:pStyle w:val="9"/>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桶装密封后暂存在危废库房，定期委托有资质单位处理</w:t>
                  </w:r>
                </w:p>
              </w:tc>
            </w:tr>
            <w:tr w14:paraId="5A755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2" w:type="pct"/>
                  <w:shd w:val="clear" w:color="auto" w:fill="auto"/>
                  <w:noWrap w:val="0"/>
                  <w:vAlign w:val="center"/>
                </w:tcPr>
                <w:p w14:paraId="780076E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p>
              </w:tc>
              <w:tc>
                <w:tcPr>
                  <w:tcW w:w="548" w:type="pct"/>
                  <w:shd w:val="clear" w:color="auto" w:fill="auto"/>
                  <w:noWrap w:val="0"/>
                  <w:vAlign w:val="center"/>
                </w:tcPr>
                <w:p w14:paraId="5B612E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废布袋（电渣重熔）</w:t>
                  </w:r>
                </w:p>
              </w:tc>
              <w:tc>
                <w:tcPr>
                  <w:tcW w:w="335" w:type="pct"/>
                  <w:shd w:val="clear" w:color="auto" w:fill="auto"/>
                  <w:noWrap w:val="0"/>
                  <w:vAlign w:val="center"/>
                </w:tcPr>
                <w:p w14:paraId="69FD9E2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HW49</w:t>
                  </w:r>
                </w:p>
              </w:tc>
              <w:tc>
                <w:tcPr>
                  <w:tcW w:w="476" w:type="pct"/>
                  <w:shd w:val="clear" w:color="auto" w:fill="auto"/>
                  <w:noWrap w:val="0"/>
                  <w:vAlign w:val="center"/>
                </w:tcPr>
                <w:p w14:paraId="58BD08A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67" w:type="pct"/>
                  <w:shd w:val="clear" w:color="auto" w:fill="auto"/>
                  <w:noWrap w:val="0"/>
                  <w:vAlign w:val="center"/>
                </w:tcPr>
                <w:p w14:paraId="1FB3E03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474" w:type="pct"/>
                  <w:shd w:val="clear" w:color="auto" w:fill="auto"/>
                  <w:noWrap w:val="0"/>
                  <w:vAlign w:val="center"/>
                </w:tcPr>
                <w:p w14:paraId="48FA1B0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230" w:type="pct"/>
                  <w:shd w:val="clear" w:color="auto" w:fill="auto"/>
                  <w:noWrap w:val="0"/>
                  <w:vAlign w:val="center"/>
                </w:tcPr>
                <w:p w14:paraId="060E5AC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Cs w:val="21"/>
                      <w:lang w:val="en-US" w:eastAsia="zh-CN" w:bidi="ar"/>
                    </w:rPr>
                  </w:pPr>
                  <w:r>
                    <w:rPr>
                      <w:rFonts w:hint="eastAsia" w:ascii="Times New Roman" w:hAnsi="Times New Roman" w:cs="Times New Roman"/>
                      <w:color w:val="auto"/>
                      <w:lang w:val="en-US" w:eastAsia="zh-CN"/>
                    </w:rPr>
                    <w:t>固态</w:t>
                  </w:r>
                </w:p>
              </w:tc>
              <w:tc>
                <w:tcPr>
                  <w:tcW w:w="467" w:type="pct"/>
                  <w:shd w:val="clear" w:color="auto" w:fill="auto"/>
                  <w:noWrap w:val="0"/>
                  <w:vAlign w:val="center"/>
                </w:tcPr>
                <w:p w14:paraId="4356C0A4">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沾有含铬粉尘的布袋</w:t>
                  </w:r>
                </w:p>
              </w:tc>
              <w:tc>
                <w:tcPr>
                  <w:tcW w:w="455" w:type="pct"/>
                  <w:shd w:val="clear" w:color="auto" w:fill="auto"/>
                  <w:noWrap w:val="0"/>
                  <w:vAlign w:val="center"/>
                </w:tcPr>
                <w:p w14:paraId="33CA0F77">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铬及其化合物</w:t>
                  </w:r>
                </w:p>
              </w:tc>
              <w:tc>
                <w:tcPr>
                  <w:tcW w:w="282" w:type="pct"/>
                  <w:shd w:val="clear" w:color="auto" w:fill="auto"/>
                  <w:noWrap w:val="0"/>
                  <w:vAlign w:val="center"/>
                </w:tcPr>
                <w:p w14:paraId="38E2152B">
                  <w:pPr>
                    <w:keepNext w:val="0"/>
                    <w:keepLines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cs="Times New Roman"/>
                      <w:color w:val="auto"/>
                      <w:szCs w:val="21"/>
                    </w:rPr>
                  </w:pPr>
                  <w:r>
                    <w:rPr>
                      <w:rFonts w:hint="eastAsia" w:ascii="Times New Roman" w:hAnsi="Times New Roman" w:cs="Times New Roman"/>
                      <w:color w:val="auto"/>
                      <w:szCs w:val="21"/>
                    </w:rPr>
                    <w:t>6个月</w:t>
                  </w:r>
                </w:p>
              </w:tc>
              <w:tc>
                <w:tcPr>
                  <w:tcW w:w="237" w:type="pct"/>
                  <w:shd w:val="clear" w:color="auto" w:fill="auto"/>
                  <w:noWrap w:val="0"/>
                  <w:vAlign w:val="center"/>
                </w:tcPr>
                <w:p w14:paraId="524DD5F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color w:val="auto"/>
                      <w:szCs w:val="21"/>
                      <w:lang w:val="en-US" w:eastAsia="zh-CN"/>
                    </w:rPr>
                  </w:pPr>
                  <w:r>
                    <w:rPr>
                      <w:rFonts w:hint="default" w:ascii="Times New Roman" w:hAnsi="Times New Roman" w:cs="Times New Roman"/>
                      <w:color w:val="auto"/>
                      <w:szCs w:val="21"/>
                    </w:rPr>
                    <w:t>T</w:t>
                  </w:r>
                  <w:r>
                    <w:rPr>
                      <w:rFonts w:hint="eastAsia" w:ascii="Times New Roman" w:hAnsi="Times New Roman" w:cs="Times New Roman"/>
                      <w:color w:val="auto"/>
                      <w:szCs w:val="21"/>
                      <w:lang w:val="en-US" w:eastAsia="zh-CN"/>
                    </w:rPr>
                    <w:t>/In</w:t>
                  </w:r>
                </w:p>
              </w:tc>
              <w:tc>
                <w:tcPr>
                  <w:tcW w:w="1051" w:type="pct"/>
                  <w:shd w:val="clear" w:color="auto" w:fill="auto"/>
                  <w:noWrap w:val="0"/>
                  <w:vAlign w:val="center"/>
                </w:tcPr>
                <w:p w14:paraId="78868CFE">
                  <w:pPr>
                    <w:pStyle w:val="9"/>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袋装</w:t>
                  </w:r>
                  <w:r>
                    <w:rPr>
                      <w:rFonts w:hint="default" w:ascii="Times New Roman" w:hAnsi="Times New Roman" w:cs="Times New Roman"/>
                      <w:bCs/>
                      <w:color w:val="auto"/>
                      <w:sz w:val="21"/>
                      <w:szCs w:val="21"/>
                      <w:lang w:val="en-US" w:eastAsia="zh-CN"/>
                    </w:rPr>
                    <w:t>密封后暂存在危废库房，定期委托有资质单位处理</w:t>
                  </w:r>
                </w:p>
              </w:tc>
            </w:tr>
            <w:tr w14:paraId="4A1FD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172" w:type="pct"/>
                  <w:shd w:val="clear" w:color="auto" w:fill="auto"/>
                  <w:noWrap w:val="0"/>
                  <w:vAlign w:val="center"/>
                </w:tcPr>
                <w:p w14:paraId="6976A5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w:t>
                  </w:r>
                </w:p>
              </w:tc>
              <w:tc>
                <w:tcPr>
                  <w:tcW w:w="548" w:type="pct"/>
                  <w:shd w:val="clear" w:color="auto" w:fill="auto"/>
                  <w:noWrap w:val="0"/>
                  <w:vAlign w:val="center"/>
                </w:tcPr>
                <w:p w14:paraId="1912A381">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废切削液</w:t>
                  </w:r>
                </w:p>
              </w:tc>
              <w:tc>
                <w:tcPr>
                  <w:tcW w:w="335" w:type="pct"/>
                  <w:shd w:val="clear" w:color="auto" w:fill="auto"/>
                  <w:noWrap w:val="0"/>
                  <w:vAlign w:val="center"/>
                </w:tcPr>
                <w:p w14:paraId="02B4E0B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HW09</w:t>
                  </w:r>
                </w:p>
              </w:tc>
              <w:tc>
                <w:tcPr>
                  <w:tcW w:w="476" w:type="pct"/>
                  <w:shd w:val="clear" w:color="auto" w:fill="auto"/>
                  <w:noWrap w:val="0"/>
                  <w:vAlign w:val="center"/>
                </w:tcPr>
                <w:p w14:paraId="6A0055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szCs w:val="21"/>
                      <w:highlight w:val="none"/>
                      <w:lang w:bidi="ar"/>
                    </w:rPr>
                    <w:t>900-006-09</w:t>
                  </w:r>
                </w:p>
              </w:tc>
              <w:tc>
                <w:tcPr>
                  <w:tcW w:w="267" w:type="pct"/>
                  <w:shd w:val="clear" w:color="auto" w:fill="auto"/>
                  <w:noWrap w:val="0"/>
                  <w:vAlign w:val="center"/>
                </w:tcPr>
                <w:p w14:paraId="61E508B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3.7</w:t>
                  </w:r>
                </w:p>
              </w:tc>
              <w:tc>
                <w:tcPr>
                  <w:tcW w:w="474" w:type="pct"/>
                  <w:shd w:val="clear" w:color="auto" w:fill="auto"/>
                  <w:noWrap w:val="0"/>
                  <w:vAlign w:val="center"/>
                </w:tcPr>
                <w:p w14:paraId="137F17A5">
                  <w:pPr>
                    <w:keepNext w:val="0"/>
                    <w:keepLines w:val="0"/>
                    <w:widowControl/>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打磨、去冒口</w:t>
                  </w:r>
                </w:p>
              </w:tc>
              <w:tc>
                <w:tcPr>
                  <w:tcW w:w="230" w:type="pct"/>
                  <w:shd w:val="clear" w:color="auto" w:fill="auto"/>
                  <w:noWrap w:val="0"/>
                  <w:vAlign w:val="center"/>
                </w:tcPr>
                <w:p w14:paraId="3B8BDDD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Cs w:val="21"/>
                      <w:lang w:val="en-US" w:eastAsia="zh-CN" w:bidi="ar"/>
                    </w:rPr>
                    <w:t>液态</w:t>
                  </w:r>
                </w:p>
              </w:tc>
              <w:tc>
                <w:tcPr>
                  <w:tcW w:w="467" w:type="pct"/>
                  <w:shd w:val="clear" w:color="auto" w:fill="auto"/>
                  <w:noWrap w:val="0"/>
                  <w:vAlign w:val="center"/>
                </w:tcPr>
                <w:p w14:paraId="4E0CFD5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烃水化合物</w:t>
                  </w:r>
                </w:p>
              </w:tc>
              <w:tc>
                <w:tcPr>
                  <w:tcW w:w="455" w:type="pct"/>
                  <w:shd w:val="clear" w:color="auto" w:fill="auto"/>
                  <w:noWrap w:val="0"/>
                  <w:vAlign w:val="center"/>
                </w:tcPr>
                <w:p w14:paraId="6B29C41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烃水化合物</w:t>
                  </w:r>
                </w:p>
              </w:tc>
              <w:tc>
                <w:tcPr>
                  <w:tcW w:w="282" w:type="pct"/>
                  <w:shd w:val="clear" w:color="auto" w:fill="auto"/>
                  <w:noWrap w:val="0"/>
                  <w:vAlign w:val="center"/>
                </w:tcPr>
                <w:p w14:paraId="76707BF3">
                  <w:pPr>
                    <w:keepNext w:val="0"/>
                    <w:keepLines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6个月</w:t>
                  </w:r>
                </w:p>
              </w:tc>
              <w:tc>
                <w:tcPr>
                  <w:tcW w:w="237" w:type="pct"/>
                  <w:shd w:val="clear" w:color="auto" w:fill="auto"/>
                  <w:noWrap w:val="0"/>
                  <w:vAlign w:val="center"/>
                </w:tcPr>
                <w:p w14:paraId="5EEE045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T</w:t>
                  </w:r>
                </w:p>
              </w:tc>
              <w:tc>
                <w:tcPr>
                  <w:tcW w:w="1051" w:type="pct"/>
                  <w:vMerge w:val="restart"/>
                  <w:shd w:val="clear" w:color="auto" w:fill="auto"/>
                  <w:noWrap w:val="0"/>
                  <w:vAlign w:val="center"/>
                </w:tcPr>
                <w:p w14:paraId="4F7A06C9">
                  <w:pPr>
                    <w:pStyle w:val="9"/>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Cs/>
                      <w:color w:val="auto"/>
                      <w:sz w:val="21"/>
                      <w:szCs w:val="21"/>
                      <w:lang w:val="en-US" w:eastAsia="zh-CN"/>
                    </w:rPr>
                    <w:t>桶装密封后暂存在危废库房，定期委托有资质单位处理</w:t>
                  </w:r>
                </w:p>
              </w:tc>
            </w:tr>
            <w:tr w14:paraId="663B0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shd w:val="clear" w:color="auto" w:fill="auto"/>
                  <w:noWrap w:val="0"/>
                  <w:vAlign w:val="center"/>
                </w:tcPr>
                <w:p w14:paraId="3AEC4BE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w:t>
                  </w:r>
                </w:p>
              </w:tc>
              <w:tc>
                <w:tcPr>
                  <w:tcW w:w="548" w:type="pct"/>
                  <w:shd w:val="clear" w:color="auto" w:fill="auto"/>
                  <w:noWrap w:val="0"/>
                  <w:vAlign w:val="center"/>
                </w:tcPr>
                <w:p w14:paraId="12C270F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磨削泥</w:t>
                  </w:r>
                </w:p>
              </w:tc>
              <w:tc>
                <w:tcPr>
                  <w:tcW w:w="335" w:type="pct"/>
                  <w:shd w:val="clear" w:color="auto" w:fill="auto"/>
                  <w:noWrap w:val="0"/>
                  <w:vAlign w:val="center"/>
                </w:tcPr>
                <w:p w14:paraId="45E8444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HW09</w:t>
                  </w:r>
                </w:p>
              </w:tc>
              <w:tc>
                <w:tcPr>
                  <w:tcW w:w="476" w:type="pct"/>
                  <w:shd w:val="clear" w:color="auto" w:fill="auto"/>
                  <w:noWrap w:val="0"/>
                  <w:vAlign w:val="center"/>
                </w:tcPr>
                <w:p w14:paraId="5AB4E19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olor w:val="auto"/>
                      <w:szCs w:val="21"/>
                      <w:highlight w:val="none"/>
                      <w:lang w:bidi="ar"/>
                    </w:rPr>
                    <w:t>900-006-09</w:t>
                  </w:r>
                </w:p>
              </w:tc>
              <w:tc>
                <w:tcPr>
                  <w:tcW w:w="267" w:type="pct"/>
                  <w:shd w:val="clear" w:color="auto" w:fill="auto"/>
                  <w:noWrap w:val="0"/>
                  <w:vAlign w:val="center"/>
                </w:tcPr>
                <w:p w14:paraId="44FD9AA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3</w:t>
                  </w:r>
                </w:p>
              </w:tc>
              <w:tc>
                <w:tcPr>
                  <w:tcW w:w="474" w:type="pct"/>
                  <w:shd w:val="clear" w:color="auto" w:fill="auto"/>
                  <w:noWrap w:val="0"/>
                  <w:vAlign w:val="center"/>
                </w:tcPr>
                <w:p w14:paraId="575F696D">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highlight w:val="none"/>
                      <w:lang w:val="en-US" w:eastAsia="zh-CN" w:bidi="zh-CN"/>
                    </w:rPr>
                  </w:pPr>
                  <w:r>
                    <w:rPr>
                      <w:rFonts w:hint="eastAsia" w:hAnsi="宋体"/>
                      <w:color w:val="auto"/>
                      <w:szCs w:val="21"/>
                      <w:highlight w:val="none"/>
                    </w:rPr>
                    <w:t>打磨</w:t>
                  </w:r>
                </w:p>
              </w:tc>
              <w:tc>
                <w:tcPr>
                  <w:tcW w:w="230" w:type="pct"/>
                  <w:shd w:val="clear" w:color="auto" w:fill="auto"/>
                  <w:noWrap w:val="0"/>
                  <w:vAlign w:val="center"/>
                </w:tcPr>
                <w:p w14:paraId="3314851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lang w:val="en-US" w:eastAsia="zh-CN"/>
                    </w:rPr>
                    <w:t>固态</w:t>
                  </w:r>
                </w:p>
              </w:tc>
              <w:tc>
                <w:tcPr>
                  <w:tcW w:w="467" w:type="pct"/>
                  <w:shd w:val="clear" w:color="auto" w:fill="auto"/>
                  <w:noWrap w:val="0"/>
                  <w:vAlign w:val="center"/>
                </w:tcPr>
                <w:p w14:paraId="65EC499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沾有切削液的金属屑</w:t>
                  </w:r>
                </w:p>
              </w:tc>
              <w:tc>
                <w:tcPr>
                  <w:tcW w:w="455" w:type="pct"/>
                  <w:shd w:val="clear" w:color="auto" w:fill="auto"/>
                  <w:noWrap w:val="0"/>
                  <w:vAlign w:val="center"/>
                </w:tcPr>
                <w:p w14:paraId="6E170001">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切削液</w:t>
                  </w:r>
                </w:p>
              </w:tc>
              <w:tc>
                <w:tcPr>
                  <w:tcW w:w="282" w:type="pct"/>
                  <w:shd w:val="clear" w:color="auto" w:fill="auto"/>
                  <w:noWrap w:val="0"/>
                  <w:vAlign w:val="center"/>
                </w:tcPr>
                <w:p w14:paraId="501BA424">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1个月</w:t>
                  </w:r>
                </w:p>
              </w:tc>
              <w:tc>
                <w:tcPr>
                  <w:tcW w:w="237" w:type="pct"/>
                  <w:shd w:val="clear" w:color="auto" w:fill="auto"/>
                  <w:noWrap w:val="0"/>
                  <w:vAlign w:val="center"/>
                </w:tcPr>
                <w:p w14:paraId="6149F06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1051" w:type="pct"/>
                  <w:vMerge w:val="continue"/>
                  <w:shd w:val="clear" w:color="auto" w:fill="auto"/>
                  <w:noWrap w:val="0"/>
                  <w:vAlign w:val="center"/>
                </w:tcPr>
                <w:p w14:paraId="2EB93B15">
                  <w:pPr>
                    <w:pStyle w:val="9"/>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lang w:val="en-US" w:eastAsia="zh-CN"/>
                    </w:rPr>
                  </w:pPr>
                </w:p>
              </w:tc>
            </w:tr>
            <w:tr w14:paraId="2D5FD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exact"/>
                <w:jc w:val="center"/>
              </w:trPr>
              <w:tc>
                <w:tcPr>
                  <w:tcW w:w="172" w:type="pct"/>
                  <w:shd w:val="clear" w:color="auto" w:fill="auto"/>
                  <w:noWrap w:val="0"/>
                  <w:vAlign w:val="center"/>
                </w:tcPr>
                <w:p w14:paraId="0FB9EED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w:t>
                  </w:r>
                </w:p>
              </w:tc>
              <w:tc>
                <w:tcPr>
                  <w:tcW w:w="548" w:type="pct"/>
                  <w:shd w:val="clear" w:color="auto" w:fill="auto"/>
                  <w:noWrap w:val="0"/>
                  <w:vAlign w:val="center"/>
                </w:tcPr>
                <w:p w14:paraId="357F31BB">
                  <w:pPr>
                    <w:pStyle w:val="122"/>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w:t>
                  </w:r>
                  <w:r>
                    <w:rPr>
                      <w:rFonts w:hint="eastAsia" w:hAnsi="宋体" w:eastAsia="宋体" w:cs="Times New Roman"/>
                      <w:color w:val="auto"/>
                      <w:kern w:val="2"/>
                      <w:sz w:val="21"/>
                      <w:szCs w:val="21"/>
                      <w:highlight w:val="none"/>
                      <w:lang w:val="en-US" w:eastAsia="zh-CN" w:bidi="ar-SA"/>
                    </w:rPr>
                    <w:t>乳化油</w:t>
                  </w:r>
                </w:p>
              </w:tc>
              <w:tc>
                <w:tcPr>
                  <w:tcW w:w="335" w:type="pct"/>
                  <w:shd w:val="clear" w:color="auto" w:fill="auto"/>
                  <w:noWrap w:val="0"/>
                  <w:vAlign w:val="center"/>
                </w:tcPr>
                <w:p w14:paraId="3DE2C2E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HW08</w:t>
                  </w:r>
                </w:p>
              </w:tc>
              <w:tc>
                <w:tcPr>
                  <w:tcW w:w="476" w:type="pct"/>
                  <w:shd w:val="clear" w:color="auto" w:fill="auto"/>
                  <w:noWrap w:val="0"/>
                  <w:vAlign w:val="center"/>
                </w:tcPr>
                <w:p w14:paraId="2214577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w:t>
                  </w:r>
                  <w:r>
                    <w:rPr>
                      <w:rFonts w:hint="eastAsia" w:ascii="Times New Roman" w:hAnsi="Times New Roman" w:cs="Times New Roman"/>
                      <w:color w:val="auto"/>
                      <w:szCs w:val="21"/>
                      <w:lang w:val="en-US" w:eastAsia="zh-CN"/>
                    </w:rPr>
                    <w:t>49</w:t>
                  </w:r>
                  <w:r>
                    <w:rPr>
                      <w:rFonts w:hint="default" w:ascii="Times New Roman" w:hAnsi="Times New Roman" w:cs="Times New Roman"/>
                      <w:color w:val="auto"/>
                      <w:szCs w:val="21"/>
                    </w:rPr>
                    <w:t>-08</w:t>
                  </w:r>
                </w:p>
              </w:tc>
              <w:tc>
                <w:tcPr>
                  <w:tcW w:w="267" w:type="pct"/>
                  <w:shd w:val="clear" w:color="auto" w:fill="auto"/>
                  <w:noWrap w:val="0"/>
                  <w:vAlign w:val="center"/>
                </w:tcPr>
                <w:p w14:paraId="513B770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0.14</w:t>
                  </w:r>
                </w:p>
              </w:tc>
              <w:tc>
                <w:tcPr>
                  <w:tcW w:w="474" w:type="pct"/>
                  <w:shd w:val="clear" w:color="auto" w:fill="auto"/>
                  <w:noWrap w:val="0"/>
                  <w:vAlign w:val="center"/>
                </w:tcPr>
                <w:p w14:paraId="00DF1E34">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精加工</w:t>
                  </w:r>
                </w:p>
              </w:tc>
              <w:tc>
                <w:tcPr>
                  <w:tcW w:w="230" w:type="pct"/>
                  <w:shd w:val="clear" w:color="auto" w:fill="auto"/>
                  <w:noWrap w:val="0"/>
                  <w:vAlign w:val="center"/>
                </w:tcPr>
                <w:p w14:paraId="42A6D12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Cs w:val="21"/>
                      <w:lang w:val="en-US" w:eastAsia="zh-CN" w:bidi="ar"/>
                    </w:rPr>
                    <w:t>液态</w:t>
                  </w:r>
                </w:p>
              </w:tc>
              <w:tc>
                <w:tcPr>
                  <w:tcW w:w="467" w:type="pct"/>
                  <w:shd w:val="clear" w:color="auto" w:fill="auto"/>
                  <w:noWrap w:val="0"/>
                  <w:vAlign w:val="center"/>
                </w:tcPr>
                <w:p w14:paraId="315693F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烃水化合物</w:t>
                  </w:r>
                </w:p>
              </w:tc>
              <w:tc>
                <w:tcPr>
                  <w:tcW w:w="455" w:type="pct"/>
                  <w:shd w:val="clear" w:color="auto" w:fill="auto"/>
                  <w:noWrap w:val="0"/>
                  <w:vAlign w:val="center"/>
                </w:tcPr>
                <w:p w14:paraId="7D6D2AB3">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r>
                    <w:rPr>
                      <w:rFonts w:hint="eastAsia" w:cs="Times New Roman"/>
                      <w:color w:val="auto"/>
                      <w:szCs w:val="21"/>
                      <w:lang w:val="en-US" w:eastAsia="zh-CN"/>
                    </w:rPr>
                    <w:t>烃水化合物</w:t>
                  </w:r>
                </w:p>
              </w:tc>
              <w:tc>
                <w:tcPr>
                  <w:tcW w:w="282" w:type="pct"/>
                  <w:shd w:val="clear" w:color="auto" w:fill="auto"/>
                  <w:noWrap w:val="0"/>
                  <w:vAlign w:val="center"/>
                </w:tcPr>
                <w:p w14:paraId="07D0E55F">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6个月</w:t>
                  </w:r>
                </w:p>
              </w:tc>
              <w:tc>
                <w:tcPr>
                  <w:tcW w:w="237" w:type="pct"/>
                  <w:shd w:val="clear" w:color="auto" w:fill="auto"/>
                  <w:noWrap w:val="0"/>
                  <w:vAlign w:val="center"/>
                </w:tcPr>
                <w:p w14:paraId="5467BDC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T</w:t>
                  </w:r>
                </w:p>
              </w:tc>
              <w:tc>
                <w:tcPr>
                  <w:tcW w:w="1051" w:type="pct"/>
                  <w:vMerge w:val="continue"/>
                  <w:shd w:val="clear" w:color="auto" w:fill="auto"/>
                  <w:noWrap w:val="0"/>
                  <w:vAlign w:val="center"/>
                </w:tcPr>
                <w:p w14:paraId="0B9C02CD">
                  <w:pPr>
                    <w:pStyle w:val="9"/>
                    <w:keepNext w:val="0"/>
                    <w:keepLines w:val="0"/>
                    <w:suppressLineNumbers w:val="0"/>
                    <w:spacing w:before="0" w:beforeAutospacing="0" w:after="0" w:afterAutospacing="0"/>
                    <w:ind w:left="0" w:leftChars="0" w:right="0" w:rightChars="0"/>
                    <w:jc w:val="center"/>
                    <w:rPr>
                      <w:rFonts w:hint="default" w:ascii="Times New Roman" w:hAnsi="Times New Roman" w:cs="Times New Roman"/>
                      <w:bCs/>
                      <w:color w:val="auto"/>
                      <w:sz w:val="21"/>
                      <w:szCs w:val="21"/>
                      <w:lang w:val="en-US" w:eastAsia="zh-CN"/>
                    </w:rPr>
                  </w:pPr>
                </w:p>
              </w:tc>
            </w:tr>
            <w:tr w14:paraId="46F711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2" w:type="pct"/>
                  <w:shd w:val="clear" w:color="auto" w:fill="auto"/>
                  <w:noWrap w:val="0"/>
                  <w:vAlign w:val="center"/>
                </w:tcPr>
                <w:p w14:paraId="5C3301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w:t>
                  </w:r>
                </w:p>
              </w:tc>
              <w:tc>
                <w:tcPr>
                  <w:tcW w:w="548" w:type="pct"/>
                  <w:shd w:val="clear" w:color="auto" w:fill="auto"/>
                  <w:noWrap w:val="0"/>
                  <w:vAlign w:val="center"/>
                </w:tcPr>
                <w:p w14:paraId="28C25865">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废油桶</w:t>
                  </w:r>
                </w:p>
              </w:tc>
              <w:tc>
                <w:tcPr>
                  <w:tcW w:w="335" w:type="pct"/>
                  <w:shd w:val="clear" w:color="auto" w:fill="auto"/>
                  <w:noWrap w:val="0"/>
                  <w:vAlign w:val="center"/>
                </w:tcPr>
                <w:p w14:paraId="42ACC38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HW49</w:t>
                  </w:r>
                </w:p>
              </w:tc>
              <w:tc>
                <w:tcPr>
                  <w:tcW w:w="476" w:type="pct"/>
                  <w:shd w:val="clear" w:color="auto" w:fill="auto"/>
                  <w:noWrap w:val="0"/>
                  <w:vAlign w:val="center"/>
                </w:tcPr>
                <w:p w14:paraId="54E688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67" w:type="pct"/>
                  <w:shd w:val="clear" w:color="auto" w:fill="auto"/>
                  <w:noWrap w:val="0"/>
                  <w:vAlign w:val="center"/>
                </w:tcPr>
                <w:p w14:paraId="2B2E1BD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0.2</w:t>
                  </w:r>
                </w:p>
              </w:tc>
              <w:tc>
                <w:tcPr>
                  <w:tcW w:w="474" w:type="pct"/>
                  <w:shd w:val="clear" w:color="auto" w:fill="auto"/>
                  <w:noWrap w:val="0"/>
                  <w:vAlign w:val="center"/>
                </w:tcPr>
                <w:p w14:paraId="674B5284">
                  <w:pPr>
                    <w:keepNext w:val="0"/>
                    <w:keepLines w:val="0"/>
                    <w:widowControl/>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原料拆包</w:t>
                  </w:r>
                </w:p>
              </w:tc>
              <w:tc>
                <w:tcPr>
                  <w:tcW w:w="230" w:type="pct"/>
                  <w:shd w:val="clear" w:color="auto" w:fill="auto"/>
                  <w:noWrap w:val="0"/>
                  <w:vAlign w:val="center"/>
                </w:tcPr>
                <w:p w14:paraId="63EBD2B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lang w:val="en-US" w:eastAsia="zh-CN"/>
                    </w:rPr>
                    <w:t>固态</w:t>
                  </w:r>
                </w:p>
              </w:tc>
              <w:tc>
                <w:tcPr>
                  <w:tcW w:w="467" w:type="pct"/>
                  <w:shd w:val="clear" w:color="auto" w:fill="auto"/>
                  <w:noWrap w:val="0"/>
                  <w:vAlign w:val="center"/>
                </w:tcPr>
                <w:p w14:paraId="1F2CD7D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
                    </w:rPr>
                  </w:pPr>
                  <w:r>
                    <w:rPr>
                      <w:rFonts w:hint="eastAsia" w:ascii="Times New Roman" w:hAnsi="Times New Roman" w:eastAsia="宋体" w:cs="Times New Roman"/>
                      <w:color w:val="auto"/>
                      <w:szCs w:val="21"/>
                      <w:highlight w:val="none"/>
                      <w:lang w:val="en-US" w:eastAsia="zh-CN" w:bidi="ar"/>
                    </w:rPr>
                    <w:t>沾有润滑油的包装桶</w:t>
                  </w:r>
                </w:p>
              </w:tc>
              <w:tc>
                <w:tcPr>
                  <w:tcW w:w="455" w:type="pct"/>
                  <w:shd w:val="clear" w:color="auto" w:fill="auto"/>
                  <w:noWrap w:val="0"/>
                  <w:vAlign w:val="center"/>
                </w:tcPr>
                <w:p w14:paraId="033AA2D0">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润滑油</w:t>
                  </w:r>
                </w:p>
              </w:tc>
              <w:tc>
                <w:tcPr>
                  <w:tcW w:w="282" w:type="pct"/>
                  <w:shd w:val="clear" w:color="auto" w:fill="auto"/>
                  <w:noWrap w:val="0"/>
                  <w:vAlign w:val="center"/>
                </w:tcPr>
                <w:p w14:paraId="1A00CE67">
                  <w:pPr>
                    <w:keepNext w:val="0"/>
                    <w:keepLines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cs="Times New Roman"/>
                      <w:color w:val="auto"/>
                      <w:szCs w:val="21"/>
                    </w:rPr>
                  </w:pPr>
                  <w:r>
                    <w:rPr>
                      <w:rFonts w:hint="eastAsia" w:ascii="Times New Roman" w:hAnsi="Times New Roman" w:cs="Times New Roman"/>
                      <w:color w:val="auto"/>
                      <w:szCs w:val="21"/>
                      <w:lang w:val="en-US" w:eastAsia="zh-CN"/>
                    </w:rPr>
                    <w:t>6个月</w:t>
                  </w:r>
                </w:p>
              </w:tc>
              <w:tc>
                <w:tcPr>
                  <w:tcW w:w="237" w:type="pct"/>
                  <w:shd w:val="clear" w:color="auto" w:fill="auto"/>
                  <w:noWrap w:val="0"/>
                  <w:vAlign w:val="center"/>
                </w:tcPr>
                <w:p w14:paraId="5026D86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1051" w:type="pct"/>
                  <w:vMerge w:val="restart"/>
                  <w:shd w:val="clear" w:color="auto" w:fill="auto"/>
                  <w:noWrap w:val="0"/>
                  <w:vAlign w:val="center"/>
                </w:tcPr>
                <w:p w14:paraId="6347AC2F">
                  <w:pPr>
                    <w:pStyle w:val="9"/>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加盖密封</w:t>
                  </w:r>
                  <w:r>
                    <w:rPr>
                      <w:rFonts w:hint="default" w:ascii="Times New Roman" w:hAnsi="Times New Roman" w:cs="Times New Roman"/>
                      <w:bCs/>
                      <w:color w:val="auto"/>
                      <w:sz w:val="21"/>
                      <w:szCs w:val="21"/>
                      <w:lang w:val="en-US" w:eastAsia="zh-CN"/>
                    </w:rPr>
                    <w:t>后暂存在危废库房，定期委托有资质单位处理</w:t>
                  </w:r>
                </w:p>
              </w:tc>
            </w:tr>
            <w:tr w14:paraId="19B5F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0" w:type="auto"/>
                  <w:shd w:val="clear" w:color="auto" w:fill="auto"/>
                  <w:vAlign w:val="center"/>
                </w:tcPr>
                <w:p w14:paraId="590CC7C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7</w:t>
                  </w:r>
                </w:p>
              </w:tc>
              <w:tc>
                <w:tcPr>
                  <w:tcW w:w="0" w:type="auto"/>
                  <w:shd w:val="clear" w:color="auto" w:fill="auto"/>
                  <w:vAlign w:val="center"/>
                </w:tcPr>
                <w:p w14:paraId="0C55F1BE">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废包装桶</w:t>
                  </w:r>
                </w:p>
              </w:tc>
              <w:tc>
                <w:tcPr>
                  <w:tcW w:w="0" w:type="auto"/>
                  <w:shd w:val="clear" w:color="auto" w:fill="auto"/>
                  <w:vAlign w:val="center"/>
                </w:tcPr>
                <w:p w14:paraId="0C06066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HW08</w:t>
                  </w:r>
                </w:p>
              </w:tc>
              <w:tc>
                <w:tcPr>
                  <w:tcW w:w="0" w:type="auto"/>
                  <w:shd w:val="clear" w:color="auto" w:fill="auto"/>
                  <w:vAlign w:val="center"/>
                </w:tcPr>
                <w:p w14:paraId="56AEAF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267" w:type="pct"/>
                  <w:shd w:val="clear" w:color="auto" w:fill="auto"/>
                  <w:vAlign w:val="center"/>
                </w:tcPr>
                <w:p w14:paraId="5504F5B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0.2</w:t>
                  </w:r>
                </w:p>
              </w:tc>
              <w:tc>
                <w:tcPr>
                  <w:tcW w:w="474" w:type="pct"/>
                  <w:shd w:val="clear" w:color="auto" w:fill="auto"/>
                  <w:vAlign w:val="center"/>
                </w:tcPr>
                <w:p w14:paraId="68BC3D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原料拆包</w:t>
                  </w:r>
                </w:p>
              </w:tc>
              <w:tc>
                <w:tcPr>
                  <w:tcW w:w="230" w:type="pct"/>
                  <w:shd w:val="clear" w:color="auto" w:fill="auto"/>
                  <w:vAlign w:val="center"/>
                </w:tcPr>
                <w:p w14:paraId="00B662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固态</w:t>
                  </w:r>
                </w:p>
              </w:tc>
              <w:tc>
                <w:tcPr>
                  <w:tcW w:w="467" w:type="pct"/>
                  <w:shd w:val="clear" w:color="auto" w:fill="auto"/>
                  <w:vAlign w:val="center"/>
                </w:tcPr>
                <w:p w14:paraId="51686E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沾有切削液的包装桶</w:t>
                  </w:r>
                </w:p>
              </w:tc>
              <w:tc>
                <w:tcPr>
                  <w:tcW w:w="455" w:type="pct"/>
                  <w:shd w:val="clear" w:color="auto" w:fill="auto"/>
                  <w:vAlign w:val="center"/>
                </w:tcPr>
                <w:p w14:paraId="38C6711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切削液</w:t>
                  </w:r>
                </w:p>
              </w:tc>
              <w:tc>
                <w:tcPr>
                  <w:tcW w:w="282" w:type="pct"/>
                  <w:vAlign w:val="center"/>
                </w:tcPr>
                <w:p w14:paraId="0D7E548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6个月</w:t>
                  </w:r>
                </w:p>
              </w:tc>
              <w:tc>
                <w:tcPr>
                  <w:tcW w:w="237" w:type="pct"/>
                  <w:shd w:val="clear" w:color="auto" w:fill="auto"/>
                  <w:vAlign w:val="center"/>
                </w:tcPr>
                <w:p w14:paraId="4406D43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w:t>
                  </w:r>
                  <w:r>
                    <w:rPr>
                      <w:rFonts w:hint="eastAsia" w:ascii="Times New Roman" w:hAnsi="Times New Roman" w:cs="Times New Roman"/>
                      <w:color w:val="auto"/>
                      <w:szCs w:val="21"/>
                      <w:lang w:val="en-US" w:eastAsia="zh-CN"/>
                    </w:rPr>
                    <w:t>/In</w:t>
                  </w:r>
                </w:p>
              </w:tc>
              <w:tc>
                <w:tcPr>
                  <w:tcW w:w="1051" w:type="pct"/>
                  <w:vMerge w:val="continue"/>
                </w:tcPr>
                <w:p w14:paraId="1165AA5F">
                  <w:pPr>
                    <w:pStyle w:val="9"/>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p>
              </w:tc>
            </w:tr>
            <w:tr w14:paraId="63453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0" w:type="auto"/>
                  <w:shd w:val="clear" w:color="auto" w:fill="auto"/>
                  <w:vAlign w:val="center"/>
                </w:tcPr>
                <w:p w14:paraId="480761B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w:t>
                  </w:r>
                </w:p>
              </w:tc>
              <w:tc>
                <w:tcPr>
                  <w:tcW w:w="0" w:type="auto"/>
                  <w:shd w:val="clear" w:color="auto" w:fill="auto"/>
                  <w:vAlign w:val="center"/>
                </w:tcPr>
                <w:p w14:paraId="237CE638">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废润滑油</w:t>
                  </w:r>
                </w:p>
              </w:tc>
              <w:tc>
                <w:tcPr>
                  <w:tcW w:w="0" w:type="auto"/>
                  <w:shd w:val="clear" w:color="auto" w:fill="auto"/>
                  <w:vAlign w:val="center"/>
                </w:tcPr>
                <w:p w14:paraId="6C12706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HW08</w:t>
                  </w:r>
                </w:p>
              </w:tc>
              <w:tc>
                <w:tcPr>
                  <w:tcW w:w="0" w:type="auto"/>
                  <w:shd w:val="clear" w:color="auto" w:fill="auto"/>
                  <w:vAlign w:val="center"/>
                </w:tcPr>
                <w:p w14:paraId="7D5802B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267" w:type="pct"/>
                  <w:shd w:val="clear" w:color="auto" w:fill="auto"/>
                  <w:vAlign w:val="center"/>
                </w:tcPr>
                <w:p w14:paraId="20C3AD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3</w:t>
                  </w:r>
                </w:p>
              </w:tc>
              <w:tc>
                <w:tcPr>
                  <w:tcW w:w="474" w:type="pct"/>
                  <w:shd w:val="clear" w:color="auto" w:fill="auto"/>
                  <w:vAlign w:val="center"/>
                </w:tcPr>
                <w:p w14:paraId="62FCC64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设备维护保养</w:t>
                  </w:r>
                </w:p>
              </w:tc>
              <w:tc>
                <w:tcPr>
                  <w:tcW w:w="230" w:type="pct"/>
                  <w:shd w:val="clear" w:color="auto" w:fill="auto"/>
                  <w:vAlign w:val="center"/>
                </w:tcPr>
                <w:p w14:paraId="705C620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液态</w:t>
                  </w:r>
                </w:p>
              </w:tc>
              <w:tc>
                <w:tcPr>
                  <w:tcW w:w="467" w:type="pct"/>
                  <w:shd w:val="clear" w:color="auto" w:fill="auto"/>
                  <w:vAlign w:val="center"/>
                </w:tcPr>
                <w:p w14:paraId="4CF7DF3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机械油</w:t>
                  </w:r>
                </w:p>
              </w:tc>
              <w:tc>
                <w:tcPr>
                  <w:tcW w:w="455" w:type="pct"/>
                  <w:shd w:val="clear" w:color="auto" w:fill="auto"/>
                  <w:vAlign w:val="center"/>
                </w:tcPr>
                <w:p w14:paraId="0BBF042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机械油</w:t>
                  </w:r>
                </w:p>
              </w:tc>
              <w:tc>
                <w:tcPr>
                  <w:tcW w:w="282" w:type="pct"/>
                  <w:vAlign w:val="center"/>
                </w:tcPr>
                <w:p w14:paraId="0598360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6个月</w:t>
                  </w:r>
                </w:p>
              </w:tc>
              <w:tc>
                <w:tcPr>
                  <w:tcW w:w="237" w:type="pct"/>
                  <w:shd w:val="clear" w:color="auto" w:fill="auto"/>
                  <w:vAlign w:val="center"/>
                </w:tcPr>
                <w:p w14:paraId="336A84A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w:t>
                  </w:r>
                </w:p>
              </w:tc>
              <w:tc>
                <w:tcPr>
                  <w:tcW w:w="1051" w:type="pct"/>
                </w:tcPr>
                <w:p w14:paraId="1E66D6E2">
                  <w:pPr>
                    <w:pStyle w:val="9"/>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bCs/>
                      <w:color w:val="auto"/>
                      <w:sz w:val="21"/>
                      <w:szCs w:val="21"/>
                      <w:lang w:val="en-US" w:eastAsia="zh-CN"/>
                    </w:rPr>
                    <w:t>桶装密封后暂存在危废库房，定期委托有资质单位处理</w:t>
                  </w:r>
                </w:p>
              </w:tc>
            </w:tr>
          </w:tbl>
          <w:p w14:paraId="4157B83F">
            <w:pPr>
              <w:pStyle w:val="3"/>
              <w:keepNext w:val="0"/>
              <w:keepLines w:val="0"/>
              <w:numPr>
                <w:ilvl w:val="0"/>
                <w:numId w:val="0"/>
              </w:numPr>
              <w:suppressLineNumbers w:val="0"/>
              <w:spacing w:before="0" w:beforeAutospacing="0" w:after="0" w:afterAutospacing="0"/>
              <w:ind w:left="0" w:right="0"/>
              <w:rPr>
                <w:rFonts w:hint="default" w:ascii="Times New Roman" w:hAnsi="Times New Roman" w:cs="Times New Roman"/>
                <w:color w:val="auto"/>
                <w:vertAlign w:val="baseline"/>
              </w:rPr>
            </w:pPr>
          </w:p>
        </w:tc>
      </w:tr>
    </w:tbl>
    <w:p w14:paraId="03C42B5F">
      <w:pPr>
        <w:pStyle w:val="3"/>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9"/>
        <w:gridCol w:w="8692"/>
      </w:tblGrid>
      <w:tr w14:paraId="318BF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0" w:hRule="atLeast"/>
          <w:jc w:val="center"/>
        </w:trPr>
        <w:tc>
          <w:tcPr>
            <w:tcW w:w="292" w:type="dxa"/>
            <w:noWrap w:val="0"/>
            <w:tcMar>
              <w:left w:w="28" w:type="dxa"/>
              <w:right w:w="28" w:type="dxa"/>
            </w:tcMar>
            <w:vAlign w:val="center"/>
          </w:tcPr>
          <w:p w14:paraId="4A512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14:paraId="57FDD7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14:paraId="2E4438A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14:paraId="782CC4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14:paraId="71F2E6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14:paraId="205437B4">
            <w:pPr>
              <w:pStyle w:val="23"/>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Cs w:val="24"/>
                <w:highlight w:val="none"/>
              </w:rPr>
            </w:pPr>
            <w:r>
              <w:rPr>
                <w:rFonts w:hint="default" w:cs="Times New Roman"/>
                <w:bCs/>
                <w:color w:val="auto"/>
                <w:sz w:val="24"/>
                <w:highlight w:val="none"/>
              </w:rPr>
              <w:t>措施</w:t>
            </w:r>
          </w:p>
        </w:tc>
        <w:tc>
          <w:tcPr>
            <w:tcW w:w="8689" w:type="dxa"/>
            <w:noWrap w:val="0"/>
            <w:vAlign w:val="center"/>
          </w:tcPr>
          <w:p w14:paraId="681DA2D4">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rPr>
              <w:t>2、</w:t>
            </w:r>
            <w:r>
              <w:rPr>
                <w:rFonts w:hint="eastAsia" w:cs="Times New Roman"/>
                <w:b/>
                <w:bCs/>
                <w:color w:val="auto"/>
                <w:sz w:val="24"/>
                <w:lang w:val="en-US" w:eastAsia="zh-CN"/>
              </w:rPr>
              <w:t>处置利用情况</w:t>
            </w:r>
          </w:p>
          <w:p w14:paraId="7915D93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本</w:t>
            </w:r>
            <w:r>
              <w:rPr>
                <w:rFonts w:hint="default" w:ascii="Times New Roman" w:hAnsi="Times New Roman" w:cs="Times New Roman"/>
                <w:color w:val="auto"/>
                <w:sz w:val="24"/>
              </w:rPr>
              <w:t>项目生产中产生的</w:t>
            </w:r>
            <w:r>
              <w:rPr>
                <w:rFonts w:hint="eastAsia" w:ascii="Times New Roman" w:hAnsi="Times New Roman" w:cs="Times New Roman"/>
                <w:color w:val="auto"/>
                <w:sz w:val="24"/>
              </w:rPr>
              <w:t>一般固废：</w:t>
            </w:r>
            <w:r>
              <w:rPr>
                <w:rFonts w:hint="eastAsia" w:cs="Times New Roman"/>
                <w:color w:val="auto"/>
                <w:sz w:val="24"/>
                <w:lang w:val="en-US" w:eastAsia="zh-CN"/>
              </w:rPr>
              <w:t>焊渣、</w:t>
            </w:r>
            <w:r>
              <w:rPr>
                <w:rFonts w:hint="eastAsia" w:ascii="Times New Roman" w:hAnsi="Times New Roman" w:cs="Times New Roman"/>
                <w:color w:val="auto"/>
                <w:sz w:val="24"/>
                <w:lang w:val="en-US" w:eastAsia="zh-CN"/>
              </w:rPr>
              <w:t>废炉渣、</w:t>
            </w:r>
            <w:r>
              <w:rPr>
                <w:rFonts w:hint="eastAsia" w:cs="Times New Roman"/>
                <w:color w:val="auto"/>
                <w:sz w:val="24"/>
                <w:lang w:val="en-US" w:eastAsia="zh-CN"/>
              </w:rPr>
              <w:t>废包装材料</w:t>
            </w:r>
            <w:r>
              <w:rPr>
                <w:rFonts w:hint="eastAsia" w:ascii="Times New Roman" w:hAnsi="Times New Roman" w:cs="Times New Roman"/>
                <w:color w:val="auto"/>
                <w:sz w:val="24"/>
                <w:lang w:val="en-US" w:eastAsia="zh-CN"/>
              </w:rPr>
              <w:t>经收集后外售综合利用</w:t>
            </w:r>
            <w:r>
              <w:rPr>
                <w:rFonts w:hint="eastAsia" w:ascii="Times New Roman" w:hAnsi="Times New Roman" w:cs="Times New Roman"/>
                <w:color w:val="auto"/>
                <w:sz w:val="24"/>
              </w:rPr>
              <w:t>；</w:t>
            </w:r>
            <w:r>
              <w:rPr>
                <w:rFonts w:hint="eastAsia" w:cs="Times New Roman"/>
                <w:color w:val="auto"/>
                <w:sz w:val="24"/>
                <w:lang w:val="en-US" w:eastAsia="zh-CN"/>
              </w:rPr>
              <w:t>废浇冒口经收集后回用于中频炉熔化；</w:t>
            </w:r>
            <w:r>
              <w:rPr>
                <w:rFonts w:hint="eastAsia" w:ascii="Times New Roman" w:hAnsi="Times New Roman" w:cs="Times New Roman"/>
                <w:color w:val="auto"/>
                <w:sz w:val="24"/>
              </w:rPr>
              <w:t>危险废物：</w:t>
            </w:r>
            <w:r>
              <w:rPr>
                <w:rFonts w:hint="eastAsia" w:ascii="Times New Roman" w:hAnsi="Times New Roman" w:cs="Times New Roman"/>
                <w:color w:val="auto"/>
                <w:sz w:val="24"/>
                <w:lang w:val="en-US" w:eastAsia="zh-CN"/>
              </w:rPr>
              <w:t>布袋除尘器收尘、废</w:t>
            </w:r>
            <w:r>
              <w:rPr>
                <w:rFonts w:hint="eastAsia" w:cs="Times New Roman"/>
                <w:color w:val="auto"/>
                <w:sz w:val="24"/>
                <w:lang w:val="en-US" w:eastAsia="zh-CN"/>
              </w:rPr>
              <w:t>布袋、废切削液、废包装桶、</w:t>
            </w:r>
            <w:r>
              <w:rPr>
                <w:rFonts w:hint="eastAsia" w:cs="Times New Roman"/>
                <w:color w:val="auto"/>
                <w:sz w:val="24"/>
                <w:lang w:eastAsia="zh-CN"/>
              </w:rPr>
              <w:t>废润滑油</w:t>
            </w:r>
            <w:r>
              <w:rPr>
                <w:rFonts w:hint="eastAsia" w:ascii="Times New Roman" w:hAnsi="Times New Roman" w:cs="Times New Roman"/>
                <w:color w:val="auto"/>
                <w:sz w:val="24"/>
              </w:rPr>
              <w:t>经收集后委托有资质单位集中处理</w:t>
            </w:r>
            <w:r>
              <w:rPr>
                <w:rFonts w:hint="default" w:ascii="Times New Roman" w:hAnsi="Times New Roman" w:cs="Times New Roman"/>
                <w:color w:val="auto"/>
                <w:sz w:val="24"/>
              </w:rPr>
              <w:t>。</w:t>
            </w:r>
          </w:p>
          <w:p w14:paraId="08BC8E79">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固体废物经处理和处置后，无固体废物直接排向外环境。</w:t>
            </w:r>
          </w:p>
          <w:p w14:paraId="45534234">
            <w:pPr>
              <w:keepNext w:val="0"/>
              <w:keepLines w:val="0"/>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sz w:val="24"/>
              </w:rPr>
              <w:t>本项目固体废弃物全部</w:t>
            </w:r>
            <w:r>
              <w:rPr>
                <w:rFonts w:hint="eastAsia" w:ascii="Times New Roman" w:hAnsi="Times New Roman" w:cs="Times New Roman"/>
                <w:color w:val="auto"/>
                <w:sz w:val="24"/>
              </w:rPr>
              <w:t>“</w:t>
            </w:r>
            <w:r>
              <w:rPr>
                <w:rFonts w:hint="default" w:ascii="Times New Roman" w:hAnsi="Times New Roman" w:cs="Times New Roman"/>
                <w:color w:val="auto"/>
                <w:sz w:val="24"/>
              </w:rPr>
              <w:t>零</w:t>
            </w:r>
            <w:r>
              <w:rPr>
                <w:rFonts w:hint="eastAsia" w:ascii="Times New Roman" w:hAnsi="Times New Roman" w:cs="Times New Roman"/>
                <w:color w:val="auto"/>
                <w:sz w:val="24"/>
              </w:rPr>
              <w:t>”</w:t>
            </w:r>
            <w:r>
              <w:rPr>
                <w:rFonts w:hint="default" w:ascii="Times New Roman" w:hAnsi="Times New Roman" w:cs="Times New Roman"/>
                <w:color w:val="auto"/>
                <w:sz w:val="24"/>
              </w:rPr>
              <w:t>排放，固废控制率达到100%，不会产生二次污染。</w:t>
            </w:r>
          </w:p>
          <w:p w14:paraId="7CB9D9BE">
            <w:pPr>
              <w:keepNext w:val="0"/>
              <w:keepLines w:val="0"/>
              <w:suppressLineNumbers w:val="0"/>
              <w:spacing w:before="0" w:beforeAutospacing="0" w:after="0" w:afterAutospacing="0"/>
              <w:ind w:left="0" w:right="0" w:firstLine="482" w:firstLineChars="200"/>
              <w:jc w:val="center"/>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表4</w:t>
            </w:r>
            <w:r>
              <w:rPr>
                <w:rFonts w:hint="eastAsia" w:ascii="Times New Roman" w:hAnsi="Times New Roman" w:cs="Times New Roman"/>
                <w:b/>
                <w:bCs/>
                <w:color w:val="auto"/>
                <w:kern w:val="0"/>
                <w:sz w:val="24"/>
                <w:highlight w:val="none"/>
                <w:lang w:val="en-US" w:eastAsia="zh-CN"/>
              </w:rPr>
              <w:t>.4</w:t>
            </w:r>
            <w:r>
              <w:rPr>
                <w:rFonts w:hint="default" w:ascii="Times New Roman" w:hAnsi="Times New Roman" w:cs="Times New Roman"/>
                <w:b/>
                <w:bCs/>
                <w:color w:val="auto"/>
                <w:kern w:val="0"/>
                <w:sz w:val="24"/>
                <w:highlight w:val="none"/>
              </w:rPr>
              <w:t>-</w:t>
            </w:r>
            <w:r>
              <w:rPr>
                <w:rFonts w:hint="eastAsia" w:ascii="Times New Roman" w:hAnsi="Times New Roman" w:cs="Times New Roman"/>
                <w:b/>
                <w:bCs/>
                <w:color w:val="auto"/>
                <w:kern w:val="0"/>
                <w:sz w:val="24"/>
                <w:highlight w:val="none"/>
                <w:lang w:val="en-US" w:eastAsia="zh-CN"/>
              </w:rPr>
              <w:t>4</w:t>
            </w:r>
            <w:r>
              <w:rPr>
                <w:rFonts w:hint="default" w:ascii="Times New Roman" w:hAnsi="Times New Roman" w:cs="Times New Roman"/>
                <w:b/>
                <w:bCs/>
                <w:color w:val="auto"/>
                <w:kern w:val="0"/>
                <w:sz w:val="24"/>
                <w:highlight w:val="none"/>
              </w:rPr>
              <w:t xml:space="preserve">  本项目固体废物利用处置方式评价表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478"/>
              <w:gridCol w:w="1106"/>
              <w:gridCol w:w="1799"/>
              <w:gridCol w:w="656"/>
              <w:gridCol w:w="1273"/>
              <w:gridCol w:w="1063"/>
              <w:gridCol w:w="1306"/>
              <w:gridCol w:w="790"/>
            </w:tblGrid>
            <w:tr w14:paraId="7E6C9B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noWrap w:val="0"/>
                  <w:vAlign w:val="center"/>
                </w:tcPr>
                <w:p w14:paraId="4C68F95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652" w:type="pct"/>
                  <w:noWrap w:val="0"/>
                  <w:vAlign w:val="center"/>
                </w:tcPr>
                <w:p w14:paraId="11802563">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固废名称</w:t>
                  </w:r>
                </w:p>
              </w:tc>
              <w:tc>
                <w:tcPr>
                  <w:tcW w:w="1061" w:type="pct"/>
                  <w:noWrap w:val="0"/>
                  <w:vAlign w:val="center"/>
                </w:tcPr>
                <w:p w14:paraId="5233D4E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产生工序</w:t>
                  </w:r>
                </w:p>
              </w:tc>
              <w:tc>
                <w:tcPr>
                  <w:tcW w:w="387" w:type="pct"/>
                  <w:noWrap w:val="0"/>
                  <w:vAlign w:val="center"/>
                </w:tcPr>
                <w:p w14:paraId="14D201D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属性</w:t>
                  </w:r>
                </w:p>
              </w:tc>
              <w:tc>
                <w:tcPr>
                  <w:tcW w:w="751" w:type="pct"/>
                  <w:noWrap w:val="0"/>
                  <w:vAlign w:val="center"/>
                </w:tcPr>
                <w:p w14:paraId="32C671D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废物代码</w:t>
                  </w:r>
                </w:p>
              </w:tc>
              <w:tc>
                <w:tcPr>
                  <w:tcW w:w="627" w:type="pct"/>
                  <w:noWrap w:val="0"/>
                  <w:vAlign w:val="center"/>
                </w:tcPr>
                <w:p w14:paraId="0E4E435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产生量（</w:t>
                  </w:r>
                  <w:r>
                    <w:rPr>
                      <w:rFonts w:hint="eastAsia" w:ascii="Times New Roman" w:hAnsi="Times New Roman" w:cs="Times New Roman"/>
                      <w:b/>
                      <w:bCs/>
                      <w:color w:val="auto"/>
                      <w:szCs w:val="21"/>
                      <w:highlight w:val="none"/>
                      <w:lang w:val="en-US" w:eastAsia="zh-CN"/>
                    </w:rPr>
                    <w:t>t/a</w:t>
                  </w:r>
                  <w:r>
                    <w:rPr>
                      <w:rFonts w:hint="default" w:ascii="Times New Roman" w:hAnsi="Times New Roman" w:cs="Times New Roman"/>
                      <w:b/>
                      <w:bCs/>
                      <w:color w:val="auto"/>
                      <w:szCs w:val="21"/>
                      <w:highlight w:val="none"/>
                    </w:rPr>
                    <w:t>）</w:t>
                  </w:r>
                </w:p>
              </w:tc>
              <w:tc>
                <w:tcPr>
                  <w:tcW w:w="770" w:type="pct"/>
                  <w:noWrap w:val="0"/>
                  <w:vAlign w:val="center"/>
                </w:tcPr>
                <w:p w14:paraId="7DA7FF18">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利用处置方式</w:t>
                  </w:r>
                </w:p>
              </w:tc>
              <w:tc>
                <w:tcPr>
                  <w:tcW w:w="466" w:type="pct"/>
                  <w:noWrap w:val="0"/>
                  <w:vAlign w:val="center"/>
                </w:tcPr>
                <w:p w14:paraId="173F67E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利用处置单位</w:t>
                  </w:r>
                </w:p>
              </w:tc>
            </w:tr>
            <w:tr w14:paraId="51493D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noWrap w:val="0"/>
                  <w:vAlign w:val="center"/>
                </w:tcPr>
                <w:p w14:paraId="54D715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652" w:type="pct"/>
                  <w:shd w:val="clear" w:color="auto" w:fill="auto"/>
                  <w:noWrap w:val="0"/>
                  <w:vAlign w:val="center"/>
                </w:tcPr>
                <w:p w14:paraId="150E54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焊渣</w:t>
                  </w:r>
                </w:p>
              </w:tc>
              <w:tc>
                <w:tcPr>
                  <w:tcW w:w="1061" w:type="pct"/>
                  <w:shd w:val="clear" w:color="auto" w:fill="auto"/>
                  <w:noWrap w:val="0"/>
                  <w:vAlign w:val="center"/>
                </w:tcPr>
                <w:p w14:paraId="48091C6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焊接</w:t>
                  </w:r>
                </w:p>
              </w:tc>
              <w:tc>
                <w:tcPr>
                  <w:tcW w:w="387" w:type="pct"/>
                  <w:vMerge w:val="restart"/>
                  <w:noWrap w:val="0"/>
                  <w:vAlign w:val="center"/>
                </w:tcPr>
                <w:p w14:paraId="7299EB7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一般固废</w:t>
                  </w:r>
                </w:p>
              </w:tc>
              <w:tc>
                <w:tcPr>
                  <w:tcW w:w="751" w:type="pct"/>
                  <w:shd w:val="clear" w:color="auto" w:fill="auto"/>
                  <w:noWrap w:val="0"/>
                  <w:vAlign w:val="center"/>
                </w:tcPr>
                <w:p w14:paraId="0CB8E9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627" w:type="pct"/>
                  <w:shd w:val="clear" w:color="auto" w:fill="auto"/>
                  <w:noWrap w:val="0"/>
                  <w:vAlign w:val="center"/>
                </w:tcPr>
                <w:p w14:paraId="65B9A46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0.3</w:t>
                  </w:r>
                </w:p>
              </w:tc>
              <w:tc>
                <w:tcPr>
                  <w:tcW w:w="770" w:type="pct"/>
                  <w:noWrap w:val="0"/>
                  <w:vAlign w:val="center"/>
                </w:tcPr>
                <w:p w14:paraId="185F3C2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外售</w:t>
                  </w:r>
                  <w:r>
                    <w:rPr>
                      <w:rFonts w:hint="eastAsia" w:ascii="Times New Roman" w:hAnsi="Times New Roman" w:cs="Times New Roman"/>
                      <w:color w:val="auto"/>
                      <w:highlight w:val="none"/>
                      <w:lang w:val="en-US" w:eastAsia="zh-CN"/>
                    </w:rPr>
                    <w:t>综合利用</w:t>
                  </w:r>
                </w:p>
              </w:tc>
              <w:tc>
                <w:tcPr>
                  <w:tcW w:w="466" w:type="pct"/>
                  <w:noWrap w:val="0"/>
                  <w:vAlign w:val="center"/>
                </w:tcPr>
                <w:p w14:paraId="2AC2BA7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4"/>
                      <w:highlight w:val="none"/>
                      <w:lang w:val="en-US" w:eastAsia="zh-CN" w:bidi="ar-SA"/>
                    </w:rPr>
                  </w:pPr>
                  <w:r>
                    <w:rPr>
                      <w:rFonts w:hint="default" w:ascii="Times New Roman" w:hAnsi="Times New Roman" w:cs="Times New Roman"/>
                      <w:color w:val="auto"/>
                      <w:highlight w:val="none"/>
                    </w:rPr>
                    <w:t>/</w:t>
                  </w:r>
                </w:p>
              </w:tc>
            </w:tr>
            <w:tr w14:paraId="4AD7B6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noWrap w:val="0"/>
                  <w:vAlign w:val="center"/>
                </w:tcPr>
                <w:p w14:paraId="0E50B0C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652" w:type="pct"/>
                  <w:shd w:val="clear" w:color="auto" w:fill="auto"/>
                  <w:noWrap w:val="0"/>
                  <w:vAlign w:val="center"/>
                </w:tcPr>
                <w:p w14:paraId="467D902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废炉渣</w:t>
                  </w:r>
                </w:p>
              </w:tc>
              <w:tc>
                <w:tcPr>
                  <w:tcW w:w="1061" w:type="pct"/>
                  <w:shd w:val="clear" w:color="auto" w:fill="auto"/>
                  <w:noWrap w:val="0"/>
                  <w:vAlign w:val="center"/>
                </w:tcPr>
                <w:p w14:paraId="4EA1F8D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w:t>
                  </w:r>
                </w:p>
              </w:tc>
              <w:tc>
                <w:tcPr>
                  <w:tcW w:w="387" w:type="pct"/>
                  <w:vMerge w:val="continue"/>
                  <w:noWrap w:val="0"/>
                  <w:vAlign w:val="center"/>
                </w:tcPr>
                <w:p w14:paraId="5C6C5C5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51" w:type="pct"/>
                  <w:shd w:val="clear" w:color="auto" w:fill="auto"/>
                  <w:noWrap w:val="0"/>
                  <w:vAlign w:val="center"/>
                </w:tcPr>
                <w:p w14:paraId="424F6B9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900-099-S03</w:t>
                  </w:r>
                </w:p>
              </w:tc>
              <w:tc>
                <w:tcPr>
                  <w:tcW w:w="627" w:type="pct"/>
                  <w:shd w:val="clear" w:color="auto" w:fill="auto"/>
                  <w:noWrap w:val="0"/>
                  <w:vAlign w:val="center"/>
                </w:tcPr>
                <w:p w14:paraId="1CFD2F5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150</w:t>
                  </w:r>
                </w:p>
              </w:tc>
              <w:tc>
                <w:tcPr>
                  <w:tcW w:w="770" w:type="pct"/>
                  <w:noWrap w:val="0"/>
                  <w:vAlign w:val="center"/>
                </w:tcPr>
                <w:p w14:paraId="07043A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外售</w:t>
                  </w:r>
                  <w:r>
                    <w:rPr>
                      <w:rFonts w:hint="eastAsia" w:ascii="Times New Roman" w:hAnsi="Times New Roman" w:cs="Times New Roman"/>
                      <w:color w:val="auto"/>
                      <w:highlight w:val="none"/>
                      <w:lang w:val="en-US" w:eastAsia="zh-CN"/>
                    </w:rPr>
                    <w:t>综合利用</w:t>
                  </w:r>
                </w:p>
              </w:tc>
              <w:tc>
                <w:tcPr>
                  <w:tcW w:w="466" w:type="pct"/>
                  <w:noWrap w:val="0"/>
                  <w:vAlign w:val="center"/>
                </w:tcPr>
                <w:p w14:paraId="25EEC8F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14:paraId="5CC624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noWrap w:val="0"/>
                  <w:vAlign w:val="center"/>
                </w:tcPr>
                <w:p w14:paraId="6F8D30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3</w:t>
                  </w:r>
                </w:p>
              </w:tc>
              <w:tc>
                <w:tcPr>
                  <w:tcW w:w="652" w:type="pct"/>
                  <w:shd w:val="clear" w:color="auto" w:fill="auto"/>
                  <w:noWrap w:val="0"/>
                  <w:vAlign w:val="center"/>
                </w:tcPr>
                <w:p w14:paraId="7E43A5C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废浇冒口</w:t>
                  </w:r>
                </w:p>
              </w:tc>
              <w:tc>
                <w:tcPr>
                  <w:tcW w:w="1061" w:type="pct"/>
                  <w:shd w:val="clear" w:color="auto" w:fill="auto"/>
                  <w:noWrap w:val="0"/>
                  <w:vAlign w:val="center"/>
                </w:tcPr>
                <w:p w14:paraId="567E247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去冒口</w:t>
                  </w:r>
                </w:p>
              </w:tc>
              <w:tc>
                <w:tcPr>
                  <w:tcW w:w="387" w:type="pct"/>
                  <w:vMerge w:val="continue"/>
                  <w:noWrap w:val="0"/>
                  <w:vAlign w:val="center"/>
                </w:tcPr>
                <w:p w14:paraId="3E41A29A">
                  <w:pPr>
                    <w:keepNext w:val="0"/>
                    <w:keepLines w:val="0"/>
                    <w:suppressLineNumbers w:val="0"/>
                    <w:spacing w:before="0" w:beforeAutospacing="0" w:after="0" w:afterAutospacing="0"/>
                    <w:ind w:left="0" w:right="0" w:firstLine="480"/>
                    <w:jc w:val="center"/>
                    <w:rPr>
                      <w:rFonts w:hint="default" w:ascii="Times New Roman" w:hAnsi="Times New Roman" w:cs="Times New Roman"/>
                      <w:color w:val="auto"/>
                      <w:szCs w:val="21"/>
                      <w:highlight w:val="none"/>
                    </w:rPr>
                  </w:pPr>
                </w:p>
              </w:tc>
              <w:tc>
                <w:tcPr>
                  <w:tcW w:w="751" w:type="pct"/>
                  <w:shd w:val="clear" w:color="auto" w:fill="auto"/>
                  <w:noWrap w:val="0"/>
                  <w:vAlign w:val="center"/>
                </w:tcPr>
                <w:p w14:paraId="3A11472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900-001-S17</w:t>
                  </w:r>
                </w:p>
              </w:tc>
              <w:tc>
                <w:tcPr>
                  <w:tcW w:w="627" w:type="pct"/>
                  <w:shd w:val="clear" w:color="auto" w:fill="auto"/>
                  <w:noWrap w:val="0"/>
                  <w:vAlign w:val="center"/>
                </w:tcPr>
                <w:p w14:paraId="2813F4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150</w:t>
                  </w:r>
                </w:p>
              </w:tc>
              <w:tc>
                <w:tcPr>
                  <w:tcW w:w="770" w:type="pct"/>
                  <w:noWrap w:val="0"/>
                  <w:vAlign w:val="center"/>
                </w:tcPr>
                <w:p w14:paraId="2B1950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回用于生产</w:t>
                  </w:r>
                </w:p>
              </w:tc>
              <w:tc>
                <w:tcPr>
                  <w:tcW w:w="466" w:type="pct"/>
                  <w:noWrap w:val="0"/>
                  <w:vAlign w:val="center"/>
                </w:tcPr>
                <w:p w14:paraId="071D4B4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本单位</w:t>
                  </w:r>
                </w:p>
              </w:tc>
            </w:tr>
            <w:tr w14:paraId="1688B2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noWrap w:val="0"/>
                  <w:vAlign w:val="center"/>
                </w:tcPr>
                <w:p w14:paraId="4B7CC92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4</w:t>
                  </w:r>
                </w:p>
              </w:tc>
              <w:tc>
                <w:tcPr>
                  <w:tcW w:w="652" w:type="pct"/>
                  <w:shd w:val="clear" w:color="auto" w:fill="auto"/>
                  <w:noWrap w:val="0"/>
                  <w:vAlign w:val="center"/>
                </w:tcPr>
                <w:p w14:paraId="347B710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废包装材料</w:t>
                  </w:r>
                </w:p>
              </w:tc>
              <w:tc>
                <w:tcPr>
                  <w:tcW w:w="1061" w:type="pct"/>
                  <w:tcBorders>
                    <w:bottom w:val="single" w:color="auto" w:sz="4" w:space="0"/>
                  </w:tcBorders>
                  <w:shd w:val="clear" w:color="auto" w:fill="auto"/>
                  <w:noWrap w:val="0"/>
                  <w:vAlign w:val="center"/>
                </w:tcPr>
                <w:p w14:paraId="480636C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原料拆包</w:t>
                  </w:r>
                </w:p>
              </w:tc>
              <w:tc>
                <w:tcPr>
                  <w:tcW w:w="387" w:type="pct"/>
                  <w:vMerge w:val="continue"/>
                  <w:tcBorders>
                    <w:bottom w:val="single" w:color="auto" w:sz="4" w:space="0"/>
                  </w:tcBorders>
                  <w:noWrap w:val="0"/>
                  <w:vAlign w:val="center"/>
                </w:tcPr>
                <w:p w14:paraId="45BE42B7">
                  <w:pPr>
                    <w:keepNext w:val="0"/>
                    <w:keepLines w:val="0"/>
                    <w:suppressLineNumbers w:val="0"/>
                    <w:spacing w:before="0" w:beforeAutospacing="0" w:after="0" w:afterAutospacing="0"/>
                    <w:ind w:left="0" w:right="0" w:firstLine="480"/>
                    <w:jc w:val="center"/>
                    <w:rPr>
                      <w:rFonts w:hint="default" w:ascii="Times New Roman" w:hAnsi="Times New Roman" w:cs="Times New Roman"/>
                      <w:color w:val="auto"/>
                      <w:szCs w:val="21"/>
                      <w:highlight w:val="none"/>
                    </w:rPr>
                  </w:pPr>
                </w:p>
              </w:tc>
              <w:tc>
                <w:tcPr>
                  <w:tcW w:w="751" w:type="pct"/>
                  <w:tcBorders>
                    <w:bottom w:val="single" w:color="auto" w:sz="4" w:space="0"/>
                  </w:tcBorders>
                  <w:shd w:val="clear" w:color="auto" w:fill="auto"/>
                  <w:noWrap w:val="0"/>
                  <w:vAlign w:val="center"/>
                </w:tcPr>
                <w:p w14:paraId="0A946CE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900-003-S17</w:t>
                  </w:r>
                </w:p>
              </w:tc>
              <w:tc>
                <w:tcPr>
                  <w:tcW w:w="627" w:type="pct"/>
                  <w:shd w:val="clear" w:color="auto" w:fill="auto"/>
                  <w:noWrap w:val="0"/>
                  <w:vAlign w:val="center"/>
                </w:tcPr>
                <w:p w14:paraId="05E84B0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2.34</w:t>
                  </w:r>
                </w:p>
              </w:tc>
              <w:tc>
                <w:tcPr>
                  <w:tcW w:w="770" w:type="pct"/>
                  <w:noWrap w:val="0"/>
                  <w:vAlign w:val="center"/>
                </w:tcPr>
                <w:p w14:paraId="36048A3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rPr>
                    <w:t>外售</w:t>
                  </w:r>
                  <w:r>
                    <w:rPr>
                      <w:rFonts w:hint="eastAsia" w:ascii="Times New Roman" w:hAnsi="Times New Roman" w:cs="Times New Roman"/>
                      <w:color w:val="auto"/>
                      <w:highlight w:val="none"/>
                      <w:lang w:val="en-US" w:eastAsia="zh-CN"/>
                    </w:rPr>
                    <w:t>综合利用</w:t>
                  </w:r>
                </w:p>
              </w:tc>
              <w:tc>
                <w:tcPr>
                  <w:tcW w:w="466" w:type="pct"/>
                  <w:noWrap w:val="0"/>
                  <w:vAlign w:val="center"/>
                </w:tcPr>
                <w:p w14:paraId="208C4CE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rPr>
                    <w:t>/</w:t>
                  </w:r>
                </w:p>
              </w:tc>
            </w:tr>
            <w:tr w14:paraId="1CD168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noWrap w:val="0"/>
                  <w:vAlign w:val="center"/>
                </w:tcPr>
                <w:p w14:paraId="10B142D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w:t>
                  </w:r>
                </w:p>
              </w:tc>
              <w:tc>
                <w:tcPr>
                  <w:tcW w:w="652" w:type="pct"/>
                  <w:shd w:val="clear" w:color="auto" w:fill="auto"/>
                  <w:noWrap w:val="0"/>
                  <w:vAlign w:val="center"/>
                </w:tcPr>
                <w:p w14:paraId="2D01B90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布袋除尘器收尘（电渣重熔）</w:t>
                  </w:r>
                </w:p>
              </w:tc>
              <w:tc>
                <w:tcPr>
                  <w:tcW w:w="1061" w:type="pct"/>
                  <w:tcBorders>
                    <w:top w:val="single" w:color="auto" w:sz="4" w:space="0"/>
                  </w:tcBorders>
                  <w:shd w:val="clear" w:color="auto" w:fill="auto"/>
                  <w:noWrap w:val="0"/>
                  <w:vAlign w:val="center"/>
                </w:tcPr>
                <w:p w14:paraId="6B9DAB8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387" w:type="pct"/>
                  <w:vMerge w:val="restart"/>
                  <w:tcBorders>
                    <w:top w:val="single" w:color="auto" w:sz="4" w:space="0"/>
                  </w:tcBorders>
                  <w:noWrap w:val="0"/>
                  <w:vAlign w:val="center"/>
                </w:tcPr>
                <w:p w14:paraId="035BC6F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危险废物</w:t>
                  </w:r>
                </w:p>
              </w:tc>
              <w:tc>
                <w:tcPr>
                  <w:tcW w:w="751" w:type="pct"/>
                  <w:tcBorders>
                    <w:top w:val="single" w:color="auto" w:sz="4" w:space="0"/>
                  </w:tcBorders>
                  <w:shd w:val="clear" w:color="auto" w:fill="auto"/>
                  <w:noWrap w:val="0"/>
                  <w:vAlign w:val="center"/>
                </w:tcPr>
                <w:p w14:paraId="226FABE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314-002-21</w:t>
                  </w:r>
                </w:p>
              </w:tc>
              <w:tc>
                <w:tcPr>
                  <w:tcW w:w="627" w:type="pct"/>
                  <w:shd w:val="clear" w:color="auto" w:fill="auto"/>
                  <w:noWrap w:val="0"/>
                  <w:vAlign w:val="center"/>
                </w:tcPr>
                <w:p w14:paraId="1A95098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6.797</w:t>
                  </w:r>
                </w:p>
              </w:tc>
              <w:tc>
                <w:tcPr>
                  <w:tcW w:w="770" w:type="pct"/>
                  <w:vMerge w:val="restart"/>
                  <w:noWrap w:val="0"/>
                  <w:vAlign w:val="center"/>
                </w:tcPr>
                <w:p w14:paraId="149E51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委托有资质单位处置</w:t>
                  </w:r>
                </w:p>
              </w:tc>
              <w:tc>
                <w:tcPr>
                  <w:tcW w:w="466" w:type="pct"/>
                  <w:vMerge w:val="restart"/>
                  <w:noWrap w:val="0"/>
                  <w:vAlign w:val="center"/>
                </w:tcPr>
                <w:p w14:paraId="2DE9F79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有资质单位</w:t>
                  </w:r>
                </w:p>
              </w:tc>
            </w:tr>
            <w:tr w14:paraId="71BE77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vAlign w:val="center"/>
                </w:tcPr>
                <w:p w14:paraId="59ACE7B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6</w:t>
                  </w:r>
                </w:p>
              </w:tc>
              <w:tc>
                <w:tcPr>
                  <w:tcW w:w="652" w:type="pct"/>
                  <w:shd w:val="clear" w:color="auto" w:fill="auto"/>
                  <w:vAlign w:val="center"/>
                </w:tcPr>
                <w:p w14:paraId="2BA04A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废布袋（电渣重熔）</w:t>
                  </w:r>
                </w:p>
              </w:tc>
              <w:tc>
                <w:tcPr>
                  <w:tcW w:w="1061" w:type="pct"/>
                  <w:shd w:val="clear" w:color="auto" w:fill="auto"/>
                  <w:vAlign w:val="center"/>
                </w:tcPr>
                <w:p w14:paraId="23FE2D2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电渣重熔烟尘处理</w:t>
                  </w:r>
                </w:p>
              </w:tc>
              <w:tc>
                <w:tcPr>
                  <w:tcW w:w="387" w:type="pct"/>
                  <w:vMerge w:val="continue"/>
                </w:tcPr>
                <w:p w14:paraId="338C09B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c>
                <w:tcPr>
                  <w:tcW w:w="751" w:type="pct"/>
                  <w:shd w:val="clear" w:color="auto" w:fill="auto"/>
                  <w:vAlign w:val="center"/>
                </w:tcPr>
                <w:p w14:paraId="1B48337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627" w:type="pct"/>
                  <w:shd w:val="clear" w:color="auto" w:fill="auto"/>
                  <w:vAlign w:val="center"/>
                </w:tcPr>
                <w:p w14:paraId="5EBA6D6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770" w:type="pct"/>
                  <w:vMerge w:val="continue"/>
                  <w:vAlign w:val="center"/>
                </w:tcPr>
                <w:p w14:paraId="1BDBF58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eastAsia="zh-CN" w:bidi="ar-SA"/>
                    </w:rPr>
                  </w:pPr>
                </w:p>
              </w:tc>
              <w:tc>
                <w:tcPr>
                  <w:tcW w:w="466" w:type="pct"/>
                  <w:vMerge w:val="continue"/>
                  <w:vAlign w:val="center"/>
                </w:tcPr>
                <w:p w14:paraId="42D31C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highlight w:val="none"/>
                      <w:lang w:val="en-US" w:eastAsia="zh-CN" w:bidi="ar-SA"/>
                    </w:rPr>
                  </w:pPr>
                </w:p>
              </w:tc>
            </w:tr>
            <w:tr w14:paraId="029382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vAlign w:val="center"/>
                </w:tcPr>
                <w:p w14:paraId="4BAA515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7</w:t>
                  </w:r>
                </w:p>
              </w:tc>
              <w:tc>
                <w:tcPr>
                  <w:tcW w:w="652" w:type="pct"/>
                  <w:shd w:val="clear" w:color="auto" w:fill="auto"/>
                  <w:vAlign w:val="center"/>
                </w:tcPr>
                <w:p w14:paraId="1607BA8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废切削液</w:t>
                  </w:r>
                </w:p>
              </w:tc>
              <w:tc>
                <w:tcPr>
                  <w:tcW w:w="1061" w:type="pct"/>
                  <w:shd w:val="clear" w:color="auto" w:fill="auto"/>
                  <w:vAlign w:val="center"/>
                </w:tcPr>
                <w:p w14:paraId="686F8E7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去冒口</w:t>
                  </w:r>
                </w:p>
              </w:tc>
              <w:tc>
                <w:tcPr>
                  <w:tcW w:w="387" w:type="pct"/>
                  <w:vMerge w:val="continue"/>
                  <w:shd w:val="clear" w:color="auto" w:fill="auto"/>
                  <w:vAlign w:val="center"/>
                </w:tcPr>
                <w:p w14:paraId="29A127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751" w:type="pct"/>
                  <w:shd w:val="clear" w:color="auto" w:fill="auto"/>
                  <w:vAlign w:val="center"/>
                </w:tcPr>
                <w:p w14:paraId="6AD26F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900-006-09</w:t>
                  </w:r>
                </w:p>
              </w:tc>
              <w:tc>
                <w:tcPr>
                  <w:tcW w:w="627" w:type="pct"/>
                  <w:shd w:val="clear" w:color="auto" w:fill="auto"/>
                  <w:vAlign w:val="center"/>
                </w:tcPr>
                <w:p w14:paraId="0F925F6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w:t>
                  </w:r>
                </w:p>
              </w:tc>
              <w:tc>
                <w:tcPr>
                  <w:tcW w:w="770" w:type="pct"/>
                  <w:vMerge w:val="continue"/>
                  <w:shd w:val="clear" w:color="auto" w:fill="auto"/>
                  <w:vAlign w:val="center"/>
                </w:tcPr>
                <w:p w14:paraId="47797B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466" w:type="pct"/>
                  <w:vMerge w:val="continue"/>
                  <w:shd w:val="clear" w:color="auto" w:fill="auto"/>
                  <w:vAlign w:val="center"/>
                </w:tcPr>
                <w:p w14:paraId="220E18F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r>
            <w:tr w14:paraId="18E0361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vAlign w:val="center"/>
                </w:tcPr>
                <w:p w14:paraId="4E4F16A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8</w:t>
                  </w:r>
                </w:p>
              </w:tc>
              <w:tc>
                <w:tcPr>
                  <w:tcW w:w="652" w:type="pct"/>
                  <w:shd w:val="clear" w:color="auto" w:fill="auto"/>
                  <w:vAlign w:val="center"/>
                </w:tcPr>
                <w:p w14:paraId="618A9D1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废包装桶</w:t>
                  </w:r>
                </w:p>
              </w:tc>
              <w:tc>
                <w:tcPr>
                  <w:tcW w:w="1061" w:type="pct"/>
                  <w:shd w:val="clear" w:color="auto" w:fill="auto"/>
                  <w:vAlign w:val="center"/>
                </w:tcPr>
                <w:p w14:paraId="7924F39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原料拆包</w:t>
                  </w:r>
                </w:p>
              </w:tc>
              <w:tc>
                <w:tcPr>
                  <w:tcW w:w="387" w:type="pct"/>
                  <w:vMerge w:val="continue"/>
                </w:tcPr>
                <w:p w14:paraId="56EAAEF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c>
                <w:tcPr>
                  <w:tcW w:w="751" w:type="pct"/>
                  <w:shd w:val="clear" w:color="auto" w:fill="auto"/>
                  <w:vAlign w:val="center"/>
                </w:tcPr>
                <w:p w14:paraId="6492D7A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627" w:type="pct"/>
                  <w:shd w:val="clear" w:color="auto" w:fill="auto"/>
                  <w:vAlign w:val="center"/>
                </w:tcPr>
                <w:p w14:paraId="6688ED2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0.2</w:t>
                  </w:r>
                </w:p>
              </w:tc>
              <w:tc>
                <w:tcPr>
                  <w:tcW w:w="770" w:type="pct"/>
                  <w:vMerge w:val="continue"/>
                </w:tcPr>
                <w:p w14:paraId="08F323F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c>
                <w:tcPr>
                  <w:tcW w:w="466" w:type="pct"/>
                  <w:vMerge w:val="continue"/>
                </w:tcPr>
                <w:p w14:paraId="6D61740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r w14:paraId="3515AA6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2" w:type="pct"/>
                  <w:shd w:val="clear" w:color="auto" w:fill="auto"/>
                  <w:vAlign w:val="center"/>
                </w:tcPr>
                <w:p w14:paraId="4B67237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652" w:type="pct"/>
                  <w:shd w:val="clear" w:color="auto" w:fill="auto"/>
                  <w:vAlign w:val="center"/>
                </w:tcPr>
                <w:p w14:paraId="4BBD7A4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废润滑油</w:t>
                  </w:r>
                </w:p>
              </w:tc>
              <w:tc>
                <w:tcPr>
                  <w:tcW w:w="1061" w:type="pct"/>
                  <w:shd w:val="clear" w:color="auto" w:fill="auto"/>
                  <w:vAlign w:val="center"/>
                </w:tcPr>
                <w:p w14:paraId="670B036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设备维护保养</w:t>
                  </w:r>
                </w:p>
              </w:tc>
              <w:tc>
                <w:tcPr>
                  <w:tcW w:w="387" w:type="pct"/>
                  <w:vMerge w:val="continue"/>
                </w:tcPr>
                <w:p w14:paraId="3B67EF4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c>
                <w:tcPr>
                  <w:tcW w:w="751" w:type="pct"/>
                  <w:shd w:val="clear" w:color="auto" w:fill="auto"/>
                  <w:vAlign w:val="center"/>
                </w:tcPr>
                <w:p w14:paraId="62E047B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627" w:type="pct"/>
                  <w:shd w:val="clear" w:color="auto" w:fill="auto"/>
                  <w:vAlign w:val="center"/>
                </w:tcPr>
                <w:p w14:paraId="714F698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0.</w:t>
                  </w:r>
                  <w:r>
                    <w:rPr>
                      <w:rFonts w:hint="eastAsia" w:cs="Times New Roman"/>
                      <w:color w:val="auto"/>
                      <w:szCs w:val="21"/>
                      <w:lang w:val="en-US" w:eastAsia="zh-CN"/>
                    </w:rPr>
                    <w:t>3</w:t>
                  </w:r>
                </w:p>
              </w:tc>
              <w:tc>
                <w:tcPr>
                  <w:tcW w:w="770" w:type="pct"/>
                  <w:vMerge w:val="continue"/>
                </w:tcPr>
                <w:p w14:paraId="3116B82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c>
                <w:tcPr>
                  <w:tcW w:w="466" w:type="pct"/>
                  <w:vMerge w:val="continue"/>
                </w:tcPr>
                <w:p w14:paraId="1579B7D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lang w:val="en-US" w:eastAsia="zh-CN" w:bidi="ar-SA"/>
                    </w:rPr>
                  </w:pPr>
                </w:p>
              </w:tc>
            </w:tr>
          </w:tbl>
          <w:p w14:paraId="2AF1C09A">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3</w:t>
            </w:r>
            <w:r>
              <w:rPr>
                <w:rFonts w:hint="eastAsia" w:ascii="Times New Roman" w:hAnsi="Times New Roman" w:cs="Times New Roman"/>
                <w:b/>
                <w:bCs/>
                <w:color w:val="auto"/>
                <w:sz w:val="24"/>
              </w:rPr>
              <w:t>、</w:t>
            </w:r>
            <w:r>
              <w:rPr>
                <w:rFonts w:hint="eastAsia" w:ascii="Times New Roman" w:hAnsi="Times New Roman" w:cs="Times New Roman"/>
                <w:b/>
                <w:bCs/>
                <w:color w:val="auto"/>
                <w:sz w:val="24"/>
                <w:lang w:val="en-US" w:eastAsia="zh-CN"/>
              </w:rPr>
              <w:t>临时贮存可行性</w:t>
            </w:r>
          </w:p>
          <w:p w14:paraId="7CB2BE74">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b w:val="0"/>
                <w:bCs w:val="0"/>
                <w:color w:val="auto"/>
                <w:sz w:val="24"/>
              </w:rPr>
            </w:pPr>
            <w:r>
              <w:rPr>
                <w:rFonts w:hint="eastAsia" w:ascii="Times New Roman" w:hAnsi="Times New Roman" w:cs="Times New Roman"/>
                <w:b w:val="0"/>
                <w:bCs w:val="0"/>
                <w:color w:val="auto"/>
                <w:sz w:val="24"/>
              </w:rPr>
              <w:t>项目产生的废物应分类收集、分类贮存，并张贴标签储存在专门的场所内，一般固废、生活垃圾、危险废物应分开储存，不得混放。</w:t>
            </w:r>
            <w:r>
              <w:rPr>
                <w:rFonts w:hint="eastAsia" w:ascii="Times New Roman" w:hAnsi="Times New Roman" w:cs="Times New Roman"/>
                <w:color w:val="auto"/>
                <w:sz w:val="24"/>
              </w:rPr>
              <w:t>一般固废库房按照《一般工业固体废物贮存和填埋污染控制标准》（GB18599-2020）要求做好防雨、防风、防渗漏措施，避免产生渗透、雨水淋溶以及大风吹扬等二次污染，定期外售处置。危险废物</w:t>
            </w:r>
            <w:r>
              <w:rPr>
                <w:rFonts w:hint="eastAsia" w:ascii="Times New Roman" w:hAnsi="Times New Roman" w:cs="Times New Roman"/>
                <w:color w:val="auto"/>
                <w:sz w:val="24"/>
                <w:lang w:val="en-US" w:eastAsia="zh-CN"/>
              </w:rPr>
              <w:t>按照</w:t>
            </w:r>
            <w:r>
              <w:rPr>
                <w:rFonts w:hint="eastAsia" w:ascii="Times New Roman" w:hAnsi="Times New Roman" w:cs="Times New Roman"/>
                <w:color w:val="auto"/>
                <w:sz w:val="24"/>
              </w:rPr>
              <w:t>《危险废物贮存污染控制标准》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GB18597-2023</w:t>
            </w:r>
            <w:r>
              <w:rPr>
                <w:rFonts w:hint="eastAsia" w:ascii="Times New Roman" w:hAnsi="Times New Roman" w:cs="Times New Roman"/>
                <w:color w:val="auto"/>
                <w:sz w:val="24"/>
                <w:lang w:eastAsia="zh-CN"/>
              </w:rPr>
              <w:t>）</w:t>
            </w:r>
            <w:r>
              <w:rPr>
                <w:rFonts w:hint="eastAsia" w:ascii="Times New Roman" w:hAnsi="Times New Roman" w:cs="Times New Roman"/>
                <w:b w:val="0"/>
                <w:bCs w:val="0"/>
                <w:color w:val="auto"/>
                <w:sz w:val="24"/>
              </w:rPr>
              <w:t>规范要求设置，设有防风、防晒、防雨、防漏、防渗、防腐等措施，并设置危险废物标识和警示牌。</w:t>
            </w:r>
          </w:p>
          <w:p w14:paraId="380D833D">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b w:val="0"/>
                <w:bCs w:val="0"/>
                <w:color w:val="auto"/>
                <w:sz w:val="24"/>
              </w:rPr>
            </w:pPr>
            <w:r>
              <w:rPr>
                <w:rFonts w:hint="eastAsia" w:ascii="Times New Roman" w:hAnsi="Times New Roman" w:cs="Times New Roman"/>
                <w:b w:val="0"/>
                <w:bCs w:val="0"/>
                <w:color w:val="auto"/>
                <w:sz w:val="24"/>
              </w:rPr>
              <w:t>本项目</w:t>
            </w:r>
            <w:r>
              <w:rPr>
                <w:rFonts w:hint="eastAsia" w:ascii="Times New Roman" w:hAnsi="Times New Roman" w:cs="Times New Roman"/>
                <w:color w:val="auto"/>
                <w:sz w:val="24"/>
                <w:lang w:val="en-US" w:eastAsia="zh-CN"/>
              </w:rPr>
              <w:t>依托原有</w:t>
            </w:r>
            <w:r>
              <w:rPr>
                <w:rFonts w:hint="eastAsia" w:ascii="Times New Roman" w:hAnsi="Times New Roman" w:cs="Times New Roman"/>
                <w:color w:val="auto"/>
                <w:sz w:val="24"/>
              </w:rPr>
              <w:t>一般固废库房</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面积100m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eastAsia="zh-CN"/>
              </w:rPr>
              <w:t>）</w:t>
            </w:r>
            <w:r>
              <w:rPr>
                <w:rFonts w:hint="eastAsia" w:ascii="Times New Roman" w:hAnsi="Times New Roman" w:cs="Times New Roman"/>
                <w:b w:val="0"/>
                <w:bCs w:val="0"/>
                <w:color w:val="auto"/>
                <w:sz w:val="24"/>
              </w:rPr>
              <w:t>，可满足全厂一般固废的暂存需要，一般固废暂存周期不超过</w:t>
            </w:r>
            <w:r>
              <w:rPr>
                <w:rFonts w:hint="eastAsia" w:cs="Times New Roman"/>
                <w:b w:val="0"/>
                <w:bCs w:val="0"/>
                <w:color w:val="auto"/>
                <w:sz w:val="24"/>
                <w:lang w:val="en-US" w:eastAsia="zh-CN"/>
              </w:rPr>
              <w:t>3</w:t>
            </w:r>
            <w:r>
              <w:rPr>
                <w:rFonts w:hint="eastAsia" w:ascii="Times New Roman" w:hAnsi="Times New Roman" w:cs="Times New Roman"/>
                <w:b w:val="0"/>
                <w:bCs w:val="0"/>
                <w:color w:val="auto"/>
                <w:sz w:val="24"/>
              </w:rPr>
              <w:t>天（平均每年周转</w:t>
            </w:r>
            <w:r>
              <w:rPr>
                <w:rFonts w:hint="eastAsia" w:cs="Times New Roman"/>
                <w:b w:val="0"/>
                <w:bCs w:val="0"/>
                <w:color w:val="auto"/>
                <w:sz w:val="24"/>
                <w:lang w:val="en-US" w:eastAsia="zh-CN"/>
              </w:rPr>
              <w:t>100</w:t>
            </w:r>
            <w:r>
              <w:rPr>
                <w:rFonts w:hint="eastAsia" w:ascii="Times New Roman" w:hAnsi="Times New Roman" w:cs="Times New Roman"/>
                <w:b w:val="0"/>
                <w:bCs w:val="0"/>
                <w:color w:val="auto"/>
                <w:sz w:val="24"/>
              </w:rPr>
              <w:t>次）。一般固废堆场的建设满足防风、防雨、防晒等要求。</w:t>
            </w:r>
          </w:p>
          <w:p w14:paraId="25CC5258">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w:t>
            </w:r>
            <w:r>
              <w:rPr>
                <w:rFonts w:hint="eastAsia" w:ascii="Times New Roman" w:hAnsi="Times New Roman" w:cs="Times New Roman"/>
                <w:color w:val="auto"/>
                <w:sz w:val="24"/>
                <w:lang w:val="en-US" w:eastAsia="zh-CN"/>
              </w:rPr>
              <w:t>依托原有</w:t>
            </w:r>
            <w:r>
              <w:rPr>
                <w:rFonts w:hint="eastAsia" w:ascii="Times New Roman" w:hAnsi="Times New Roman" w:cs="Times New Roman"/>
                <w:color w:val="auto"/>
                <w:sz w:val="24"/>
              </w:rPr>
              <w:t>危废仓库</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面积</w:t>
            </w:r>
            <w:r>
              <w:rPr>
                <w:rFonts w:hint="eastAsia" w:cs="Times New Roman"/>
                <w:color w:val="auto"/>
                <w:sz w:val="24"/>
                <w:lang w:val="en-US" w:eastAsia="zh-CN"/>
              </w:rPr>
              <w:t>20</w:t>
            </w:r>
            <w:r>
              <w:rPr>
                <w:rFonts w:hint="eastAsia" w:ascii="Times New Roman" w:hAnsi="Times New Roman" w:cs="Times New Roman"/>
                <w:color w:val="auto"/>
                <w:sz w:val="24"/>
                <w:lang w:val="en-US" w:eastAsia="zh-CN"/>
              </w:rPr>
              <w:t>m</w:t>
            </w:r>
            <w:r>
              <w:rPr>
                <w:rFonts w:hint="eastAsia" w:ascii="Times New Roman" w:hAnsi="Times New Roman" w:cs="Times New Roman"/>
                <w:color w:val="auto"/>
                <w:sz w:val="24"/>
                <w:vertAlign w:val="superscript"/>
                <w:lang w:val="en-US" w:eastAsia="zh-CN"/>
              </w:rPr>
              <w:t>2</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，用于全厂危废的暂存。危险废物</w:t>
            </w:r>
            <w:r>
              <w:rPr>
                <w:rFonts w:hint="eastAsia" w:ascii="Times New Roman" w:hAnsi="Times New Roman" w:cs="Times New Roman"/>
                <w:color w:val="auto"/>
                <w:sz w:val="24"/>
                <w:lang w:val="en-US" w:eastAsia="zh-CN"/>
              </w:rPr>
              <w:t>按照</w:t>
            </w:r>
            <w:r>
              <w:rPr>
                <w:rFonts w:hint="eastAsia" w:ascii="Times New Roman" w:hAnsi="Times New Roman" w:cs="Times New Roman"/>
                <w:color w:val="auto"/>
                <w:sz w:val="24"/>
              </w:rPr>
              <w:t>《危险废物贮存污染控制标准》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GB18597-2023</w:t>
            </w:r>
            <w:r>
              <w:rPr>
                <w:rFonts w:hint="eastAsia" w:ascii="Times New Roman" w:hAnsi="Times New Roman" w:cs="Times New Roman"/>
                <w:color w:val="auto"/>
                <w:sz w:val="24"/>
                <w:lang w:eastAsia="zh-CN"/>
              </w:rPr>
              <w:t>）</w:t>
            </w:r>
            <w:r>
              <w:rPr>
                <w:rFonts w:hint="eastAsia" w:ascii="Times New Roman" w:hAnsi="Times New Roman" w:cs="Times New Roman"/>
                <w:b w:val="0"/>
                <w:bCs w:val="0"/>
                <w:color w:val="auto"/>
                <w:sz w:val="24"/>
              </w:rPr>
              <w:t>规范要求设置，设有防风、防晒、防雨、防漏、防渗、防腐等措施</w:t>
            </w:r>
            <w:r>
              <w:rPr>
                <w:rFonts w:hint="eastAsia" w:ascii="Times New Roman" w:hAnsi="Times New Roman" w:cs="Times New Roman"/>
                <w:color w:val="auto"/>
                <w:sz w:val="24"/>
              </w:rPr>
              <w:t>。同时，</w:t>
            </w:r>
            <w:r>
              <w:rPr>
                <w:rFonts w:hint="default" w:ascii="Times New Roman" w:hAnsi="Times New Roman" w:cs="Times New Roman"/>
                <w:color w:val="auto"/>
                <w:sz w:val="24"/>
              </w:rPr>
              <w:t>根据</w:t>
            </w:r>
            <w:r>
              <w:rPr>
                <w:rFonts w:hint="eastAsia" w:ascii="Times New Roman" w:hAnsi="Times New Roman" w:cs="Times New Roman"/>
                <w:color w:val="auto"/>
                <w:sz w:val="24"/>
                <w:lang w:eastAsia="zh-CN"/>
              </w:rPr>
              <w:t>《省生态环境厅关于印发〈江苏省固体废物全过程环境监管工作意见〉的通知》</w:t>
            </w:r>
            <w:r>
              <w:rPr>
                <w:rFonts w:hint="eastAsia" w:cs="Times New Roman"/>
                <w:color w:val="auto"/>
                <w:sz w:val="24"/>
                <w:lang w:eastAsia="zh-CN"/>
              </w:rPr>
              <w:t>（</w:t>
            </w:r>
            <w:r>
              <w:rPr>
                <w:rFonts w:hint="default" w:ascii="Times New Roman" w:hAnsi="Times New Roman" w:cs="Times New Roman"/>
                <w:color w:val="auto"/>
                <w:sz w:val="24"/>
              </w:rPr>
              <w:t>苏环办</w:t>
            </w:r>
            <w:r>
              <w:rPr>
                <w:rFonts w:hint="eastAsia" w:ascii="Times New Roman" w:hAnsi="Times New Roman" w:cs="Times New Roman"/>
                <w:color w:val="auto"/>
                <w:sz w:val="24"/>
              </w:rPr>
              <w:t>〔</w:t>
            </w:r>
            <w:r>
              <w:rPr>
                <w:rFonts w:hint="default" w:ascii="Times New Roman" w:hAnsi="Times New Roman" w:cs="Times New Roman"/>
                <w:color w:val="auto"/>
                <w:sz w:val="24"/>
              </w:rPr>
              <w:t>20</w:t>
            </w:r>
            <w:r>
              <w:rPr>
                <w:rFonts w:hint="eastAsia" w:ascii="Times New Roman" w:hAnsi="Times New Roman" w:cs="Times New Roman"/>
                <w:color w:val="auto"/>
                <w:sz w:val="24"/>
                <w:lang w:val="en-US" w:eastAsia="zh-CN"/>
              </w:rPr>
              <w:t>24</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16</w:t>
            </w:r>
            <w:r>
              <w:rPr>
                <w:rFonts w:hint="default" w:ascii="Times New Roman" w:hAnsi="Times New Roman" w:cs="Times New Roman"/>
                <w:color w:val="auto"/>
                <w:sz w:val="24"/>
              </w:rPr>
              <w:t>号）以及《省生态环境厅关于印发江苏省危险废物贮存规范化管理专项整治行动方案的通知》（苏环办〔2019〕149号）要求，按照《环境保护图形标志固体废物贮存（处置）场》（GB15562.2-1995）修改单和《危险废物识别标识设置技术规范》（HJ1276-2022）设置标志</w:t>
            </w:r>
            <w:r>
              <w:rPr>
                <w:rFonts w:hint="eastAsia" w:ascii="Times New Roman" w:hAnsi="Times New Roman" w:cs="Times New Roman"/>
                <w:color w:val="auto"/>
                <w:sz w:val="24"/>
              </w:rPr>
              <w:t>，配备通讯设备、照明设施和消防设施，设置气体导出口及气体净化装置，确保废气达标排放；在出入口、设施内部、危险废物运输车辆通道等关键位置按照危险废物贮存设施视频监控布设要求设置视频监控，并与中控室联网。有条件的企业采用云存储方式保存视频监控数据。</w:t>
            </w:r>
          </w:p>
          <w:p w14:paraId="59E7C0A7">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w:t>
            </w:r>
            <w:r>
              <w:rPr>
                <w:rFonts w:hint="eastAsia" w:ascii="Times New Roman" w:hAnsi="Times New Roman" w:cs="Times New Roman"/>
                <w:color w:val="auto"/>
                <w:sz w:val="24"/>
                <w:lang w:val="en-US" w:eastAsia="zh-CN"/>
              </w:rPr>
              <w:t>建成后</w:t>
            </w:r>
            <w:r>
              <w:rPr>
                <w:rFonts w:hint="eastAsia" w:ascii="Times New Roman" w:hAnsi="Times New Roman" w:cs="Times New Roman"/>
                <w:color w:val="auto"/>
                <w:sz w:val="24"/>
              </w:rPr>
              <w:t>全厂危险废物暂存情况如下表。</w:t>
            </w:r>
          </w:p>
          <w:p w14:paraId="681B9DFD">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rPr>
              <w:t>4</w:t>
            </w:r>
            <w:r>
              <w:rPr>
                <w:rFonts w:hint="default" w:ascii="Times New Roman" w:hAnsi="Times New Roman" w:cs="Times New Roman"/>
                <w:b/>
                <w:bCs/>
                <w:color w:val="auto"/>
                <w:sz w:val="24"/>
              </w:rPr>
              <w:t>.4-</w:t>
            </w:r>
            <w:r>
              <w:rPr>
                <w:rFonts w:hint="eastAsia" w:ascii="Times New Roman" w:hAnsi="Times New Roman" w:cs="Times New Roman"/>
                <w:b/>
                <w:bCs/>
                <w:color w:val="auto"/>
                <w:sz w:val="24"/>
                <w:lang w:val="en-US" w:eastAsia="zh-CN"/>
              </w:rPr>
              <w:t>5</w:t>
            </w:r>
            <w:r>
              <w:rPr>
                <w:rFonts w:hint="default" w:ascii="Times New Roman" w:hAnsi="Times New Roman" w:cs="Times New Roman"/>
                <w:b/>
                <w:bCs/>
                <w:color w:val="auto"/>
                <w:sz w:val="24"/>
              </w:rPr>
              <w:t xml:space="preserve"> </w:t>
            </w:r>
            <w:r>
              <w:rPr>
                <w:rFonts w:hint="eastAsia" w:ascii="Times New Roman" w:hAnsi="Times New Roman" w:cs="Times New Roman"/>
                <w:b/>
                <w:color w:val="auto"/>
                <w:sz w:val="24"/>
              </w:rPr>
              <w:t>建设</w:t>
            </w:r>
            <w:r>
              <w:rPr>
                <w:rFonts w:hint="default" w:ascii="Times New Roman" w:hAnsi="Times New Roman" w:cs="Times New Roman"/>
                <w:b/>
                <w:bCs/>
                <w:color w:val="auto"/>
                <w:sz w:val="24"/>
              </w:rPr>
              <w:t>危险废物贮存场所（设施）基本情况表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6"/>
              <w:gridCol w:w="671"/>
              <w:gridCol w:w="1553"/>
              <w:gridCol w:w="1324"/>
              <w:gridCol w:w="466"/>
              <w:gridCol w:w="1000"/>
              <w:gridCol w:w="1082"/>
              <w:gridCol w:w="943"/>
              <w:gridCol w:w="946"/>
            </w:tblGrid>
            <w:tr w14:paraId="306C9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noWrap w:val="0"/>
                  <w:vAlign w:val="center"/>
                </w:tcPr>
                <w:p w14:paraId="7A85A7D4">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396" w:type="pct"/>
                  <w:noWrap w:val="0"/>
                  <w:vAlign w:val="center"/>
                </w:tcPr>
                <w:p w14:paraId="63ACEBC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贮存场所</w:t>
                  </w:r>
                </w:p>
              </w:tc>
              <w:tc>
                <w:tcPr>
                  <w:tcW w:w="916" w:type="pct"/>
                  <w:noWrap w:val="0"/>
                  <w:vAlign w:val="center"/>
                </w:tcPr>
                <w:p w14:paraId="5E11965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危险废物名称</w:t>
                  </w:r>
                </w:p>
              </w:tc>
              <w:tc>
                <w:tcPr>
                  <w:tcW w:w="781" w:type="pct"/>
                  <w:noWrap w:val="0"/>
                  <w:vAlign w:val="center"/>
                </w:tcPr>
                <w:p w14:paraId="4C30432C">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危险废物代码</w:t>
                  </w:r>
                </w:p>
              </w:tc>
              <w:tc>
                <w:tcPr>
                  <w:tcW w:w="275" w:type="pct"/>
                  <w:noWrap w:val="0"/>
                  <w:vAlign w:val="center"/>
                </w:tcPr>
                <w:p w14:paraId="62148DF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位置</w:t>
                  </w:r>
                </w:p>
              </w:tc>
              <w:tc>
                <w:tcPr>
                  <w:tcW w:w="590" w:type="pct"/>
                  <w:noWrap w:val="0"/>
                  <w:vAlign w:val="center"/>
                </w:tcPr>
                <w:p w14:paraId="7A8643C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占地面积（m</w:t>
                  </w:r>
                  <w:r>
                    <w:rPr>
                      <w:rFonts w:hint="default" w:ascii="Times New Roman" w:hAnsi="Times New Roman" w:cs="Times New Roman"/>
                      <w:b/>
                      <w:bCs/>
                      <w:color w:val="auto"/>
                      <w:szCs w:val="21"/>
                      <w:vertAlign w:val="superscript"/>
                    </w:rPr>
                    <w:t>2</w:t>
                  </w:r>
                  <w:r>
                    <w:rPr>
                      <w:rFonts w:hint="default" w:ascii="Times New Roman" w:hAnsi="Times New Roman" w:cs="Times New Roman"/>
                      <w:b/>
                      <w:bCs/>
                      <w:color w:val="auto"/>
                      <w:szCs w:val="21"/>
                    </w:rPr>
                    <w:t>）</w:t>
                  </w:r>
                </w:p>
              </w:tc>
              <w:tc>
                <w:tcPr>
                  <w:tcW w:w="638" w:type="pct"/>
                  <w:noWrap w:val="0"/>
                  <w:vAlign w:val="center"/>
                </w:tcPr>
                <w:p w14:paraId="72260C62">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贮存方式</w:t>
                  </w:r>
                </w:p>
              </w:tc>
              <w:tc>
                <w:tcPr>
                  <w:tcW w:w="556" w:type="pct"/>
                  <w:noWrap w:val="0"/>
                  <w:vAlign w:val="center"/>
                </w:tcPr>
                <w:p w14:paraId="7C96C9C3">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b/>
                      <w:bCs/>
                      <w:color w:val="auto"/>
                      <w:szCs w:val="21"/>
                    </w:rPr>
                  </w:pPr>
                  <w:r>
                    <w:rPr>
                      <w:rFonts w:hint="default" w:ascii="Times New Roman" w:hAnsi="Times New Roman" w:cs="Times New Roman"/>
                      <w:b/>
                      <w:bCs/>
                      <w:color w:val="auto"/>
                      <w:szCs w:val="21"/>
                    </w:rPr>
                    <w:t>贮存</w:t>
                  </w:r>
                  <w:r>
                    <w:rPr>
                      <w:rFonts w:hint="eastAsia" w:cs="Times New Roman"/>
                      <w:b/>
                      <w:bCs/>
                      <w:color w:val="auto"/>
                      <w:szCs w:val="21"/>
                      <w:lang w:eastAsia="zh-CN"/>
                    </w:rPr>
                    <w:t>能力</w:t>
                  </w:r>
                  <w:r>
                    <w:rPr>
                      <w:rFonts w:hint="eastAsia" w:ascii="Times New Roman" w:hAnsi="Times New Roman" w:cs="Times New Roman"/>
                      <w:b/>
                      <w:bCs/>
                      <w:color w:val="auto"/>
                      <w:szCs w:val="21"/>
                    </w:rPr>
                    <w:t>（t）</w:t>
                  </w:r>
                </w:p>
              </w:tc>
              <w:tc>
                <w:tcPr>
                  <w:tcW w:w="558" w:type="pct"/>
                  <w:noWrap w:val="0"/>
                  <w:vAlign w:val="center"/>
                </w:tcPr>
                <w:p w14:paraId="6705146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贮存周期</w:t>
                  </w:r>
                </w:p>
              </w:tc>
            </w:tr>
            <w:tr w14:paraId="11B64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noWrap w:val="0"/>
                  <w:vAlign w:val="center"/>
                </w:tcPr>
                <w:p w14:paraId="20EEC4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1</w:t>
                  </w:r>
                </w:p>
              </w:tc>
              <w:tc>
                <w:tcPr>
                  <w:tcW w:w="396" w:type="pct"/>
                  <w:vMerge w:val="restart"/>
                  <w:noWrap w:val="0"/>
                  <w:vAlign w:val="center"/>
                </w:tcPr>
                <w:p w14:paraId="16124B08">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default" w:ascii="Times New Roman" w:hAnsi="Times New Roman" w:cs="Times New Roman"/>
                      <w:color w:val="auto"/>
                      <w:szCs w:val="21"/>
                    </w:rPr>
                    <w:t>危废库房</w:t>
                  </w:r>
                </w:p>
              </w:tc>
              <w:tc>
                <w:tcPr>
                  <w:tcW w:w="916" w:type="pct"/>
                  <w:shd w:val="clear" w:color="auto" w:fill="auto"/>
                  <w:noWrap w:val="0"/>
                  <w:vAlign w:val="center"/>
                </w:tcPr>
                <w:p w14:paraId="14987D7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布袋除尘器收尘（电渣重熔）</w:t>
                  </w:r>
                </w:p>
              </w:tc>
              <w:tc>
                <w:tcPr>
                  <w:tcW w:w="781" w:type="pct"/>
                  <w:shd w:val="clear" w:color="auto" w:fill="auto"/>
                  <w:noWrap w:val="0"/>
                  <w:vAlign w:val="center"/>
                </w:tcPr>
                <w:p w14:paraId="52D3F22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314-002-21</w:t>
                  </w:r>
                </w:p>
              </w:tc>
              <w:tc>
                <w:tcPr>
                  <w:tcW w:w="275" w:type="pct"/>
                  <w:vMerge w:val="restart"/>
                  <w:shd w:val="clear" w:color="auto" w:fill="auto"/>
                  <w:noWrap w:val="0"/>
                  <w:vAlign w:val="center"/>
                </w:tcPr>
                <w:p w14:paraId="65CD62D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车间</w:t>
                  </w:r>
                  <w:r>
                    <w:rPr>
                      <w:rFonts w:hint="eastAsia" w:cs="Times New Roman"/>
                      <w:color w:val="auto"/>
                      <w:szCs w:val="21"/>
                      <w:lang w:val="en-US" w:eastAsia="zh-CN"/>
                    </w:rPr>
                    <w:t>三</w:t>
                  </w:r>
                  <w:r>
                    <w:rPr>
                      <w:rFonts w:hint="eastAsia" w:ascii="Times New Roman" w:hAnsi="Times New Roman" w:cs="Times New Roman"/>
                      <w:color w:val="auto"/>
                      <w:szCs w:val="21"/>
                      <w:lang w:val="en-US" w:eastAsia="zh-CN"/>
                    </w:rPr>
                    <w:t>内</w:t>
                  </w:r>
                </w:p>
              </w:tc>
              <w:tc>
                <w:tcPr>
                  <w:tcW w:w="590" w:type="pct"/>
                  <w:vMerge w:val="restart"/>
                  <w:noWrap w:val="0"/>
                  <w:vAlign w:val="center"/>
                </w:tcPr>
                <w:p w14:paraId="58E4C454">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20m</w:t>
                  </w:r>
                  <w:r>
                    <w:rPr>
                      <w:rFonts w:hint="eastAsia" w:cs="Times New Roman"/>
                      <w:color w:val="auto"/>
                      <w:szCs w:val="21"/>
                      <w:vertAlign w:val="superscript"/>
                      <w:lang w:val="en-US" w:eastAsia="zh-CN"/>
                    </w:rPr>
                    <w:t>2</w:t>
                  </w:r>
                </w:p>
              </w:tc>
              <w:tc>
                <w:tcPr>
                  <w:tcW w:w="638" w:type="pct"/>
                  <w:noWrap w:val="0"/>
                  <w:vAlign w:val="center"/>
                </w:tcPr>
                <w:p w14:paraId="160C9E3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556" w:type="pct"/>
                  <w:noWrap w:val="0"/>
                  <w:vAlign w:val="center"/>
                </w:tcPr>
                <w:p w14:paraId="52FDF523">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1.5</w:t>
                  </w:r>
                </w:p>
              </w:tc>
              <w:tc>
                <w:tcPr>
                  <w:tcW w:w="558" w:type="pct"/>
                  <w:shd w:val="clear" w:color="auto" w:fill="auto"/>
                  <w:noWrap w:val="0"/>
                  <w:vAlign w:val="center"/>
                </w:tcPr>
                <w:p w14:paraId="5A49AEC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02D73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noWrap w:val="0"/>
                  <w:vAlign w:val="center"/>
                </w:tcPr>
                <w:p w14:paraId="08C670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p>
              </w:tc>
              <w:tc>
                <w:tcPr>
                  <w:tcW w:w="396" w:type="pct"/>
                  <w:vMerge w:val="continue"/>
                  <w:noWrap w:val="0"/>
                  <w:vAlign w:val="center"/>
                </w:tcPr>
                <w:p w14:paraId="6B9FE67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916" w:type="pct"/>
                  <w:shd w:val="clear" w:color="auto" w:fill="auto"/>
                  <w:noWrap w:val="0"/>
                  <w:vAlign w:val="center"/>
                </w:tcPr>
                <w:p w14:paraId="5680C33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废布袋（电渣重熔）</w:t>
                  </w:r>
                </w:p>
              </w:tc>
              <w:tc>
                <w:tcPr>
                  <w:tcW w:w="781" w:type="pct"/>
                  <w:shd w:val="clear" w:color="auto" w:fill="auto"/>
                  <w:noWrap w:val="0"/>
                  <w:vAlign w:val="center"/>
                </w:tcPr>
                <w:p w14:paraId="4002AD8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75" w:type="pct"/>
                  <w:vMerge w:val="continue"/>
                  <w:shd w:val="clear" w:color="auto" w:fill="auto"/>
                  <w:noWrap w:val="0"/>
                  <w:vAlign w:val="center"/>
                </w:tcPr>
                <w:p w14:paraId="18C9915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p>
              </w:tc>
              <w:tc>
                <w:tcPr>
                  <w:tcW w:w="590" w:type="pct"/>
                  <w:vMerge w:val="continue"/>
                  <w:noWrap w:val="0"/>
                  <w:vAlign w:val="center"/>
                </w:tcPr>
                <w:p w14:paraId="16E178AB">
                  <w:pPr>
                    <w:keepNext w:val="0"/>
                    <w:keepLines w:val="0"/>
                    <w:suppressLineNumbers w:val="0"/>
                    <w:topLinePunct/>
                    <w:adjustRightInd w:val="0"/>
                    <w:snapToGrid w:val="0"/>
                    <w:spacing w:before="0" w:beforeAutospacing="0" w:after="0" w:afterAutospacing="0"/>
                    <w:ind w:left="0" w:right="0"/>
                    <w:jc w:val="center"/>
                    <w:rPr>
                      <w:rFonts w:hint="eastAsia" w:cs="Times New Roman"/>
                      <w:color w:val="auto"/>
                      <w:szCs w:val="21"/>
                      <w:lang w:val="en-US" w:eastAsia="zh-CN"/>
                    </w:rPr>
                  </w:pPr>
                </w:p>
              </w:tc>
              <w:tc>
                <w:tcPr>
                  <w:tcW w:w="638" w:type="pct"/>
                  <w:noWrap w:val="0"/>
                  <w:vAlign w:val="center"/>
                </w:tcPr>
                <w:p w14:paraId="0848C376">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袋装密封</w:t>
                  </w:r>
                </w:p>
              </w:tc>
              <w:tc>
                <w:tcPr>
                  <w:tcW w:w="556" w:type="pct"/>
                  <w:noWrap w:val="0"/>
                  <w:vAlign w:val="center"/>
                </w:tcPr>
                <w:p w14:paraId="2AA7A5B9">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0.5</w:t>
                  </w:r>
                </w:p>
              </w:tc>
              <w:tc>
                <w:tcPr>
                  <w:tcW w:w="558" w:type="pct"/>
                  <w:shd w:val="clear" w:color="auto" w:fill="auto"/>
                  <w:noWrap w:val="0"/>
                  <w:vAlign w:val="center"/>
                </w:tcPr>
                <w:p w14:paraId="6C53378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78D2F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noWrap w:val="0"/>
                  <w:vAlign w:val="center"/>
                </w:tcPr>
                <w:p w14:paraId="1FE13E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3</w:t>
                  </w:r>
                </w:p>
              </w:tc>
              <w:tc>
                <w:tcPr>
                  <w:tcW w:w="396" w:type="pct"/>
                  <w:vMerge w:val="continue"/>
                  <w:noWrap w:val="0"/>
                  <w:vAlign w:val="center"/>
                </w:tcPr>
                <w:p w14:paraId="4B2A5E8F">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p>
              </w:tc>
              <w:tc>
                <w:tcPr>
                  <w:tcW w:w="916" w:type="pct"/>
                  <w:shd w:val="clear" w:color="auto" w:fill="auto"/>
                  <w:noWrap w:val="0"/>
                  <w:vAlign w:val="center"/>
                </w:tcPr>
                <w:p w14:paraId="31B046BA">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废切削液</w:t>
                  </w:r>
                </w:p>
              </w:tc>
              <w:tc>
                <w:tcPr>
                  <w:tcW w:w="781" w:type="pct"/>
                  <w:shd w:val="clear" w:color="auto" w:fill="auto"/>
                  <w:noWrap w:val="0"/>
                  <w:vAlign w:val="center"/>
                </w:tcPr>
                <w:p w14:paraId="45EC7C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szCs w:val="21"/>
                      <w:highlight w:val="none"/>
                      <w:lang w:bidi="ar"/>
                    </w:rPr>
                    <w:t>900-006-09</w:t>
                  </w:r>
                </w:p>
              </w:tc>
              <w:tc>
                <w:tcPr>
                  <w:tcW w:w="275" w:type="pct"/>
                  <w:vMerge w:val="continue"/>
                  <w:noWrap w:val="0"/>
                  <w:vAlign w:val="center"/>
                </w:tcPr>
                <w:p w14:paraId="4F280D9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lang w:val="en-US"/>
                    </w:rPr>
                  </w:pPr>
                </w:p>
              </w:tc>
              <w:tc>
                <w:tcPr>
                  <w:tcW w:w="590" w:type="pct"/>
                  <w:vMerge w:val="continue"/>
                  <w:noWrap w:val="0"/>
                  <w:vAlign w:val="center"/>
                </w:tcPr>
                <w:p w14:paraId="7577F71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638" w:type="pct"/>
                  <w:noWrap w:val="0"/>
                  <w:vAlign w:val="center"/>
                </w:tcPr>
                <w:p w14:paraId="66B9E0F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556" w:type="pct"/>
                  <w:noWrap w:val="0"/>
                  <w:vAlign w:val="center"/>
                </w:tcPr>
                <w:p w14:paraId="086624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558" w:type="pct"/>
                  <w:noWrap w:val="0"/>
                  <w:vAlign w:val="center"/>
                </w:tcPr>
                <w:p w14:paraId="53C3DC82">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59B3D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noWrap w:val="0"/>
                  <w:vAlign w:val="center"/>
                </w:tcPr>
                <w:p w14:paraId="6DA34B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4</w:t>
                  </w:r>
                </w:p>
              </w:tc>
              <w:tc>
                <w:tcPr>
                  <w:tcW w:w="396" w:type="pct"/>
                  <w:vMerge w:val="continue"/>
                  <w:noWrap w:val="0"/>
                  <w:vAlign w:val="center"/>
                </w:tcPr>
                <w:p w14:paraId="2C0F93B2">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916" w:type="pct"/>
                  <w:shd w:val="clear" w:color="auto" w:fill="auto"/>
                  <w:noWrap w:val="0"/>
                  <w:vAlign w:val="center"/>
                </w:tcPr>
                <w:p w14:paraId="0BA1C4F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磨削泥</w:t>
                  </w:r>
                </w:p>
              </w:tc>
              <w:tc>
                <w:tcPr>
                  <w:tcW w:w="781" w:type="pct"/>
                  <w:shd w:val="clear" w:color="auto" w:fill="auto"/>
                  <w:noWrap w:val="0"/>
                  <w:vAlign w:val="center"/>
                </w:tcPr>
                <w:p w14:paraId="588AFA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eastAsia"/>
                      <w:color w:val="auto"/>
                      <w:szCs w:val="21"/>
                      <w:highlight w:val="none"/>
                      <w:lang w:bidi="ar"/>
                    </w:rPr>
                    <w:t>900-006-09</w:t>
                  </w:r>
                </w:p>
              </w:tc>
              <w:tc>
                <w:tcPr>
                  <w:tcW w:w="275" w:type="pct"/>
                  <w:vMerge w:val="continue"/>
                  <w:noWrap w:val="0"/>
                  <w:vAlign w:val="center"/>
                </w:tcPr>
                <w:p w14:paraId="1F5F9B31">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90" w:type="pct"/>
                  <w:vMerge w:val="continue"/>
                  <w:noWrap w:val="0"/>
                  <w:vAlign w:val="center"/>
                </w:tcPr>
                <w:p w14:paraId="4E66993B">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638" w:type="pct"/>
                  <w:noWrap w:val="0"/>
                  <w:vAlign w:val="center"/>
                </w:tcPr>
                <w:p w14:paraId="0E369C8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556" w:type="pct"/>
                  <w:noWrap w:val="0"/>
                  <w:vAlign w:val="center"/>
                </w:tcPr>
                <w:p w14:paraId="20AEEA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558" w:type="pct"/>
                  <w:noWrap w:val="0"/>
                  <w:vAlign w:val="center"/>
                </w:tcPr>
                <w:p w14:paraId="4C293108">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2FEA5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noWrap w:val="0"/>
                  <w:vAlign w:val="center"/>
                </w:tcPr>
                <w:p w14:paraId="5152B7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w:t>
                  </w:r>
                </w:p>
              </w:tc>
              <w:tc>
                <w:tcPr>
                  <w:tcW w:w="396" w:type="pct"/>
                  <w:vMerge w:val="continue"/>
                  <w:noWrap w:val="0"/>
                  <w:vAlign w:val="center"/>
                </w:tcPr>
                <w:p w14:paraId="363CF947">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916" w:type="pct"/>
                  <w:shd w:val="clear" w:color="auto" w:fill="auto"/>
                  <w:noWrap w:val="0"/>
                  <w:vAlign w:val="center"/>
                </w:tcPr>
                <w:p w14:paraId="72522827">
                  <w:pPr>
                    <w:pStyle w:val="122"/>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w:t>
                  </w:r>
                  <w:r>
                    <w:rPr>
                      <w:rFonts w:hint="eastAsia" w:hAnsi="宋体" w:eastAsia="宋体" w:cs="Times New Roman"/>
                      <w:color w:val="auto"/>
                      <w:kern w:val="2"/>
                      <w:sz w:val="21"/>
                      <w:szCs w:val="21"/>
                      <w:highlight w:val="none"/>
                      <w:lang w:val="en-US" w:eastAsia="zh-CN" w:bidi="ar-SA"/>
                    </w:rPr>
                    <w:t>乳化油</w:t>
                  </w:r>
                </w:p>
              </w:tc>
              <w:tc>
                <w:tcPr>
                  <w:tcW w:w="781" w:type="pct"/>
                  <w:shd w:val="clear" w:color="auto" w:fill="auto"/>
                  <w:noWrap w:val="0"/>
                  <w:vAlign w:val="center"/>
                </w:tcPr>
                <w:p w14:paraId="398EB68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w:t>
                  </w:r>
                  <w:r>
                    <w:rPr>
                      <w:rFonts w:hint="eastAsia" w:ascii="Times New Roman" w:hAnsi="Times New Roman" w:cs="Times New Roman"/>
                      <w:color w:val="auto"/>
                      <w:szCs w:val="21"/>
                      <w:lang w:val="en-US" w:eastAsia="zh-CN"/>
                    </w:rPr>
                    <w:t>49</w:t>
                  </w:r>
                  <w:r>
                    <w:rPr>
                      <w:rFonts w:hint="default" w:ascii="Times New Roman" w:hAnsi="Times New Roman" w:cs="Times New Roman"/>
                      <w:color w:val="auto"/>
                      <w:szCs w:val="21"/>
                    </w:rPr>
                    <w:t>-08</w:t>
                  </w:r>
                </w:p>
              </w:tc>
              <w:tc>
                <w:tcPr>
                  <w:tcW w:w="275" w:type="pct"/>
                  <w:vMerge w:val="continue"/>
                  <w:noWrap w:val="0"/>
                  <w:vAlign w:val="center"/>
                </w:tcPr>
                <w:p w14:paraId="6E5039FF">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90" w:type="pct"/>
                  <w:vMerge w:val="continue"/>
                  <w:noWrap w:val="0"/>
                  <w:vAlign w:val="center"/>
                </w:tcPr>
                <w:p w14:paraId="16CF29F9">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638" w:type="pct"/>
                  <w:noWrap w:val="0"/>
                  <w:vAlign w:val="center"/>
                </w:tcPr>
                <w:p w14:paraId="539312F4">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556" w:type="pct"/>
                  <w:noWrap w:val="0"/>
                  <w:vAlign w:val="center"/>
                </w:tcPr>
                <w:p w14:paraId="6B07B7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0.14</w:t>
                  </w:r>
                </w:p>
              </w:tc>
              <w:tc>
                <w:tcPr>
                  <w:tcW w:w="558" w:type="pct"/>
                  <w:noWrap w:val="0"/>
                  <w:vAlign w:val="center"/>
                </w:tcPr>
                <w:p w14:paraId="5BD54196">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33DA8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noWrap w:val="0"/>
                  <w:vAlign w:val="center"/>
                </w:tcPr>
                <w:p w14:paraId="02EB60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w:t>
                  </w:r>
                </w:p>
              </w:tc>
              <w:tc>
                <w:tcPr>
                  <w:tcW w:w="396" w:type="pct"/>
                  <w:vMerge w:val="continue"/>
                  <w:noWrap w:val="0"/>
                  <w:vAlign w:val="center"/>
                </w:tcPr>
                <w:p w14:paraId="378E44A7">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916" w:type="pct"/>
                  <w:shd w:val="clear" w:color="auto" w:fill="auto"/>
                  <w:noWrap w:val="0"/>
                  <w:vAlign w:val="center"/>
                </w:tcPr>
                <w:p w14:paraId="76272EA7">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废油桶</w:t>
                  </w:r>
                </w:p>
              </w:tc>
              <w:tc>
                <w:tcPr>
                  <w:tcW w:w="781" w:type="pct"/>
                  <w:shd w:val="clear" w:color="auto" w:fill="auto"/>
                  <w:noWrap w:val="0"/>
                  <w:vAlign w:val="center"/>
                </w:tcPr>
                <w:p w14:paraId="4E11BDB1">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900-041-49</w:t>
                  </w:r>
                </w:p>
              </w:tc>
              <w:tc>
                <w:tcPr>
                  <w:tcW w:w="275" w:type="pct"/>
                  <w:vMerge w:val="continue"/>
                  <w:noWrap w:val="0"/>
                  <w:vAlign w:val="center"/>
                </w:tcPr>
                <w:p w14:paraId="033196D7">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90" w:type="pct"/>
                  <w:vMerge w:val="continue"/>
                  <w:noWrap w:val="0"/>
                  <w:vAlign w:val="center"/>
                </w:tcPr>
                <w:p w14:paraId="78740BDD">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638" w:type="pct"/>
                  <w:noWrap w:val="0"/>
                  <w:vAlign w:val="center"/>
                </w:tcPr>
                <w:p w14:paraId="1B5B3E3C">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加盖密封</w:t>
                  </w:r>
                </w:p>
              </w:tc>
              <w:tc>
                <w:tcPr>
                  <w:tcW w:w="556" w:type="pct"/>
                  <w:noWrap w:val="0"/>
                  <w:vAlign w:val="center"/>
                </w:tcPr>
                <w:p w14:paraId="2673B7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w:t>
                  </w:r>
                </w:p>
              </w:tc>
              <w:tc>
                <w:tcPr>
                  <w:tcW w:w="558" w:type="pct"/>
                  <w:noWrap w:val="0"/>
                  <w:vAlign w:val="center"/>
                </w:tcPr>
                <w:p w14:paraId="62BED375">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68A48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vAlign w:val="center"/>
                </w:tcPr>
                <w:p w14:paraId="300B63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7</w:t>
                  </w:r>
                </w:p>
              </w:tc>
              <w:tc>
                <w:tcPr>
                  <w:tcW w:w="396" w:type="pct"/>
                  <w:vMerge w:val="continue"/>
                  <w:vAlign w:val="center"/>
                </w:tcPr>
                <w:p w14:paraId="44652D7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916" w:type="pct"/>
                  <w:shd w:val="clear" w:color="auto" w:fill="auto"/>
                  <w:vAlign w:val="center"/>
                </w:tcPr>
                <w:p w14:paraId="2A7F7B11">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废包装桶</w:t>
                  </w:r>
                </w:p>
              </w:tc>
              <w:tc>
                <w:tcPr>
                  <w:tcW w:w="781" w:type="pct"/>
                  <w:shd w:val="clear" w:color="auto" w:fill="auto"/>
                  <w:vAlign w:val="center"/>
                </w:tcPr>
                <w:p w14:paraId="7C789F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275" w:type="pct"/>
                  <w:vMerge w:val="continue"/>
                  <w:vAlign w:val="center"/>
                </w:tcPr>
                <w:p w14:paraId="014A1DFA">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90" w:type="pct"/>
                  <w:vMerge w:val="continue"/>
                  <w:vAlign w:val="center"/>
                </w:tcPr>
                <w:p w14:paraId="2913131F">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638" w:type="pct"/>
                  <w:vAlign w:val="center"/>
                </w:tcPr>
                <w:p w14:paraId="5524DBF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eastAsia" w:cs="Times New Roman"/>
                      <w:color w:val="auto"/>
                      <w:kern w:val="0"/>
                      <w:szCs w:val="21"/>
                      <w:lang w:val="en-US" w:eastAsia="zh-CN"/>
                    </w:rPr>
                    <w:t>加盖密封</w:t>
                  </w:r>
                </w:p>
              </w:tc>
              <w:tc>
                <w:tcPr>
                  <w:tcW w:w="556" w:type="pct"/>
                  <w:vAlign w:val="center"/>
                </w:tcPr>
                <w:p w14:paraId="55941A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w:t>
                  </w:r>
                </w:p>
              </w:tc>
              <w:tc>
                <w:tcPr>
                  <w:tcW w:w="558" w:type="pct"/>
                  <w:vAlign w:val="center"/>
                </w:tcPr>
                <w:p w14:paraId="7593A7C5">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r w14:paraId="4FA18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7" w:type="pct"/>
                  <w:shd w:val="clear" w:color="auto" w:fill="auto"/>
                  <w:vAlign w:val="center"/>
                </w:tcPr>
                <w:p w14:paraId="40B4C4E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8</w:t>
                  </w:r>
                </w:p>
              </w:tc>
              <w:tc>
                <w:tcPr>
                  <w:tcW w:w="396" w:type="pct"/>
                  <w:vMerge w:val="continue"/>
                  <w:vAlign w:val="center"/>
                </w:tcPr>
                <w:p w14:paraId="0517AF2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916" w:type="pct"/>
                  <w:shd w:val="clear" w:color="auto" w:fill="auto"/>
                  <w:vAlign w:val="center"/>
                </w:tcPr>
                <w:p w14:paraId="207C7F23">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废润滑油</w:t>
                  </w:r>
                </w:p>
              </w:tc>
              <w:tc>
                <w:tcPr>
                  <w:tcW w:w="781" w:type="pct"/>
                  <w:shd w:val="clear" w:color="auto" w:fill="auto"/>
                  <w:vAlign w:val="center"/>
                </w:tcPr>
                <w:p w14:paraId="3D608C4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900-214-08</w:t>
                  </w:r>
                </w:p>
              </w:tc>
              <w:tc>
                <w:tcPr>
                  <w:tcW w:w="275" w:type="pct"/>
                  <w:vMerge w:val="continue"/>
                  <w:vAlign w:val="center"/>
                </w:tcPr>
                <w:p w14:paraId="4F32C077">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590" w:type="pct"/>
                  <w:vMerge w:val="continue"/>
                  <w:vAlign w:val="center"/>
                </w:tcPr>
                <w:p w14:paraId="56289394">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638" w:type="pct"/>
                  <w:vAlign w:val="center"/>
                </w:tcPr>
                <w:p w14:paraId="7266B58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556" w:type="pct"/>
                  <w:vAlign w:val="center"/>
                </w:tcPr>
                <w:p w14:paraId="05ED722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w:t>
                  </w:r>
                </w:p>
              </w:tc>
              <w:tc>
                <w:tcPr>
                  <w:tcW w:w="558" w:type="pct"/>
                  <w:vAlign w:val="center"/>
                </w:tcPr>
                <w:p w14:paraId="470C25E9">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3</w:t>
                  </w:r>
                  <w:r>
                    <w:rPr>
                      <w:rFonts w:hint="default" w:ascii="Times New Roman" w:hAnsi="Times New Roman" w:cs="Times New Roman"/>
                      <w:color w:val="auto"/>
                      <w:szCs w:val="21"/>
                    </w:rPr>
                    <w:t>个月</w:t>
                  </w:r>
                </w:p>
              </w:tc>
            </w:tr>
          </w:tbl>
          <w:p w14:paraId="6013A620">
            <w:pPr>
              <w:keepNext w:val="0"/>
              <w:keepLines w:val="0"/>
              <w:suppressLineNumbers w:val="0"/>
              <w:spacing w:before="0" w:beforeAutospacing="0" w:after="0" w:afterAutospacing="0" w:line="480" w:lineRule="exact"/>
              <w:ind w:left="0" w:right="0"/>
              <w:jc w:val="center"/>
              <w:rPr>
                <w:rFonts w:hint="eastAsia" w:ascii="Times New Roman" w:hAnsi="Times New Roman" w:cs="Times New Roman"/>
                <w:b/>
                <w:bCs/>
                <w:color w:val="auto"/>
                <w:sz w:val="24"/>
              </w:rPr>
            </w:pPr>
            <w:r>
              <w:rPr>
                <w:rFonts w:hint="eastAsia" w:ascii="Times New Roman" w:hAnsi="Times New Roman" w:cs="Times New Roman"/>
                <w:b/>
                <w:bCs/>
                <w:color w:val="auto"/>
                <w:sz w:val="24"/>
              </w:rPr>
              <w:t>表</w:t>
            </w:r>
            <w:r>
              <w:rPr>
                <w:rFonts w:hint="eastAsia" w:ascii="Times New Roman" w:hAnsi="Times New Roman" w:cs="Times New Roman"/>
                <w:b/>
                <w:bCs/>
                <w:color w:val="auto"/>
                <w:sz w:val="24"/>
                <w:lang w:val="en-US" w:eastAsia="zh-CN"/>
              </w:rPr>
              <w:t>4.4-6</w:t>
            </w:r>
            <w:r>
              <w:rPr>
                <w:rFonts w:hint="eastAsia" w:ascii="Times New Roman" w:hAnsi="Times New Roman" w:cs="Times New Roman"/>
                <w:b/>
                <w:bCs/>
                <w:color w:val="auto"/>
                <w:sz w:val="24"/>
              </w:rPr>
              <w:t xml:space="preserve"> 全厂危险废物暂存能力分析一览</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0" w:type="dxa"/>
                <w:bottom w:w="0" w:type="dxa"/>
                <w:right w:w="0" w:type="dxa"/>
              </w:tblCellMar>
            </w:tblPr>
            <w:tblGrid>
              <w:gridCol w:w="367"/>
              <w:gridCol w:w="1703"/>
              <w:gridCol w:w="1392"/>
              <w:gridCol w:w="1110"/>
              <w:gridCol w:w="1083"/>
              <w:gridCol w:w="1409"/>
              <w:gridCol w:w="1409"/>
            </w:tblGrid>
            <w:tr w14:paraId="4000308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noWrap w:val="0"/>
                  <w:vAlign w:val="center"/>
                </w:tcPr>
                <w:p w14:paraId="661610C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005" w:type="pct"/>
                  <w:noWrap w:val="0"/>
                  <w:vAlign w:val="center"/>
                </w:tcPr>
                <w:p w14:paraId="1AAC1CD5">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危险废物名称</w:t>
                  </w:r>
                </w:p>
              </w:tc>
              <w:tc>
                <w:tcPr>
                  <w:tcW w:w="821" w:type="pct"/>
                  <w:noWrap w:val="0"/>
                  <w:vAlign w:val="center"/>
                </w:tcPr>
                <w:p w14:paraId="542C343E">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贮存方式</w:t>
                  </w:r>
                </w:p>
              </w:tc>
              <w:tc>
                <w:tcPr>
                  <w:tcW w:w="655" w:type="pct"/>
                  <w:noWrap w:val="0"/>
                  <w:vAlign w:val="center"/>
                </w:tcPr>
                <w:p w14:paraId="6EDEC5F2">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贮存能力（吨）</w:t>
                  </w:r>
                </w:p>
              </w:tc>
              <w:tc>
                <w:tcPr>
                  <w:tcW w:w="637" w:type="pct"/>
                  <w:noWrap w:val="0"/>
                  <w:vAlign w:val="center"/>
                </w:tcPr>
                <w:p w14:paraId="06470394">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容器种类</w:t>
                  </w:r>
                </w:p>
              </w:tc>
              <w:tc>
                <w:tcPr>
                  <w:tcW w:w="831" w:type="pct"/>
                  <w:noWrap w:val="0"/>
                  <w:vAlign w:val="center"/>
                </w:tcPr>
                <w:p w14:paraId="5D081E2B">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暂存方式</w:t>
                  </w:r>
                </w:p>
              </w:tc>
              <w:tc>
                <w:tcPr>
                  <w:tcW w:w="831" w:type="pct"/>
                  <w:noWrap w:val="0"/>
                  <w:vAlign w:val="center"/>
                </w:tcPr>
                <w:p w14:paraId="6C5D25A2">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eastAsia" w:ascii="Times New Roman" w:hAnsi="Times New Roman" w:cs="Times New Roman"/>
                      <w:b/>
                      <w:bCs/>
                      <w:color w:val="auto"/>
                      <w:szCs w:val="21"/>
                      <w:lang w:val="en-US" w:eastAsia="zh-CN"/>
                    </w:rPr>
                    <w:t>暂存</w:t>
                  </w:r>
                  <w:r>
                    <w:rPr>
                      <w:rFonts w:hint="default" w:ascii="Times New Roman" w:hAnsi="Times New Roman" w:cs="Times New Roman"/>
                      <w:b/>
                      <w:bCs/>
                      <w:color w:val="auto"/>
                      <w:szCs w:val="21"/>
                    </w:rPr>
                    <w:t>占地面积（m</w:t>
                  </w:r>
                  <w:r>
                    <w:rPr>
                      <w:rFonts w:hint="default" w:ascii="Times New Roman" w:hAnsi="Times New Roman" w:cs="Times New Roman"/>
                      <w:b/>
                      <w:bCs/>
                      <w:color w:val="auto"/>
                      <w:szCs w:val="21"/>
                      <w:vertAlign w:val="superscript"/>
                    </w:rPr>
                    <w:t>2</w:t>
                  </w:r>
                  <w:r>
                    <w:rPr>
                      <w:rFonts w:hint="default" w:ascii="Times New Roman" w:hAnsi="Times New Roman" w:cs="Times New Roman"/>
                      <w:b/>
                      <w:bCs/>
                      <w:color w:val="auto"/>
                      <w:szCs w:val="21"/>
                    </w:rPr>
                    <w:t>）</w:t>
                  </w:r>
                </w:p>
              </w:tc>
            </w:tr>
            <w:tr w14:paraId="4C5EFD1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shd w:val="clear" w:color="auto" w:fill="auto"/>
                  <w:noWrap w:val="0"/>
                  <w:vAlign w:val="center"/>
                </w:tcPr>
                <w:p w14:paraId="13729076">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w:t>
                  </w:r>
                </w:p>
              </w:tc>
              <w:tc>
                <w:tcPr>
                  <w:tcW w:w="1005" w:type="pct"/>
                  <w:shd w:val="clear" w:color="auto" w:fill="auto"/>
                  <w:noWrap w:val="0"/>
                  <w:vAlign w:val="center"/>
                </w:tcPr>
                <w:p w14:paraId="5B6B818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布袋除尘器收尘（电渣重熔）</w:t>
                  </w:r>
                </w:p>
              </w:tc>
              <w:tc>
                <w:tcPr>
                  <w:tcW w:w="821" w:type="pct"/>
                  <w:shd w:val="clear" w:color="auto" w:fill="auto"/>
                  <w:noWrap w:val="0"/>
                  <w:vAlign w:val="center"/>
                </w:tcPr>
                <w:p w14:paraId="3569D776">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655" w:type="pct"/>
                  <w:shd w:val="clear" w:color="auto" w:fill="auto"/>
                  <w:noWrap w:val="0"/>
                  <w:vAlign w:val="center"/>
                </w:tcPr>
                <w:p w14:paraId="561600F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637" w:type="pct"/>
                  <w:noWrap w:val="0"/>
                  <w:vAlign w:val="center"/>
                </w:tcPr>
                <w:p w14:paraId="72177BC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桶</w:t>
                  </w:r>
                </w:p>
              </w:tc>
              <w:tc>
                <w:tcPr>
                  <w:tcW w:w="831" w:type="pct"/>
                  <w:vMerge w:val="restart"/>
                  <w:noWrap w:val="0"/>
                  <w:vAlign w:val="center"/>
                </w:tcPr>
                <w:p w14:paraId="3687878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放置于托盘上，最高堆叠3层，根据密度，每平方米存放量为 0.1～3吨</w:t>
                  </w:r>
                </w:p>
              </w:tc>
              <w:tc>
                <w:tcPr>
                  <w:tcW w:w="831" w:type="pct"/>
                  <w:noWrap w:val="0"/>
                  <w:vAlign w:val="center"/>
                </w:tcPr>
                <w:p w14:paraId="5739DFBC">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r>
            <w:tr w14:paraId="3F1B910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shd w:val="clear" w:color="auto" w:fill="auto"/>
                  <w:noWrap w:val="0"/>
                  <w:vAlign w:val="center"/>
                </w:tcPr>
                <w:p w14:paraId="032799F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2</w:t>
                  </w:r>
                </w:p>
              </w:tc>
              <w:tc>
                <w:tcPr>
                  <w:tcW w:w="1005" w:type="pct"/>
                  <w:shd w:val="clear" w:color="auto" w:fill="auto"/>
                  <w:noWrap w:val="0"/>
                  <w:vAlign w:val="center"/>
                </w:tcPr>
                <w:p w14:paraId="7D165BA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废布袋（电渣重熔）</w:t>
                  </w:r>
                </w:p>
              </w:tc>
              <w:tc>
                <w:tcPr>
                  <w:tcW w:w="821" w:type="pct"/>
                  <w:shd w:val="clear" w:color="auto" w:fill="auto"/>
                  <w:noWrap w:val="0"/>
                  <w:vAlign w:val="center"/>
                </w:tcPr>
                <w:p w14:paraId="31EE266C">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袋装密封</w:t>
                  </w:r>
                </w:p>
              </w:tc>
              <w:tc>
                <w:tcPr>
                  <w:tcW w:w="655" w:type="pct"/>
                  <w:shd w:val="clear" w:color="auto" w:fill="auto"/>
                  <w:noWrap w:val="0"/>
                  <w:vAlign w:val="center"/>
                </w:tcPr>
                <w:p w14:paraId="4AD829D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0.5</w:t>
                  </w:r>
                </w:p>
              </w:tc>
              <w:tc>
                <w:tcPr>
                  <w:tcW w:w="637" w:type="pct"/>
                  <w:noWrap w:val="0"/>
                  <w:vAlign w:val="center"/>
                </w:tcPr>
                <w:p w14:paraId="6FF35169">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袋</w:t>
                  </w:r>
                </w:p>
              </w:tc>
              <w:tc>
                <w:tcPr>
                  <w:tcW w:w="831" w:type="pct"/>
                  <w:vMerge w:val="continue"/>
                  <w:noWrap w:val="0"/>
                  <w:vAlign w:val="center"/>
                </w:tcPr>
                <w:p w14:paraId="0E5177A4">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09933B07">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r>
            <w:tr w14:paraId="3CC6DFB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shd w:val="clear" w:color="auto" w:fill="auto"/>
                  <w:noWrap w:val="0"/>
                  <w:vAlign w:val="center"/>
                </w:tcPr>
                <w:p w14:paraId="51A9D772">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3</w:t>
                  </w:r>
                </w:p>
              </w:tc>
              <w:tc>
                <w:tcPr>
                  <w:tcW w:w="1005" w:type="pct"/>
                  <w:shd w:val="clear" w:color="auto" w:fill="auto"/>
                  <w:noWrap w:val="0"/>
                  <w:vAlign w:val="center"/>
                </w:tcPr>
                <w:p w14:paraId="21BF2136">
                  <w:pPr>
                    <w:keepNext w:val="0"/>
                    <w:keepLines w:val="0"/>
                    <w:suppressLineNumbers w:val="0"/>
                    <w:spacing w:before="0" w:beforeAutospacing="0" w:after="0" w:afterAutospacing="0"/>
                    <w:ind w:left="0" w:leftChars="0" w:right="0" w:rightChars="0"/>
                    <w:jc w:val="center"/>
                    <w:rPr>
                      <w:rFonts w:hint="default"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废切削液</w:t>
                  </w:r>
                </w:p>
              </w:tc>
              <w:tc>
                <w:tcPr>
                  <w:tcW w:w="821" w:type="pct"/>
                  <w:shd w:val="clear" w:color="auto" w:fill="auto"/>
                  <w:noWrap w:val="0"/>
                  <w:vAlign w:val="center"/>
                </w:tcPr>
                <w:p w14:paraId="14E7ADA0">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655" w:type="pct"/>
                  <w:shd w:val="clear" w:color="auto" w:fill="auto"/>
                  <w:noWrap w:val="0"/>
                  <w:vAlign w:val="center"/>
                </w:tcPr>
                <w:p w14:paraId="30E9857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637" w:type="pct"/>
                  <w:noWrap w:val="0"/>
                  <w:vAlign w:val="center"/>
                </w:tcPr>
                <w:p w14:paraId="6A250E3C">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桶</w:t>
                  </w:r>
                </w:p>
              </w:tc>
              <w:tc>
                <w:tcPr>
                  <w:tcW w:w="831" w:type="pct"/>
                  <w:vMerge w:val="continue"/>
                  <w:noWrap w:val="0"/>
                  <w:vAlign w:val="center"/>
                </w:tcPr>
                <w:p w14:paraId="6AF6DFB3">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0F75D14E">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782A928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shd w:val="clear" w:color="auto" w:fill="auto"/>
                  <w:noWrap w:val="0"/>
                  <w:vAlign w:val="center"/>
                </w:tcPr>
                <w:p w14:paraId="0ED06FCF">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4</w:t>
                  </w:r>
                </w:p>
              </w:tc>
              <w:tc>
                <w:tcPr>
                  <w:tcW w:w="1005" w:type="pct"/>
                  <w:shd w:val="clear" w:color="auto" w:fill="auto"/>
                  <w:noWrap w:val="0"/>
                  <w:vAlign w:val="center"/>
                </w:tcPr>
                <w:p w14:paraId="67DE26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磨削泥</w:t>
                  </w:r>
                </w:p>
              </w:tc>
              <w:tc>
                <w:tcPr>
                  <w:tcW w:w="821" w:type="pct"/>
                  <w:shd w:val="clear" w:color="auto" w:fill="auto"/>
                  <w:noWrap w:val="0"/>
                  <w:vAlign w:val="center"/>
                </w:tcPr>
                <w:p w14:paraId="25A6F99F">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655" w:type="pct"/>
                  <w:shd w:val="clear" w:color="auto" w:fill="auto"/>
                  <w:noWrap w:val="0"/>
                  <w:vAlign w:val="center"/>
                </w:tcPr>
                <w:p w14:paraId="19FAA8D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1.0</w:t>
                  </w:r>
                </w:p>
              </w:tc>
              <w:tc>
                <w:tcPr>
                  <w:tcW w:w="637" w:type="pct"/>
                  <w:noWrap w:val="0"/>
                  <w:vAlign w:val="center"/>
                </w:tcPr>
                <w:p w14:paraId="4DF7D58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rPr>
                    <w:t>桶</w:t>
                  </w:r>
                </w:p>
              </w:tc>
              <w:tc>
                <w:tcPr>
                  <w:tcW w:w="831" w:type="pct"/>
                  <w:vMerge w:val="continue"/>
                  <w:noWrap w:val="0"/>
                  <w:vAlign w:val="center"/>
                </w:tcPr>
                <w:p w14:paraId="2124495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76606FC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r>
            <w:tr w14:paraId="03353131">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shd w:val="clear" w:color="auto" w:fill="auto"/>
                  <w:noWrap w:val="0"/>
                  <w:vAlign w:val="center"/>
                </w:tcPr>
                <w:p w14:paraId="167E427D">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5</w:t>
                  </w:r>
                </w:p>
              </w:tc>
              <w:tc>
                <w:tcPr>
                  <w:tcW w:w="1005" w:type="pct"/>
                  <w:shd w:val="clear" w:color="auto" w:fill="auto"/>
                  <w:noWrap w:val="0"/>
                  <w:vAlign w:val="center"/>
                </w:tcPr>
                <w:p w14:paraId="3ADB2364">
                  <w:pPr>
                    <w:pStyle w:val="122"/>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w:t>
                  </w:r>
                  <w:r>
                    <w:rPr>
                      <w:rFonts w:hint="eastAsia" w:hAnsi="宋体" w:eastAsia="宋体" w:cs="Times New Roman"/>
                      <w:color w:val="auto"/>
                      <w:kern w:val="2"/>
                      <w:sz w:val="21"/>
                      <w:szCs w:val="21"/>
                      <w:highlight w:val="none"/>
                      <w:lang w:val="en-US" w:eastAsia="zh-CN" w:bidi="ar-SA"/>
                    </w:rPr>
                    <w:t>乳化油</w:t>
                  </w:r>
                </w:p>
              </w:tc>
              <w:tc>
                <w:tcPr>
                  <w:tcW w:w="821" w:type="pct"/>
                  <w:shd w:val="clear" w:color="auto" w:fill="auto"/>
                  <w:noWrap w:val="0"/>
                  <w:vAlign w:val="center"/>
                </w:tcPr>
                <w:p w14:paraId="13E453C1">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655" w:type="pct"/>
                  <w:shd w:val="clear" w:color="auto" w:fill="auto"/>
                  <w:noWrap w:val="0"/>
                  <w:vAlign w:val="center"/>
                </w:tcPr>
                <w:p w14:paraId="24FBF65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0.14</w:t>
                  </w:r>
                </w:p>
              </w:tc>
              <w:tc>
                <w:tcPr>
                  <w:tcW w:w="637" w:type="pct"/>
                  <w:noWrap w:val="0"/>
                  <w:vAlign w:val="center"/>
                </w:tcPr>
                <w:p w14:paraId="0B81D81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szCs w:val="21"/>
                    </w:rPr>
                    <w:t>桶</w:t>
                  </w:r>
                </w:p>
              </w:tc>
              <w:tc>
                <w:tcPr>
                  <w:tcW w:w="831" w:type="pct"/>
                  <w:vMerge w:val="continue"/>
                  <w:noWrap w:val="0"/>
                  <w:vAlign w:val="center"/>
                </w:tcPr>
                <w:p w14:paraId="1FFF595D">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578AC817">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r>
            <w:tr w14:paraId="2055F87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09" w:hRule="atLeast"/>
                <w:jc w:val="center"/>
              </w:trPr>
              <w:tc>
                <w:tcPr>
                  <w:tcW w:w="217" w:type="pct"/>
                  <w:shd w:val="clear" w:color="auto" w:fill="auto"/>
                  <w:noWrap w:val="0"/>
                  <w:vAlign w:val="center"/>
                </w:tcPr>
                <w:p w14:paraId="1BAAA7CD">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6</w:t>
                  </w:r>
                </w:p>
              </w:tc>
              <w:tc>
                <w:tcPr>
                  <w:tcW w:w="1005" w:type="pct"/>
                  <w:shd w:val="clear" w:color="auto" w:fill="auto"/>
                  <w:noWrap w:val="0"/>
                  <w:vAlign w:val="center"/>
                </w:tcPr>
                <w:p w14:paraId="125F425B">
                  <w:pPr>
                    <w:keepNext w:val="0"/>
                    <w:keepLines w:val="0"/>
                    <w:suppressLineNumbers w:val="0"/>
                    <w:spacing w:before="0" w:beforeAutospacing="0" w:after="0" w:afterAutospacing="0"/>
                    <w:ind w:left="0" w:leftChars="0" w:right="0" w:rightChars="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废油桶</w:t>
                  </w:r>
                </w:p>
              </w:tc>
              <w:tc>
                <w:tcPr>
                  <w:tcW w:w="821" w:type="pct"/>
                  <w:shd w:val="clear" w:color="auto" w:fill="auto"/>
                  <w:noWrap w:val="0"/>
                  <w:vAlign w:val="center"/>
                </w:tcPr>
                <w:p w14:paraId="3B8B6F53">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加盖密封</w:t>
                  </w:r>
                </w:p>
              </w:tc>
              <w:tc>
                <w:tcPr>
                  <w:tcW w:w="655" w:type="pct"/>
                  <w:shd w:val="clear" w:color="auto" w:fill="auto"/>
                  <w:noWrap w:val="0"/>
                  <w:vAlign w:val="center"/>
                </w:tcPr>
                <w:p w14:paraId="7A252B9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w:t>
                  </w:r>
                </w:p>
              </w:tc>
              <w:tc>
                <w:tcPr>
                  <w:tcW w:w="637" w:type="pct"/>
                  <w:noWrap w:val="0"/>
                  <w:vAlign w:val="center"/>
                </w:tcPr>
                <w:p w14:paraId="06AD87AF">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szCs w:val="21"/>
                    </w:rPr>
                    <w:t>桶</w:t>
                  </w:r>
                </w:p>
              </w:tc>
              <w:tc>
                <w:tcPr>
                  <w:tcW w:w="831" w:type="pct"/>
                  <w:vMerge w:val="continue"/>
                  <w:noWrap w:val="0"/>
                  <w:vAlign w:val="center"/>
                </w:tcPr>
                <w:p w14:paraId="625D8A7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3EB4B7D2">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r>
            <w:tr w14:paraId="5DA4172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noWrap w:val="0"/>
                  <w:vAlign w:val="center"/>
                </w:tcPr>
                <w:p w14:paraId="4EB7F80C">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1005" w:type="pct"/>
                  <w:shd w:val="clear" w:color="auto" w:fill="auto"/>
                  <w:noWrap w:val="0"/>
                  <w:vAlign w:val="center"/>
                </w:tcPr>
                <w:p w14:paraId="74EC87AE">
                  <w:pPr>
                    <w:keepNext w:val="0"/>
                    <w:keepLines w:val="0"/>
                    <w:suppressLineNumbers w:val="0"/>
                    <w:spacing w:before="0" w:beforeAutospacing="0" w:after="0" w:afterAutospacing="0"/>
                    <w:ind w:left="0" w:leftChars="0" w:right="0" w:rightChars="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废包装桶</w:t>
                  </w:r>
                </w:p>
              </w:tc>
              <w:tc>
                <w:tcPr>
                  <w:tcW w:w="821" w:type="pct"/>
                  <w:shd w:val="clear" w:color="auto" w:fill="auto"/>
                  <w:noWrap w:val="0"/>
                  <w:vAlign w:val="center"/>
                </w:tcPr>
                <w:p w14:paraId="10337DEB">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加盖密封</w:t>
                  </w:r>
                </w:p>
              </w:tc>
              <w:tc>
                <w:tcPr>
                  <w:tcW w:w="655" w:type="pct"/>
                  <w:shd w:val="clear" w:color="auto" w:fill="auto"/>
                  <w:noWrap w:val="0"/>
                  <w:vAlign w:val="center"/>
                </w:tcPr>
                <w:p w14:paraId="65CDCA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w:t>
                  </w:r>
                </w:p>
              </w:tc>
              <w:tc>
                <w:tcPr>
                  <w:tcW w:w="637" w:type="pct"/>
                  <w:noWrap w:val="0"/>
                  <w:vAlign w:val="center"/>
                </w:tcPr>
                <w:p w14:paraId="40381EC0">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szCs w:val="21"/>
                    </w:rPr>
                    <w:t>桶</w:t>
                  </w:r>
                </w:p>
              </w:tc>
              <w:tc>
                <w:tcPr>
                  <w:tcW w:w="831" w:type="pct"/>
                  <w:vMerge w:val="continue"/>
                  <w:noWrap w:val="0"/>
                  <w:vAlign w:val="center"/>
                </w:tcPr>
                <w:p w14:paraId="42F6B655">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7BD94E00">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r>
            <w:tr w14:paraId="71C0E027">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217" w:type="pct"/>
                  <w:noWrap w:val="0"/>
                  <w:vAlign w:val="center"/>
                </w:tcPr>
                <w:p w14:paraId="7D82CE0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1005" w:type="pct"/>
                  <w:shd w:val="clear" w:color="auto" w:fill="auto"/>
                  <w:noWrap w:val="0"/>
                  <w:vAlign w:val="center"/>
                </w:tcPr>
                <w:p w14:paraId="006DEB2A">
                  <w:pPr>
                    <w:keepNext w:val="0"/>
                    <w:keepLines w:val="0"/>
                    <w:suppressLineNumbers w:val="0"/>
                    <w:spacing w:before="0" w:beforeAutospacing="0" w:after="0" w:afterAutospacing="0"/>
                    <w:ind w:left="0" w:leftChars="0" w:right="0" w:rightChars="0"/>
                    <w:jc w:val="center"/>
                    <w:rPr>
                      <w:rFonts w:hint="default"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废润滑油</w:t>
                  </w:r>
                </w:p>
              </w:tc>
              <w:tc>
                <w:tcPr>
                  <w:tcW w:w="821" w:type="pct"/>
                  <w:shd w:val="clear" w:color="auto" w:fill="auto"/>
                  <w:noWrap w:val="0"/>
                  <w:vAlign w:val="center"/>
                </w:tcPr>
                <w:p w14:paraId="16B61EB5">
                  <w:pPr>
                    <w:keepNext w:val="0"/>
                    <w:keepLines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rPr>
                    <w:t>桶装</w:t>
                  </w:r>
                  <w:r>
                    <w:rPr>
                      <w:rFonts w:hint="eastAsia" w:ascii="Times New Roman" w:hAnsi="Times New Roman" w:cs="Times New Roman"/>
                      <w:color w:val="auto"/>
                      <w:kern w:val="0"/>
                      <w:szCs w:val="21"/>
                    </w:rPr>
                    <w:t>密封</w:t>
                  </w:r>
                </w:p>
              </w:tc>
              <w:tc>
                <w:tcPr>
                  <w:tcW w:w="655" w:type="pct"/>
                  <w:shd w:val="clear" w:color="auto" w:fill="auto"/>
                  <w:noWrap w:val="0"/>
                  <w:vAlign w:val="center"/>
                </w:tcPr>
                <w:p w14:paraId="5E4087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w:t>
                  </w:r>
                </w:p>
              </w:tc>
              <w:tc>
                <w:tcPr>
                  <w:tcW w:w="637" w:type="pct"/>
                  <w:noWrap w:val="0"/>
                  <w:vAlign w:val="center"/>
                </w:tcPr>
                <w:p w14:paraId="322EA229">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rPr>
                  </w:pPr>
                  <w:r>
                    <w:rPr>
                      <w:rFonts w:hint="default" w:ascii="Times New Roman" w:hAnsi="Times New Roman" w:cs="Times New Roman"/>
                      <w:color w:val="auto"/>
                      <w:szCs w:val="21"/>
                    </w:rPr>
                    <w:t>桶</w:t>
                  </w:r>
                </w:p>
              </w:tc>
              <w:tc>
                <w:tcPr>
                  <w:tcW w:w="831" w:type="pct"/>
                  <w:vMerge w:val="continue"/>
                  <w:noWrap w:val="0"/>
                  <w:vAlign w:val="center"/>
                </w:tcPr>
                <w:p w14:paraId="4B9CE4F7">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p>
              </w:tc>
              <w:tc>
                <w:tcPr>
                  <w:tcW w:w="831" w:type="pct"/>
                  <w:noWrap w:val="0"/>
                  <w:vAlign w:val="center"/>
                </w:tcPr>
                <w:p w14:paraId="506FAADD">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p>
              </w:tc>
            </w:tr>
            <w:tr w14:paraId="3260EA7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3337" w:type="pct"/>
                  <w:gridSpan w:val="5"/>
                  <w:noWrap w:val="0"/>
                  <w:vAlign w:val="center"/>
                </w:tcPr>
                <w:p w14:paraId="441A8629">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通道</w:t>
                  </w:r>
                </w:p>
              </w:tc>
              <w:tc>
                <w:tcPr>
                  <w:tcW w:w="831" w:type="pct"/>
                  <w:noWrap w:val="0"/>
                  <w:vAlign w:val="center"/>
                </w:tcPr>
                <w:p w14:paraId="2FDDF577">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831" w:type="pct"/>
                  <w:noWrap w:val="0"/>
                  <w:vAlign w:val="center"/>
                </w:tcPr>
                <w:p w14:paraId="18C871ED">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2</w:t>
                  </w:r>
                </w:p>
              </w:tc>
            </w:tr>
            <w:tr w14:paraId="29036C68">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0" w:type="dxa"/>
                  <w:bottom w:w="0" w:type="dxa"/>
                  <w:right w:w="0" w:type="dxa"/>
                </w:tblCellMar>
              </w:tblPrEx>
              <w:trPr>
                <w:trHeight w:val="340" w:hRule="atLeast"/>
                <w:jc w:val="center"/>
              </w:trPr>
              <w:tc>
                <w:tcPr>
                  <w:tcW w:w="3337" w:type="pct"/>
                  <w:gridSpan w:val="5"/>
                  <w:noWrap w:val="0"/>
                  <w:vAlign w:val="center"/>
                </w:tcPr>
                <w:p w14:paraId="33269BA1">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831" w:type="pct"/>
                  <w:noWrap w:val="0"/>
                  <w:vAlign w:val="center"/>
                </w:tcPr>
                <w:p w14:paraId="4D7E1FFF">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831" w:type="pct"/>
                  <w:noWrap w:val="0"/>
                  <w:vAlign w:val="center"/>
                </w:tcPr>
                <w:p w14:paraId="4B844BEE">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w:t>
                  </w:r>
                </w:p>
              </w:tc>
            </w:tr>
          </w:tbl>
          <w:p w14:paraId="4669A519">
            <w:pPr>
              <w:pStyle w:val="101"/>
              <w:keepNext w:val="0"/>
              <w:keepLines w:val="0"/>
              <w:pageBreakBefore w:val="0"/>
              <w:suppressLineNumbers w:val="0"/>
              <w:kinsoku/>
              <w:wordWrap/>
              <w:overflowPunct/>
              <w:topLinePunct w:val="0"/>
              <w:bidi w:val="0"/>
              <w:spacing w:before="0" w:beforeAutospacing="0" w:after="0" w:afterAutospacing="0" w:line="480" w:lineRule="exact"/>
              <w:ind w:left="0" w:leftChars="0" w:right="0" w:firstLine="480" w:firstLineChars="200"/>
              <w:jc w:val="both"/>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由上表可知，全厂</w:t>
            </w:r>
            <w:r>
              <w:rPr>
                <w:rFonts w:hint="default" w:ascii="Times New Roman" w:hAnsi="Times New Roman" w:cs="Times New Roman"/>
                <w:color w:val="auto"/>
                <w:sz w:val="24"/>
              </w:rPr>
              <w:t>危险废物占地约</w:t>
            </w:r>
            <w:r>
              <w:rPr>
                <w:rFonts w:hint="eastAsia" w:ascii="Times New Roman" w:hAnsi="Times New Roman" w:cs="Times New Roman"/>
                <w:color w:val="auto"/>
                <w:sz w:val="24"/>
                <w:lang w:val="en-US" w:eastAsia="zh-CN"/>
              </w:rPr>
              <w:t>14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全厂</w:t>
            </w:r>
            <w:r>
              <w:rPr>
                <w:rFonts w:hint="default" w:ascii="Times New Roman" w:hAnsi="Times New Roman" w:cs="Times New Roman"/>
                <w:color w:val="auto"/>
                <w:sz w:val="24"/>
              </w:rPr>
              <w:t>设置了</w:t>
            </w:r>
            <w:r>
              <w:rPr>
                <w:rFonts w:hint="eastAsia" w:ascii="Times New Roman" w:hAnsi="Times New Roman" w:cs="Times New Roman"/>
                <w:color w:val="auto"/>
                <w:sz w:val="24"/>
                <w:lang w:val="en-US" w:eastAsia="zh-CN"/>
              </w:rPr>
              <w:t>1个</w:t>
            </w:r>
            <w:r>
              <w:rPr>
                <w:rFonts w:hint="default" w:ascii="Times New Roman" w:hAnsi="Times New Roman" w:cs="Times New Roman"/>
                <w:color w:val="auto"/>
                <w:sz w:val="24"/>
              </w:rPr>
              <w:t>危废库房，面积为</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，可满足危废暂存的要求。</w:t>
            </w:r>
          </w:p>
          <w:p w14:paraId="7AABDA4D">
            <w:pPr>
              <w:keepNext w:val="0"/>
              <w:keepLines w:val="0"/>
              <w:suppressLineNumbers w:val="0"/>
              <w:spacing w:before="0" w:beforeAutospacing="0" w:after="0" w:afterAutospacing="0" w:line="480" w:lineRule="exact"/>
              <w:ind w:left="0" w:right="0" w:firstLine="482" w:firstLineChars="200"/>
              <w:rPr>
                <w:rFonts w:hint="default" w:ascii="Times New Roman" w:hAnsi="Times New Roman" w:eastAsia="宋体" w:cs="Times New Roman"/>
                <w:b/>
                <w:color w:val="auto"/>
                <w:sz w:val="24"/>
                <w:lang w:val="en-US" w:eastAsia="zh-CN"/>
              </w:rPr>
            </w:pPr>
            <w:r>
              <w:rPr>
                <w:rFonts w:hint="eastAsia" w:cs="Times New Roman"/>
                <w:b/>
                <w:bCs/>
                <w:color w:val="auto"/>
                <w:sz w:val="24"/>
                <w:lang w:val="en-US" w:eastAsia="zh-CN"/>
              </w:rPr>
              <w:t>4</w:t>
            </w:r>
            <w:r>
              <w:rPr>
                <w:rFonts w:hint="eastAsia" w:ascii="Times New Roman" w:hAnsi="Times New Roman" w:cs="Times New Roman"/>
                <w:b/>
                <w:bCs/>
                <w:color w:val="auto"/>
                <w:sz w:val="24"/>
              </w:rPr>
              <w:t>、</w:t>
            </w:r>
            <w:r>
              <w:rPr>
                <w:rFonts w:hint="eastAsia" w:cs="Times New Roman"/>
                <w:b/>
                <w:color w:val="auto"/>
                <w:sz w:val="24"/>
                <w:lang w:val="en-US" w:eastAsia="zh-CN"/>
              </w:rPr>
              <w:t>处置方式可行性分析</w:t>
            </w:r>
          </w:p>
          <w:p w14:paraId="4FF5098A">
            <w:pPr>
              <w:keepNext w:val="0"/>
              <w:keepLines w:val="0"/>
              <w:pageBreakBefore w:val="0"/>
              <w:suppressLineNumbers w:val="0"/>
              <w:kinsoku/>
              <w:wordWrap/>
              <w:overflowPunct/>
              <w:topLinePunct w:val="0"/>
              <w:bidi w:val="0"/>
              <w:snapToGrid w:val="0"/>
              <w:spacing w:before="0" w:beforeAutospacing="0" w:after="0" w:afterAutospacing="0" w:line="480" w:lineRule="exact"/>
              <w:ind w:left="0" w:leftChars="0" w:right="0" w:firstLine="480" w:firstLineChars="200"/>
              <w:jc w:val="both"/>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宜兴市凌霞固废处置有限公司位于宜兴市官林镇工业集中区c区，危废经营许可证编号：JS0282OOI566-5，经核准，在2024年4月15日至2029年3月31日有效期内，焚烧处置HW02，HW03，HW04，HW05，HW06，HW08，HW09，HW11，HW12，HW13，HW14，HW16，HW19含金属羰基化合物废物，HW37有机磷化合物废物，HW39含酚废物，HW40含醚废物，HW45含有机卤化物废物，193-001-21（HW21含铬废物），193-002-21（HW21含铬废物），261-064-38（HW38有机氰化物废物），261-065-38（HW38有机氰化物废物），261-066-38（HW38有机氰化物废物），261-140-38（HW38有机氰化物废物），261-151-50（HW50废催化剂），261-183-50（HW50废催化剂），263-013-50（HW50废催化剂），275-009-50（HW50废催化剂），276-006-50（HW50废催化剂），309-001-49（HW49其他废物），336-050-17（HW17表面处理废物），336-051-17（HW17表面处理废物），336-052-17（HW17表面处理废物），336-053-17（HW17表面处理废物），336-054-17（HW17表面处理废物），336-055-17（HW17表面处理废物），336-056-17（HW17表面处理废物），336-057-17（HW17表面处理废物），336-058-17（HW17表面处理废物），336-059-17（HW17表面处理废物），336-060-17（HW17表面处理废物），336-061-17（HW17表面处理废物），336-062-17（HW17表面处理废物），336-063-17（HW17表面处理废物），336-064-17（HW17表面处理废物），336-066-17（HW17表面处理废物），336-067-17（HW17表面处理废物），336-068-17（HW17表面处理废物），336-069-17（HW17表面处理废物），336-100-21（HW21含铬废物），336-101-17（HW17表面处理废物），398-002-21（HW21含铬废物），900-039-49（HW49其他废物），900-041-49（HW49其他废物），900-042-49（HW49其他废物），900-046-49（HW49其他废物），900-047-49（HW49其他废物），900-048-50（HW50废催化剂），900-999-49（HW49其他废物）合计25000吨/年。</w:t>
            </w:r>
          </w:p>
          <w:p w14:paraId="7F9FC2C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80" w:lineRule="exact"/>
              <w:ind w:left="0" w:leftChars="0" w:right="0" w:rightChars="0"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泰州市惠明固废处置有限公司</w:t>
            </w:r>
            <w:r>
              <w:rPr>
                <w:rFonts w:hint="eastAsia" w:cs="Times New Roman"/>
                <w:color w:val="auto"/>
                <w:kern w:val="0"/>
                <w:sz w:val="24"/>
                <w:lang w:val="en-US" w:eastAsia="zh-CN"/>
              </w:rPr>
              <w:t>位于江苏省兴化市戴南镇曙光街278号，</w:t>
            </w:r>
            <w:r>
              <w:rPr>
                <w:rFonts w:hint="default" w:ascii="Times New Roman" w:hAnsi="Times New Roman" w:cs="Times New Roman"/>
                <w:color w:val="auto"/>
                <w:kern w:val="0"/>
                <w:sz w:val="24"/>
              </w:rPr>
              <w:t>危废经营许可证编号：</w:t>
            </w:r>
            <w:r>
              <w:rPr>
                <w:rFonts w:hint="eastAsia" w:cs="Times New Roman"/>
                <w:color w:val="auto"/>
                <w:kern w:val="0"/>
                <w:sz w:val="24"/>
                <w:lang w:val="en-US" w:eastAsia="zh-CN"/>
              </w:rPr>
              <w:t>JS1281OOI545-6，</w:t>
            </w:r>
            <w:r>
              <w:rPr>
                <w:rFonts w:hint="default" w:ascii="Times New Roman" w:hAnsi="Times New Roman" w:cs="Times New Roman"/>
                <w:color w:val="auto"/>
                <w:kern w:val="0"/>
                <w:sz w:val="24"/>
              </w:rPr>
              <w:t>经核准，在202</w:t>
            </w: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7</w:t>
            </w:r>
            <w:r>
              <w:rPr>
                <w:rFonts w:hint="default" w:ascii="Times New Roman" w:hAnsi="Times New Roman" w:cs="Times New Roman"/>
                <w:color w:val="auto"/>
                <w:kern w:val="0"/>
                <w:sz w:val="24"/>
              </w:rPr>
              <w:t>月</w:t>
            </w:r>
            <w:r>
              <w:rPr>
                <w:rFonts w:hint="eastAsia"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日至202</w:t>
            </w:r>
            <w:r>
              <w:rPr>
                <w:rFonts w:hint="eastAsia" w:ascii="Times New Roman" w:hAnsi="Times New Roman" w:cs="Times New Roman"/>
                <w:color w:val="auto"/>
                <w:kern w:val="0"/>
                <w:sz w:val="24"/>
                <w:lang w:val="en-US" w:eastAsia="zh-CN"/>
              </w:rPr>
              <w:t>6</w:t>
            </w:r>
            <w:r>
              <w:rPr>
                <w:rFonts w:hint="default" w:ascii="Times New Roman" w:hAnsi="Times New Roman" w:cs="Times New Roman"/>
                <w:color w:val="auto"/>
                <w:kern w:val="0"/>
                <w:sz w:val="24"/>
              </w:rPr>
              <w:t>年</w:t>
            </w:r>
            <w:r>
              <w:rPr>
                <w:rFonts w:hint="eastAsia" w:ascii="Times New Roman" w:hAnsi="Times New Roman" w:cs="Times New Roman"/>
                <w:color w:val="auto"/>
                <w:kern w:val="0"/>
                <w:sz w:val="24"/>
                <w:lang w:val="en-US" w:eastAsia="zh-CN"/>
              </w:rPr>
              <w:t>6</w:t>
            </w:r>
            <w:r>
              <w:rPr>
                <w:rFonts w:hint="default" w:ascii="Times New Roman" w:hAnsi="Times New Roman" w:cs="Times New Roman"/>
                <w:color w:val="auto"/>
                <w:kern w:val="0"/>
                <w:sz w:val="24"/>
              </w:rPr>
              <w:t>月3</w:t>
            </w:r>
            <w:r>
              <w:rPr>
                <w:rFonts w:hint="eastAsia" w:ascii="Times New Roman" w:hAnsi="Times New Roman" w:cs="Times New Roman"/>
                <w:color w:val="auto"/>
                <w:kern w:val="0"/>
                <w:sz w:val="24"/>
                <w:lang w:val="en-US" w:eastAsia="zh-CN"/>
              </w:rPr>
              <w:t>0</w:t>
            </w:r>
            <w:r>
              <w:rPr>
                <w:rFonts w:hint="default" w:ascii="Times New Roman" w:hAnsi="Times New Roman" w:cs="Times New Roman"/>
                <w:color w:val="auto"/>
                <w:kern w:val="0"/>
                <w:sz w:val="24"/>
              </w:rPr>
              <w:t>日有效期内，焚烧处置HW02医药废物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HW03废药物、药品</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HW04农药废物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HW05木材防腐剂废物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HW06废有机溶剂与含有机溶剂废物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HW08废矿物油与含矿物油废物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HW11精（蒸）馏残渣</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HW12染料、涂料废物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HW13有机树脂类废物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HW14新化学物质废物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HW16感光材料废物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HW19含金属羰基化合物废物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HW21含铬废物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HW32无机氟化物废物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HW37有机磷化合物废物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HW38有机氰化物废物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HW39含酚废物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HW40含醚废物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HW45含有机卤化物废物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261-151-50</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HW50废催化剂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263-013-50</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HW50废催化剂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271-006-50</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HW50废催化剂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275-009-50</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HW50废催化剂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276-006-50</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HW50废催化剂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900-039-49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HW49其他废物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900-041-49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HW49其他废物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900-042-49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HW49其他废物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900-046-49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HW49其他废物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900-047-49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HW49其他废物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900-048-50</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HW50废催化剂</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900-999-49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HW49其他废物</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合计</w:t>
            </w:r>
            <w:r>
              <w:rPr>
                <w:rFonts w:hint="eastAsia" w:ascii="Times New Roman" w:hAnsi="Times New Roman" w:cs="Times New Roman"/>
                <w:color w:val="auto"/>
                <w:kern w:val="0"/>
                <w:sz w:val="24"/>
                <w:lang w:val="en-US" w:eastAsia="zh-CN"/>
              </w:rPr>
              <w:t>18</w:t>
            </w:r>
            <w:r>
              <w:rPr>
                <w:rFonts w:hint="default" w:ascii="Times New Roman" w:hAnsi="Times New Roman" w:cs="Times New Roman"/>
                <w:color w:val="auto"/>
                <w:kern w:val="0"/>
                <w:sz w:val="24"/>
              </w:rPr>
              <w:t>000吨/年。</w:t>
            </w:r>
          </w:p>
          <w:p w14:paraId="3A417D5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480" w:lineRule="exact"/>
              <w:ind w:left="0" w:leftChars="0" w:right="0" w:righ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rPr>
              <w:t>本厂内</w:t>
            </w:r>
            <w:r>
              <w:rPr>
                <w:rFonts w:hint="eastAsia" w:cs="Times New Roman"/>
                <w:color w:val="auto"/>
                <w:kern w:val="0"/>
                <w:sz w:val="24"/>
                <w:lang w:val="en-US" w:eastAsia="zh-CN"/>
              </w:rPr>
              <w:t>布袋除尘器收尘</w:t>
            </w:r>
            <w:r>
              <w:rPr>
                <w:rFonts w:hint="eastAsia" w:cs="Times New Roman"/>
                <w:color w:val="auto"/>
                <w:kern w:val="0"/>
                <w:sz w:val="24"/>
                <w:lang w:eastAsia="zh-CN"/>
              </w:rPr>
              <w:t>（</w:t>
            </w:r>
            <w:r>
              <w:rPr>
                <w:rFonts w:hint="eastAsia" w:cs="Times New Roman"/>
                <w:color w:val="auto"/>
                <w:kern w:val="0"/>
                <w:sz w:val="24"/>
                <w:lang w:val="en-US" w:eastAsia="zh-CN"/>
              </w:rPr>
              <w:t>HW21</w:t>
            </w:r>
            <w:r>
              <w:rPr>
                <w:rFonts w:hint="eastAsia" w:cs="Times New Roman"/>
                <w:color w:val="auto"/>
                <w:kern w:val="0"/>
                <w:sz w:val="24"/>
                <w:lang w:eastAsia="zh-CN"/>
              </w:rPr>
              <w:t>）、</w:t>
            </w:r>
            <w:r>
              <w:rPr>
                <w:rFonts w:hint="eastAsia" w:cs="Times New Roman"/>
                <w:color w:val="auto"/>
                <w:kern w:val="0"/>
                <w:sz w:val="24"/>
                <w:lang w:val="en-US" w:eastAsia="zh-CN"/>
              </w:rPr>
              <w:t>废布袋（HW49）、</w:t>
            </w:r>
            <w:r>
              <w:rPr>
                <w:rFonts w:hint="eastAsia" w:ascii="Times New Roman" w:hAnsi="Times New Roman" w:cs="Times New Roman"/>
                <w:color w:val="auto"/>
                <w:kern w:val="0"/>
                <w:sz w:val="24"/>
                <w:lang w:val="en-US" w:eastAsia="zh-CN"/>
              </w:rPr>
              <w:t>废切削液（HW09）、</w:t>
            </w:r>
            <w:r>
              <w:rPr>
                <w:rFonts w:hint="eastAsia" w:ascii="Times New Roman" w:hAnsi="Times New Roman" w:cs="Times New Roman"/>
                <w:bCs/>
                <w:color w:val="auto"/>
                <w:sz w:val="24"/>
              </w:rPr>
              <w:t>磨削泥</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HW09</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rPr>
              <w:t>废乳化油</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HW09</w:t>
            </w:r>
            <w:r>
              <w:rPr>
                <w:rFonts w:hint="eastAsia" w:ascii="Times New Roman" w:hAnsi="Times New Roman" w:cs="Times New Roman"/>
                <w:bCs/>
                <w:color w:val="auto"/>
                <w:sz w:val="24"/>
                <w:lang w:eastAsia="zh-CN"/>
              </w:rPr>
              <w:t>）、</w:t>
            </w:r>
            <w:r>
              <w:rPr>
                <w:rFonts w:hint="eastAsia" w:ascii="Times New Roman" w:hAnsi="Times New Roman" w:cs="Times New Roman"/>
                <w:bCs/>
                <w:color w:val="auto"/>
                <w:sz w:val="24"/>
                <w:lang w:val="en-US" w:eastAsia="zh-CN"/>
              </w:rPr>
              <w:t>废油桶（HW08）、</w:t>
            </w:r>
            <w:r>
              <w:rPr>
                <w:rFonts w:hint="default" w:ascii="Times New Roman" w:hAnsi="Times New Roman" w:cs="Times New Roman"/>
                <w:color w:val="auto"/>
                <w:sz w:val="24"/>
              </w:rPr>
              <w:t>废包装桶</w:t>
            </w:r>
            <w:r>
              <w:rPr>
                <w:rFonts w:hint="default" w:ascii="Times New Roman" w:hAnsi="Times New Roman" w:cs="Times New Roman"/>
                <w:color w:val="auto"/>
                <w:kern w:val="0"/>
                <w:sz w:val="24"/>
              </w:rPr>
              <w:t>（HW49）</w:t>
            </w:r>
            <w:r>
              <w:rPr>
                <w:rFonts w:hint="eastAsia" w:ascii="Times New Roman" w:hAnsi="Times New Roman" w:cs="Times New Roman"/>
                <w:color w:val="auto"/>
                <w:kern w:val="0"/>
                <w:sz w:val="24"/>
                <w:lang w:eastAsia="zh-CN"/>
              </w:rPr>
              <w:t>、</w:t>
            </w:r>
            <w:r>
              <w:rPr>
                <w:rFonts w:hint="default" w:ascii="Times New Roman" w:hAnsi="Times New Roman" w:cs="Times New Roman"/>
                <w:color w:val="auto"/>
                <w:kern w:val="0"/>
                <w:sz w:val="24"/>
              </w:rPr>
              <w:t>废润滑油（HW08）作为危险废物委托宜兴市凌霞固废处置有限公司</w:t>
            </w:r>
            <w:r>
              <w:rPr>
                <w:rFonts w:hint="eastAsia" w:cs="Times New Roman"/>
                <w:color w:val="auto"/>
                <w:kern w:val="0"/>
                <w:sz w:val="24"/>
                <w:lang w:eastAsia="zh-CN"/>
              </w:rPr>
              <w:t>、</w:t>
            </w:r>
            <w:r>
              <w:rPr>
                <w:rFonts w:hint="default" w:ascii="Times New Roman" w:hAnsi="Times New Roman" w:cs="Times New Roman"/>
                <w:color w:val="auto"/>
                <w:kern w:val="0"/>
                <w:sz w:val="24"/>
              </w:rPr>
              <w:t>泰州市惠明固废处置有限公司能够满足环保要求。</w:t>
            </w:r>
          </w:p>
          <w:p w14:paraId="4624964D">
            <w:pPr>
              <w:keepNext w:val="0"/>
              <w:keepLines w:val="0"/>
              <w:numPr>
                <w:ilvl w:val="0"/>
                <w:numId w:val="10"/>
              </w:numPr>
              <w:suppressLineNumbers w:val="0"/>
              <w:snapToGrid w:val="0"/>
              <w:spacing w:before="0" w:beforeAutospacing="0" w:after="0" w:afterAutospacing="0" w:line="480" w:lineRule="exact"/>
              <w:ind w:left="420" w:leftChars="200" w:right="0" w:rightChars="0"/>
              <w:rPr>
                <w:rFonts w:hint="eastAsia" w:cs="Times New Roman"/>
                <w:b/>
                <w:bCs/>
                <w:color w:val="auto"/>
                <w:sz w:val="24"/>
                <w:lang w:val="en-US" w:eastAsia="zh-CN"/>
              </w:rPr>
            </w:pPr>
            <w:r>
              <w:rPr>
                <w:rFonts w:hint="eastAsia" w:cs="Times New Roman"/>
                <w:b/>
                <w:bCs/>
                <w:color w:val="auto"/>
                <w:sz w:val="24"/>
                <w:lang w:val="en-US" w:eastAsia="zh-CN"/>
              </w:rPr>
              <w:t>环境管理要求</w:t>
            </w:r>
          </w:p>
          <w:p w14:paraId="7C8E2623">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①危险废物贮存设施污染控制一般要求</w:t>
            </w:r>
          </w:p>
          <w:p w14:paraId="58F8CD42">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根据《危险废物贮存污染控制标准》（GB18597-2023），危险废物贮存一般要求如下：</w:t>
            </w:r>
          </w:p>
          <w:p w14:paraId="5307F2DC">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Ⅰ贮存设施应根据危险废物的形态、物理化学性质、包装形式和污染物迁移途径，采取必要的防风、防晒、防雨、防漏、防渗、防腐以及其他环境污染防治措施，不应露天堆放危险废物。</w:t>
            </w:r>
          </w:p>
          <w:p w14:paraId="644968D8">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Ⅱ贮存设施应根据危险废物的类别、数量、形态、物理化学性质和污染防治等要求设置必要的贮存分区，避免不相容的危险废物接触、混合。</w:t>
            </w:r>
          </w:p>
          <w:p w14:paraId="0888DAC1">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Ⅲ贮存设施或贮存分区内地面、墙面裙脚、堵截泄漏的围堰、接触危险废物的隔板和墙体等应采用坚固的材料建造，表面无裂缝。</w:t>
            </w:r>
          </w:p>
          <w:p w14:paraId="047F1A0E">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Ⅳ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cm/s），或至少2mm厚高密度聚乙烯膜等人工防渗材料（渗透系数不大于10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cm/s），或其他防渗性能等效的材料。</w:t>
            </w:r>
          </w:p>
          <w:p w14:paraId="411756EE">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Ⅴ同一贮存设施宜采用相同的防渗、防腐工艺（包括防渗、防腐结构或材料），防渗、防腐材料应覆盖所有可能与废物及其渗滤液、渗漏液等接触的构筑物表面；采用不同防渗、防腐工艺应分别建设贮存分区。</w:t>
            </w:r>
          </w:p>
          <w:p w14:paraId="30809726">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Ⅵ贮存设施应采取技术和管理措施防止无关人员进入。</w:t>
            </w:r>
          </w:p>
          <w:p w14:paraId="418A2417">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 MERGEFORMAT </w:instrText>
            </w:r>
            <w:r>
              <w:rPr>
                <w:rFonts w:hint="default" w:ascii="Times New Roman" w:hAnsi="Times New Roman" w:cs="Times New Roman"/>
                <w:color w:val="auto"/>
                <w:sz w:val="24"/>
              </w:rPr>
              <w:fldChar w:fldCharType="separate"/>
            </w:r>
            <w:r>
              <w:rPr>
                <w:rFonts w:hint="eastAsia" w:ascii="宋体" w:hAnsi="宋体" w:cs="宋体"/>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危险废物贮存容器要求</w:t>
            </w:r>
          </w:p>
          <w:p w14:paraId="43394F2F">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Ⅰ容器和包装物材质、内衬应与盛装的危险废物相容。</w:t>
            </w:r>
          </w:p>
          <w:p w14:paraId="2B15FAA3">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Ⅱ针对不同类别、形态、物理化学性质的危险废物，其容器和包装物应满足相应的防渗、防漏、防腐和强度等要求。</w:t>
            </w:r>
          </w:p>
          <w:p w14:paraId="0ED368BE">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Ⅲ硬质容器和包装物及其支护结构堆叠码放时不应有明显变形，无破损泄漏。</w:t>
            </w:r>
          </w:p>
          <w:p w14:paraId="0C62010D">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Ⅳ柔性容器和包装物堆叠码放时应封口严密，无破损泄漏。</w:t>
            </w:r>
          </w:p>
          <w:p w14:paraId="19254306">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Ⅴ使用容器盛装液态、半固态危险废物时，容器内部应留有适当的空间，以适应因温度变化等可能引发的收缩和膨胀，防止其导致容器渗漏或永久变形。</w:t>
            </w:r>
          </w:p>
          <w:p w14:paraId="1AC703DC">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6 \* ROMAN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rPr>
              <w:t>VI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容器和包装物外表面应保持清洁。</w:t>
            </w:r>
          </w:p>
          <w:p w14:paraId="4F3E6A90">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③危险废物贮存设施运行环境管理要求</w:t>
            </w:r>
          </w:p>
          <w:p w14:paraId="52DC98C4">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Ⅰ危险废物存入贮存设施前应对危险废物类别和特性与危险废物标签等危险废物识别标志的一致性进行核验，不一致的或类别、特性不明的不应存入。</w:t>
            </w:r>
          </w:p>
          <w:p w14:paraId="0CFCD520">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Ⅱ应定期检查危险废物的贮存状况，及时清理贮存设施地面，更换破损泄漏的危险废物贮存容器和包装物，保证堆存危险废物的防雨、防风、防扬尘等设施功能完好。</w:t>
            </w:r>
          </w:p>
          <w:p w14:paraId="2D6E7A04">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Ⅲ作业设备及车辆等结束作业离开贮存设施时，应对其残留的危险废物进行清理，清理的废物或清洗废水应收集处理。</w:t>
            </w:r>
          </w:p>
          <w:p w14:paraId="7FD1E141">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Ⅳ贮存设施运行期间，应按国家有关标准和规定建立危险废物管理台账并保存。</w:t>
            </w:r>
          </w:p>
          <w:p w14:paraId="34C21408">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Ⅴ贮存设施所有者或运营者应建立贮存设施环境管理制度、管理人员岗位职责制度、设施运行操作制度、人员岗位培训制度等。</w:t>
            </w:r>
          </w:p>
          <w:p w14:paraId="650B56E5">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Ⅵ贮存设施所有者或运营者应依据国家土壤和地下水污染防治的有关规定，结合贮存设施特点建立土壤和地下水污染隐患排查制度，并定期开展隐患排查；发现隐患应及时采取措施消除隐患，并建立档案。</w:t>
            </w:r>
          </w:p>
          <w:p w14:paraId="5D51A9A6">
            <w:pPr>
              <w:keepNext w:val="0"/>
              <w:keepLines w:val="0"/>
              <w:suppressLineNumbers w:val="0"/>
              <w:spacing w:before="0" w:beforeAutospacing="0" w:after="0" w:afterAutospacing="0" w:line="480" w:lineRule="atLeas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Ⅶ贮存设施所有者或运营者应建立贮存设施全部档案，包括设计、施工、验收、运行、监测和环境应急等，应按国家有关档案管理的法律法规进行整理和归档。</w:t>
            </w:r>
          </w:p>
          <w:p w14:paraId="03965B05">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④危险废物运输要求</w:t>
            </w:r>
          </w:p>
          <w:p w14:paraId="5D35E16D">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危险废物运输过程中必须按照《危险废物收集 贮存 运输技术规范》（HJ2025-2012）中要求，做到以下几点：</w:t>
            </w:r>
          </w:p>
          <w:p w14:paraId="384ED140">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Ⅰ危险废物的运输车辆须经主管单位检查，并持有有关单位签发的许可证，负责运输的司机应通过培训，持有证明文件。</w:t>
            </w:r>
          </w:p>
          <w:p w14:paraId="05C3EBE7">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Ⅱ承载危险废物的车辆须有明显的标志或适当的危险符号，以引起注意。</w:t>
            </w:r>
          </w:p>
          <w:p w14:paraId="72541059">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Ⅲ载有危险废物的车辆在公路上行驶时，需持有运输许可证，其上应注明废物来源、性质和运往地点。</w:t>
            </w:r>
          </w:p>
          <w:p w14:paraId="43237FC9">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Ⅳ组织危险废物的运输单位，在事先须作出周密的运输计划和形式路线，其中包括有效的废物泄漏情况的应急措施。</w:t>
            </w:r>
          </w:p>
          <w:p w14:paraId="7D0CC4A2">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⑤危险废物管理要求</w:t>
            </w:r>
          </w:p>
          <w:p w14:paraId="6D9B56A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Ⅰ建设单位应通过</w:t>
            </w:r>
            <w:r>
              <w:rPr>
                <w:rFonts w:hint="eastAsia" w:ascii="Times New Roman" w:hAnsi="Times New Roman" w:cs="Times New Roman"/>
                <w:color w:val="auto"/>
                <w:sz w:val="24"/>
              </w:rPr>
              <w:t>江苏省污染源“一企一档”管理系统</w:t>
            </w:r>
            <w:r>
              <w:rPr>
                <w:rFonts w:hint="default" w:ascii="Times New Roman" w:hAnsi="Times New Roman" w:cs="Times New Roman"/>
                <w:color w:val="auto"/>
                <w:sz w:val="24"/>
              </w:rPr>
              <w:t>进行危险废物申报登记或变更申报登记。将危险废物的实际产生、贮存、利用、处置等情况纳入生产记录，建立危险废物管理台账和企业内部产生和收集、贮存、转移等部门危险废物交接制度。</w:t>
            </w:r>
          </w:p>
          <w:p w14:paraId="45C49BF5">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Ⅱ建设方为本项目固体废物污染防治的责任主体，企业应建立风险管理及应急救援体系，执行环境监测计划、转移联单管理制度及国家和省有关转移管理的相关规定、处置过程安全操作规程、人员培训考核制度、档案管理制度、处置全过程管理制度等。</w:t>
            </w:r>
          </w:p>
          <w:p w14:paraId="31FCE9DC">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Ⅲ加强固体废物的管理，加强固体废物收集、暂存容器、设施的维护和更新；加强固体废物堆场的巡视；做好有关台账手续。</w:t>
            </w:r>
          </w:p>
          <w:p w14:paraId="67D42089">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Ⅴ应将危险废物提供或者委托给有经营许可证的单位从事收集、贮存、利用、处置的经营活动，并加强对运输单位及处置单位的跟踪检查，确保符合环保要求。</w:t>
            </w:r>
          </w:p>
          <w:p w14:paraId="70C90887">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Ⅴ贮存危险废物必须采取符合国家环境保护标准的防护措施，并不得超过一年；禁止将危险废物混入非危险废物中贮存；禁止混合收集、贮存、运输、处置性质不相容而未经安全性处置的危险废物。</w:t>
            </w:r>
          </w:p>
          <w:p w14:paraId="0C01B0E6">
            <w:pPr>
              <w:keepNext w:val="0"/>
              <w:keepLines w:val="0"/>
              <w:suppressLineNumbers w:val="0"/>
              <w:snapToGrid w:val="0"/>
              <w:spacing w:before="0" w:beforeAutospacing="0" w:after="0" w:afterAutospacing="0" w:line="480" w:lineRule="exact"/>
              <w:ind w:left="0" w:right="0" w:firstLine="480" w:firstLineChars="200"/>
              <w:rPr>
                <w:rFonts w:hint="eastAsia" w:cs="Times New Roman"/>
                <w:color w:val="auto"/>
                <w:sz w:val="24"/>
                <w:lang w:val="en-US" w:eastAsia="zh-CN"/>
              </w:rPr>
            </w:pPr>
            <w:r>
              <w:rPr>
                <w:rFonts w:hint="eastAsia" w:cs="Times New Roman"/>
                <w:color w:val="auto"/>
                <w:sz w:val="24"/>
                <w:lang w:val="en-US" w:eastAsia="zh-CN"/>
              </w:rPr>
              <w:t>⑥一般固废贮存要求</w:t>
            </w:r>
          </w:p>
          <w:p w14:paraId="1A0A64F3">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根据《一般工业固体废物贮存和填埋污染控制标准》（GB18599-2020），一般工业固体废物贮存、处置场运行管理要求如下：</w:t>
            </w:r>
          </w:p>
          <w:p w14:paraId="4EF6D423">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不相容的一般工业固体废物应设置不同的分区进行贮存和填埋作业。危险废物和生活垃圾不得进入一般工业固体废物贮存场及填埋场，国家及地方有关法律法规、标准另有规定的除外。易产生扬尘的贮存或填埋场应采取分区作业、覆盖、洒水等有效抑尘措施防止扬尘污染。</w:t>
            </w:r>
          </w:p>
          <w:p w14:paraId="7977AC62">
            <w:pPr>
              <w:keepNext w:val="0"/>
              <w:keepLines w:val="0"/>
              <w:suppressLineNumbers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固体废物处理处置前在厂内的堆放、贮存场所须按照国家固体废物贮存有关要求分类设置。企业定期组织相关人员认真学习相关的环境法律文件，严格按照有关环境保护法规规定的条款认真执行，企业建立了固体废物的管理制度；并已安排专人管理，从废物产生、贮存、运输、处理处置等环节严格控制污染影响。另外公司不断挖掘削减固体废物排放量的潜力，落实清洁生产体系，最大可能地降低固体废物产生量。</w:t>
            </w:r>
          </w:p>
          <w:p w14:paraId="1F6F34CF">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b/>
                <w:bCs/>
                <w:color w:val="auto"/>
                <w:kern w:val="0"/>
                <w:sz w:val="24"/>
                <w:highlight w:val="none"/>
              </w:rPr>
            </w:pPr>
            <w:r>
              <w:rPr>
                <w:rFonts w:hint="default" w:ascii="Times New Roman" w:hAnsi="Times New Roman" w:cs="Times New Roman"/>
                <w:color w:val="auto"/>
                <w:sz w:val="24"/>
              </w:rPr>
              <w:t>本项目危险废物均可在区域内有资质单位得到合理处置，全厂所有固废均安全妥善</w:t>
            </w:r>
            <w:r>
              <w:rPr>
                <w:rFonts w:hint="eastAsia" w:ascii="Times New Roman" w:hAnsi="Times New Roman" w:cs="Times New Roman"/>
                <w:color w:val="auto"/>
                <w:sz w:val="24"/>
                <w:lang w:eastAsia="zh-CN"/>
              </w:rPr>
              <w:t>地</w:t>
            </w:r>
            <w:r>
              <w:rPr>
                <w:rFonts w:hint="default" w:ascii="Times New Roman" w:hAnsi="Times New Roman" w:cs="Times New Roman"/>
                <w:color w:val="auto"/>
                <w:sz w:val="24"/>
              </w:rPr>
              <w:t>处置，全厂固废实现</w:t>
            </w:r>
            <w:r>
              <w:rPr>
                <w:rFonts w:hint="eastAsia" w:ascii="Times New Roman" w:hAnsi="Times New Roman" w:cs="Times New Roman"/>
                <w:color w:val="auto"/>
                <w:sz w:val="24"/>
              </w:rPr>
              <w:t>“</w:t>
            </w:r>
            <w:r>
              <w:rPr>
                <w:rFonts w:hint="default" w:ascii="Times New Roman" w:hAnsi="Times New Roman" w:cs="Times New Roman"/>
                <w:color w:val="auto"/>
                <w:sz w:val="24"/>
              </w:rPr>
              <w:t>零</w:t>
            </w:r>
            <w:r>
              <w:rPr>
                <w:rFonts w:hint="eastAsia" w:ascii="Times New Roman" w:hAnsi="Times New Roman" w:cs="Times New Roman"/>
                <w:color w:val="auto"/>
                <w:sz w:val="24"/>
              </w:rPr>
              <w:t>”</w:t>
            </w:r>
            <w:r>
              <w:rPr>
                <w:rFonts w:hint="default" w:ascii="Times New Roman" w:hAnsi="Times New Roman" w:cs="Times New Roman"/>
                <w:color w:val="auto"/>
                <w:sz w:val="24"/>
              </w:rPr>
              <w:t>排放，对环境不会产生二次污染，固废环境保护措施可行，可避免固体废弃物对环境造成的影响。</w:t>
            </w:r>
          </w:p>
          <w:p w14:paraId="5987F6D0">
            <w:pPr>
              <w:keepNext w:val="0"/>
              <w:keepLines w:val="0"/>
              <w:suppressLineNumbers w:val="0"/>
              <w:spacing w:before="0" w:beforeAutospacing="0" w:after="0" w:afterAutospacing="0" w:line="480" w:lineRule="exact"/>
              <w:ind w:left="0" w:right="0" w:firstLine="482" w:firstLineChars="200"/>
              <w:rPr>
                <w:rFonts w:hint="default" w:ascii="Times New Roman" w:hAnsi="Times New Roman" w:cs="Times New Roman"/>
                <w:b/>
                <w:bCs/>
                <w:color w:val="auto"/>
                <w:sz w:val="24"/>
              </w:rPr>
            </w:pPr>
            <w:r>
              <w:rPr>
                <w:rFonts w:hint="eastAsia" w:ascii="Times New Roman" w:hAnsi="Times New Roman" w:cs="Times New Roman"/>
                <w:b/>
                <w:bCs/>
                <w:color w:val="auto"/>
                <w:sz w:val="24"/>
              </w:rPr>
              <w:t>五、环境风险评价</w:t>
            </w:r>
          </w:p>
          <w:p w14:paraId="46D5ECB8">
            <w:pPr>
              <w:keepNext w:val="0"/>
              <w:keepLines w:val="0"/>
              <w:suppressLineNumbers w:val="0"/>
              <w:spacing w:before="0" w:beforeAutospacing="0" w:after="0" w:afterAutospacing="0" w:line="480" w:lineRule="exact"/>
              <w:ind w:left="0" w:right="0" w:firstLine="480" w:firstLineChars="200"/>
              <w:rPr>
                <w:rFonts w:hint="default" w:cs="Times New Roman"/>
                <w:color w:val="auto"/>
                <w:sz w:val="24"/>
                <w:lang w:val="en-US" w:eastAsia="zh-CN"/>
              </w:rPr>
            </w:pPr>
            <w:r>
              <w:rPr>
                <w:rFonts w:hint="eastAsia" w:cs="Times New Roman"/>
                <w:color w:val="auto"/>
                <w:sz w:val="24"/>
                <w:lang w:val="en-US" w:eastAsia="zh-CN"/>
              </w:rPr>
              <w:t>1、风险物质识别</w:t>
            </w:r>
          </w:p>
          <w:p w14:paraId="5B1E8C23">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根据《建设项目环境风险评价技术 导则》（HJ 169-2018），首先对本项目危险物质数量及临界量比值（Q）进行计算。</w:t>
            </w:r>
          </w:p>
          <w:p w14:paraId="0D86493E">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计算所涉及的每种危险物质在厂界内的最大存在总量与其在附录中对应临界量的比值Q时，在不同厂区的同一种物质，按其在厂界内的最大存在总量计算。对于长输管线项目，按照两个截断阀室之间管段危险物质最大存在总量计算。</w:t>
            </w:r>
          </w:p>
          <w:p w14:paraId="610EC2F7">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当只涉及一种危险物质时，计算该物质的总量与其临界量比值，即为Q；</w:t>
            </w:r>
          </w:p>
          <w:p w14:paraId="041E29B3">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当存在多种危险物质时，则按式（D.I）计算物质总量与其临界量比值（Q）：</w:t>
            </w:r>
          </w:p>
          <w:p w14:paraId="4C8AF059">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Q= q1/Q1 + q2 /Q2 +……+qn/Qn</w:t>
            </w:r>
          </w:p>
          <w:p w14:paraId="157609A1">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式中：q1，q2，…，qn—每种危险物质的最大存在总量，t；</w:t>
            </w:r>
          </w:p>
          <w:p w14:paraId="5BD71A89">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Q1，Q2，…，Qn—每种危险物质的临界量，t。</w:t>
            </w:r>
          </w:p>
          <w:p w14:paraId="32B0DA08">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当Q＜1时，该项目环境风险潜势为I。</w:t>
            </w:r>
          </w:p>
          <w:p w14:paraId="22080D16">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当Q≥1时，将Q值划分为：（1）1≤Q＜10；（2）10≤Q＜100；（3）Q≥100。</w:t>
            </w:r>
          </w:p>
          <w:p w14:paraId="3DE082E1">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对照《危险化学品目录（2018）》及《建设项目环境风险评价技术导则》（HJ 169-2018）附录B，本项目涉及的危险化学品如下：</w:t>
            </w:r>
          </w:p>
          <w:p w14:paraId="2D691EA5">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bCs/>
                <w:color w:val="auto"/>
                <w:sz w:val="24"/>
              </w:rPr>
            </w:pPr>
            <w:r>
              <w:rPr>
                <w:rFonts w:hint="default" w:ascii="Times New Roman" w:hAnsi="宋体" w:cs="Times New Roman"/>
                <w:b/>
                <w:bCs/>
                <w:color w:val="auto"/>
                <w:sz w:val="24"/>
              </w:rPr>
              <w:t>表</w:t>
            </w:r>
            <w:r>
              <w:rPr>
                <w:rFonts w:hint="default" w:ascii="Times New Roman" w:hAnsi="Times New Roman" w:cs="Times New Roman"/>
                <w:b/>
                <w:bCs/>
                <w:color w:val="auto"/>
                <w:sz w:val="24"/>
              </w:rPr>
              <w:t>4.5-</w:t>
            </w: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 xml:space="preserve">  Q</w:t>
            </w:r>
            <w:r>
              <w:rPr>
                <w:rFonts w:hint="default" w:ascii="Times New Roman" w:hAnsi="宋体" w:cs="Times New Roman"/>
                <w:b/>
                <w:bCs/>
                <w:color w:val="auto"/>
                <w:sz w:val="24"/>
              </w:rPr>
              <w:t>值计算结果一览表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8"/>
              <w:gridCol w:w="1516"/>
              <w:gridCol w:w="1235"/>
              <w:gridCol w:w="1996"/>
              <w:gridCol w:w="1224"/>
              <w:gridCol w:w="1797"/>
            </w:tblGrid>
            <w:tr w14:paraId="6BDD6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14:paraId="4AC6307D">
                  <w:pPr>
                    <w:pStyle w:val="115"/>
                    <w:keepNext w:val="0"/>
                    <w:keepLines w:val="0"/>
                    <w:widowControl w:val="0"/>
                    <w:suppressLineNumbers w:val="0"/>
                    <w:pBdr>
                      <w:left w:val="none" w:color="auto" w:sz="0" w:space="0"/>
                      <w:right w:val="none" w:color="auto" w:sz="0" w:space="0"/>
                    </w:pBdr>
                    <w:spacing w:before="0" w:beforeAutospacing="0" w:after="0" w:afterAutospacing="0"/>
                    <w:ind w:left="0" w:right="0"/>
                    <w:rPr>
                      <w:rFonts w:hint="eastAsia" w:cs="Times New Roman"/>
                      <w:b/>
                      <w:bCs/>
                      <w:color w:val="auto"/>
                      <w:kern w:val="2"/>
                      <w:sz w:val="21"/>
                      <w:szCs w:val="21"/>
                    </w:rPr>
                  </w:pPr>
                  <w:r>
                    <w:rPr>
                      <w:rFonts w:hint="eastAsia" w:ascii="宋体" w:hAnsi="宋体" w:eastAsia="宋体" w:cs="宋体"/>
                      <w:b/>
                      <w:bCs/>
                      <w:color w:val="auto"/>
                      <w:kern w:val="2"/>
                      <w:sz w:val="21"/>
                      <w:szCs w:val="21"/>
                    </w:rPr>
                    <w:t>类别</w:t>
                  </w:r>
                </w:p>
              </w:tc>
              <w:tc>
                <w:tcPr>
                  <w:tcW w:w="1516" w:type="dxa"/>
                  <w:noWrap w:val="0"/>
                  <w:vAlign w:val="center"/>
                </w:tcPr>
                <w:p w14:paraId="7B5875A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宋体" w:cs="Times New Roman"/>
                      <w:b/>
                      <w:bCs/>
                      <w:color w:val="auto"/>
                      <w:szCs w:val="21"/>
                    </w:rPr>
                    <w:t>危化品名称</w:t>
                  </w:r>
                </w:p>
              </w:tc>
              <w:tc>
                <w:tcPr>
                  <w:tcW w:w="1235" w:type="dxa"/>
                  <w:noWrap w:val="0"/>
                  <w:vAlign w:val="center"/>
                </w:tcPr>
                <w:p w14:paraId="63459E90">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CAS</w:t>
                  </w:r>
                  <w:r>
                    <w:rPr>
                      <w:rFonts w:hint="default" w:ascii="Times New Roman" w:hAnsi="宋体" w:cs="Times New Roman"/>
                      <w:b/>
                      <w:bCs/>
                      <w:color w:val="auto"/>
                      <w:szCs w:val="21"/>
                    </w:rPr>
                    <w:t>号</w:t>
                  </w:r>
                </w:p>
              </w:tc>
              <w:tc>
                <w:tcPr>
                  <w:tcW w:w="1996" w:type="dxa"/>
                  <w:noWrap w:val="0"/>
                  <w:vAlign w:val="center"/>
                </w:tcPr>
                <w:p w14:paraId="206F815C">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宋体" w:cs="Times New Roman"/>
                      <w:b/>
                      <w:bCs/>
                      <w:color w:val="auto"/>
                      <w:szCs w:val="21"/>
                    </w:rPr>
                    <w:t>项目最大储存量</w:t>
                  </w:r>
                  <w:r>
                    <w:rPr>
                      <w:rFonts w:hint="default" w:ascii="Times New Roman" w:hAnsi="Times New Roman" w:cs="Times New Roman"/>
                      <w:b/>
                      <w:bCs/>
                      <w:color w:val="auto"/>
                      <w:szCs w:val="21"/>
                    </w:rPr>
                    <w:t>qn/t</w:t>
                  </w:r>
                </w:p>
              </w:tc>
              <w:tc>
                <w:tcPr>
                  <w:tcW w:w="1224" w:type="dxa"/>
                  <w:noWrap w:val="0"/>
                  <w:vAlign w:val="center"/>
                </w:tcPr>
                <w:p w14:paraId="45009DE6">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宋体" w:cs="Times New Roman"/>
                      <w:b/>
                      <w:bCs/>
                      <w:color w:val="auto"/>
                      <w:szCs w:val="21"/>
                    </w:rPr>
                    <w:t>临界量</w:t>
                  </w:r>
                  <w:r>
                    <w:rPr>
                      <w:rFonts w:hint="default" w:ascii="Times New Roman" w:hAnsi="Times New Roman" w:cs="Times New Roman"/>
                      <w:b/>
                      <w:bCs/>
                      <w:color w:val="auto"/>
                      <w:szCs w:val="21"/>
                    </w:rPr>
                    <w:t>Qn/t</w:t>
                  </w:r>
                </w:p>
              </w:tc>
              <w:tc>
                <w:tcPr>
                  <w:tcW w:w="1797" w:type="dxa"/>
                  <w:noWrap w:val="0"/>
                  <w:vAlign w:val="center"/>
                </w:tcPr>
                <w:p w14:paraId="41DCE7F1">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宋体" w:cs="Times New Roman"/>
                      <w:b/>
                      <w:bCs/>
                      <w:color w:val="auto"/>
                      <w:szCs w:val="21"/>
                    </w:rPr>
                    <w:t>该种危险物质</w:t>
                  </w:r>
                  <w:r>
                    <w:rPr>
                      <w:rFonts w:hint="default" w:ascii="Times New Roman" w:hAnsi="Times New Roman" w:cs="Times New Roman"/>
                      <w:b/>
                      <w:bCs/>
                      <w:color w:val="auto"/>
                      <w:szCs w:val="21"/>
                    </w:rPr>
                    <w:t>Q</w:t>
                  </w:r>
                  <w:r>
                    <w:rPr>
                      <w:rFonts w:hint="default" w:ascii="Times New Roman" w:hAnsi="宋体" w:cs="Times New Roman"/>
                      <w:b/>
                      <w:bCs/>
                      <w:color w:val="auto"/>
                      <w:szCs w:val="21"/>
                    </w:rPr>
                    <w:t>值</w:t>
                  </w:r>
                </w:p>
              </w:tc>
            </w:tr>
            <w:tr w14:paraId="22FE3F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restart"/>
                  <w:noWrap w:val="0"/>
                  <w:vAlign w:val="center"/>
                </w:tcPr>
                <w:p w14:paraId="71A3863F">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ascii="Times New Roman" w:hAnsi="Times New Roman" w:cs="Times New Roman"/>
                      <w:color w:val="auto"/>
                      <w:szCs w:val="21"/>
                    </w:rPr>
                    <w:t>原辅料</w:t>
                  </w:r>
                </w:p>
              </w:tc>
              <w:tc>
                <w:tcPr>
                  <w:tcW w:w="1516" w:type="dxa"/>
                  <w:noWrap w:val="0"/>
                  <w:vAlign w:val="center"/>
                </w:tcPr>
                <w:p w14:paraId="508296FD">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半合成切削液</w:t>
                  </w:r>
                </w:p>
              </w:tc>
              <w:tc>
                <w:tcPr>
                  <w:tcW w:w="1235" w:type="dxa"/>
                  <w:noWrap w:val="0"/>
                  <w:vAlign w:val="center"/>
                </w:tcPr>
                <w:p w14:paraId="47C1EEAE">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996" w:type="dxa"/>
                  <w:shd w:val="clear" w:color="auto" w:fill="auto"/>
                  <w:noWrap w:val="0"/>
                  <w:vAlign w:val="center"/>
                </w:tcPr>
                <w:p w14:paraId="2FE7C4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224" w:type="dxa"/>
                  <w:noWrap w:val="0"/>
                  <w:vAlign w:val="center"/>
                </w:tcPr>
                <w:p w14:paraId="5AF3325D">
                  <w:pPr>
                    <w:keepNext w:val="0"/>
                    <w:keepLines w:val="0"/>
                    <w:suppressLineNumbers w:val="0"/>
                    <w:spacing w:before="0" w:beforeAutospacing="0" w:after="0" w:afterAutospacing="0"/>
                    <w:ind w:left="0" w:right="0"/>
                    <w:jc w:val="center"/>
                    <w:rPr>
                      <w:rFonts w:hint="default" w:ascii="Times New Roman" w:hAnsi="Times New Roman" w:eastAsia="等线" w:cs="Times New Roman"/>
                      <w:color w:val="auto"/>
                      <w:szCs w:val="21"/>
                      <w:lang w:val="en-US" w:eastAsia="zh-CN"/>
                    </w:rPr>
                  </w:pPr>
                  <w:r>
                    <w:rPr>
                      <w:rFonts w:hint="eastAsia" w:cs="Times New Roman"/>
                      <w:color w:val="auto"/>
                      <w:szCs w:val="21"/>
                      <w:lang w:val="en-US" w:eastAsia="zh-CN"/>
                    </w:rPr>
                    <w:t>100</w:t>
                  </w:r>
                </w:p>
              </w:tc>
              <w:tc>
                <w:tcPr>
                  <w:tcW w:w="1797" w:type="dxa"/>
                  <w:shd w:val="clear" w:color="auto" w:fill="auto"/>
                  <w:noWrap w:val="0"/>
                  <w:vAlign w:val="center"/>
                </w:tcPr>
                <w:p w14:paraId="59477C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0.0020 </w:t>
                  </w:r>
                </w:p>
              </w:tc>
            </w:tr>
            <w:tr w14:paraId="51575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3822EFB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516" w:type="dxa"/>
                  <w:noWrap w:val="0"/>
                  <w:vAlign w:val="center"/>
                </w:tcPr>
                <w:p w14:paraId="36D1D2DA">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防锈乳化油</w:t>
                  </w:r>
                </w:p>
              </w:tc>
              <w:tc>
                <w:tcPr>
                  <w:tcW w:w="1235" w:type="dxa"/>
                  <w:noWrap w:val="0"/>
                  <w:vAlign w:val="center"/>
                </w:tcPr>
                <w:p w14:paraId="7B2A751C">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w:t>
                  </w:r>
                </w:p>
              </w:tc>
              <w:tc>
                <w:tcPr>
                  <w:tcW w:w="1996" w:type="dxa"/>
                  <w:shd w:val="clear" w:color="auto" w:fill="auto"/>
                  <w:noWrap w:val="0"/>
                  <w:vAlign w:val="center"/>
                </w:tcPr>
                <w:p w14:paraId="2309CB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224" w:type="dxa"/>
                  <w:noWrap w:val="0"/>
                  <w:vAlign w:val="center"/>
                </w:tcPr>
                <w:p w14:paraId="6A3F454D">
                  <w:pPr>
                    <w:keepNext w:val="0"/>
                    <w:keepLines w:val="0"/>
                    <w:suppressLineNumbers w:val="0"/>
                    <w:spacing w:before="0" w:beforeAutospacing="0" w:after="0" w:afterAutospacing="0"/>
                    <w:ind w:left="0" w:right="0"/>
                    <w:jc w:val="center"/>
                    <w:rPr>
                      <w:rFonts w:hint="default" w:ascii="Times New Roman" w:hAnsi="Times New Roman" w:eastAsia="等线" w:cs="Times New Roman"/>
                      <w:color w:val="auto"/>
                      <w:szCs w:val="21"/>
                      <w:lang w:val="en-US" w:eastAsia="zh-CN"/>
                    </w:rPr>
                  </w:pPr>
                  <w:r>
                    <w:rPr>
                      <w:rFonts w:hint="eastAsia" w:cs="Times New Roman"/>
                      <w:color w:val="auto"/>
                      <w:szCs w:val="21"/>
                      <w:lang w:val="en-US" w:eastAsia="zh-CN"/>
                    </w:rPr>
                    <w:t>100</w:t>
                  </w:r>
                </w:p>
              </w:tc>
              <w:tc>
                <w:tcPr>
                  <w:tcW w:w="1797" w:type="dxa"/>
                  <w:shd w:val="clear" w:color="auto" w:fill="auto"/>
                  <w:noWrap w:val="0"/>
                  <w:vAlign w:val="center"/>
                </w:tcPr>
                <w:p w14:paraId="6652E8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r>
            <w:tr w14:paraId="00795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5195F015">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516" w:type="dxa"/>
                  <w:shd w:val="clear" w:color="auto" w:fill="auto"/>
                  <w:noWrap w:val="0"/>
                  <w:vAlign w:val="center"/>
                </w:tcPr>
                <w:p w14:paraId="53879B7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润滑油</w:t>
                  </w:r>
                </w:p>
              </w:tc>
              <w:tc>
                <w:tcPr>
                  <w:tcW w:w="1235" w:type="dxa"/>
                  <w:shd w:val="clear" w:color="auto" w:fill="auto"/>
                  <w:noWrap w:val="0"/>
                  <w:vAlign w:val="center"/>
                </w:tcPr>
                <w:p w14:paraId="4530F607">
                  <w:pPr>
                    <w:keepNext w:val="0"/>
                    <w:keepLines w:val="0"/>
                    <w:suppressLineNumbers w:val="0"/>
                    <w:spacing w:before="0" w:beforeAutospacing="0" w:after="0" w:afterAutospacing="0" w:line="320" w:lineRule="exact"/>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rPr>
                    <w:t>/</w:t>
                  </w:r>
                </w:p>
              </w:tc>
              <w:tc>
                <w:tcPr>
                  <w:tcW w:w="1996" w:type="dxa"/>
                  <w:shd w:val="clear" w:color="auto" w:fill="auto"/>
                  <w:noWrap w:val="0"/>
                  <w:vAlign w:val="center"/>
                </w:tcPr>
                <w:p w14:paraId="18EC72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224" w:type="dxa"/>
                  <w:shd w:val="clear" w:color="auto" w:fill="auto"/>
                  <w:noWrap w:val="0"/>
                  <w:vAlign w:val="center"/>
                </w:tcPr>
                <w:p w14:paraId="3BCF8EC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等线" w:cs="Times New Roman"/>
                      <w:color w:val="auto"/>
                      <w:szCs w:val="21"/>
                      <w:lang w:val="en-US" w:eastAsia="zh-CN"/>
                    </w:rPr>
                    <w:t>2500</w:t>
                  </w:r>
                </w:p>
              </w:tc>
              <w:tc>
                <w:tcPr>
                  <w:tcW w:w="1797" w:type="dxa"/>
                  <w:shd w:val="clear" w:color="auto" w:fill="auto"/>
                  <w:noWrap w:val="0"/>
                  <w:vAlign w:val="center"/>
                </w:tcPr>
                <w:p w14:paraId="6BB6BA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r>
            <w:tr w14:paraId="605F0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67528303">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516" w:type="dxa"/>
                  <w:shd w:val="clear" w:color="auto" w:fill="auto"/>
                  <w:noWrap w:val="0"/>
                  <w:vAlign w:val="center"/>
                </w:tcPr>
                <w:p w14:paraId="0F0B6B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镍及其化合物</w:t>
                  </w:r>
                </w:p>
              </w:tc>
              <w:tc>
                <w:tcPr>
                  <w:tcW w:w="1235" w:type="dxa"/>
                  <w:noWrap w:val="0"/>
                  <w:vAlign w:val="center"/>
                </w:tcPr>
                <w:p w14:paraId="5818ECF9">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w:t>
                  </w:r>
                </w:p>
              </w:tc>
              <w:tc>
                <w:tcPr>
                  <w:tcW w:w="1996" w:type="dxa"/>
                  <w:shd w:val="clear" w:color="auto" w:fill="auto"/>
                  <w:noWrap w:val="0"/>
                  <w:vAlign w:val="center"/>
                </w:tcPr>
                <w:p w14:paraId="58E31A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0.0</w:t>
                  </w:r>
                  <w:r>
                    <w:rPr>
                      <w:rFonts w:hint="eastAsia" w:cs="Times New Roman"/>
                      <w:i w:val="0"/>
                      <w:iCs w:val="0"/>
                      <w:color w:val="auto"/>
                      <w:kern w:val="2"/>
                      <w:sz w:val="21"/>
                      <w:szCs w:val="21"/>
                      <w:u w:val="none"/>
                      <w:lang w:val="en-US" w:eastAsia="zh-CN" w:bidi="ar-SA"/>
                    </w:rPr>
                    <w:t>156</w:t>
                  </w:r>
                </w:p>
              </w:tc>
              <w:tc>
                <w:tcPr>
                  <w:tcW w:w="1224" w:type="dxa"/>
                  <w:noWrap w:val="0"/>
                  <w:vAlign w:val="center"/>
                </w:tcPr>
                <w:p w14:paraId="787D1E62">
                  <w:pPr>
                    <w:keepNext w:val="0"/>
                    <w:keepLines w:val="0"/>
                    <w:suppressLineNumbers w:val="0"/>
                    <w:spacing w:before="0" w:beforeAutospacing="0" w:after="0" w:afterAutospacing="0"/>
                    <w:ind w:left="0" w:right="0"/>
                    <w:jc w:val="center"/>
                    <w:rPr>
                      <w:rFonts w:hint="default" w:ascii="Times New Roman" w:hAnsi="Times New Roman" w:eastAsia="等线" w:cs="Times New Roman"/>
                      <w:color w:val="auto"/>
                      <w:szCs w:val="21"/>
                      <w:lang w:val="en-US" w:eastAsia="zh-CN"/>
                    </w:rPr>
                  </w:pPr>
                  <w:r>
                    <w:rPr>
                      <w:rFonts w:hint="eastAsia" w:eastAsia="等线" w:cs="Times New Roman"/>
                      <w:color w:val="auto"/>
                      <w:szCs w:val="21"/>
                      <w:lang w:val="en-US" w:eastAsia="zh-CN"/>
                    </w:rPr>
                    <w:t>0.25</w:t>
                  </w:r>
                </w:p>
              </w:tc>
              <w:tc>
                <w:tcPr>
                  <w:tcW w:w="1797" w:type="dxa"/>
                  <w:shd w:val="clear" w:color="auto" w:fill="auto"/>
                  <w:noWrap w:val="0"/>
                  <w:vAlign w:val="center"/>
                </w:tcPr>
                <w:p w14:paraId="51C725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0624</w:t>
                  </w:r>
                </w:p>
              </w:tc>
            </w:tr>
            <w:tr w14:paraId="1D9C8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13ACAEB4">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16" w:type="dxa"/>
                  <w:shd w:val="clear" w:color="auto" w:fill="auto"/>
                  <w:noWrap w:val="0"/>
                  <w:vAlign w:val="center"/>
                </w:tcPr>
                <w:p w14:paraId="5F3BD3F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铬及其化合物</w:t>
                  </w:r>
                </w:p>
              </w:tc>
              <w:tc>
                <w:tcPr>
                  <w:tcW w:w="1235" w:type="dxa"/>
                  <w:noWrap w:val="0"/>
                  <w:vAlign w:val="center"/>
                </w:tcPr>
                <w:p w14:paraId="2D173B69">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w:t>
                  </w:r>
                </w:p>
              </w:tc>
              <w:tc>
                <w:tcPr>
                  <w:tcW w:w="1996" w:type="dxa"/>
                  <w:shd w:val="clear" w:color="auto" w:fill="auto"/>
                  <w:noWrap w:val="0"/>
                  <w:vAlign w:val="center"/>
                </w:tcPr>
                <w:p w14:paraId="711E12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2"/>
                      <w:sz w:val="21"/>
                      <w:szCs w:val="21"/>
                      <w:u w:val="none"/>
                      <w:lang w:val="en-US" w:eastAsia="zh-CN" w:bidi="ar-SA"/>
                    </w:rPr>
                    <w:t>0.0</w:t>
                  </w:r>
                  <w:r>
                    <w:rPr>
                      <w:rFonts w:hint="eastAsia" w:cs="Times New Roman"/>
                      <w:i w:val="0"/>
                      <w:iCs w:val="0"/>
                      <w:color w:val="auto"/>
                      <w:kern w:val="2"/>
                      <w:sz w:val="21"/>
                      <w:szCs w:val="21"/>
                      <w:u w:val="none"/>
                      <w:lang w:val="en-US" w:eastAsia="zh-CN" w:bidi="ar-SA"/>
                    </w:rPr>
                    <w:t>196</w:t>
                  </w:r>
                </w:p>
              </w:tc>
              <w:tc>
                <w:tcPr>
                  <w:tcW w:w="1224" w:type="dxa"/>
                  <w:noWrap w:val="0"/>
                  <w:vAlign w:val="center"/>
                </w:tcPr>
                <w:p w14:paraId="0247634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0.25</w:t>
                  </w:r>
                </w:p>
              </w:tc>
              <w:tc>
                <w:tcPr>
                  <w:tcW w:w="1797" w:type="dxa"/>
                  <w:shd w:val="clear" w:color="auto" w:fill="auto"/>
                  <w:noWrap w:val="0"/>
                  <w:vAlign w:val="center"/>
                </w:tcPr>
                <w:p w14:paraId="2B358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.0784</w:t>
                  </w:r>
                </w:p>
              </w:tc>
            </w:tr>
            <w:tr w14:paraId="3A074E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26ED498E">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16" w:type="dxa"/>
                  <w:shd w:val="clear" w:color="auto" w:fill="auto"/>
                  <w:noWrap w:val="0"/>
                  <w:vAlign w:val="center"/>
                </w:tcPr>
                <w:p w14:paraId="3477B0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天然气</w:t>
                  </w:r>
                  <w:r>
                    <w:rPr>
                      <w:rFonts w:hint="eastAsia" w:ascii="Times New Roman" w:hAnsi="Times New Roman" w:cs="Times New Roman"/>
                      <w:color w:val="auto"/>
                      <w:sz w:val="21"/>
                      <w:szCs w:val="21"/>
                      <w:lang w:val="en-US" w:eastAsia="zh-CN"/>
                    </w:rPr>
                    <w:t>（管道中）</w:t>
                  </w:r>
                </w:p>
              </w:tc>
              <w:tc>
                <w:tcPr>
                  <w:tcW w:w="1235" w:type="dxa"/>
                  <w:noWrap w:val="0"/>
                  <w:vAlign w:val="center"/>
                </w:tcPr>
                <w:p w14:paraId="1A10BDE2">
                  <w:pPr>
                    <w:keepNext w:val="0"/>
                    <w:keepLines w:val="0"/>
                    <w:suppressLineNumbers w:val="0"/>
                    <w:spacing w:before="0" w:beforeAutospacing="0" w:after="0" w:afterAutospacing="0" w:line="320" w:lineRule="exact"/>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74-82-8</w:t>
                  </w:r>
                </w:p>
              </w:tc>
              <w:tc>
                <w:tcPr>
                  <w:tcW w:w="1996" w:type="dxa"/>
                  <w:shd w:val="clear" w:color="auto" w:fill="auto"/>
                  <w:noWrap w:val="0"/>
                  <w:vAlign w:val="center"/>
                </w:tcPr>
                <w:p w14:paraId="4010F5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0.5</w:t>
                  </w:r>
                </w:p>
              </w:tc>
              <w:tc>
                <w:tcPr>
                  <w:tcW w:w="1224" w:type="dxa"/>
                  <w:shd w:val="clear" w:color="auto" w:fill="auto"/>
                  <w:noWrap w:val="0"/>
                  <w:vAlign w:val="center"/>
                </w:tcPr>
                <w:p w14:paraId="71F7B235">
                  <w:pPr>
                    <w:keepNext w:val="0"/>
                    <w:keepLines w:val="0"/>
                    <w:suppressLineNumbers w:val="0"/>
                    <w:spacing w:before="0" w:beforeAutospacing="0" w:after="0" w:afterAutospacing="0" w:line="240" w:lineRule="auto"/>
                    <w:ind w:left="0" w:right="0"/>
                    <w:jc w:val="center"/>
                    <w:rPr>
                      <w:rFonts w:hint="default" w:ascii="Times New Roman" w:hAnsi="Times New Roman" w:eastAsia="等线" w:cs="Times New Roman"/>
                      <w:color w:val="auto"/>
                      <w:kern w:val="2"/>
                      <w:sz w:val="21"/>
                      <w:szCs w:val="21"/>
                      <w:lang w:val="en-US" w:eastAsia="zh-CN" w:bidi="ar-SA"/>
                    </w:rPr>
                  </w:pPr>
                  <w:r>
                    <w:rPr>
                      <w:rFonts w:hint="eastAsia" w:eastAsia="等线"/>
                      <w:color w:val="auto"/>
                      <w:sz w:val="21"/>
                      <w:szCs w:val="21"/>
                      <w:lang w:val="en-US" w:eastAsia="zh-CN"/>
                    </w:rPr>
                    <w:t>10</w:t>
                  </w:r>
                </w:p>
              </w:tc>
              <w:tc>
                <w:tcPr>
                  <w:tcW w:w="1797" w:type="dxa"/>
                  <w:shd w:val="clear" w:color="auto" w:fill="auto"/>
                  <w:noWrap w:val="0"/>
                  <w:vAlign w:val="center"/>
                </w:tcPr>
                <w:p w14:paraId="0F98E778">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0.0500 </w:t>
                  </w:r>
                </w:p>
              </w:tc>
            </w:tr>
            <w:tr w14:paraId="5D3BE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restart"/>
                  <w:noWrap w:val="0"/>
                  <w:vAlign w:val="center"/>
                </w:tcPr>
                <w:p w14:paraId="14A960FB">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生产中“三废”</w:t>
                  </w:r>
                </w:p>
              </w:tc>
              <w:tc>
                <w:tcPr>
                  <w:tcW w:w="1516" w:type="dxa"/>
                  <w:shd w:val="clear" w:color="auto" w:fill="auto"/>
                  <w:noWrap w:val="0"/>
                  <w:vAlign w:val="center"/>
                </w:tcPr>
                <w:p w14:paraId="451FF463">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eastAsia="宋体" w:cs="Times New Roman"/>
                      <w:color w:val="auto"/>
                      <w:kern w:val="2"/>
                      <w:sz w:val="21"/>
                      <w:szCs w:val="21"/>
                      <w:highlight w:val="none"/>
                      <w:lang w:val="en-US" w:eastAsia="zh-CN" w:bidi="ar-SA"/>
                    </w:rPr>
                    <w:t>废切削液</w:t>
                  </w:r>
                </w:p>
              </w:tc>
              <w:tc>
                <w:tcPr>
                  <w:tcW w:w="1235" w:type="dxa"/>
                  <w:noWrap w:val="0"/>
                  <w:vAlign w:val="center"/>
                </w:tcPr>
                <w:p w14:paraId="137BAF7E">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w:t>
                  </w:r>
                </w:p>
              </w:tc>
              <w:tc>
                <w:tcPr>
                  <w:tcW w:w="1996" w:type="dxa"/>
                  <w:shd w:val="clear" w:color="auto" w:fill="auto"/>
                  <w:noWrap w:val="0"/>
                  <w:vAlign w:val="center"/>
                </w:tcPr>
                <w:p w14:paraId="2BACA38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1.5</w:t>
                  </w:r>
                </w:p>
              </w:tc>
              <w:tc>
                <w:tcPr>
                  <w:tcW w:w="1224" w:type="dxa"/>
                  <w:noWrap w:val="0"/>
                  <w:vAlign w:val="center"/>
                </w:tcPr>
                <w:p w14:paraId="79FEB82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eastAsia" w:cs="Times New Roman"/>
                      <w:color w:val="auto"/>
                      <w:szCs w:val="21"/>
                      <w:lang w:val="en-US" w:eastAsia="zh-CN"/>
                    </w:rPr>
                    <w:t>100</w:t>
                  </w:r>
                </w:p>
              </w:tc>
              <w:tc>
                <w:tcPr>
                  <w:tcW w:w="1797" w:type="dxa"/>
                  <w:shd w:val="clear" w:color="auto" w:fill="auto"/>
                  <w:noWrap w:val="0"/>
                  <w:vAlign w:val="center"/>
                </w:tcPr>
                <w:p w14:paraId="0B4DB8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0.0150 </w:t>
                  </w:r>
                </w:p>
              </w:tc>
            </w:tr>
            <w:tr w14:paraId="0E3F3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0189EF34">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516" w:type="dxa"/>
                  <w:shd w:val="clear" w:color="auto" w:fill="auto"/>
                  <w:noWrap w:val="0"/>
                  <w:vAlign w:val="center"/>
                </w:tcPr>
                <w:p w14:paraId="7A2F98F3">
                  <w:pPr>
                    <w:pStyle w:val="122"/>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w:t>
                  </w:r>
                  <w:r>
                    <w:rPr>
                      <w:rFonts w:hint="eastAsia" w:hAnsi="宋体" w:eastAsia="宋体" w:cs="Times New Roman"/>
                      <w:color w:val="auto"/>
                      <w:kern w:val="2"/>
                      <w:sz w:val="21"/>
                      <w:szCs w:val="21"/>
                      <w:highlight w:val="none"/>
                      <w:lang w:val="en-US" w:eastAsia="zh-CN" w:bidi="ar-SA"/>
                    </w:rPr>
                    <w:t>乳化油</w:t>
                  </w:r>
                </w:p>
              </w:tc>
              <w:tc>
                <w:tcPr>
                  <w:tcW w:w="1235" w:type="dxa"/>
                  <w:noWrap w:val="0"/>
                  <w:vAlign w:val="center"/>
                </w:tcPr>
                <w:p w14:paraId="4EC35554">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996" w:type="dxa"/>
                  <w:shd w:val="clear" w:color="auto" w:fill="auto"/>
                  <w:noWrap w:val="0"/>
                  <w:vAlign w:val="center"/>
                </w:tcPr>
                <w:p w14:paraId="70E99EC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0.14</w:t>
                  </w:r>
                </w:p>
              </w:tc>
              <w:tc>
                <w:tcPr>
                  <w:tcW w:w="1224" w:type="dxa"/>
                  <w:noWrap w:val="0"/>
                  <w:vAlign w:val="center"/>
                </w:tcPr>
                <w:p w14:paraId="7044912D">
                  <w:pPr>
                    <w:keepNext w:val="0"/>
                    <w:keepLines w:val="0"/>
                    <w:suppressLineNumbers w:val="0"/>
                    <w:spacing w:before="0" w:beforeAutospacing="0" w:after="0" w:afterAutospacing="0"/>
                    <w:ind w:left="0" w:right="0"/>
                    <w:jc w:val="center"/>
                    <w:rPr>
                      <w:rFonts w:hint="default" w:ascii="Times New Roman" w:hAnsi="Times New Roman" w:eastAsia="等线" w:cs="Times New Roman"/>
                      <w:color w:val="auto"/>
                      <w:szCs w:val="21"/>
                    </w:rPr>
                  </w:pPr>
                  <w:r>
                    <w:rPr>
                      <w:rFonts w:hint="eastAsia" w:cs="Times New Roman"/>
                      <w:color w:val="auto"/>
                      <w:szCs w:val="21"/>
                      <w:lang w:val="en-US" w:eastAsia="zh-CN"/>
                    </w:rPr>
                    <w:t>100</w:t>
                  </w:r>
                </w:p>
              </w:tc>
              <w:tc>
                <w:tcPr>
                  <w:tcW w:w="1797" w:type="dxa"/>
                  <w:shd w:val="clear" w:color="auto" w:fill="auto"/>
                  <w:noWrap w:val="0"/>
                  <w:vAlign w:val="center"/>
                </w:tcPr>
                <w:p w14:paraId="4C43E6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r>
            <w:tr w14:paraId="45C4C5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vMerge w:val="continue"/>
                  <w:noWrap w:val="0"/>
                  <w:vAlign w:val="center"/>
                </w:tcPr>
                <w:p w14:paraId="50DD371D">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516" w:type="dxa"/>
                  <w:shd w:val="clear" w:color="auto" w:fill="auto"/>
                  <w:noWrap w:val="0"/>
                  <w:vAlign w:val="center"/>
                </w:tcPr>
                <w:p w14:paraId="20A4B26F">
                  <w:pPr>
                    <w:keepNext w:val="0"/>
                    <w:keepLines w:val="0"/>
                    <w:suppressLineNumbers w:val="0"/>
                    <w:spacing w:before="0" w:beforeAutospacing="0" w:after="0" w:afterAutospacing="0"/>
                    <w:ind w:left="0" w:leftChars="0" w:right="0" w:rightChars="0"/>
                    <w:jc w:val="center"/>
                    <w:rPr>
                      <w:rFonts w:hint="eastAsia" w:ascii="Times New Roman" w:hAnsi="宋体" w:eastAsia="宋体" w:cs="Times New Roman"/>
                      <w:color w:val="auto"/>
                      <w:kern w:val="2"/>
                      <w:sz w:val="21"/>
                      <w:szCs w:val="21"/>
                      <w:highlight w:val="none"/>
                      <w:lang w:val="en-US" w:eastAsia="zh-CN" w:bidi="ar-SA"/>
                    </w:rPr>
                  </w:pPr>
                  <w:r>
                    <w:rPr>
                      <w:rFonts w:hint="eastAsia" w:hAnsi="宋体"/>
                      <w:color w:val="auto"/>
                      <w:szCs w:val="21"/>
                      <w:highlight w:val="none"/>
                      <w:lang w:val="en-US" w:eastAsia="zh-CN"/>
                    </w:rPr>
                    <w:t>废润滑油</w:t>
                  </w:r>
                </w:p>
              </w:tc>
              <w:tc>
                <w:tcPr>
                  <w:tcW w:w="1235" w:type="dxa"/>
                  <w:noWrap w:val="0"/>
                  <w:vAlign w:val="center"/>
                </w:tcPr>
                <w:p w14:paraId="6AB78981">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p>
              </w:tc>
              <w:tc>
                <w:tcPr>
                  <w:tcW w:w="1996" w:type="dxa"/>
                  <w:shd w:val="clear" w:color="auto" w:fill="auto"/>
                  <w:noWrap w:val="0"/>
                  <w:vAlign w:val="center"/>
                </w:tcPr>
                <w:p w14:paraId="7656348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w:t>
                  </w:r>
                </w:p>
              </w:tc>
              <w:tc>
                <w:tcPr>
                  <w:tcW w:w="1224" w:type="dxa"/>
                  <w:noWrap w:val="0"/>
                  <w:vAlign w:val="center"/>
                </w:tcPr>
                <w:p w14:paraId="69BE57BE">
                  <w:pPr>
                    <w:keepNext w:val="0"/>
                    <w:keepLines w:val="0"/>
                    <w:suppressLineNumbers w:val="0"/>
                    <w:spacing w:before="0" w:beforeAutospacing="0" w:after="0" w:afterAutospacing="0"/>
                    <w:ind w:left="0" w:right="0"/>
                    <w:jc w:val="center"/>
                    <w:rPr>
                      <w:rFonts w:hint="default" w:ascii="Times New Roman" w:hAnsi="Times New Roman" w:eastAsia="等线" w:cs="Times New Roman"/>
                      <w:color w:val="auto"/>
                      <w:szCs w:val="21"/>
                    </w:rPr>
                  </w:pPr>
                  <w:r>
                    <w:rPr>
                      <w:rFonts w:hint="eastAsia" w:cs="Times New Roman"/>
                      <w:color w:val="auto"/>
                      <w:szCs w:val="21"/>
                      <w:lang w:val="en-US" w:eastAsia="zh-CN"/>
                    </w:rPr>
                    <w:t>100</w:t>
                  </w:r>
                </w:p>
              </w:tc>
              <w:tc>
                <w:tcPr>
                  <w:tcW w:w="1797" w:type="dxa"/>
                  <w:shd w:val="clear" w:color="auto" w:fill="auto"/>
                  <w:noWrap w:val="0"/>
                  <w:vAlign w:val="center"/>
                </w:tcPr>
                <w:p w14:paraId="7BE9E2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r>
            <w:tr w14:paraId="53010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79" w:type="dxa"/>
                  <w:gridSpan w:val="5"/>
                  <w:noWrap w:val="0"/>
                  <w:vAlign w:val="center"/>
                </w:tcPr>
                <w:p w14:paraId="13823C8D">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Q</w:t>
                  </w:r>
                </w:p>
              </w:tc>
              <w:tc>
                <w:tcPr>
                  <w:tcW w:w="1797" w:type="dxa"/>
                  <w:noWrap w:val="0"/>
                  <w:vAlign w:val="center"/>
                </w:tcPr>
                <w:p w14:paraId="67DEB2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0.2113</w:t>
                  </w:r>
                </w:p>
              </w:tc>
            </w:tr>
          </w:tbl>
          <w:p w14:paraId="4D968A63">
            <w:pPr>
              <w:pStyle w:val="2"/>
              <w:keepNext w:val="0"/>
              <w:keepLines w:val="0"/>
              <w:suppressLineNumbers w:val="0"/>
              <w:spacing w:before="0" w:beforeAutospacing="0" w:after="0" w:afterAutospacing="0" w:line="260" w:lineRule="auto"/>
              <w:ind w:left="0" w:right="0"/>
              <w:rPr>
                <w:rFonts w:hint="eastAsia"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r>
              <w:rPr>
                <w:rFonts w:hint="eastAsia"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本项目</w:t>
            </w:r>
            <w:r>
              <w:rPr>
                <w:rFonts w:hint="eastAsia" w:cs="Times New Roman"/>
                <w:b/>
                <w:bCs/>
                <w:color w:val="auto"/>
                <w:sz w:val="21"/>
                <w:szCs w:val="21"/>
                <w:lang w:val="en-US" w:eastAsia="zh-CN"/>
              </w:rPr>
              <w:t>废钢、镍铁等均</w:t>
            </w:r>
            <w:r>
              <w:rPr>
                <w:rFonts w:hint="default" w:ascii="Times New Roman" w:hAnsi="Times New Roman" w:cs="Times New Roman"/>
                <w:b/>
                <w:bCs/>
                <w:color w:val="auto"/>
                <w:sz w:val="21"/>
                <w:szCs w:val="21"/>
                <w:lang w:val="en-US" w:eastAsia="zh-CN"/>
              </w:rPr>
              <w:t>放置在生产车间仓库内，仓库已设置环氧地坪，屋顶密封</w:t>
            </w:r>
            <w:r>
              <w:rPr>
                <w:rFonts w:hint="eastAsia" w:cs="Times New Roman"/>
                <w:b/>
                <w:bCs/>
                <w:color w:val="auto"/>
                <w:sz w:val="21"/>
                <w:szCs w:val="21"/>
                <w:lang w:val="en-US" w:eastAsia="zh-CN"/>
              </w:rPr>
              <w:t>，</w:t>
            </w:r>
            <w:r>
              <w:rPr>
                <w:rFonts w:hint="default" w:ascii="Times New Roman" w:hAnsi="Times New Roman" w:cs="Times New Roman"/>
                <w:b/>
                <w:bCs/>
                <w:color w:val="auto"/>
                <w:sz w:val="21"/>
                <w:szCs w:val="21"/>
                <w:lang w:val="en-US" w:eastAsia="zh-CN"/>
              </w:rPr>
              <w:t>因此不涉及淋溶水。表格中镍及其化合物为熔化</w:t>
            </w:r>
            <w:r>
              <w:rPr>
                <w:rFonts w:hint="eastAsia" w:cs="Times New Roman"/>
                <w:b/>
                <w:bCs/>
                <w:color w:val="auto"/>
                <w:sz w:val="21"/>
                <w:szCs w:val="21"/>
                <w:lang w:val="en-US" w:eastAsia="zh-CN"/>
              </w:rPr>
              <w:t>、精炼、电渣重熔</w:t>
            </w:r>
            <w:r>
              <w:rPr>
                <w:rFonts w:hint="default" w:ascii="Times New Roman" w:hAnsi="Times New Roman" w:cs="Times New Roman"/>
                <w:b/>
                <w:bCs/>
                <w:color w:val="auto"/>
                <w:sz w:val="21"/>
                <w:szCs w:val="21"/>
                <w:lang w:val="en-US" w:eastAsia="zh-CN"/>
              </w:rPr>
              <w:t>过程产生的</w:t>
            </w:r>
            <w:r>
              <w:rPr>
                <w:rFonts w:hint="eastAsia" w:cs="Times New Roman"/>
                <w:b/>
                <w:bCs/>
                <w:color w:val="auto"/>
                <w:sz w:val="21"/>
                <w:szCs w:val="21"/>
                <w:lang w:val="en-US" w:eastAsia="zh-CN"/>
              </w:rPr>
              <w:t>烟尘</w:t>
            </w:r>
            <w:r>
              <w:rPr>
                <w:rFonts w:hint="default" w:ascii="Times New Roman" w:hAnsi="Times New Roman" w:cs="Times New Roman"/>
                <w:b/>
                <w:bCs/>
                <w:color w:val="auto"/>
                <w:sz w:val="21"/>
                <w:szCs w:val="21"/>
                <w:lang w:val="en-US" w:eastAsia="zh-CN"/>
              </w:rPr>
              <w:t>中的镍及其化合物</w:t>
            </w:r>
            <w:r>
              <w:rPr>
                <w:rFonts w:hint="eastAsia" w:cs="Times New Roman"/>
                <w:b/>
                <w:bCs/>
                <w:color w:val="auto"/>
                <w:sz w:val="21"/>
                <w:szCs w:val="21"/>
                <w:lang w:val="en-US" w:eastAsia="zh-CN"/>
              </w:rPr>
              <w:t>、铬及其化合物。</w:t>
            </w:r>
          </w:p>
          <w:p w14:paraId="3962E533">
            <w:pPr>
              <w:pStyle w:val="2"/>
              <w:keepNext w:val="0"/>
              <w:keepLines w:val="0"/>
              <w:suppressLineNumbers w:val="0"/>
              <w:spacing w:before="0" w:beforeAutospacing="0" w:after="0" w:afterAutospacing="0" w:line="260" w:lineRule="auto"/>
              <w:ind w:left="0" w:right="0"/>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2、天然气</w:t>
            </w:r>
            <w:r>
              <w:rPr>
                <w:rFonts w:hint="eastAsia" w:ascii="Times New Roman" w:hAnsi="Times New Roman" w:cs="Times New Roman"/>
                <w:b/>
                <w:bCs/>
                <w:color w:val="auto"/>
                <w:sz w:val="21"/>
                <w:szCs w:val="21"/>
                <w:lang w:val="en-US" w:eastAsia="zh-CN"/>
              </w:rPr>
              <w:t>临界量参照</w:t>
            </w:r>
            <w:r>
              <w:rPr>
                <w:rFonts w:hint="default" w:ascii="Times New Roman" w:hAnsi="Times New Roman" w:cs="Times New Roman"/>
                <w:b/>
                <w:bCs/>
                <w:color w:val="auto"/>
                <w:sz w:val="21"/>
                <w:szCs w:val="21"/>
                <w:lang w:val="en-US" w:eastAsia="zh-CN"/>
              </w:rPr>
              <w:t>《建设项目环境风险评价技术导则》（HJ169-2018）附录B.</w:t>
            </w:r>
            <w:r>
              <w:rPr>
                <w:rFonts w:hint="eastAsia" w:ascii="Times New Roman" w:hAnsi="Times New Roman" w:cs="Times New Roman"/>
                <w:b/>
                <w:bCs/>
                <w:color w:val="auto"/>
                <w:sz w:val="21"/>
                <w:szCs w:val="21"/>
                <w:lang w:val="en-US" w:eastAsia="zh-CN"/>
              </w:rPr>
              <w:t>1中甲烷的临界量；</w:t>
            </w:r>
          </w:p>
          <w:p w14:paraId="69219F95">
            <w:pPr>
              <w:pStyle w:val="2"/>
              <w:keepNext w:val="0"/>
              <w:keepLines w:val="0"/>
              <w:suppressLineNumbers w:val="0"/>
              <w:spacing w:before="0" w:beforeAutospacing="0" w:after="0" w:afterAutospacing="0" w:line="260" w:lineRule="auto"/>
              <w:ind w:left="0" w:right="0"/>
              <w:rPr>
                <w:rFonts w:hint="default"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3、半合成切削液、防锈乳化油、废切削液、废乳化油、废润滑油</w:t>
            </w:r>
            <w:r>
              <w:rPr>
                <w:rFonts w:hint="default" w:ascii="Times New Roman" w:hAnsi="Times New Roman" w:cs="Times New Roman"/>
                <w:b/>
                <w:bCs/>
                <w:color w:val="auto"/>
                <w:sz w:val="21"/>
                <w:szCs w:val="21"/>
                <w:lang w:val="en-US" w:eastAsia="zh-CN"/>
              </w:rPr>
              <w:t>参照《建设项目环境风险评价技术导则》（HJ169-2018）附录B.2中“危害水环境物质（急性毒性类别1）”推荐临界量。</w:t>
            </w:r>
          </w:p>
          <w:p w14:paraId="39F64085">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b/>
                <w:bCs/>
                <w:color w:val="auto"/>
                <w:kern w:val="0"/>
                <w:sz w:val="24"/>
                <w:highlight w:val="none"/>
              </w:rPr>
            </w:pPr>
            <w:r>
              <w:rPr>
                <w:rFonts w:hint="default" w:ascii="Times New Roman" w:hAnsi="宋体" w:cs="Times New Roman"/>
                <w:color w:val="auto"/>
                <w:sz w:val="24"/>
              </w:rPr>
              <w:t>经核实，</w:t>
            </w:r>
            <w:r>
              <w:rPr>
                <w:rFonts w:hint="default" w:ascii="Times New Roman" w:hAnsi="Times New Roman" w:cs="Times New Roman"/>
                <w:color w:val="auto"/>
                <w:sz w:val="24"/>
              </w:rPr>
              <w:t>Q=</w:t>
            </w:r>
            <w:r>
              <w:rPr>
                <w:rFonts w:hint="eastAsia" w:ascii="Times New Roman" w:hAnsi="Times New Roman" w:cs="Times New Roman"/>
                <w:color w:val="auto"/>
                <w:sz w:val="24"/>
                <w:lang w:val="en-US" w:eastAsia="zh-CN"/>
              </w:rPr>
              <w:t>0.</w:t>
            </w:r>
            <w:r>
              <w:rPr>
                <w:rFonts w:hint="eastAsia" w:cs="Times New Roman"/>
                <w:color w:val="auto"/>
                <w:sz w:val="24"/>
                <w:lang w:val="en-US" w:eastAsia="zh-CN"/>
              </w:rPr>
              <w:t>2113</w:t>
            </w:r>
            <w:r>
              <w:rPr>
                <w:rFonts w:hint="default" w:ascii="Times New Roman" w:hAnsi="Times New Roman" w:cs="Times New Roman"/>
                <w:color w:val="auto"/>
                <w:sz w:val="24"/>
              </w:rPr>
              <w:t>&lt;1</w:t>
            </w:r>
            <w:r>
              <w:rPr>
                <w:rFonts w:hint="default" w:ascii="Times New Roman" w:hAnsi="宋体" w:cs="Times New Roman"/>
                <w:color w:val="auto"/>
                <w:sz w:val="24"/>
              </w:rPr>
              <w:t>，本项目环境风险潜势为</w:t>
            </w:r>
            <w:r>
              <w:rPr>
                <w:rFonts w:hint="default" w:ascii="宋体" w:hAnsi="宋体" w:cs="Times New Roman"/>
                <w:color w:val="auto"/>
                <w:sz w:val="24"/>
              </w:rPr>
              <w:t>Ⅰ</w:t>
            </w:r>
            <w:r>
              <w:rPr>
                <w:rFonts w:hint="default" w:ascii="Times New Roman" w:hAnsi="宋体" w:cs="Times New Roman"/>
                <w:color w:val="auto"/>
                <w:sz w:val="24"/>
              </w:rPr>
              <w:t>，可进行简单分析。</w:t>
            </w:r>
          </w:p>
          <w:p w14:paraId="75F589DF">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 xml:space="preserve">2、环境风险识别及环境风险分析 </w:t>
            </w:r>
          </w:p>
          <w:p w14:paraId="711CDE34">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1）本项目危险物质主要分布在原料区、生产区、危废暂存场，对环境影响途径包括以上场所发生危险物质泄漏，液体进入雨水管网向外环境扩散，泄漏的危险物质扩散进水中，通过雨水管网进入附近水体，危险物质在下渗过程中会污染地下水，进而流入周围的河流，造成整个周围地区水环境的污染。</w:t>
            </w:r>
          </w:p>
          <w:p w14:paraId="75686EC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）废气处理设施若发生故障，废气未经处理直接排放至大气，对周围大气环境造成污染。</w:t>
            </w:r>
          </w:p>
          <w:p w14:paraId="67994274">
            <w:pPr>
              <w:pStyle w:val="23"/>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）项目采用天然气燃烧机对</w:t>
            </w:r>
            <w:r>
              <w:rPr>
                <w:rFonts w:hint="eastAsia" w:ascii="Times New Roman" w:hAnsi="Times New Roman" w:cs="Times New Roman"/>
                <w:color w:val="auto"/>
                <w:sz w:val="24"/>
                <w:szCs w:val="24"/>
                <w:lang w:val="en-US" w:eastAsia="zh-CN"/>
              </w:rPr>
              <w:t>加热炉</w:t>
            </w:r>
            <w:r>
              <w:rPr>
                <w:rFonts w:hint="default" w:ascii="Times New Roman" w:hAnsi="Times New Roman" w:eastAsia="宋体" w:cs="Times New Roman"/>
                <w:color w:val="auto"/>
                <w:sz w:val="24"/>
                <w:szCs w:val="24"/>
                <w:lang w:eastAsia="zh-CN"/>
              </w:rPr>
              <w:t>进行加热。若天然气输送管道发生泄漏，遇明火或高热可能造成火灾，进而形成爆炸事故；火灾事故产生的热辐射、浓烟及有毒气体对周边环境产生影响，同时带来次生/伴生危害；爆炸事故形成的爆炸震荡、冲击波及冲击碎片对周围环境造成严重破坏。</w:t>
            </w:r>
          </w:p>
          <w:p w14:paraId="3B5E61EF">
            <w:pPr>
              <w:pStyle w:val="23"/>
              <w:keepNext w:val="0"/>
              <w:keepLines w:val="0"/>
              <w:widowControl w:val="0"/>
              <w:suppressLineNumbers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2"/>
                <w:sz w:val="24"/>
                <w:szCs w:val="24"/>
                <w:lang w:bidi="ar"/>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kern w:val="2"/>
                <w:sz w:val="24"/>
                <w:szCs w:val="24"/>
                <w:lang w:bidi="ar"/>
              </w:rPr>
              <w:t>项目涉及有限空间作业，如未采取可靠切断与隔离、检测、通风换气、专人监护等安全措施，易引发中毒、窒息等事故。</w:t>
            </w:r>
          </w:p>
          <w:p w14:paraId="57403188">
            <w:pPr>
              <w:keepNext w:val="0"/>
              <w:keepLines w:val="0"/>
              <w:suppressLineNumbers w:val="0"/>
              <w:spacing w:before="0" w:beforeAutospacing="0" w:after="0" w:afterAutospacing="0" w:line="480" w:lineRule="exact"/>
              <w:ind w:left="0" w:right="0" w:firstLine="480" w:firstLineChars="200"/>
              <w:rPr>
                <w:rFonts w:hint="eastAsia"/>
                <w:color w:val="auto"/>
                <w:sz w:val="24"/>
              </w:rPr>
            </w:pPr>
            <w:r>
              <w:rPr>
                <w:rFonts w:hint="eastAsia" w:ascii="Times New Roman" w:hAnsi="Times New Roman" w:cs="Times New Roman"/>
                <w:color w:val="auto"/>
                <w:kern w:val="2"/>
                <w:sz w:val="24"/>
                <w:szCs w:val="24"/>
                <w:lang w:val="en-US" w:eastAsia="zh-CN" w:bidi="ar"/>
              </w:rPr>
              <w:t>（</w:t>
            </w:r>
            <w:r>
              <w:rPr>
                <w:rFonts w:hint="eastAsia" w:cs="Times New Roman"/>
                <w:color w:val="auto"/>
                <w:kern w:val="2"/>
                <w:sz w:val="24"/>
                <w:szCs w:val="24"/>
                <w:lang w:val="en-US" w:eastAsia="zh-CN" w:bidi="ar"/>
              </w:rPr>
              <w:t>5</w:t>
            </w:r>
            <w:r>
              <w:rPr>
                <w:rFonts w:hint="eastAsia" w:ascii="Times New Roman" w:hAnsi="Times New Roman" w:cs="Times New Roman"/>
                <w:color w:val="auto"/>
                <w:kern w:val="2"/>
                <w:sz w:val="24"/>
                <w:szCs w:val="24"/>
                <w:lang w:val="en-US" w:eastAsia="zh-CN" w:bidi="ar"/>
              </w:rPr>
              <w:t>）</w:t>
            </w:r>
            <w:r>
              <w:rPr>
                <w:rFonts w:hint="default" w:hAnsi="宋体"/>
                <w:bCs/>
                <w:color w:val="auto"/>
                <w:sz w:val="24"/>
              </w:rPr>
              <w:t>根据《工贸行业重点可燃性粉尘目录（</w:t>
            </w:r>
            <w:r>
              <w:rPr>
                <w:rFonts w:hint="default"/>
                <w:bCs/>
                <w:color w:val="auto"/>
                <w:sz w:val="24"/>
              </w:rPr>
              <w:t>2015</w:t>
            </w:r>
            <w:r>
              <w:rPr>
                <w:rFonts w:hint="default" w:hAnsi="宋体"/>
                <w:bCs/>
                <w:color w:val="auto"/>
                <w:sz w:val="24"/>
              </w:rPr>
              <w:t>年版）》的规定，</w:t>
            </w:r>
            <w:r>
              <w:rPr>
                <w:rFonts w:hint="eastAsia" w:hAnsi="宋体"/>
                <w:bCs/>
                <w:color w:val="auto"/>
                <w:sz w:val="24"/>
                <w:lang w:val="en-US" w:eastAsia="zh-CN"/>
              </w:rPr>
              <w:t>项目中频炉、钢包精炼炉、真空精炼炉、精铸、焊接、电渣重熔过程中产生的粉尘均为钢粉尘，不属于涉爆粉尘</w:t>
            </w:r>
            <w:r>
              <w:rPr>
                <w:rFonts w:hint="eastAsia"/>
                <w:color w:val="auto"/>
                <w:sz w:val="24"/>
              </w:rPr>
              <w:t>。</w:t>
            </w:r>
          </w:p>
          <w:p w14:paraId="794F99A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3、</w:t>
            </w:r>
            <w:r>
              <w:rPr>
                <w:rFonts w:hint="default" w:ascii="Times New Roman" w:hAnsi="Times New Roman" w:cs="Times New Roman"/>
                <w:color w:val="auto"/>
                <w:sz w:val="24"/>
              </w:rPr>
              <w:t>环境风险防范措施及应急要求</w:t>
            </w:r>
          </w:p>
          <w:p w14:paraId="2F823096">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（1）环境风险防范措施</w:t>
            </w:r>
          </w:p>
          <w:p w14:paraId="110D893D">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国家环境保护部《关于进一步加强环境影响评价管理防范环境风险的通知（环发〔2012〕77号文）》的要求：“提出环境风险应急预案和事故防范、减缓措施，特别要针对特征污染物提出有效的防止二次污染的应急措施”，对发生概率小，但危害严重的事故采取安全措施，防患于未然。因此，建议本项目在设计、建设和营运过程中，应科学规划、合理布局。采取必要的防泄漏措施，建立严格的安全生产制度，大力提高操作人员的素质和水平，以最大限度地降低事故的发生率，同时制定详细的应急救援预案。</w:t>
            </w:r>
          </w:p>
          <w:p w14:paraId="2426177A">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①管理、储存、使用、运输中的防范措施</w:t>
            </w:r>
          </w:p>
          <w:p w14:paraId="6FB9D6DE">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加强对液态物料和危险废物的管理；制定相应的安全操作规程，要求操作人员严格按操作规程作业；对相关作业人员定期进行安全培训教育；对作业场所定期进行安全检查。液态物料和危险废物在厂区内转运时，通道、出入口和通向消防设施的道路保持畅通，运输人员应配置必要且质量合格的防护器材。</w:t>
            </w:r>
          </w:p>
          <w:p w14:paraId="46FCB1D2">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②存放区风险防范措施</w:t>
            </w:r>
          </w:p>
          <w:p w14:paraId="35A4053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w:t>
            </w:r>
            <w:r>
              <w:rPr>
                <w:rFonts w:hint="eastAsia" w:cs="Times New Roman"/>
                <w:color w:val="auto"/>
                <w:sz w:val="24"/>
                <w:lang w:val="en-US" w:eastAsia="zh-CN"/>
              </w:rPr>
              <w:t>切削液、乳化油、润滑油等</w:t>
            </w:r>
            <w:r>
              <w:rPr>
                <w:rFonts w:hint="default" w:ascii="Times New Roman" w:hAnsi="Times New Roman" w:cs="Times New Roman"/>
                <w:color w:val="auto"/>
                <w:sz w:val="24"/>
              </w:rPr>
              <w:t>均贮存在液态原料库内，液态原料库需阴凉、通风，库房必须防渗、防漏、防雨；</w:t>
            </w:r>
            <w:r>
              <w:rPr>
                <w:rFonts w:hint="eastAsia" w:cs="Times New Roman"/>
                <w:color w:val="auto"/>
                <w:sz w:val="24"/>
                <w:lang w:val="en-US" w:eastAsia="zh-CN"/>
              </w:rPr>
              <w:t>废切削液、废乳化油、废包装桶、废润滑油</w:t>
            </w:r>
            <w:r>
              <w:rPr>
                <w:rFonts w:hint="default" w:ascii="Times New Roman" w:hAnsi="Times New Roman" w:cs="Times New Roman"/>
                <w:color w:val="auto"/>
                <w:sz w:val="24"/>
              </w:rPr>
              <w:t>等危险废物均贮存在危废仓库，仓库内做好地面防渗，防止下渗；仓库、危废仓库内应设置一个收集桶，当泄漏事故发生时，可及时将泄漏的物料或废料收集至桶内暂存，最终作为危险废物处理；仓库、危废仓库应配备吸附剂等材料，防止发生事故时能对事故进行应急处理。</w:t>
            </w:r>
          </w:p>
          <w:p w14:paraId="75FD1EE2">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项目氩气采用储罐装，二氧化碳、氧气均</w:t>
            </w:r>
            <w:r>
              <w:rPr>
                <w:rFonts w:hint="eastAsia" w:ascii="Times New Roman" w:hAnsi="Times New Roman" w:cs="Times New Roman"/>
                <w:color w:val="auto"/>
                <w:sz w:val="24"/>
                <w:lang w:val="en-US" w:eastAsia="zh-CN"/>
              </w:rPr>
              <w:t>采用钢瓶装，</w:t>
            </w:r>
            <w:r>
              <w:rPr>
                <w:rFonts w:hint="eastAsia" w:ascii="Times New Roman" w:hAnsi="Times New Roman" w:eastAsia="宋体" w:cs="Times New Roman"/>
                <w:color w:val="auto"/>
                <w:sz w:val="24"/>
                <w:lang w:val="en-US" w:eastAsia="zh-CN"/>
              </w:rPr>
              <w:t>氩气和二氧化碳为窒息性气体，应在液氩储罐区和液态二氧化碳</w:t>
            </w:r>
            <w:r>
              <w:rPr>
                <w:rFonts w:hint="eastAsia" w:ascii="Times New Roman" w:cs="Times New Roman"/>
                <w:color w:val="auto"/>
                <w:sz w:val="24"/>
                <w:lang w:val="en-US" w:eastAsia="zh-CN"/>
              </w:rPr>
              <w:t>钢瓶区</w:t>
            </w:r>
            <w:r>
              <w:rPr>
                <w:rFonts w:hint="eastAsia" w:ascii="Times New Roman" w:hAnsi="Times New Roman" w:eastAsia="宋体" w:cs="Times New Roman"/>
                <w:color w:val="auto"/>
                <w:sz w:val="24"/>
                <w:lang w:val="en-US" w:eastAsia="zh-CN"/>
              </w:rPr>
              <w:t>安装氧含量报警仪；氧气为助燃气体，液氧</w:t>
            </w:r>
            <w:r>
              <w:rPr>
                <w:rFonts w:hint="eastAsia" w:ascii="Times New Roman" w:cs="Times New Roman"/>
                <w:color w:val="auto"/>
                <w:sz w:val="24"/>
                <w:lang w:val="en-US" w:eastAsia="zh-CN"/>
              </w:rPr>
              <w:t>钢瓶区</w:t>
            </w:r>
            <w:r>
              <w:rPr>
                <w:rFonts w:hint="eastAsia" w:ascii="Times New Roman" w:hAnsi="Times New Roman" w:eastAsia="宋体" w:cs="Times New Roman"/>
                <w:color w:val="auto"/>
                <w:sz w:val="24"/>
                <w:lang w:val="en-US" w:eastAsia="zh-CN"/>
              </w:rPr>
              <w:t>应干燥、通风良好、无阳光直射和火源，且离易燃品和有毒品距离不得小于5米，避免氧气与易燃或可燃材料接触并发生爆炸。</w:t>
            </w:r>
          </w:p>
          <w:p w14:paraId="40CF548E">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③泄漏事故应急对策措施</w:t>
            </w:r>
          </w:p>
          <w:p w14:paraId="7D3FB212">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小量泄漏：尽可能采用不产生冲击、静电火花的工具进行泄漏物的回收，将泄漏物收集在密闭容器内，用砂土、活性炭或其它惰性材料吸收残液，也可以用不燃性分散剂制成的乳液刷洗。</w:t>
            </w:r>
          </w:p>
          <w:p w14:paraId="08DB5323">
            <w:pPr>
              <w:pStyle w:val="26"/>
              <w:keepNext w:val="0"/>
              <w:keepLines w:val="0"/>
              <w:suppressLineNumbers w:val="0"/>
              <w:adjustRightInd/>
              <w:snapToGrid/>
              <w:spacing w:before="0" w:beforeAutospacing="0" w:after="0" w:afterAutospacing="0" w:line="480" w:lineRule="exact"/>
              <w:ind w:left="0" w:leftChars="0" w:right="0"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大量泄漏：用泡沫覆盖，降低蒸汽灾害。喷雾状水冷却和稀释蒸汽，保护现场人员。用防爆泵转移至槽车或专用收集器内，回收或运至废物处理场所处理。</w:t>
            </w:r>
          </w:p>
          <w:p w14:paraId="46E4D77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④</w:t>
            </w:r>
            <w:r>
              <w:rPr>
                <w:rFonts w:hint="default" w:ascii="Times New Roman" w:hAnsi="Times New Roman" w:cs="Times New Roman"/>
                <w:color w:val="auto"/>
                <w:sz w:val="24"/>
              </w:rPr>
              <w:t>火灾爆炸事故风险防范措施</w:t>
            </w:r>
          </w:p>
          <w:p w14:paraId="186EDD7F">
            <w:pPr>
              <w:keepNext w:val="0"/>
              <w:keepLines w:val="0"/>
              <w:numPr>
                <w:ilvl w:val="0"/>
                <w:numId w:val="11"/>
              </w:numPr>
              <w:suppressLineNumbers w:val="0"/>
              <w:spacing w:before="0" w:beforeAutospacing="0" w:after="0" w:afterAutospacing="0" w:line="480" w:lineRule="exact"/>
              <w:ind w:left="0" w:right="0" w:firstLine="480" w:firstLineChars="200"/>
              <w:rPr>
                <w:rFonts w:hint="default"/>
                <w:color w:val="auto"/>
                <w:sz w:val="24"/>
              </w:rPr>
            </w:pPr>
            <w:r>
              <w:rPr>
                <w:rFonts w:hint="eastAsia" w:hAnsi="宋体"/>
                <w:bCs/>
                <w:color w:val="auto"/>
                <w:sz w:val="24"/>
              </w:rPr>
              <w:t>本项目</w:t>
            </w:r>
            <w:r>
              <w:rPr>
                <w:rFonts w:hint="eastAsia" w:hAnsi="宋体"/>
                <w:bCs/>
                <w:color w:val="auto"/>
                <w:sz w:val="24"/>
                <w:lang w:val="en-US" w:eastAsia="zh-CN"/>
              </w:rPr>
              <w:t>加热炉</w:t>
            </w:r>
            <w:r>
              <w:rPr>
                <w:rFonts w:hint="eastAsia" w:hAnsi="宋体"/>
                <w:bCs/>
                <w:color w:val="auto"/>
                <w:sz w:val="24"/>
              </w:rPr>
              <w:t>均采用天然气燃烧，天然气燃烧装置的燃气总管应设置压力监测报警装置，并与紧急自动切断装置联锁。</w:t>
            </w:r>
          </w:p>
          <w:p w14:paraId="1AF4410E">
            <w:pPr>
              <w:keepNext w:val="0"/>
              <w:keepLines w:val="0"/>
              <w:numPr>
                <w:ilvl w:val="0"/>
                <w:numId w:val="11"/>
              </w:numPr>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定期对储运设备进行安全检测，检测内容、时间、人员应有记录保存。安全检测应根据设备的安全性、危险性设定检测频次。</w:t>
            </w:r>
          </w:p>
          <w:p w14:paraId="5C279A22">
            <w:pPr>
              <w:keepNext w:val="0"/>
              <w:keepLines w:val="0"/>
              <w:numPr>
                <w:ilvl w:val="0"/>
                <w:numId w:val="11"/>
              </w:numPr>
              <w:suppressLineNumbers w:val="0"/>
              <w:spacing w:before="0" w:beforeAutospacing="0" w:after="0" w:afterAutospacing="0" w:line="480" w:lineRule="exact"/>
              <w:ind w:left="0" w:right="0" w:firstLine="480" w:firstLineChars="200"/>
              <w:rPr>
                <w:rFonts w:hint="default"/>
                <w:color w:val="auto"/>
                <w:sz w:val="24"/>
              </w:rPr>
            </w:pPr>
            <w:r>
              <w:rPr>
                <w:rFonts w:hint="default"/>
                <w:color w:val="auto"/>
                <w:sz w:val="24"/>
              </w:rPr>
              <w:t>在管道以及其他设备上，设置永久性接地装置；在危险操作时，操作人员应使用抗静电工作帽和具有导电性的作业鞋；有防雷装置，特别防止雷击。</w:t>
            </w:r>
          </w:p>
          <w:p w14:paraId="402D7C18">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color w:val="auto"/>
                <w:sz w:val="24"/>
              </w:rPr>
              <w:t>4</w:t>
            </w:r>
            <w:r>
              <w:rPr>
                <w:rFonts w:hint="default"/>
                <w:color w:val="auto"/>
                <w:sz w:val="24"/>
              </w:rPr>
              <w:t>）应加强火源的管理，严禁烟火带入，对设备需进行维修焊接，应经安全部门确认、准许，并有记录。机动车在厂内行驶，须安装阻火器，必要设备安装防火、防爆装置。</w:t>
            </w:r>
          </w:p>
          <w:p w14:paraId="7B816C3B">
            <w:pPr>
              <w:keepNext w:val="0"/>
              <w:keepLines w:val="0"/>
              <w:suppressLineNumbers w:val="0"/>
              <w:spacing w:before="0" w:beforeAutospacing="0" w:after="0" w:afterAutospacing="0" w:line="480" w:lineRule="exact"/>
              <w:ind w:left="0" w:right="0" w:firstLine="480" w:firstLineChars="200"/>
              <w:rPr>
                <w:rFonts w:hint="default"/>
                <w:color w:val="auto"/>
                <w:sz w:val="24"/>
              </w:rPr>
            </w:pPr>
            <w:r>
              <w:rPr>
                <w:rFonts w:hint="eastAsia"/>
                <w:color w:val="auto"/>
                <w:sz w:val="24"/>
              </w:rPr>
              <w:t>5</w:t>
            </w:r>
            <w:r>
              <w:rPr>
                <w:rFonts w:hint="default"/>
                <w:color w:val="auto"/>
                <w:sz w:val="24"/>
              </w:rPr>
              <w:t>）要有完善的安全消防措施。各重点部位建议设置灭火器，并且对其</w:t>
            </w:r>
            <w:r>
              <w:rPr>
                <w:rFonts w:hint="eastAsia"/>
                <w:color w:val="auto"/>
                <w:sz w:val="24"/>
                <w:lang w:eastAsia="zh-CN"/>
              </w:rPr>
              <w:t>做</w:t>
            </w:r>
            <w:r>
              <w:rPr>
                <w:rFonts w:hint="default"/>
                <w:color w:val="auto"/>
                <w:sz w:val="24"/>
              </w:rPr>
              <w:t>定期检查。</w:t>
            </w:r>
          </w:p>
          <w:p w14:paraId="72A8F0D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⑤</w:t>
            </w:r>
            <w:r>
              <w:rPr>
                <w:rFonts w:hint="default" w:ascii="Times New Roman" w:hAnsi="Times New Roman" w:cs="Times New Roman"/>
                <w:color w:val="auto"/>
                <w:sz w:val="24"/>
              </w:rPr>
              <w:t>废气处理设施事故性排放风险预防措施</w:t>
            </w:r>
          </w:p>
          <w:p w14:paraId="4C3E466B">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1）</w:t>
            </w:r>
            <w:r>
              <w:rPr>
                <w:rFonts w:hint="default" w:ascii="Times New Roman" w:hAnsi="Times New Roman" w:cs="Times New Roman"/>
                <w:color w:val="auto"/>
                <w:sz w:val="24"/>
              </w:rPr>
              <w:t>平时加强废气处理设施的维护保养，及时发现处理设备的隐患，并及时进行维修，确保废气处理系统正常运行；</w:t>
            </w:r>
          </w:p>
          <w:p w14:paraId="3199D5DA">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rPr>
              <w:t>2）</w:t>
            </w:r>
            <w:r>
              <w:rPr>
                <w:rFonts w:hint="default" w:ascii="Times New Roman" w:hAnsi="Times New Roman" w:cs="Times New Roman"/>
                <w:color w:val="auto"/>
                <w:sz w:val="24"/>
              </w:rPr>
              <w:t>建立健全的环保机构，对管理人员和技术人员进行岗位培训，对废气处理实行全过程跟踪控制</w:t>
            </w:r>
            <w:r>
              <w:rPr>
                <w:rFonts w:hint="eastAsia" w:ascii="Times New Roman" w:hAnsi="Times New Roman" w:cs="Times New Roman"/>
                <w:color w:val="auto"/>
                <w:sz w:val="24"/>
                <w:lang w:eastAsia="zh-CN"/>
              </w:rPr>
              <w:t>。</w:t>
            </w:r>
          </w:p>
          <w:p w14:paraId="3DFDA0C2">
            <w:pPr>
              <w:keepNext w:val="0"/>
              <w:keepLines w:val="0"/>
              <w:suppressLineNumbers w:val="0"/>
              <w:tabs>
                <w:tab w:val="left" w:pos="1080"/>
              </w:tabs>
              <w:spacing w:before="0" w:beforeAutospacing="0" w:after="0" w:afterAutospacing="0" w:line="480" w:lineRule="exact"/>
              <w:ind w:left="0" w:right="0" w:firstLine="487" w:firstLineChars="203"/>
              <w:rPr>
                <w:rFonts w:hint="default" w:ascii="Times New Roman" w:hAnsi="Times New Roman" w:cs="Times New Roman"/>
                <w:color w:val="auto"/>
                <w:sz w:val="24"/>
                <w:szCs w:val="24"/>
              </w:rPr>
            </w:pPr>
            <w:r>
              <w:rPr>
                <w:rFonts w:hint="eastAsia" w:cs="Times New Roman"/>
                <w:color w:val="auto"/>
                <w:sz w:val="24"/>
                <w:szCs w:val="24"/>
                <w:lang w:val="en-US" w:eastAsia="zh-CN"/>
              </w:rPr>
              <w:t>⑥</w:t>
            </w:r>
            <w:r>
              <w:rPr>
                <w:rFonts w:hint="default" w:ascii="Times New Roman" w:hAnsi="Times New Roman" w:cs="Times New Roman"/>
                <w:color w:val="auto"/>
                <w:sz w:val="24"/>
                <w:szCs w:val="24"/>
              </w:rPr>
              <w:t>有限空间防范措施</w:t>
            </w:r>
          </w:p>
          <w:p w14:paraId="768A5E58">
            <w:pPr>
              <w:keepNext w:val="0"/>
              <w:keepLines w:val="0"/>
              <w:suppressLineNumbers w:val="0"/>
              <w:tabs>
                <w:tab w:val="left" w:pos="1080"/>
              </w:tabs>
              <w:spacing w:before="0" w:beforeAutospacing="0" w:after="0" w:afterAutospacing="0" w:line="480" w:lineRule="exact"/>
              <w:ind w:left="0" w:right="0" w:firstLine="487" w:firstLineChars="203"/>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在有限空间外敞面醒目处，设置警戒区、警戒线、警戒标志</w:t>
            </w:r>
            <w:r>
              <w:rPr>
                <w:rFonts w:hint="eastAsia" w:ascii="Times New Roman" w:hAnsi="Times New Roman" w:cs="Times New Roman"/>
                <w:color w:val="auto"/>
                <w:sz w:val="24"/>
                <w:szCs w:val="24"/>
              </w:rPr>
              <w:t>，</w:t>
            </w:r>
            <w:r>
              <w:rPr>
                <w:rFonts w:hint="default" w:ascii="Times New Roman" w:hAnsi="Times New Roman" w:cs="Times New Roman"/>
                <w:color w:val="auto"/>
                <w:sz w:val="24"/>
                <w:szCs w:val="24"/>
              </w:rPr>
              <w:t>未经许可，不得入内。</w:t>
            </w:r>
          </w:p>
          <w:p w14:paraId="3ACBC2C5">
            <w:pPr>
              <w:keepNext w:val="0"/>
              <w:keepLines w:val="0"/>
              <w:suppressLineNumbers w:val="0"/>
              <w:tabs>
                <w:tab w:val="left" w:pos="1080"/>
              </w:tabs>
              <w:spacing w:before="0" w:beforeAutospacing="0" w:after="0" w:afterAutospacing="0" w:line="480" w:lineRule="exact"/>
              <w:ind w:left="0" w:right="0" w:firstLine="487" w:firstLineChars="203"/>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对任何可能造成职业危害、人员伤亡的有限空间场所作业应做到先检测后监护再进入的原则。</w:t>
            </w:r>
          </w:p>
          <w:p w14:paraId="4F6A5301">
            <w:pPr>
              <w:keepNext w:val="0"/>
              <w:keepLines w:val="0"/>
              <w:suppressLineNumbers w:val="0"/>
              <w:tabs>
                <w:tab w:val="left" w:pos="1080"/>
              </w:tabs>
              <w:spacing w:before="0" w:beforeAutospacing="0" w:after="0" w:afterAutospacing="0" w:line="480" w:lineRule="exact"/>
              <w:ind w:left="0" w:right="0" w:firstLine="487" w:firstLineChars="203"/>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进入自然通风换气效果不良的有限空间，应采用机械通风，通风换气次数每小时不能少于3次。对不能采用通风换气措施或受作业环境限制</w:t>
            </w:r>
            <w:r>
              <w:rPr>
                <w:rFonts w:hint="eastAsia" w:cs="Times New Roman"/>
                <w:color w:val="auto"/>
                <w:sz w:val="24"/>
                <w:szCs w:val="24"/>
                <w:lang w:eastAsia="zh-CN"/>
              </w:rPr>
              <w:t>不宜</w:t>
            </w:r>
            <w:r>
              <w:rPr>
                <w:rFonts w:hint="default" w:ascii="Times New Roman" w:hAnsi="Times New Roman" w:cs="Times New Roman"/>
                <w:color w:val="auto"/>
                <w:sz w:val="24"/>
                <w:szCs w:val="24"/>
              </w:rPr>
              <w:t>充分通风换气的场所，作业人员必须配备并使用空气呼吸器或软管面具等隔离式呼吸保护器具。严禁使用过滤式面具。</w:t>
            </w:r>
          </w:p>
          <w:p w14:paraId="4B0C6ED0">
            <w:pPr>
              <w:keepNext w:val="0"/>
              <w:keepLines w:val="0"/>
              <w:suppressLineNumbers w:val="0"/>
              <w:tabs>
                <w:tab w:val="left" w:pos="1080"/>
              </w:tabs>
              <w:spacing w:before="0" w:beforeAutospacing="0" w:after="0" w:afterAutospacing="0" w:line="480" w:lineRule="exact"/>
              <w:ind w:left="0" w:right="0" w:firstLine="487" w:firstLineChars="203"/>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生产经营单位应建立有限空间作业审批制度、有限空间安全设施监管制度；同时应对从事有限空间作业人员进行培训教育。</w:t>
            </w:r>
          </w:p>
          <w:p w14:paraId="1708A84D">
            <w:pPr>
              <w:keepNext w:val="0"/>
              <w:keepLines w:val="0"/>
              <w:suppressLineNumbers w:val="0"/>
              <w:tabs>
                <w:tab w:val="left" w:pos="1080"/>
              </w:tabs>
              <w:spacing w:before="0" w:beforeAutospacing="0" w:after="0" w:afterAutospacing="0" w:line="480" w:lineRule="exact"/>
              <w:ind w:left="0" w:right="0" w:firstLine="487" w:firstLineChars="203"/>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有限空间作业人员应遵守有限空间作业安全操作规程，正确使用有限空间作业安全设施与个体防护用具；应与监护人员进行有效的安全、报警、撤离等双向信息交流；作业人员意识到身体出现危险异常症状时</w:t>
            </w:r>
            <w:r>
              <w:rPr>
                <w:rFonts w:hint="eastAsia" w:ascii="Times New Roman" w:hAnsi="Times New Roman" w:cs="Times New Roman"/>
                <w:color w:val="auto"/>
                <w:sz w:val="24"/>
                <w:szCs w:val="24"/>
              </w:rPr>
              <w:t>，</w:t>
            </w:r>
            <w:r>
              <w:rPr>
                <w:rFonts w:hint="default" w:ascii="Times New Roman" w:hAnsi="Times New Roman" w:cs="Times New Roman"/>
                <w:color w:val="auto"/>
                <w:sz w:val="24"/>
                <w:szCs w:val="24"/>
              </w:rPr>
              <w:t>应及时向监护者报告或自行撤离有限空间</w:t>
            </w:r>
            <w:r>
              <w:rPr>
                <w:rFonts w:hint="eastAsia" w:ascii="Times New Roman" w:hAnsi="Times New Roman" w:cs="Times New Roman"/>
                <w:color w:val="auto"/>
                <w:sz w:val="24"/>
                <w:szCs w:val="24"/>
              </w:rPr>
              <w:t>。</w:t>
            </w:r>
          </w:p>
          <w:p w14:paraId="4343D530">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⑦</w:t>
            </w:r>
            <w:r>
              <w:rPr>
                <w:rFonts w:hint="default" w:ascii="Times New Roman" w:hAnsi="Times New Roman" w:cs="Times New Roman"/>
                <w:color w:val="auto"/>
                <w:sz w:val="24"/>
              </w:rPr>
              <w:t>事故废水风险防范措施</w:t>
            </w:r>
          </w:p>
          <w:p w14:paraId="1EA620F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参照</w:t>
            </w:r>
            <w:r>
              <w:rPr>
                <w:rFonts w:hint="eastAsia" w:ascii="Times New Roman" w:hAnsi="Times New Roman" w:cs="Times New Roman"/>
                <w:color w:val="auto"/>
                <w:sz w:val="24"/>
              </w:rPr>
              <w:t>《省生态环境厅关于印发江苏省环境影响评价文件环境应急相关内容编制要点的通知》（苏环办〔2022〕338号）</w:t>
            </w:r>
            <w:r>
              <w:rPr>
                <w:rFonts w:hint="eastAsia" w:ascii="Times New Roman" w:hAnsi="Times New Roman" w:cs="Times New Roman"/>
                <w:color w:val="auto"/>
                <w:sz w:val="24"/>
                <w:lang w:val="en-US" w:eastAsia="zh-CN"/>
              </w:rPr>
              <w:t>相关要求</w:t>
            </w:r>
            <w:r>
              <w:rPr>
                <w:rFonts w:hint="default" w:ascii="Times New Roman" w:hAnsi="Times New Roman" w:cs="Times New Roman"/>
                <w:color w:val="auto"/>
                <w:sz w:val="24"/>
              </w:rPr>
              <w:t>，本项目针对废水排放采取</w:t>
            </w:r>
            <w:r>
              <w:rPr>
                <w:rFonts w:hint="eastAsia" w:ascii="Times New Roman" w:hAnsi="Times New Roman" w:cs="Times New Roman"/>
                <w:color w:val="auto"/>
                <w:sz w:val="24"/>
              </w:rPr>
              <w:t>事故废水环境风险防范措施按照“企业</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公共管网（应急池）</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rPr>
              <w:t>区内水体”突发环境事件三级防控体系建设要求</w:t>
            </w:r>
            <w:r>
              <w:rPr>
                <w:rFonts w:hint="default" w:ascii="Times New Roman" w:hAnsi="Times New Roman" w:cs="Times New Roman"/>
                <w:color w:val="auto"/>
                <w:sz w:val="24"/>
              </w:rPr>
              <w:t>来杜绝环境风险事故对环境的造成污染事件，将环境风险事故排水及污染物控制在厂区内，环境风险事故排水及污染物控制在排水系统事故池内。</w:t>
            </w:r>
          </w:p>
          <w:p w14:paraId="1F081CC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一级防控措施将污染物控制在生产区；二级防控是将污染物控制在排水系统事故应急池；三级防控将污染物控制在厂区内，确保生产非正常状态下不发生污染事件。具体设计要求如下。</w:t>
            </w:r>
          </w:p>
          <w:p w14:paraId="73CDE930">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1）一级防控措施</w:t>
            </w:r>
          </w:p>
          <w:p w14:paraId="4817B7AC">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本项目针对风险单元如配套液态原料库、危废仓库等，地面设置防渗漏、防淋溶、防流失措施。各风险单元四周设置专门事故水收集渠（明沟），收集物（包括消防废水和泄漏物）通过专门管网进入事故应急池。事故水收集渠外围一定距离外设置雨水收集管网，正常情况下雨排水系统阀门关闭，切换阀设在地面操作。</w:t>
            </w:r>
          </w:p>
          <w:p w14:paraId="550DE4A6">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2）二级、三级防控措施</w:t>
            </w:r>
          </w:p>
          <w:p w14:paraId="6E51BAF0">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事故状态下，关闭雨水和污水外排口，收集事故消防水排入厂内事故池，切断污染物与外部的通道，将污染物控制在厂区内，防止重大事故泄漏物料和污染消防水造成的环境污染。</w:t>
            </w:r>
          </w:p>
          <w:p w14:paraId="2EFE3D63">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参考《化工建设项目环境保护设计标准》（GB50483-2009）及《消防设计规范》《事故状态下水体污染的预防与控制技术》（Q/SY 1190-2013）要求，计算事故应急池，具体计算公式如下：</w:t>
            </w:r>
          </w:p>
          <w:p w14:paraId="2FE559F9">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V总=(V1+V2-V3)</w:t>
            </w:r>
            <w:r>
              <w:rPr>
                <w:rFonts w:hint="default" w:ascii="Times New Roman" w:hAnsi="Times New Roman" w:cs="Times New Roman"/>
                <w:color w:val="auto"/>
                <w:sz w:val="24"/>
                <w:vertAlign w:val="subscript"/>
              </w:rPr>
              <w:t>max</w:t>
            </w:r>
            <w:r>
              <w:rPr>
                <w:rFonts w:hint="default" w:ascii="Times New Roman" w:hAnsi="Times New Roman" w:cs="Times New Roman"/>
                <w:color w:val="auto"/>
                <w:sz w:val="24"/>
              </w:rPr>
              <w:t>+V4+V5</w:t>
            </w:r>
          </w:p>
          <w:p w14:paraId="387B2C12">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V2=∑Q</w:t>
            </w:r>
            <w:r>
              <w:rPr>
                <w:rFonts w:hint="default" w:ascii="Times New Roman" w:hAnsi="Times New Roman" w:cs="Times New Roman"/>
                <w:color w:val="auto"/>
                <w:sz w:val="24"/>
                <w:vertAlign w:val="subscript"/>
              </w:rPr>
              <w:t>消</w:t>
            </w:r>
            <w:r>
              <w:rPr>
                <w:rFonts w:hint="default" w:ascii="Times New Roman" w:hAnsi="Times New Roman" w:cs="Times New Roman"/>
                <w:color w:val="auto"/>
                <w:sz w:val="24"/>
              </w:rPr>
              <w:t>*t</w:t>
            </w:r>
            <w:r>
              <w:rPr>
                <w:rFonts w:hint="default" w:ascii="Times New Roman" w:hAnsi="Times New Roman" w:cs="Times New Roman"/>
                <w:color w:val="auto"/>
                <w:sz w:val="24"/>
                <w:vertAlign w:val="subscript"/>
              </w:rPr>
              <w:t>消</w:t>
            </w:r>
          </w:p>
          <w:p w14:paraId="33901170">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V5=10q*f</w:t>
            </w:r>
          </w:p>
          <w:p w14:paraId="62B9296A">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q=q</w:t>
            </w:r>
            <w:r>
              <w:rPr>
                <w:rFonts w:hint="default" w:ascii="Times New Roman" w:hAnsi="Times New Roman" w:cs="Times New Roman"/>
                <w:color w:val="auto"/>
                <w:sz w:val="24"/>
                <w:vertAlign w:val="subscript"/>
              </w:rPr>
              <w:t>a</w:t>
            </w:r>
            <w:r>
              <w:rPr>
                <w:rFonts w:hint="default" w:ascii="Times New Roman" w:hAnsi="Times New Roman" w:cs="Times New Roman"/>
                <w:color w:val="auto"/>
                <w:sz w:val="24"/>
              </w:rPr>
              <w:t>/n</w:t>
            </w:r>
          </w:p>
          <w:p w14:paraId="5988184C">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p>
          <w:p w14:paraId="3D752D16">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V总：事故应急池容积，m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00977488">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V1：收集系统范围内发生事故的物料量，为m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0549F3A1">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V2：发生事故的储罐、装置或铁路、汽车装卸区的消防水量，m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247084B2">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Q消：发生事故的储罐、装置或铁路、汽车装卸区同时使用的消防设施给水流量m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/h；</w:t>
            </w:r>
          </w:p>
          <w:p w14:paraId="72A5E5A5">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t消；消防设施对应的设计消防历时，h；</w:t>
            </w:r>
          </w:p>
          <w:p w14:paraId="62528F52">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V3：发生事故时可以</w:t>
            </w:r>
            <w:r>
              <w:rPr>
                <w:rFonts w:hint="eastAsia" w:ascii="Times New Roman" w:hAnsi="Times New Roman" w:cs="Times New Roman"/>
                <w:color w:val="auto"/>
                <w:sz w:val="24"/>
                <w:lang w:val="en-US" w:eastAsia="zh-CN"/>
              </w:rPr>
              <w:t>转</w:t>
            </w:r>
            <w:r>
              <w:rPr>
                <w:rFonts w:hint="eastAsia" w:ascii="Times New Roman" w:hAnsi="Times New Roman" w:cs="Times New Roman"/>
                <w:color w:val="auto"/>
                <w:sz w:val="24"/>
                <w:lang w:eastAsia="zh-CN"/>
              </w:rPr>
              <w:t>输</w:t>
            </w:r>
            <w:r>
              <w:rPr>
                <w:rFonts w:hint="default" w:ascii="Times New Roman" w:hAnsi="Times New Roman" w:cs="Times New Roman"/>
                <w:color w:val="auto"/>
                <w:sz w:val="24"/>
              </w:rPr>
              <w:t>到其它储存或处理设施的物料量，m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7CE1CA9E">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V4：发生事故时必须进入该收集系统的生产废水量，m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40837BF7">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V5：发生事故时可能进入该收集系统的降雨量，m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30B70D78">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q：降雨强度，按平均日降雨量，mm；</w:t>
            </w:r>
          </w:p>
          <w:p w14:paraId="3D9FC41B">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qa：年平均降雨量，mm；</w:t>
            </w:r>
          </w:p>
          <w:p w14:paraId="002FB54B">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n：年平均降雨日数；</w:t>
            </w:r>
          </w:p>
          <w:p w14:paraId="75C19FDA">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f：必须进入事故废水收集系统的雨水汇水面积，m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7AD85720">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V1：收集系统范围内发生事故的物料量。注：单套装置物料量按存留最大物料量的一台反应器或中间储罐计，</w:t>
            </w:r>
            <w:r>
              <w:rPr>
                <w:rFonts w:hint="eastAsia" w:ascii="Times New Roman" w:hAnsi="Times New Roman" w:cs="Times New Roman"/>
                <w:color w:val="auto"/>
                <w:sz w:val="24"/>
              </w:rPr>
              <w:t>本项目</w:t>
            </w:r>
            <w:r>
              <w:rPr>
                <w:rFonts w:hint="eastAsia" w:cs="Times New Roman"/>
                <w:color w:val="auto"/>
                <w:sz w:val="24"/>
                <w:lang w:val="en-US" w:eastAsia="zh-CN"/>
              </w:rPr>
              <w:t>切削液</w:t>
            </w:r>
            <w:r>
              <w:rPr>
                <w:rFonts w:hint="eastAsia" w:ascii="Times New Roman" w:hAnsi="Times New Roman" w:cs="Times New Roman"/>
                <w:color w:val="auto"/>
                <w:sz w:val="24"/>
                <w:lang w:val="en-US" w:eastAsia="zh-CN"/>
              </w:rPr>
              <w:t>包装桶</w:t>
            </w:r>
            <w:r>
              <w:rPr>
                <w:rFonts w:hint="eastAsia" w:ascii="Times New Roman" w:hAnsi="Times New Roman" w:cs="Times New Roman"/>
                <w:color w:val="auto"/>
                <w:sz w:val="24"/>
              </w:rPr>
              <w:t>规格为</w:t>
            </w:r>
            <w:r>
              <w:rPr>
                <w:rFonts w:hint="eastAsia" w:ascii="Times New Roman" w:hAnsi="Times New Roman" w:cs="Times New Roman"/>
                <w:color w:val="auto"/>
                <w:sz w:val="24"/>
                <w:lang w:val="en-US" w:eastAsia="zh-CN"/>
              </w:rPr>
              <w:t>200kg/桶</w:t>
            </w:r>
            <w:r>
              <w:rPr>
                <w:rFonts w:hint="eastAsia" w:ascii="Times New Roman" w:hAnsi="Times New Roman" w:cs="Times New Roman"/>
                <w:color w:val="auto"/>
                <w:sz w:val="24"/>
              </w:rPr>
              <w:t>，</w:t>
            </w:r>
            <w:r>
              <w:rPr>
                <w:rFonts w:hint="default" w:ascii="Times New Roman" w:hAnsi="Times New Roman" w:cs="Times New Roman"/>
                <w:color w:val="auto"/>
                <w:sz w:val="24"/>
              </w:rPr>
              <w:t>V1=</w:t>
            </w:r>
            <w:r>
              <w:rPr>
                <w:rFonts w:hint="eastAsia" w:ascii="Times New Roman" w:hAnsi="Times New Roman" w:cs="Times New Roman"/>
                <w:color w:val="auto"/>
                <w:sz w:val="24"/>
                <w:lang w:val="en-US" w:eastAsia="zh-CN"/>
              </w:rPr>
              <w:t>0.2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07AB33C5">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②V2：</w:t>
            </w:r>
            <w:r>
              <w:rPr>
                <w:rFonts w:hint="eastAsia" w:ascii="Times New Roman" w:hAnsi="Times New Roman" w:cs="Times New Roman"/>
                <w:color w:val="auto"/>
                <w:sz w:val="24"/>
              </w:rPr>
              <w:t>根据《建筑设计防火规范》（GB50016-2014）（2018年修订），室外消防水量</w:t>
            </w:r>
            <w:r>
              <w:rPr>
                <w:rFonts w:hint="eastAsia" w:ascii="Times New Roman" w:hAnsi="Times New Roman" w:cs="Times New Roman"/>
                <w:color w:val="auto"/>
                <w:sz w:val="24"/>
                <w:lang w:val="en-US" w:eastAsia="zh-CN"/>
              </w:rPr>
              <w:t>15</w:t>
            </w:r>
            <w:r>
              <w:rPr>
                <w:rFonts w:hint="eastAsia" w:ascii="Times New Roman" w:hAnsi="Times New Roman" w:cs="Times New Roman"/>
                <w:color w:val="auto"/>
                <w:sz w:val="24"/>
              </w:rPr>
              <w:t>L/S，室内消防水量</w:t>
            </w:r>
            <w:r>
              <w:rPr>
                <w:rFonts w:hint="eastAsia" w:ascii="Times New Roman" w:hAnsi="Times New Roman" w:cs="Times New Roman"/>
                <w:color w:val="auto"/>
                <w:sz w:val="24"/>
                <w:lang w:val="en-US" w:eastAsia="zh-CN"/>
              </w:rPr>
              <w:t>10</w:t>
            </w:r>
            <w:r>
              <w:rPr>
                <w:rFonts w:hint="eastAsia" w:ascii="Times New Roman" w:hAnsi="Times New Roman" w:cs="Times New Roman"/>
                <w:color w:val="auto"/>
                <w:sz w:val="24"/>
              </w:rPr>
              <w:t>L/S</w:t>
            </w:r>
            <w:r>
              <w:rPr>
                <w:rFonts w:hint="default" w:ascii="Times New Roman" w:hAnsi="Times New Roman" w:cs="Times New Roman"/>
                <w:color w:val="auto"/>
                <w:sz w:val="24"/>
              </w:rPr>
              <w:t>，假设火灾持续时间为</w:t>
            </w:r>
            <w:r>
              <w:rPr>
                <w:rFonts w:hint="eastAsia" w:cs="Times New Roman"/>
                <w:color w:val="auto"/>
                <w:sz w:val="24"/>
                <w:lang w:val="en-US" w:eastAsia="zh-CN"/>
              </w:rPr>
              <w:t>2</w:t>
            </w:r>
            <w:r>
              <w:rPr>
                <w:rFonts w:hint="eastAsia" w:ascii="Times New Roman" w:hAnsi="Times New Roman" w:cs="Times New Roman"/>
                <w:color w:val="auto"/>
                <w:sz w:val="24"/>
              </w:rPr>
              <w:t>h</w:t>
            </w:r>
            <w:r>
              <w:rPr>
                <w:rFonts w:hint="default" w:ascii="Times New Roman" w:hAnsi="Times New Roman" w:cs="Times New Roman"/>
                <w:color w:val="auto"/>
                <w:sz w:val="24"/>
              </w:rPr>
              <w:t>，则发生一次火灾时消防用水量为：V2=</w:t>
            </w:r>
            <w:r>
              <w:rPr>
                <w:rFonts w:hint="eastAsia" w:ascii="Times New Roman" w:hAnsi="Times New Roman" w:cs="Times New Roman"/>
                <w:color w:val="auto"/>
                <w:sz w:val="24"/>
                <w:lang w:val="en-US" w:eastAsia="zh-CN"/>
              </w:rPr>
              <w:t>25</w:t>
            </w:r>
            <w:r>
              <w:rPr>
                <w:rFonts w:hint="default" w:ascii="Times New Roman" w:hAnsi="Times New Roman" w:cs="Times New Roman"/>
                <w:color w:val="auto"/>
                <w:sz w:val="24"/>
              </w:rPr>
              <w:t>×</w:t>
            </w:r>
            <w:r>
              <w:rPr>
                <w:rFonts w:hint="eastAsia" w:cs="Times New Roman"/>
                <w:color w:val="auto"/>
                <w:sz w:val="24"/>
                <w:lang w:val="en-US" w:eastAsia="zh-CN"/>
              </w:rPr>
              <w:t>2</w:t>
            </w:r>
            <w:r>
              <w:rPr>
                <w:rFonts w:hint="default" w:ascii="Times New Roman" w:hAnsi="Times New Roman" w:cs="Times New Roman"/>
                <w:color w:val="auto"/>
                <w:sz w:val="24"/>
              </w:rPr>
              <w:t>×</w:t>
            </w:r>
            <w:r>
              <w:rPr>
                <w:rFonts w:hint="eastAsia" w:ascii="Times New Roman" w:hAnsi="Times New Roman" w:cs="Times New Roman"/>
                <w:color w:val="auto"/>
                <w:sz w:val="24"/>
              </w:rPr>
              <w:t>36</w:t>
            </w:r>
            <w:r>
              <w:rPr>
                <w:rFonts w:hint="default" w:ascii="Times New Roman" w:hAnsi="Times New Roman" w:cs="Times New Roman"/>
                <w:color w:val="auto"/>
                <w:sz w:val="24"/>
              </w:rPr>
              <w:t>00×10</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cs="Times New Roman"/>
                <w:color w:val="auto"/>
                <w:sz w:val="24"/>
                <w:lang w:val="en-US" w:eastAsia="zh-CN"/>
              </w:rPr>
              <w:t>180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0FF7DF6A">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③V3：事故时</w:t>
            </w:r>
            <w:r>
              <w:rPr>
                <w:rFonts w:hint="eastAsia" w:ascii="Times New Roman" w:hAnsi="Times New Roman" w:cs="Times New Roman"/>
                <w:color w:val="auto"/>
                <w:sz w:val="24"/>
              </w:rPr>
              <w:t>厂区雨水管网可储存事故</w:t>
            </w:r>
            <w:r>
              <w:rPr>
                <w:rFonts w:hint="default" w:ascii="Times New Roman" w:hAnsi="Times New Roman" w:cs="Times New Roman"/>
                <w:color w:val="auto"/>
                <w:sz w:val="24"/>
              </w:rPr>
              <w:t>废水；</w:t>
            </w:r>
            <w:r>
              <w:rPr>
                <w:rFonts w:hint="eastAsia" w:ascii="Times New Roman" w:hAnsi="Times New Roman" w:cs="Times New Roman"/>
                <w:color w:val="auto"/>
                <w:sz w:val="24"/>
              </w:rPr>
              <w:t>根据建设单位提供材料，厂区采用</w:t>
            </w:r>
            <w:r>
              <w:rPr>
                <w:rFonts w:hint="default" w:ascii="Times New Roman" w:hAnsi="Times New Roman" w:cs="Times New Roman"/>
                <w:color w:val="auto"/>
                <w:sz w:val="24"/>
              </w:rPr>
              <w:t>φ</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0mm</w:t>
            </w:r>
            <w:r>
              <w:rPr>
                <w:rFonts w:hint="eastAsia" w:ascii="Times New Roman" w:hAnsi="Times New Roman" w:cs="Times New Roman"/>
                <w:color w:val="auto"/>
                <w:sz w:val="24"/>
              </w:rPr>
              <w:t>的雨水管网，长度约</w:t>
            </w:r>
            <w:r>
              <w:rPr>
                <w:rFonts w:hint="eastAsia" w:ascii="Times New Roman" w:hAnsi="Times New Roman" w:cs="Times New Roman"/>
                <w:color w:val="auto"/>
                <w:sz w:val="24"/>
                <w:lang w:val="en-US" w:eastAsia="zh-CN"/>
              </w:rPr>
              <w:t>8</w:t>
            </w:r>
            <w:r>
              <w:rPr>
                <w:rFonts w:hint="eastAsia" w:cs="Times New Roman"/>
                <w:color w:val="auto"/>
                <w:sz w:val="24"/>
                <w:lang w:val="en-US" w:eastAsia="zh-CN"/>
              </w:rPr>
              <w:t>30</w:t>
            </w:r>
            <w:r>
              <w:rPr>
                <w:rFonts w:hint="eastAsia" w:ascii="Times New Roman" w:hAnsi="Times New Roman" w:cs="Times New Roman"/>
                <w:color w:val="auto"/>
                <w:sz w:val="24"/>
              </w:rPr>
              <w:t>m，则雨水管网可储存事故废水</w:t>
            </w:r>
            <w:r>
              <w:rPr>
                <w:rFonts w:hint="eastAsia" w:ascii="Times New Roman" w:hAnsi="Times New Roman" w:cs="Times New Roman"/>
                <w:color w:val="auto"/>
                <w:sz w:val="24"/>
                <w:lang w:val="en-US" w:eastAsia="zh-CN"/>
              </w:rPr>
              <w:t>228.9</w:t>
            </w:r>
            <w:r>
              <w:rPr>
                <w:rFonts w:hint="eastAsia"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，V</w:t>
            </w:r>
            <w:r>
              <w:rPr>
                <w:rFonts w:hint="eastAsia" w:ascii="Times New Roman" w:hAnsi="Times New Roman" w:cs="Times New Roman"/>
                <w:color w:val="auto"/>
                <w:sz w:val="24"/>
              </w:rPr>
              <w:t>3</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34.8</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378F0F14">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④V4：发生事故时必须进入该收集系统的生产废水量为0m</w:t>
            </w:r>
            <w:r>
              <w:rPr>
                <w:rFonts w:hint="default" w:ascii="Times New Roman" w:hAnsi="Times New Roman" w:cs="Times New Roman"/>
                <w:color w:val="auto"/>
                <w:sz w:val="24"/>
                <w:vertAlign w:val="superscript"/>
              </w:rPr>
              <w:t>3</w:t>
            </w:r>
            <w:r>
              <w:rPr>
                <w:rFonts w:hint="eastAsia" w:ascii="Times New Roman" w:hAnsi="Times New Roman" w:cs="Times New Roman"/>
                <w:color w:val="auto"/>
                <w:sz w:val="24"/>
              </w:rPr>
              <w:t>，</w:t>
            </w:r>
            <w:r>
              <w:rPr>
                <w:rFonts w:hint="default" w:ascii="Times New Roman" w:hAnsi="Times New Roman" w:cs="Times New Roman"/>
                <w:color w:val="auto"/>
                <w:sz w:val="24"/>
              </w:rPr>
              <w:t>V</w:t>
            </w:r>
            <w:r>
              <w:rPr>
                <w:rFonts w:hint="eastAsia" w:ascii="Times New Roman" w:hAnsi="Times New Roman" w:cs="Times New Roman"/>
                <w:color w:val="auto"/>
                <w:sz w:val="24"/>
              </w:rPr>
              <w:t>4</w:t>
            </w:r>
            <w:r>
              <w:rPr>
                <w:rFonts w:hint="default" w:ascii="Times New Roman" w:hAnsi="Times New Roman" w:cs="Times New Roman"/>
                <w:color w:val="auto"/>
                <w:sz w:val="24"/>
              </w:rPr>
              <w:t>=</w:t>
            </w:r>
            <w:r>
              <w:rPr>
                <w:rFonts w:hint="eastAsia" w:ascii="Times New Roman" w:hAnsi="Times New Roman" w:cs="Times New Roman"/>
                <w:color w:val="auto"/>
                <w:sz w:val="24"/>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7C321B11">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⑤V5：V5=10qf。q—降雨强度，mm；f—必须进入事故废水收集系统的雨水汇水面积，ha</w:t>
            </w:r>
            <w:r>
              <w:rPr>
                <w:rFonts w:hint="eastAsia" w:ascii="Times New Roman" w:hAnsi="Times New Roman" w:cs="Times New Roman"/>
                <w:color w:val="auto"/>
                <w:sz w:val="24"/>
              </w:rPr>
              <w:t>；</w:t>
            </w:r>
            <w:r>
              <w:rPr>
                <w:rFonts w:hint="default" w:ascii="Times New Roman" w:hAnsi="Times New Roman" w:cs="Times New Roman"/>
                <w:color w:val="auto"/>
                <w:sz w:val="24"/>
              </w:rPr>
              <w:t>常州平均降雨量1226.9mm；多年平均降雨天数120天，平均日降雨量q＝10.2mm，事故状态下汇水面积约</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rPr>
              <w:t>ha</w:t>
            </w:r>
            <w:r>
              <w:rPr>
                <w:rFonts w:hint="default" w:ascii="Times New Roman" w:hAnsi="Times New Roman" w:cs="Times New Roman"/>
                <w:color w:val="auto"/>
                <w:sz w:val="24"/>
              </w:rPr>
              <w:t>，通过计算V5＝</w:t>
            </w:r>
            <w:r>
              <w:rPr>
                <w:rFonts w:hint="eastAsia" w:ascii="Times New Roman" w:hAnsi="Times New Roman" w:cs="Times New Roman"/>
                <w:color w:val="auto"/>
                <w:sz w:val="24"/>
                <w:lang w:val="en-US" w:eastAsia="zh-CN"/>
              </w:rPr>
              <w:t>204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14:paraId="210EBF58">
            <w:pPr>
              <w:keepNext w:val="0"/>
              <w:keepLines w:val="0"/>
              <w:suppressLineNumbers w:val="0"/>
              <w:tabs>
                <w:tab w:val="left" w:pos="2205"/>
                <w:tab w:val="center" w:pos="4532"/>
              </w:tabs>
              <w:autoSpaceDE w:val="0"/>
              <w:autoSpaceDN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⑥V总=(V1+V2-V3)+V4+V5=</w:t>
            </w:r>
            <w:r>
              <w:rPr>
                <w:rFonts w:hint="eastAsia" w:ascii="Times New Roman" w:hAnsi="Times New Roman" w:cs="Times New Roman"/>
                <w:color w:val="auto"/>
                <w:sz w:val="24"/>
              </w:rPr>
              <w:t>（</w:t>
            </w:r>
            <w:r>
              <w:rPr>
                <w:rFonts w:hint="eastAsia" w:ascii="Times New Roman" w:hAnsi="Times New Roman" w:cs="Times New Roman"/>
                <w:color w:val="auto"/>
                <w:sz w:val="24"/>
                <w:lang w:val="en-US" w:eastAsia="zh-CN"/>
              </w:rPr>
              <w:t>0.2</w:t>
            </w:r>
            <w:r>
              <w:rPr>
                <w:rFonts w:hint="default" w:ascii="Times New Roman" w:hAnsi="Times New Roman" w:cs="Times New Roman"/>
                <w:color w:val="auto"/>
                <w:sz w:val="24"/>
              </w:rPr>
              <w:t>+</w:t>
            </w:r>
            <w:r>
              <w:rPr>
                <w:rFonts w:hint="eastAsia" w:cs="Times New Roman"/>
                <w:color w:val="auto"/>
                <w:sz w:val="24"/>
                <w:lang w:val="en-US" w:eastAsia="zh-CN"/>
              </w:rPr>
              <w:t>180</w:t>
            </w:r>
            <w:r>
              <w:rPr>
                <w:rFonts w:hint="default" w:ascii="Times New Roman" w:hAnsi="Times New Roman" w:cs="Times New Roman"/>
                <w:color w:val="auto"/>
                <w:sz w:val="24"/>
              </w:rPr>
              <w:t>-</w:t>
            </w:r>
            <w:r>
              <w:rPr>
                <w:rFonts w:hint="eastAsia" w:cs="Times New Roman"/>
                <w:color w:val="auto"/>
                <w:sz w:val="24"/>
                <w:lang w:val="en-US" w:eastAsia="zh-CN"/>
              </w:rPr>
              <w:t>234.8</w:t>
            </w:r>
            <w:r>
              <w:rPr>
                <w:rFonts w:hint="default" w:ascii="Times New Roman" w:hAnsi="Times New Roman" w:cs="Times New Roman"/>
                <w:color w:val="auto"/>
                <w:sz w:val="24"/>
              </w:rPr>
              <w:t>）+0+</w:t>
            </w:r>
            <w:r>
              <w:rPr>
                <w:rFonts w:hint="eastAsia" w:ascii="Times New Roman" w:hAnsi="Times New Roman" w:cs="Times New Roman"/>
                <w:color w:val="auto"/>
                <w:sz w:val="24"/>
                <w:lang w:val="en-US" w:eastAsia="zh-CN"/>
              </w:rPr>
              <w:t>204</w:t>
            </w:r>
            <w:r>
              <w:rPr>
                <w:rFonts w:hint="default" w:ascii="Times New Roman" w:hAnsi="Times New Roman" w:cs="Times New Roman"/>
                <w:color w:val="auto"/>
                <w:sz w:val="24"/>
              </w:rPr>
              <w:t>=</w:t>
            </w:r>
            <w:r>
              <w:rPr>
                <w:rFonts w:hint="eastAsia" w:cs="Times New Roman"/>
                <w:color w:val="auto"/>
                <w:sz w:val="24"/>
                <w:lang w:val="en-US" w:eastAsia="zh-CN"/>
              </w:rPr>
              <w:t>149.4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p>
          <w:p w14:paraId="7083442D">
            <w:pPr>
              <w:keepNext w:val="0"/>
              <w:keepLines w:val="0"/>
              <w:suppressLineNumbers w:val="0"/>
              <w:adjustRightInd w:val="0"/>
              <w:snapToGrid w:val="0"/>
              <w:spacing w:before="0" w:beforeAutospacing="0" w:after="0" w:afterAutospacing="0" w:line="480" w:lineRule="exact"/>
              <w:ind w:left="0" w:right="0" w:firstLine="480" w:firstLineChars="200"/>
              <w:jc w:val="left"/>
              <w:rPr>
                <w:rFonts w:hint="default" w:ascii="Times New Roman" w:hAnsi="Times New Roman" w:cs="Times New Roman"/>
                <w:color w:val="auto"/>
                <w:sz w:val="24"/>
              </w:rPr>
            </w:pPr>
            <w:r>
              <w:rPr>
                <w:rFonts w:hint="eastAsia" w:ascii="Times New Roman" w:hAnsi="Times New Roman" w:cs="Times New Roman"/>
                <w:color w:val="auto"/>
                <w:sz w:val="24"/>
              </w:rPr>
              <w:t>因此，</w:t>
            </w:r>
            <w:r>
              <w:rPr>
                <w:rFonts w:hint="eastAsia" w:ascii="Times New Roman" w:hAnsi="Times New Roman" w:cs="Times New Roman"/>
                <w:color w:val="auto"/>
                <w:sz w:val="24"/>
                <w:lang w:val="en-US" w:eastAsia="zh-CN"/>
              </w:rPr>
              <w:t>技改后全厂</w:t>
            </w:r>
            <w:r>
              <w:rPr>
                <w:rFonts w:hint="eastAsia" w:ascii="Times New Roman" w:hAnsi="Times New Roman" w:cs="Times New Roman"/>
                <w:color w:val="auto"/>
                <w:sz w:val="24"/>
              </w:rPr>
              <w:t>需设置一处容积至少为</w:t>
            </w:r>
            <w:r>
              <w:rPr>
                <w:rFonts w:hint="eastAsia" w:cs="Times New Roman"/>
                <w:color w:val="auto"/>
                <w:sz w:val="24"/>
                <w:lang w:val="en-US" w:eastAsia="zh-CN"/>
              </w:rPr>
              <w:t>149.4</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3</w:t>
            </w:r>
            <w:r>
              <w:rPr>
                <w:rFonts w:hint="eastAsia" w:ascii="Times New Roman" w:hAnsi="Times New Roman" w:cs="Times New Roman"/>
                <w:color w:val="auto"/>
                <w:sz w:val="24"/>
              </w:rPr>
              <w:t>的事故应急池，并按规范要求配套水泵、收集管网和截流阀。发生泄漏、火灾或爆炸事故时，泄漏物、事故伴生、次生消防水流入雨水收集系统，紧急关闭截流阀，可将泄漏物、消防水截流在雨水收集系统内，整个雨水收集系统不能容纳伴生、次生废水时，伴生、次生废水泵入厂区事故应急池。事故消除后，消防废水经厂区污水处理设施处理达标后回用，若厂内污水处理设施不能处理泄漏物，必须委托有资质的单位安全处置，杜绝以任何形式进入污水管网和附近地表水体。</w:t>
            </w:r>
          </w:p>
          <w:p w14:paraId="108ADE1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风险评价技术导则》（HJ169-2018）和《化工建设项目环境保护设计规范》（GB50483-2019）有关规定，事故应急池宜采取地下式，使事故废水重力流排入。企业事故应急池主要用于暂存事故废水、废液，应该属于重点防渗区，应急池内壁需按照渗透系数≤1.0×10</w:t>
            </w:r>
            <w:r>
              <w:rPr>
                <w:rFonts w:hint="default" w:ascii="Times New Roman" w:hAnsi="Times New Roman" w:cs="Times New Roman"/>
                <w:color w:val="auto"/>
                <w:sz w:val="24"/>
                <w:vertAlign w:val="superscript"/>
              </w:rPr>
              <w:t>-10</w:t>
            </w:r>
            <w:r>
              <w:rPr>
                <w:rFonts w:hint="default" w:ascii="Times New Roman" w:hAnsi="Times New Roman" w:cs="Times New Roman"/>
                <w:color w:val="auto"/>
                <w:sz w:val="24"/>
              </w:rPr>
              <w:t>cm/s，等效黏土防渗层Mb≥6.0m的要求进行设计。</w:t>
            </w:r>
            <w:r>
              <w:rPr>
                <w:rFonts w:hint="eastAsia" w:ascii="Times New Roman" w:hAnsi="Times New Roman" w:cs="Times New Roman"/>
                <w:color w:val="auto"/>
                <w:sz w:val="24"/>
              </w:rPr>
              <w:t>此外，</w:t>
            </w:r>
            <w:r>
              <w:rPr>
                <w:rFonts w:hint="default" w:ascii="Times New Roman" w:hAnsi="Times New Roman" w:cs="Times New Roman"/>
                <w:color w:val="auto"/>
                <w:sz w:val="24"/>
              </w:rPr>
              <w:t>厂区所有排水口（含雨水和污水）与外部水体之间安装切断设施，一旦发生事故，第一时间切断与外部水体的通道，确保不达标废水不排入外环境，消防废水经消防水收集系统进入事故池，必须进行达标处理才能排放。</w:t>
            </w:r>
          </w:p>
          <w:p w14:paraId="190F085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14B10AA8">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55938673">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50A047D8">
            <w:pPr>
              <w:keepNext w:val="0"/>
              <w:keepLines w:val="0"/>
              <w:suppressLineNumbers w:val="0"/>
              <w:spacing w:before="0" w:beforeAutospacing="0" w:after="0" w:afterAutospacing="0" w:line="480" w:lineRule="exact"/>
              <w:ind w:left="0" w:right="0"/>
              <w:rPr>
                <w:rFonts w:hint="eastAsia" w:ascii="Times New Roman" w:hAnsi="Times New Roman" w:eastAsia="宋体" w:cs="Times New Roman"/>
                <w:color w:val="auto"/>
                <w:sz w:val="24"/>
                <w:lang w:eastAsia="zh-CN"/>
              </w:rPr>
            </w:pPr>
          </w:p>
          <w:p w14:paraId="4C771CF3">
            <w:pPr>
              <w:keepNext w:val="0"/>
              <w:keepLines w:val="0"/>
              <w:suppressLineNumbers w:val="0"/>
              <w:spacing w:before="0" w:beforeAutospacing="0" w:after="0" w:afterAutospacing="0" w:line="360" w:lineRule="auto"/>
              <w:ind w:left="0" w:right="0" w:firstLine="420" w:firstLineChars="200"/>
              <w:jc w:val="center"/>
              <w:rPr>
                <w:rFonts w:hint="default" w:ascii="Times New Roman" w:hAnsi="Times New Roman" w:cs="Times New Roman"/>
                <w:color w:val="auto"/>
                <w:sz w:val="24"/>
                <w:szCs w:val="24"/>
              </w:rPr>
            </w:pPr>
            <w:r>
              <w:rPr>
                <w:rFonts w:hint="default" w:ascii="Times New Roman" w:hAnsi="Times New Roman" w:cs="Times New Roman"/>
                <w:color w:val="auto"/>
                <w:szCs w:val="21"/>
              </w:rPr>
              <w:drawing>
                <wp:inline distT="0" distB="0" distL="114300" distR="114300">
                  <wp:extent cx="5274310" cy="2870835"/>
                  <wp:effectExtent l="0" t="0" r="2540" b="5715"/>
                  <wp:docPr id="20"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6"/>
                          <pic:cNvPicPr>
                            <a:picLocks noChangeAspect="1"/>
                          </pic:cNvPicPr>
                        </pic:nvPicPr>
                        <pic:blipFill>
                          <a:blip r:embed="rId18"/>
                          <a:stretch>
                            <a:fillRect/>
                          </a:stretch>
                        </pic:blipFill>
                        <pic:spPr>
                          <a:xfrm>
                            <a:off x="0" y="0"/>
                            <a:ext cx="5274310" cy="2870835"/>
                          </a:xfrm>
                          <a:prstGeom prst="rect">
                            <a:avLst/>
                          </a:prstGeom>
                          <a:noFill/>
                          <a:ln>
                            <a:noFill/>
                          </a:ln>
                        </pic:spPr>
                      </pic:pic>
                    </a:graphicData>
                  </a:graphic>
                </wp:inline>
              </w:drawing>
            </w:r>
            <w:r>
              <w:rPr>
                <w:rFonts w:hint="default" w:ascii="Times New Roman" w:hAnsi="Times New Roman" w:cs="Times New Roman"/>
                <w:b/>
                <w:bCs/>
                <w:color w:val="auto"/>
                <w:sz w:val="24"/>
                <w:szCs w:val="24"/>
              </w:rPr>
              <w:t>图</w:t>
            </w:r>
            <w:r>
              <w:rPr>
                <w:rFonts w:hint="eastAsia" w:ascii="Times New Roman" w:hAnsi="Times New Roman" w:cs="Times New Roman"/>
                <w:b/>
                <w:bCs/>
                <w:color w:val="auto"/>
                <w:sz w:val="24"/>
                <w:szCs w:val="24"/>
              </w:rPr>
              <w:t>4</w:t>
            </w:r>
            <w:r>
              <w:rPr>
                <w:rFonts w:hint="eastAsia"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rPr>
              <w:t>5-1</w:t>
            </w:r>
            <w:r>
              <w:rPr>
                <w:rFonts w:hint="default" w:ascii="Times New Roman" w:hAnsi="Times New Roman" w:cs="Times New Roman"/>
                <w:b/>
                <w:bCs/>
                <w:color w:val="auto"/>
                <w:sz w:val="24"/>
                <w:szCs w:val="24"/>
              </w:rPr>
              <w:t xml:space="preserve"> 事故排水控制和封堵示意图</w:t>
            </w:r>
          </w:p>
          <w:p w14:paraId="34FE31EC">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（2）应急措施</w:t>
            </w:r>
          </w:p>
          <w:p w14:paraId="28D11E9D">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①事故发生后，应根据具体情况采取应急措施，切断泄漏源、火源，控制事故扩大，根据事故类型、大小启动相应的应急预案；</w:t>
            </w:r>
          </w:p>
          <w:p w14:paraId="6A4CA2FD">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rPr>
              <w:t>②发生重大事故，应立即上报相关部门，启动社会救援系统，就近地区调拨专业救援队伍协助处理；</w:t>
            </w:r>
          </w:p>
          <w:p w14:paraId="144D2C2C">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③事故发生后应立即通知当地生态环境局、医院、自来水公司等市政部门，协同事故救援与监控。</w:t>
            </w:r>
          </w:p>
          <w:p w14:paraId="152F5CF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环保设施安全风险辨识管控的要求</w:t>
            </w:r>
          </w:p>
          <w:p w14:paraId="69983C8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根据《关于做好生态环境和应急管理部门联动工作的意见》（苏环办</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2020</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101号）</w:t>
            </w:r>
            <w:r>
              <w:rPr>
                <w:rFonts w:hint="eastAsia" w:ascii="Times New Roman" w:hAnsi="Times New Roman" w:cs="Times New Roman"/>
                <w:color w:val="auto"/>
                <w:sz w:val="24"/>
                <w:szCs w:val="24"/>
              </w:rPr>
              <w:t>、</w:t>
            </w:r>
            <w:r>
              <w:rPr>
                <w:rFonts w:hint="default" w:ascii="Times New Roman" w:hAnsi="Times New Roman" w:cs="Times New Roman"/>
                <w:color w:val="auto"/>
                <w:sz w:val="24"/>
                <w:szCs w:val="24"/>
              </w:rPr>
              <w:t>《省生态环境厅关于做好安全生产专项整治工作实施方案》（苏环办</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2020</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16号）</w:t>
            </w:r>
            <w:r>
              <w:rPr>
                <w:rFonts w:hint="eastAsia" w:ascii="Times New Roman" w:hAnsi="Times New Roman" w:cs="Times New Roman"/>
                <w:color w:val="auto"/>
                <w:sz w:val="24"/>
                <w:szCs w:val="24"/>
              </w:rPr>
              <w:t>、</w:t>
            </w:r>
            <w:r>
              <w:rPr>
                <w:rFonts w:hint="default" w:ascii="Times New Roman" w:hAnsi="Times New Roman" w:cs="Times New Roman"/>
                <w:color w:val="auto"/>
                <w:sz w:val="24"/>
                <w:szCs w:val="24"/>
              </w:rPr>
              <w:t>《常州市危险废物处置专项整治实施方案》及《常州市生态环境局危险废物处置专项整治具体实施方案》等文件要求，梳理重点如下：</w:t>
            </w:r>
          </w:p>
          <w:p w14:paraId="330C17F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w:t>
            </w:r>
          </w:p>
          <w:p w14:paraId="4636885A">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p w14:paraId="55C99E74">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80" w:firstLineChars="200"/>
              <w:jc w:val="both"/>
              <w:textAlignment w:val="auto"/>
              <w:rPr>
                <w:rFonts w:hint="default" w:ascii="Times New Roman" w:cs="Times New Roman"/>
                <w:color w:val="auto"/>
                <w:sz w:val="24"/>
                <w:szCs w:val="24"/>
              </w:rPr>
            </w:pPr>
            <w:r>
              <w:rPr>
                <w:rFonts w:hint="default" w:ascii="Times New Roman" w:cs="Times New Roman"/>
                <w:color w:val="auto"/>
                <w:sz w:val="24"/>
                <w:szCs w:val="24"/>
              </w:rPr>
              <w:t>本项目涉及危险废物</w:t>
            </w:r>
            <w:r>
              <w:rPr>
                <w:rFonts w:hint="eastAsia" w:ascii="Times New Roman" w:cs="Times New Roman"/>
                <w:color w:val="auto"/>
                <w:sz w:val="24"/>
                <w:szCs w:val="24"/>
                <w:lang w:eastAsia="zh-CN"/>
              </w:rPr>
              <w:t>、</w:t>
            </w:r>
            <w:r>
              <w:rPr>
                <w:rFonts w:hint="eastAsia" w:ascii="Times New Roman" w:cs="Times New Roman"/>
                <w:color w:val="auto"/>
                <w:sz w:val="24"/>
                <w:szCs w:val="24"/>
              </w:rPr>
              <w:t>粉尘治理</w:t>
            </w:r>
            <w:r>
              <w:rPr>
                <w:rFonts w:hint="default" w:ascii="Times New Roman" w:cs="Times New Roman"/>
                <w:color w:val="auto"/>
                <w:sz w:val="24"/>
                <w:szCs w:val="24"/>
              </w:rPr>
              <w:t>，企业需对其开展安全评估工作，并报属地应急管理部门。</w:t>
            </w:r>
          </w:p>
          <w:p w14:paraId="091F364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宋体" w:cs="Times New Roman"/>
                <w:color w:val="auto"/>
                <w:sz w:val="24"/>
              </w:rPr>
              <w:t>4、</w:t>
            </w:r>
            <w:r>
              <w:rPr>
                <w:rFonts w:hint="default" w:ascii="Times New Roman" w:hAnsi="宋体" w:cs="Times New Roman"/>
                <w:color w:val="auto"/>
                <w:sz w:val="24"/>
              </w:rPr>
              <w:t>事故应急预案</w:t>
            </w:r>
          </w:p>
          <w:p w14:paraId="46536E9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①预案应针对可能造成本项目投入生产前须按照《危险化学品事故应急救援预案编制导则</w:t>
            </w:r>
            <w:r>
              <w:rPr>
                <w:rFonts w:hint="eastAsia" w:ascii="Times New Roman" w:hAnsi="宋体" w:cs="Times New Roman"/>
                <w:color w:val="auto"/>
                <w:sz w:val="24"/>
              </w:rPr>
              <w:t>（</w:t>
            </w:r>
            <w:r>
              <w:rPr>
                <w:rFonts w:hint="default" w:ascii="Times New Roman" w:hAnsi="宋体" w:cs="Times New Roman"/>
                <w:color w:val="auto"/>
                <w:sz w:val="24"/>
              </w:rPr>
              <w:t>单位版</w:t>
            </w:r>
            <w:r>
              <w:rPr>
                <w:rFonts w:hint="eastAsia" w:ascii="Times New Roman" w:hAnsi="宋体" w:cs="Times New Roman"/>
                <w:color w:val="auto"/>
                <w:sz w:val="24"/>
              </w:rPr>
              <w:t>）</w:t>
            </w:r>
            <w:r>
              <w:rPr>
                <w:rFonts w:hint="default" w:ascii="Times New Roman" w:hAnsi="宋体" w:cs="Times New Roman"/>
                <w:color w:val="auto"/>
                <w:sz w:val="24"/>
              </w:rPr>
              <w:t>》的要求编制环境风险事故应急预案，并定期组织学习事故应急预案和演练，根据演习情况结合实际对预案进行适当修改。应急队伍要进行专业培训，并要有培训记录和档案。同时，加强各应急救援专业队伍的建设，配有相应器材并确保设备性能完好，保证企业与地方</w:t>
            </w:r>
            <w:r>
              <w:rPr>
                <w:rFonts w:hint="eastAsia" w:ascii="Times New Roman" w:hAnsi="宋体" w:cs="Times New Roman"/>
                <w:color w:val="auto"/>
                <w:sz w:val="24"/>
              </w:rPr>
              <w:t>（</w:t>
            </w:r>
            <w:r>
              <w:rPr>
                <w:rFonts w:hint="default" w:ascii="Times New Roman" w:hAnsi="宋体" w:cs="Times New Roman"/>
                <w:color w:val="auto"/>
                <w:sz w:val="24"/>
              </w:rPr>
              <w:t>区域</w:t>
            </w:r>
            <w:r>
              <w:rPr>
                <w:rFonts w:hint="eastAsia" w:ascii="Times New Roman" w:hAnsi="宋体" w:cs="Times New Roman"/>
                <w:color w:val="auto"/>
                <w:sz w:val="24"/>
              </w:rPr>
              <w:t>）</w:t>
            </w:r>
            <w:r>
              <w:rPr>
                <w:rFonts w:hint="default" w:ascii="Times New Roman" w:hAnsi="宋体" w:cs="Times New Roman"/>
                <w:color w:val="auto"/>
                <w:sz w:val="24"/>
              </w:rPr>
              <w:t>应急预案衔接与联动有效。本项目编制环境风险事故应急预案应遵循以下原则：</w:t>
            </w:r>
          </w:p>
          <w:p w14:paraId="7123E75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宋体" w:cs="Times New Roman"/>
                <w:color w:val="auto"/>
                <w:sz w:val="24"/>
              </w:rPr>
              <w:t>①</w:t>
            </w:r>
            <w:r>
              <w:rPr>
                <w:rFonts w:hint="eastAsia" w:ascii="Times New Roman" w:hAnsi="宋体" w:cs="Times New Roman"/>
                <w:color w:val="auto"/>
                <w:sz w:val="24"/>
                <w:lang w:val="en-US" w:eastAsia="zh-CN"/>
              </w:rPr>
              <w:t xml:space="preserve"> </w:t>
            </w:r>
            <w:r>
              <w:rPr>
                <w:rFonts w:hint="default" w:ascii="Times New Roman" w:hAnsi="宋体" w:cs="Times New Roman"/>
                <w:color w:val="auto"/>
                <w:sz w:val="24"/>
              </w:rPr>
              <w:t>企业或本系统区域人员死亡或严重伤害、设备或环境受到严重破坏而又具有突发性的灾害，如火灾、爆炸等；</w:t>
            </w:r>
          </w:p>
          <w:p w14:paraId="23C47F56">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②</w:t>
            </w:r>
            <w:r>
              <w:rPr>
                <w:rFonts w:hint="default" w:ascii="Times New Roman" w:hAnsi="Times New Roman" w:cs="Times New Roman"/>
                <w:color w:val="auto"/>
                <w:sz w:val="24"/>
              </w:rPr>
              <w:t xml:space="preserve"> </w:t>
            </w:r>
            <w:r>
              <w:rPr>
                <w:rFonts w:hint="default" w:ascii="Times New Roman" w:hAnsi="宋体" w:cs="Times New Roman"/>
                <w:color w:val="auto"/>
                <w:sz w:val="24"/>
              </w:rPr>
              <w:t>预案应以完善的安全技术措施为基础，作为对日常安全管理工作的必要补充，体现</w:t>
            </w:r>
            <w:r>
              <w:rPr>
                <w:rFonts w:hint="default" w:ascii="Times New Roman" w:hAnsi="Times New Roman" w:cs="Times New Roman"/>
                <w:color w:val="auto"/>
                <w:sz w:val="24"/>
              </w:rPr>
              <w:t>“</w:t>
            </w:r>
            <w:r>
              <w:rPr>
                <w:rFonts w:hint="default" w:ascii="Times New Roman" w:hAnsi="宋体" w:cs="Times New Roman"/>
                <w:color w:val="auto"/>
                <w:sz w:val="24"/>
              </w:rPr>
              <w:t>安全</w:t>
            </w:r>
            <w:r>
              <w:rPr>
                <w:rFonts w:hint="eastAsia" w:ascii="Times New Roman" w:hAnsi="宋体" w:cs="Times New Roman"/>
                <w:color w:val="auto"/>
                <w:sz w:val="24"/>
                <w:lang w:eastAsia="zh-CN"/>
              </w:rPr>
              <w:t>第一、</w:t>
            </w:r>
            <w:r>
              <w:rPr>
                <w:rFonts w:hint="default" w:ascii="Times New Roman" w:hAnsi="宋体" w:cs="Times New Roman"/>
                <w:color w:val="auto"/>
                <w:sz w:val="24"/>
              </w:rPr>
              <w:t>预防为主</w:t>
            </w:r>
            <w:r>
              <w:rPr>
                <w:rFonts w:hint="default" w:ascii="Times New Roman" w:hAnsi="Times New Roman" w:cs="Times New Roman"/>
                <w:color w:val="auto"/>
                <w:sz w:val="24"/>
              </w:rPr>
              <w:t>”</w:t>
            </w:r>
            <w:r>
              <w:rPr>
                <w:rFonts w:hint="default" w:ascii="Times New Roman" w:hAnsi="宋体" w:cs="Times New Roman"/>
                <w:color w:val="auto"/>
                <w:sz w:val="24"/>
              </w:rPr>
              <w:t>的安全生产方针；</w:t>
            </w:r>
          </w:p>
          <w:p w14:paraId="60CD6BD7">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③</w:t>
            </w:r>
            <w:r>
              <w:rPr>
                <w:rFonts w:hint="default" w:ascii="Times New Roman" w:hAnsi="Times New Roman" w:cs="Times New Roman"/>
                <w:color w:val="auto"/>
                <w:sz w:val="24"/>
              </w:rPr>
              <w:t xml:space="preserve"> </w:t>
            </w:r>
            <w:r>
              <w:rPr>
                <w:rFonts w:hint="default" w:ascii="Times New Roman" w:hAnsi="宋体" w:cs="Times New Roman"/>
                <w:color w:val="auto"/>
                <w:sz w:val="24"/>
              </w:rPr>
              <w:t>预案应以努力保护人身安全、防止人员伤害为第一目的，同时兼顾设备和环境的防护，尽量减少灾害的损失程度；</w:t>
            </w:r>
          </w:p>
          <w:p w14:paraId="7A8F61C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④</w:t>
            </w:r>
            <w:r>
              <w:rPr>
                <w:rFonts w:hint="default" w:ascii="Times New Roman" w:hAnsi="Times New Roman" w:cs="Times New Roman"/>
                <w:color w:val="auto"/>
                <w:sz w:val="24"/>
              </w:rPr>
              <w:t xml:space="preserve"> </w:t>
            </w:r>
            <w:r>
              <w:rPr>
                <w:rFonts w:hint="default" w:ascii="Times New Roman" w:hAnsi="宋体" w:cs="Times New Roman"/>
                <w:color w:val="auto"/>
                <w:sz w:val="24"/>
              </w:rPr>
              <w:t>企业编制现场事故应急处理预案，应包括对紧急情况的处理程序和措施；</w:t>
            </w:r>
          </w:p>
          <w:p w14:paraId="1799AE2D">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⑤</w:t>
            </w:r>
            <w:r>
              <w:rPr>
                <w:rFonts w:hint="default" w:ascii="Times New Roman" w:hAnsi="Times New Roman" w:cs="Times New Roman"/>
                <w:color w:val="auto"/>
                <w:sz w:val="24"/>
              </w:rPr>
              <w:t xml:space="preserve"> </w:t>
            </w:r>
            <w:r>
              <w:rPr>
                <w:rFonts w:hint="default" w:ascii="Times New Roman" w:hAnsi="宋体" w:cs="Times New Roman"/>
                <w:color w:val="auto"/>
                <w:sz w:val="24"/>
              </w:rPr>
              <w:t>预案应结合实际，措施明确具体，具有很强的可操作性；</w:t>
            </w:r>
          </w:p>
          <w:p w14:paraId="1C81A49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⑥</w:t>
            </w:r>
            <w:r>
              <w:rPr>
                <w:rFonts w:hint="default" w:ascii="Times New Roman" w:hAnsi="Times New Roman" w:cs="Times New Roman"/>
                <w:color w:val="auto"/>
                <w:sz w:val="24"/>
              </w:rPr>
              <w:t xml:space="preserve"> </w:t>
            </w:r>
            <w:r>
              <w:rPr>
                <w:rFonts w:hint="default" w:ascii="Times New Roman" w:hAnsi="宋体" w:cs="Times New Roman"/>
                <w:color w:val="auto"/>
                <w:sz w:val="24"/>
              </w:rPr>
              <w:t>预案应确保符合国家法律、法规的规定，不应把预案作为重大危险设施维持安全运行状态的替代措施；</w:t>
            </w:r>
          </w:p>
          <w:p w14:paraId="2D415E05">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⑦</w:t>
            </w:r>
            <w:r>
              <w:rPr>
                <w:rFonts w:hint="default" w:ascii="Times New Roman" w:hAnsi="Times New Roman" w:cs="Times New Roman"/>
                <w:color w:val="auto"/>
                <w:sz w:val="24"/>
              </w:rPr>
              <w:t xml:space="preserve"> </w:t>
            </w:r>
            <w:r>
              <w:rPr>
                <w:rFonts w:hint="default" w:ascii="Times New Roman" w:hAnsi="宋体" w:cs="Times New Roman"/>
                <w:color w:val="auto"/>
                <w:sz w:val="24"/>
              </w:rPr>
              <w:t>预案应经常检查修订，以保证先进和科学的防灾减灾设备和措施被采用。</w:t>
            </w:r>
          </w:p>
          <w:p w14:paraId="4F098274">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宋体" w:cs="Times New Roman"/>
                <w:color w:val="auto"/>
                <w:sz w:val="24"/>
              </w:rPr>
              <w:t>综上所述，本项目在进行环保</w:t>
            </w:r>
            <w:r>
              <w:rPr>
                <w:rFonts w:hint="default" w:ascii="Times New Roman" w:hAnsi="Times New Roman" w:cs="Times New Roman"/>
                <w:color w:val="auto"/>
                <w:sz w:val="24"/>
              </w:rPr>
              <w:t>“</w:t>
            </w:r>
            <w:r>
              <w:rPr>
                <w:rFonts w:hint="default" w:ascii="Times New Roman" w:hAnsi="宋体" w:cs="Times New Roman"/>
                <w:color w:val="auto"/>
                <w:sz w:val="24"/>
              </w:rPr>
              <w:t>三同时</w:t>
            </w:r>
            <w:r>
              <w:rPr>
                <w:rFonts w:hint="default" w:ascii="Times New Roman" w:hAnsi="Times New Roman" w:cs="Times New Roman"/>
                <w:color w:val="auto"/>
                <w:sz w:val="24"/>
              </w:rPr>
              <w:t>”</w:t>
            </w:r>
            <w:r>
              <w:rPr>
                <w:rFonts w:hint="default" w:ascii="Times New Roman" w:hAnsi="宋体" w:cs="Times New Roman"/>
                <w:color w:val="auto"/>
                <w:sz w:val="24"/>
              </w:rPr>
              <w:t>竣工验收前，需委托有资质单位编制环境风险应急预案</w:t>
            </w:r>
            <w:r>
              <w:rPr>
                <w:rFonts w:hint="eastAsia" w:ascii="Times New Roman" w:hAnsi="宋体" w:cs="Times New Roman"/>
                <w:color w:val="auto"/>
                <w:sz w:val="24"/>
              </w:rPr>
              <w:t>。</w:t>
            </w:r>
          </w:p>
          <w:p w14:paraId="21A38DAB">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eastAsia" w:ascii="Times New Roman" w:hAnsi="Times New Roman" w:cs="Times New Roman"/>
                <w:b/>
                <w:bCs/>
                <w:color w:val="auto"/>
                <w:sz w:val="24"/>
                <w:lang w:val="en-US" w:eastAsia="zh-CN"/>
              </w:rPr>
              <w:t>4.5-2</w:t>
            </w:r>
            <w:r>
              <w:rPr>
                <w:rFonts w:hint="default" w:ascii="Times New Roman" w:hAnsi="Times New Roman" w:cs="Times New Roman"/>
                <w:b/>
                <w:bCs/>
                <w:color w:val="auto"/>
                <w:sz w:val="24"/>
              </w:rPr>
              <w:t xml:space="preserve"> 突发环境事件三级防控体系表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622"/>
              <w:gridCol w:w="2473"/>
              <w:gridCol w:w="3379"/>
            </w:tblGrid>
            <w:tr w14:paraId="5DC88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547" w:type="pct"/>
                  <w:noWrap w:val="0"/>
                  <w:vAlign w:val="center"/>
                </w:tcPr>
                <w:p w14:paraId="1FBCA025">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第一级：车间</w:t>
                  </w:r>
                </w:p>
              </w:tc>
              <w:tc>
                <w:tcPr>
                  <w:tcW w:w="1459" w:type="pct"/>
                  <w:noWrap w:val="0"/>
                  <w:vAlign w:val="center"/>
                </w:tcPr>
                <w:p w14:paraId="00628CC4">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第二级：厂区内</w:t>
                  </w:r>
                </w:p>
              </w:tc>
              <w:tc>
                <w:tcPr>
                  <w:tcW w:w="1994" w:type="pct"/>
                  <w:noWrap w:val="0"/>
                  <w:vAlign w:val="center"/>
                </w:tcPr>
                <w:p w14:paraId="5FF3F90E">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第三级：厂区外</w:t>
                  </w:r>
                </w:p>
              </w:tc>
            </w:tr>
            <w:tr w14:paraId="1D10B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547" w:type="pct"/>
                  <w:noWrap w:val="0"/>
                  <w:vAlign w:val="top"/>
                </w:tcPr>
                <w:p w14:paraId="31311515">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前提：装置泄漏事故可控</w:t>
                  </w:r>
                </w:p>
                <w:p w14:paraId="751F129E">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应急处置要点：</w:t>
                  </w:r>
                </w:p>
                <w:p w14:paraId="2022E194">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启动III级应急响应；</w:t>
                  </w:r>
                </w:p>
                <w:p w14:paraId="53F7050E">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上报生产主管；</w:t>
                  </w:r>
                </w:p>
                <w:p w14:paraId="01E8D2A4">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泄漏源控制，封堵泄漏点；</w:t>
                  </w:r>
                </w:p>
                <w:p w14:paraId="157B29F1">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隔离泄漏污染区；</w:t>
                  </w:r>
                </w:p>
                <w:p w14:paraId="05913B67">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泄漏物收集、转移并处理。</w:t>
                  </w:r>
                </w:p>
              </w:tc>
              <w:tc>
                <w:tcPr>
                  <w:tcW w:w="1459" w:type="pct"/>
                  <w:noWrap w:val="0"/>
                  <w:vAlign w:val="top"/>
                </w:tcPr>
                <w:p w14:paraId="18E54AC3">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前提：装置泄漏事故不可控，流出装置外；小规模火灾事故。</w:t>
                  </w:r>
                </w:p>
                <w:p w14:paraId="5D03B2C2">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应急处置要点：</w:t>
                  </w:r>
                </w:p>
                <w:p w14:paraId="14519928">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启动Ⅱ级应急响应；</w:t>
                  </w:r>
                </w:p>
                <w:p w14:paraId="190475F6">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上报企业应急管理办公室，上报</w:t>
                  </w:r>
                  <w:r>
                    <w:rPr>
                      <w:rFonts w:hint="eastAsia" w:ascii="Times New Roman" w:hAnsi="Times New Roman" w:cs="Times New Roman"/>
                      <w:color w:val="auto"/>
                      <w:szCs w:val="21"/>
                      <w:lang w:val="en-US" w:eastAsia="zh-CN"/>
                    </w:rPr>
                    <w:t>金坛区</w:t>
                  </w:r>
                  <w:r>
                    <w:rPr>
                      <w:rFonts w:hint="default" w:ascii="Times New Roman" w:hAnsi="Times New Roman" w:cs="Times New Roman"/>
                      <w:color w:val="auto"/>
                      <w:szCs w:val="21"/>
                    </w:rPr>
                    <w:t>生态环境局；</w:t>
                  </w:r>
                </w:p>
                <w:p w14:paraId="148372FA">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企业应急指挥部携应急物资赶赴现场进行应急处置；</w:t>
                  </w:r>
                </w:p>
                <w:p w14:paraId="0B29DE78">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筑造临时围堰拦截</w:t>
                  </w:r>
                  <w:r>
                    <w:rPr>
                      <w:rFonts w:hint="eastAsia" w:ascii="Times New Roman" w:hAnsi="Times New Roman" w:cs="Times New Roman"/>
                      <w:color w:val="auto"/>
                      <w:szCs w:val="21"/>
                    </w:rPr>
                    <w:t>泄漏</w:t>
                  </w:r>
                  <w:r>
                    <w:rPr>
                      <w:rFonts w:hint="default" w:ascii="Times New Roman" w:hAnsi="Times New Roman" w:cs="Times New Roman"/>
                      <w:color w:val="auto"/>
                      <w:szCs w:val="21"/>
                    </w:rPr>
                    <w:t>物，避免泄漏物排出厂外；必要时进行疏散；</w:t>
                  </w:r>
                </w:p>
                <w:p w14:paraId="4D99A699">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泄漏物收集、转移并处理。</w:t>
                  </w:r>
                </w:p>
              </w:tc>
              <w:tc>
                <w:tcPr>
                  <w:tcW w:w="1994" w:type="pct"/>
                  <w:noWrap w:val="0"/>
                  <w:vAlign w:val="top"/>
                </w:tcPr>
                <w:p w14:paraId="6B04A67B">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前提：泄漏事故不可控，流出厂外，大规模火灾事故。</w:t>
                  </w:r>
                </w:p>
                <w:p w14:paraId="219B5153">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应急处置要点：</w:t>
                  </w:r>
                </w:p>
                <w:p w14:paraId="5F0D7A69">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启动I级应急响应；</w:t>
                  </w:r>
                </w:p>
                <w:p w14:paraId="65FF84F1">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上报企业应急管理办公室；</w:t>
                  </w:r>
                </w:p>
                <w:p w14:paraId="3AED52CE">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上报</w:t>
                  </w:r>
                  <w:r>
                    <w:rPr>
                      <w:rFonts w:hint="eastAsia" w:ascii="Times New Roman" w:hAnsi="Times New Roman" w:cs="Times New Roman"/>
                      <w:color w:val="auto"/>
                      <w:szCs w:val="21"/>
                      <w:lang w:val="en-US" w:eastAsia="zh-CN"/>
                    </w:rPr>
                    <w:t>指前现代产业园</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金坛区</w:t>
                  </w:r>
                  <w:r>
                    <w:rPr>
                      <w:rFonts w:hint="default" w:ascii="Times New Roman" w:hAnsi="Times New Roman" w:cs="Times New Roman"/>
                      <w:color w:val="auto"/>
                      <w:szCs w:val="21"/>
                    </w:rPr>
                    <w:t>生态环境局；</w:t>
                  </w:r>
                </w:p>
                <w:p w14:paraId="66F270B1">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寻求消防、周边企业援助；</w:t>
                  </w:r>
                </w:p>
                <w:p w14:paraId="606E32A2">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企业应急指挥部携应急物资赶赴现场进行应急处置；</w:t>
                  </w:r>
                </w:p>
                <w:p w14:paraId="2C0A2490">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迅速用堵漏工具对厂区雨水排口进行封堵，构筑围堤、造坑导流、挖坑收容；避免事故污染物进入水环境；</w:t>
                  </w:r>
                </w:p>
                <w:p w14:paraId="0FC99174">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就地投加药剂处置，降低危险性；</w:t>
                  </w:r>
                </w:p>
                <w:p w14:paraId="50ABBDCE">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若事故污染物不慎进入河流，在污染区上、下游迅速用拦污锁或筑坝拦截污染物，投加活性炭等吸附材料，就地投加药剂处置，或将污染水抽至安全地方处置；必要时进行疏散和应急监测；</w:t>
                  </w:r>
                </w:p>
                <w:p w14:paraId="3F36B56C">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Segoe UI Symbol" w:hAnsi="Segoe UI Symbol" w:cs="Segoe UI Symbol"/>
                      <w:color w:val="auto"/>
                      <w:szCs w:val="21"/>
                    </w:rPr>
                    <w:t>★</w:t>
                  </w:r>
                  <w:r>
                    <w:rPr>
                      <w:rFonts w:hint="default" w:ascii="Times New Roman" w:hAnsi="Times New Roman" w:cs="Times New Roman"/>
                      <w:color w:val="auto"/>
                      <w:szCs w:val="21"/>
                    </w:rPr>
                    <w:t>泄漏物收集、转移并处理。</w:t>
                  </w:r>
                </w:p>
              </w:tc>
            </w:tr>
          </w:tbl>
          <w:p w14:paraId="74200BC3">
            <w:pPr>
              <w:keepNext w:val="0"/>
              <w:keepLines w:val="0"/>
              <w:suppressLineNumbers w:val="0"/>
              <w:spacing w:before="0" w:beforeAutospacing="0" w:after="0" w:afterAutospacing="0" w:line="480" w:lineRule="exact"/>
              <w:ind w:left="0" w:right="0" w:firstLine="482" w:firstLineChars="200"/>
              <w:rPr>
                <w:rFonts w:hint="eastAsia" w:ascii="Times New Roman" w:hAnsi="Times New Roman" w:cs="Times New Roman"/>
                <w:b/>
                <w:bCs/>
                <w:color w:val="auto"/>
                <w:sz w:val="24"/>
              </w:rPr>
            </w:pPr>
            <w:r>
              <w:rPr>
                <w:rFonts w:hint="default" w:ascii="Times New Roman" w:hAnsi="Times New Roman" w:cs="Times New Roman"/>
                <w:b/>
                <w:bCs/>
                <w:color w:val="auto"/>
                <w:sz w:val="24"/>
              </w:rPr>
              <w:t>环境风险应急预案与</w:t>
            </w:r>
            <w:r>
              <w:rPr>
                <w:rFonts w:hint="eastAsia" w:ascii="Times New Roman" w:hAnsi="Times New Roman" w:cs="Times New Roman"/>
                <w:b/>
                <w:bCs/>
                <w:color w:val="auto"/>
                <w:sz w:val="24"/>
                <w:lang w:val="en-US" w:eastAsia="zh-CN"/>
              </w:rPr>
              <w:t>指前现代产业园</w:t>
            </w:r>
            <w:r>
              <w:rPr>
                <w:rFonts w:hint="default" w:ascii="Times New Roman" w:hAnsi="Times New Roman" w:cs="Times New Roman"/>
                <w:b/>
                <w:bCs/>
                <w:color w:val="auto"/>
                <w:sz w:val="24"/>
              </w:rPr>
              <w:t>环境风险应急预案衔接</w:t>
            </w:r>
            <w:r>
              <w:rPr>
                <w:rFonts w:hint="eastAsia" w:ascii="Times New Roman" w:hAnsi="Times New Roman" w:cs="Times New Roman"/>
                <w:b/>
                <w:bCs/>
                <w:color w:val="auto"/>
                <w:sz w:val="24"/>
              </w:rPr>
              <w:t>：</w:t>
            </w:r>
          </w:p>
          <w:p w14:paraId="06736C97">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 xml:space="preserve">1）应急组织机构、人员的衔接 </w:t>
            </w:r>
          </w:p>
          <w:p w14:paraId="557830A0">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当发生风险事故时，应急救援组应及时承担起与当地区域或各职能管理部门的应急指挥机构的联系工作，及时将事故发生情况及最新进展向</w:t>
            </w:r>
            <w:r>
              <w:rPr>
                <w:rFonts w:hint="eastAsia" w:ascii="Times New Roman" w:hAnsi="Times New Roman" w:cs="Times New Roman"/>
                <w:bCs/>
                <w:color w:val="auto"/>
                <w:kern w:val="0"/>
                <w:sz w:val="24"/>
              </w:rPr>
              <w:t>环保所</w:t>
            </w:r>
            <w:r>
              <w:rPr>
                <w:rFonts w:hint="default" w:ascii="Times New Roman" w:hAnsi="Times New Roman" w:cs="Times New Roman"/>
                <w:bCs/>
                <w:color w:val="auto"/>
                <w:kern w:val="0"/>
                <w:sz w:val="24"/>
              </w:rPr>
              <w:t>汇报。</w:t>
            </w:r>
          </w:p>
          <w:p w14:paraId="738A6F3A">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2）预案分级响应的衔接</w:t>
            </w:r>
          </w:p>
          <w:p w14:paraId="3ECB6BB7">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发生Ⅰ级响应时，厂内无法解决时，向当地政府及</w:t>
            </w:r>
            <w:r>
              <w:rPr>
                <w:rFonts w:hint="eastAsia" w:ascii="Times New Roman" w:hAnsi="Times New Roman" w:cs="Times New Roman"/>
                <w:bCs/>
                <w:color w:val="auto"/>
                <w:kern w:val="0"/>
                <w:sz w:val="24"/>
                <w:lang w:eastAsia="zh-CN"/>
              </w:rPr>
              <w:t>指前现代产业园</w:t>
            </w:r>
            <w:r>
              <w:rPr>
                <w:rFonts w:hint="eastAsia" w:ascii="Times New Roman" w:hAnsi="Times New Roman" w:cs="Times New Roman"/>
                <w:bCs/>
                <w:color w:val="auto"/>
                <w:kern w:val="0"/>
                <w:sz w:val="24"/>
              </w:rPr>
              <w:t>生态环境</w:t>
            </w:r>
            <w:r>
              <w:rPr>
                <w:rFonts w:hint="default" w:ascii="Times New Roman" w:hAnsi="Times New Roman" w:cs="Times New Roman"/>
                <w:bCs/>
                <w:color w:val="auto"/>
                <w:kern w:val="0"/>
                <w:sz w:val="24"/>
              </w:rPr>
              <w:t>部门请求救援。</w:t>
            </w:r>
          </w:p>
          <w:p w14:paraId="0D164F68">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 xml:space="preserve">3）应急救援保障的衔接 </w:t>
            </w:r>
          </w:p>
          <w:p w14:paraId="0794D95D">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eastAsia" w:ascii="宋体" w:hAnsi="Times New Roman" w:cs="Times New Roman"/>
                <w:bCs/>
                <w:color w:val="auto"/>
                <w:kern w:val="0"/>
                <w:sz w:val="24"/>
              </w:rPr>
              <w:t>①</w:t>
            </w:r>
            <w:r>
              <w:rPr>
                <w:rFonts w:hint="default" w:ascii="Times New Roman" w:hAnsi="Times New Roman" w:cs="Times New Roman"/>
                <w:bCs/>
                <w:color w:val="auto"/>
                <w:kern w:val="0"/>
                <w:sz w:val="24"/>
              </w:rPr>
              <w:t>单位互助体系：企业和周边企事业建立良好的应急互助关系，在重大事故发生后，相互支援；</w:t>
            </w:r>
          </w:p>
          <w:p w14:paraId="5A051BA3">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eastAsia" w:ascii="宋体" w:hAnsi="Times New Roman" w:cs="Times New Roman"/>
                <w:bCs/>
                <w:color w:val="auto"/>
                <w:kern w:val="0"/>
                <w:sz w:val="24"/>
              </w:rPr>
              <w:t>②</w:t>
            </w:r>
            <w:r>
              <w:rPr>
                <w:rFonts w:hint="default" w:ascii="Times New Roman" w:hAnsi="Times New Roman" w:cs="Times New Roman"/>
                <w:bCs/>
                <w:color w:val="auto"/>
                <w:kern w:val="0"/>
                <w:sz w:val="24"/>
              </w:rPr>
              <w:t>公共援助力量：企业可以联系区消防队、医院、公安、交通、安监局以及各相关职能部门，请求救援力量、设备的支持；</w:t>
            </w:r>
          </w:p>
          <w:p w14:paraId="7A7D98F0">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eastAsia" w:ascii="宋体" w:hAnsi="Times New Roman" w:cs="Times New Roman"/>
                <w:bCs/>
                <w:color w:val="auto"/>
                <w:kern w:val="0"/>
                <w:sz w:val="24"/>
              </w:rPr>
              <w:t>③</w:t>
            </w:r>
            <w:r>
              <w:rPr>
                <w:rFonts w:hint="default" w:ascii="Times New Roman" w:hAnsi="Times New Roman" w:cs="Times New Roman"/>
                <w:bCs/>
                <w:color w:val="auto"/>
                <w:kern w:val="0"/>
                <w:sz w:val="24"/>
              </w:rPr>
              <w:t>专家援助：企业建立风险事故救援安全专家库，在紧急情况下，可以联系获取救援支持。</w:t>
            </w:r>
          </w:p>
          <w:p w14:paraId="1C5ACE59">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4）应急培训计划的衔接</w:t>
            </w:r>
          </w:p>
          <w:p w14:paraId="1D71ADAD">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企业在开展应急培训计划的同时，还应积极配合</w:t>
            </w:r>
            <w:r>
              <w:rPr>
                <w:rFonts w:hint="eastAsia" w:ascii="Times New Roman" w:hAnsi="Times New Roman" w:cs="Times New Roman"/>
                <w:bCs/>
                <w:color w:val="auto"/>
                <w:kern w:val="0"/>
                <w:sz w:val="24"/>
                <w:lang w:val="en-US" w:eastAsia="zh-CN"/>
              </w:rPr>
              <w:t>指前现代产业园</w:t>
            </w:r>
            <w:r>
              <w:rPr>
                <w:rFonts w:hint="default" w:ascii="Times New Roman" w:hAnsi="Times New Roman" w:cs="Times New Roman"/>
                <w:bCs/>
                <w:color w:val="auto"/>
                <w:kern w:val="0"/>
                <w:sz w:val="24"/>
              </w:rPr>
              <w:t>开展的应急培训计划，在发生风险事故时，及时与</w:t>
            </w:r>
            <w:r>
              <w:rPr>
                <w:rFonts w:hint="eastAsia" w:ascii="Times New Roman" w:hAnsi="Times New Roman" w:cs="Times New Roman"/>
                <w:bCs/>
                <w:color w:val="auto"/>
                <w:kern w:val="0"/>
                <w:sz w:val="24"/>
                <w:lang w:val="en-US" w:eastAsia="zh-CN"/>
              </w:rPr>
              <w:t>指前现代产业园</w:t>
            </w:r>
            <w:r>
              <w:rPr>
                <w:rFonts w:hint="default" w:ascii="Times New Roman" w:hAnsi="Times New Roman" w:cs="Times New Roman"/>
                <w:bCs/>
                <w:color w:val="auto"/>
                <w:kern w:val="0"/>
                <w:sz w:val="24"/>
              </w:rPr>
              <w:t>应急组织取得联系。</w:t>
            </w:r>
          </w:p>
          <w:p w14:paraId="230AFDB3">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5）公众教育的衔接</w:t>
            </w:r>
          </w:p>
          <w:p w14:paraId="3728C31E">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企业对附近周边企业职工、公众开展教育、培训时，应加强与周边公众和相关单位的交流，如发生事故，可更好的疏散、防护污染。</w:t>
            </w:r>
          </w:p>
          <w:p w14:paraId="657D6262">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 xml:space="preserve">6）消防及火灾报警系统的衔接 </w:t>
            </w:r>
          </w:p>
          <w:p w14:paraId="6711F6CB">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企业消防办公室采用电话报警，火灾报警信号报送至地方消防办公室，必要时报送至消防大队。</w:t>
            </w:r>
          </w:p>
          <w:p w14:paraId="5EAB5944">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bCs/>
                <w:color w:val="auto"/>
                <w:kern w:val="0"/>
                <w:sz w:val="24"/>
              </w:rPr>
            </w:pPr>
            <w:r>
              <w:rPr>
                <w:rFonts w:hint="eastAsia" w:ascii="Times New Roman" w:hAnsi="Times New Roman" w:cs="Times New Roman"/>
                <w:bCs/>
                <w:color w:val="auto"/>
                <w:kern w:val="0"/>
                <w:sz w:val="24"/>
              </w:rPr>
              <w:t>7）</w:t>
            </w:r>
            <w:r>
              <w:rPr>
                <w:rFonts w:hint="default" w:ascii="Times New Roman" w:hAnsi="Times New Roman" w:cs="Times New Roman"/>
                <w:bCs/>
                <w:color w:val="auto"/>
                <w:kern w:val="0"/>
                <w:sz w:val="24"/>
              </w:rPr>
              <w:t>应急救援物资的衔接</w:t>
            </w:r>
          </w:p>
          <w:p w14:paraId="0766CA5C">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80" w:firstLineChars="200"/>
              <w:jc w:val="both"/>
              <w:textAlignment w:val="auto"/>
              <w:rPr>
                <w:rFonts w:hint="default" w:cs="Times New Roman"/>
                <w:bCs/>
                <w:color w:val="auto"/>
                <w:kern w:val="0"/>
                <w:sz w:val="24"/>
              </w:rPr>
            </w:pPr>
            <w:r>
              <w:rPr>
                <w:rFonts w:hint="default" w:cs="Times New Roman"/>
                <w:bCs/>
                <w:color w:val="auto"/>
                <w:kern w:val="0"/>
                <w:sz w:val="24"/>
              </w:rPr>
              <w:t>当企业救援物资不能满足事故现场需求时，可在</w:t>
            </w:r>
            <w:r>
              <w:rPr>
                <w:rFonts w:hint="eastAsia" w:cs="Times New Roman"/>
                <w:bCs/>
                <w:color w:val="auto"/>
                <w:kern w:val="0"/>
                <w:sz w:val="24"/>
                <w:lang w:val="en-US" w:eastAsia="zh-CN"/>
              </w:rPr>
              <w:t>指前现代产业园</w:t>
            </w:r>
            <w:r>
              <w:rPr>
                <w:rFonts w:hint="default" w:cs="Times New Roman"/>
                <w:bCs/>
                <w:color w:val="auto"/>
                <w:kern w:val="0"/>
                <w:sz w:val="24"/>
              </w:rPr>
              <w:t>应急中心的协调下向邻近企事业请求援助，以免风险事故的扩大，同时应服从上级应急中心的调度，对其他单位援助请求进行帮助。</w:t>
            </w:r>
          </w:p>
          <w:p w14:paraId="1C89EA3D">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参照</w:t>
            </w:r>
            <w:r>
              <w:rPr>
                <w:rFonts w:hint="default" w:ascii="Times New Roman" w:hAnsi="Times New Roman" w:eastAsia="宋体" w:cs="Times New Roman"/>
                <w:color w:val="auto"/>
                <w:sz w:val="24"/>
                <w:szCs w:val="24"/>
              </w:rPr>
              <w:t>《省生态环境厅关于印发江苏省环境影响评价文件环境应急相关内容编制要点的通知》（苏环办</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338号）</w:t>
            </w:r>
            <w:r>
              <w:rPr>
                <w:rFonts w:hint="default" w:ascii="Times New Roman" w:hAnsi="Times New Roman" w:eastAsia="宋体" w:cs="Times New Roman"/>
                <w:color w:val="auto"/>
                <w:sz w:val="24"/>
                <w:szCs w:val="24"/>
                <w:lang w:eastAsia="zh-CN"/>
              </w:rPr>
              <w:t>，</w:t>
            </w:r>
            <w:r>
              <w:rPr>
                <w:rFonts w:hint="eastAsia" w:eastAsia="宋体" w:cs="Times New Roman"/>
                <w:color w:val="auto"/>
                <w:sz w:val="24"/>
                <w:szCs w:val="24"/>
                <w:lang w:val="en-US" w:eastAsia="zh-CN"/>
              </w:rPr>
              <w:t>全厂</w:t>
            </w:r>
            <w:r>
              <w:rPr>
                <w:rFonts w:hint="default" w:ascii="Times New Roman" w:hAnsi="Times New Roman" w:eastAsia="宋体" w:cs="Times New Roman"/>
                <w:color w:val="auto"/>
                <w:sz w:val="24"/>
                <w:szCs w:val="24"/>
              </w:rPr>
              <w:t>环境风险防控与应急措施情况具体见表</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467EE8B7">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74" w:firstLineChars="200"/>
              <w:jc w:val="center"/>
              <w:textAlignment w:val="auto"/>
              <w:rPr>
                <w:rFonts w:hint="eastAsia" w:ascii="Times New Roman" w:hAnsi="Times New Roman" w:cs="Times New Roman"/>
                <w:color w:val="auto"/>
                <w:sz w:val="24"/>
                <w:szCs w:val="24"/>
                <w:lang w:val="en-US" w:eastAsia="zh-CN"/>
              </w:rPr>
            </w:pPr>
            <w:r>
              <w:rPr>
                <w:rFonts w:hint="default" w:ascii="宋体" w:hAnsi="宋体" w:eastAsia="宋体" w:cs="宋体"/>
                <w:b/>
                <w:bCs/>
                <w:color w:val="auto"/>
                <w:spacing w:val="-2"/>
                <w:sz w:val="24"/>
                <w:szCs w:val="24"/>
              </w:rPr>
              <w:t>表</w:t>
            </w:r>
            <w:r>
              <w:rPr>
                <w:rFonts w:hint="default" w:ascii="宋体" w:hAnsi="宋体" w:eastAsia="宋体" w:cs="宋体"/>
                <w:color w:val="auto"/>
                <w:spacing w:val="-45"/>
                <w:sz w:val="24"/>
                <w:szCs w:val="24"/>
              </w:rPr>
              <w:t xml:space="preserve"> </w:t>
            </w:r>
            <w:r>
              <w:rPr>
                <w:rFonts w:hint="default" w:ascii="Times New Roman" w:hAnsi="Times New Roman" w:eastAsia="Times New Roman" w:cs="Times New Roman"/>
                <w:b/>
                <w:bCs/>
                <w:color w:val="auto"/>
                <w:spacing w:val="-2"/>
                <w:sz w:val="24"/>
                <w:szCs w:val="24"/>
              </w:rPr>
              <w:t>4</w:t>
            </w:r>
            <w:r>
              <w:rPr>
                <w:rFonts w:hint="eastAsia" w:ascii="Times New Roman" w:hAnsi="Times New Roman" w:eastAsia="宋体" w:cs="Times New Roman"/>
                <w:b/>
                <w:bCs/>
                <w:color w:val="auto"/>
                <w:spacing w:val="-2"/>
                <w:sz w:val="24"/>
                <w:szCs w:val="24"/>
                <w:lang w:val="en-US" w:eastAsia="zh-CN"/>
              </w:rPr>
              <w:t>.5-3</w:t>
            </w:r>
            <w:r>
              <w:rPr>
                <w:rFonts w:hint="default" w:ascii="Times New Roman" w:hAnsi="Times New Roman" w:eastAsia="Times New Roman" w:cs="Times New Roman"/>
                <w:color w:val="auto"/>
                <w:spacing w:val="3"/>
                <w:sz w:val="24"/>
                <w:szCs w:val="24"/>
              </w:rPr>
              <w:t xml:space="preserve">  </w:t>
            </w:r>
            <w:r>
              <w:rPr>
                <w:rFonts w:hint="default" w:ascii="宋体" w:hAnsi="宋体" w:eastAsia="宋体" w:cs="宋体"/>
                <w:b/>
                <w:bCs/>
                <w:color w:val="auto"/>
                <w:spacing w:val="-2"/>
                <w:sz w:val="24"/>
                <w:szCs w:val="24"/>
              </w:rPr>
              <w:t>本项目环境风险防控与应急措施情</w:t>
            </w:r>
            <w:r>
              <w:rPr>
                <w:rFonts w:hint="default" w:ascii="宋体" w:hAnsi="宋体" w:eastAsia="宋体" w:cs="宋体"/>
                <w:b/>
                <w:bCs/>
                <w:color w:val="auto"/>
                <w:spacing w:val="-3"/>
                <w:sz w:val="24"/>
                <w:szCs w:val="24"/>
              </w:rPr>
              <w:t>况</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519"/>
              <w:gridCol w:w="5680"/>
            </w:tblGrid>
            <w:tr w14:paraId="00DA8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noWrap w:val="0"/>
                  <w:vAlign w:val="center"/>
                </w:tcPr>
                <w:p w14:paraId="72F03938">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类别</w:t>
                  </w:r>
                </w:p>
              </w:tc>
              <w:tc>
                <w:tcPr>
                  <w:tcW w:w="895" w:type="pct"/>
                  <w:tcBorders>
                    <w:tl2br w:val="nil"/>
                    <w:tr2bl w:val="nil"/>
                  </w:tcBorders>
                  <w:noWrap w:val="0"/>
                  <w:vAlign w:val="center"/>
                </w:tcPr>
                <w:p w14:paraId="6F905BF3">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环境风险单元</w:t>
                  </w:r>
                </w:p>
              </w:tc>
              <w:tc>
                <w:tcPr>
                  <w:tcW w:w="3351" w:type="pct"/>
                  <w:tcBorders>
                    <w:tl2br w:val="nil"/>
                    <w:tr2bl w:val="nil"/>
                  </w:tcBorders>
                  <w:noWrap w:val="0"/>
                  <w:vAlign w:val="center"/>
                </w:tcPr>
                <w:p w14:paraId="6779804F">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风险防控、应急措施</w:t>
                  </w:r>
                </w:p>
              </w:tc>
            </w:tr>
            <w:tr w14:paraId="1E4D2C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noWrap w:val="0"/>
                  <w:vAlign w:val="center"/>
                </w:tcPr>
                <w:p w14:paraId="3B0BF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spacing w:val="-3"/>
                      <w:sz w:val="21"/>
                      <w:szCs w:val="21"/>
                      <w:u w:val="none" w:color="auto"/>
                    </w:rPr>
                    <w:t>主体工</w:t>
                  </w:r>
                  <w:r>
                    <w:rPr>
                      <w:rFonts w:hint="default" w:ascii="Times New Roman" w:hAnsi="Times New Roman" w:eastAsia="宋体" w:cs="Times New Roman"/>
                      <w:color w:val="auto"/>
                      <w:sz w:val="21"/>
                      <w:szCs w:val="21"/>
                      <w:u w:val="none" w:color="auto"/>
                    </w:rPr>
                    <w:t>程</w:t>
                  </w:r>
                </w:p>
              </w:tc>
              <w:tc>
                <w:tcPr>
                  <w:tcW w:w="895" w:type="pct"/>
                  <w:tcBorders>
                    <w:tl2br w:val="nil"/>
                    <w:tr2bl w:val="nil"/>
                  </w:tcBorders>
                  <w:noWrap w:val="0"/>
                  <w:vAlign w:val="center"/>
                </w:tcPr>
                <w:p w14:paraId="6D5F67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各生产车间</w:t>
                  </w:r>
                </w:p>
              </w:tc>
              <w:tc>
                <w:tcPr>
                  <w:tcW w:w="3351" w:type="pct"/>
                  <w:tcBorders>
                    <w:tl2br w:val="nil"/>
                    <w:tr2bl w:val="nil"/>
                  </w:tcBorders>
                  <w:noWrap w:val="0"/>
                  <w:vAlign w:val="top"/>
                </w:tcPr>
                <w:p w14:paraId="68D85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①车间内设灭火器、消防栓；</w:t>
                  </w:r>
                </w:p>
                <w:p w14:paraId="5F668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②消防器材定期保养检查，确保事故时可有效使用；</w:t>
                  </w:r>
                </w:p>
                <w:p w14:paraId="7F34E9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③采用防爆型电气设备；</w:t>
                  </w:r>
                </w:p>
                <w:p w14:paraId="1C5F7D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pacing w:val="-3"/>
                      <w:sz w:val="21"/>
                      <w:szCs w:val="21"/>
                      <w:u w:val="none" w:color="auto"/>
                    </w:rPr>
                  </w:pPr>
                  <w:r>
                    <w:rPr>
                      <w:rFonts w:hint="default" w:ascii="Times New Roman" w:hAnsi="Times New Roman" w:eastAsia="宋体" w:cs="Times New Roman"/>
                      <w:color w:val="auto"/>
                      <w:spacing w:val="-3"/>
                      <w:sz w:val="21"/>
                      <w:szCs w:val="21"/>
                      <w:u w:val="none" w:color="auto"/>
                    </w:rPr>
                    <w:t>④火灾报警器报警时，现场人员应快速疏散，强制排风、关停设备，并启动应急响应程序，应急处置人员在做好防护工作的情况下，检查泄露点并及时处理；</w:t>
                  </w:r>
                </w:p>
                <w:p w14:paraId="65DE87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⑤若发生泄漏、火灾时，在做好防护工作的前提下，及时堵漏、灭火；若液态物料、消防废水不慎流出车间外，应及时关闭雨水排口阀门，通过雨水管网将物料、废水拦截，防止其</w:t>
                  </w:r>
                  <w:r>
                    <w:rPr>
                      <w:rFonts w:hint="default" w:ascii="Times New Roman" w:hAnsi="Times New Roman" w:eastAsia="宋体" w:cs="Times New Roman"/>
                      <w:color w:val="auto"/>
                      <w:spacing w:val="-3"/>
                      <w:sz w:val="21"/>
                      <w:szCs w:val="21"/>
                      <w:u w:val="none" w:color="auto"/>
                      <w:lang w:val="en-US" w:eastAsia="zh-CN"/>
                    </w:rPr>
                    <w:t>进入</w:t>
                  </w:r>
                  <w:r>
                    <w:rPr>
                      <w:rFonts w:hint="default" w:ascii="Times New Roman" w:hAnsi="Times New Roman" w:eastAsia="宋体" w:cs="Times New Roman"/>
                      <w:color w:val="auto"/>
                      <w:spacing w:val="-3"/>
                      <w:sz w:val="21"/>
                      <w:szCs w:val="21"/>
                      <w:u w:val="none" w:color="auto"/>
                    </w:rPr>
                    <w:t>外环境；</w:t>
                  </w:r>
                </w:p>
              </w:tc>
            </w:tr>
            <w:tr w14:paraId="1ABD0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noWrap w:val="0"/>
                  <w:vAlign w:val="center"/>
                </w:tcPr>
                <w:p w14:paraId="402F6B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储运系统</w:t>
                  </w:r>
                </w:p>
              </w:tc>
              <w:tc>
                <w:tcPr>
                  <w:tcW w:w="895" w:type="pct"/>
                  <w:tcBorders>
                    <w:tl2br w:val="nil"/>
                    <w:tr2bl w:val="nil"/>
                  </w:tcBorders>
                  <w:noWrap w:val="0"/>
                  <w:vAlign w:val="center"/>
                </w:tcPr>
                <w:p w14:paraId="0B6E65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lang w:val="en-US" w:eastAsia="zh-CN"/>
                    </w:rPr>
                    <w:t>液态原料</w:t>
                  </w:r>
                  <w:r>
                    <w:rPr>
                      <w:rFonts w:hint="default" w:ascii="Times New Roman" w:hAnsi="Times New Roman" w:eastAsia="宋体" w:cs="Times New Roman"/>
                      <w:color w:val="auto"/>
                      <w:spacing w:val="-3"/>
                      <w:sz w:val="21"/>
                      <w:szCs w:val="21"/>
                      <w:u w:val="none" w:color="auto"/>
                    </w:rPr>
                    <w:t>库</w:t>
                  </w:r>
                </w:p>
              </w:tc>
              <w:tc>
                <w:tcPr>
                  <w:tcW w:w="3351" w:type="pct"/>
                  <w:tcBorders>
                    <w:tl2br w:val="nil"/>
                    <w:tr2bl w:val="nil"/>
                  </w:tcBorders>
                  <w:noWrap w:val="0"/>
                  <w:vAlign w:val="top"/>
                </w:tcPr>
                <w:p w14:paraId="1D1C1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①仓库内按原材料分类编号，各原材料均分开堆</w:t>
                  </w:r>
                  <w:r>
                    <w:rPr>
                      <w:rFonts w:hint="default" w:ascii="Times New Roman" w:hAnsi="Times New Roman" w:eastAsia="宋体" w:cs="Times New Roman"/>
                      <w:color w:val="auto"/>
                      <w:spacing w:val="-1"/>
                      <w:sz w:val="21"/>
                      <w:szCs w:val="21"/>
                    </w:rPr>
                    <w:t>放；</w:t>
                  </w:r>
                </w:p>
                <w:p w14:paraId="6C6CB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②仓库门口设有防流散坡；</w:t>
                  </w:r>
                </w:p>
                <w:p w14:paraId="355E7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③仓库内设有消防栓、灭火器等消防器材；</w:t>
                  </w:r>
                </w:p>
                <w:p w14:paraId="6BD86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7" w:lineRule="auto"/>
                    <w:ind w:left="0" w:leftChars="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1"/>
                      <w:sz w:val="21"/>
                      <w:szCs w:val="21"/>
                    </w:rPr>
                    <w:t>④仓库内外设有视频监控。</w:t>
                  </w:r>
                </w:p>
              </w:tc>
            </w:tr>
            <w:tr w14:paraId="09E4C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tcBorders>
                    <w:tl2br w:val="nil"/>
                    <w:tr2bl w:val="nil"/>
                  </w:tcBorders>
                  <w:noWrap w:val="0"/>
                  <w:vAlign w:val="center"/>
                </w:tcPr>
                <w:p w14:paraId="09A22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公辅工程</w:t>
                  </w:r>
                </w:p>
              </w:tc>
              <w:tc>
                <w:tcPr>
                  <w:tcW w:w="895" w:type="pct"/>
                  <w:tcBorders>
                    <w:tl2br w:val="nil"/>
                    <w:tr2bl w:val="nil"/>
                  </w:tcBorders>
                  <w:noWrap w:val="0"/>
                  <w:vAlign w:val="center"/>
                </w:tcPr>
                <w:p w14:paraId="244B22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公用工程</w:t>
                  </w:r>
                </w:p>
              </w:tc>
              <w:tc>
                <w:tcPr>
                  <w:tcW w:w="3351" w:type="pct"/>
                  <w:tcBorders>
                    <w:tl2br w:val="nil"/>
                    <w:tr2bl w:val="nil"/>
                  </w:tcBorders>
                  <w:noWrap w:val="0"/>
                  <w:vAlign w:val="top"/>
                </w:tcPr>
                <w:p w14:paraId="285397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设置灭火器、室内消防栓，设有视频监控。</w:t>
                  </w:r>
                </w:p>
              </w:tc>
            </w:tr>
            <w:tr w14:paraId="69CA6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restart"/>
                  <w:tcBorders>
                    <w:tl2br w:val="nil"/>
                    <w:tr2bl w:val="nil"/>
                  </w:tcBorders>
                  <w:noWrap w:val="0"/>
                  <w:vAlign w:val="center"/>
                </w:tcPr>
                <w:p w14:paraId="3FAE68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环保设施</w:t>
                  </w:r>
                </w:p>
              </w:tc>
              <w:tc>
                <w:tcPr>
                  <w:tcW w:w="895" w:type="pct"/>
                  <w:tcBorders>
                    <w:tl2br w:val="nil"/>
                    <w:tr2bl w:val="nil"/>
                  </w:tcBorders>
                  <w:noWrap w:val="0"/>
                  <w:vAlign w:val="center"/>
                </w:tcPr>
                <w:p w14:paraId="2D1485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r>
                    <w:rPr>
                      <w:rFonts w:hint="default" w:ascii="Times New Roman" w:hAnsi="Times New Roman" w:eastAsia="宋体" w:cs="Times New Roman"/>
                      <w:color w:val="auto"/>
                      <w:spacing w:val="-3"/>
                      <w:sz w:val="21"/>
                      <w:szCs w:val="21"/>
                      <w:u w:val="none" w:color="auto"/>
                    </w:rPr>
                    <w:t>废水</w:t>
                  </w:r>
                </w:p>
              </w:tc>
              <w:tc>
                <w:tcPr>
                  <w:tcW w:w="3351" w:type="pct"/>
                  <w:tcBorders>
                    <w:tl2br w:val="nil"/>
                    <w:tr2bl w:val="nil"/>
                  </w:tcBorders>
                  <w:noWrap w:val="0"/>
                  <w:vAlign w:val="top"/>
                </w:tcPr>
                <w:p w14:paraId="3B55F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①按“雨污分流”建设，污水排放口按要求规范整治；雨水排放口设有可控阀门、视频监控，并配有专人负责紧急情况下关闭雨水排口；</w:t>
                  </w:r>
                </w:p>
                <w:p w14:paraId="05270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②厂区内</w:t>
                  </w:r>
                  <w:r>
                    <w:rPr>
                      <w:rFonts w:hint="eastAsia" w:ascii="Times New Roman" w:hAnsi="Times New Roman" w:eastAsia="宋体" w:cs="Times New Roman"/>
                      <w:color w:val="auto"/>
                      <w:sz w:val="21"/>
                      <w:szCs w:val="21"/>
                      <w:lang w:val="en-US" w:eastAsia="zh-CN"/>
                    </w:rPr>
                    <w:t>应</w:t>
                  </w:r>
                  <w:r>
                    <w:rPr>
                      <w:rFonts w:hint="default" w:ascii="Times New Roman" w:hAnsi="Times New Roman" w:eastAsia="宋体" w:cs="Times New Roman"/>
                      <w:color w:val="auto"/>
                      <w:sz w:val="21"/>
                      <w:szCs w:val="21"/>
                    </w:rPr>
                    <w:t>设置</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座</w:t>
                  </w:r>
                  <w:r>
                    <w:rPr>
                      <w:rFonts w:hint="eastAsia" w:cs="Times New Roman"/>
                      <w:color w:val="auto"/>
                      <w:sz w:val="21"/>
                      <w:szCs w:val="21"/>
                      <w:lang w:val="en-US" w:eastAsia="zh-CN"/>
                    </w:rPr>
                    <w:t>149.4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应急事故池，并设有控制阀门和应急泵；</w:t>
                  </w:r>
                </w:p>
                <w:p w14:paraId="08B37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③定期检查跑、冒、滴、漏，保持容器完好无损，定期检查污水处理相应管线下地沟的畅通性，确保出现事故时能进入事故池；</w:t>
                  </w:r>
                </w:p>
                <w:p w14:paraId="24472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④做好日常水质监测工作，当出水水质出现异常或污水处理装置出现异常，立即检查，必要时停产</w:t>
                  </w:r>
                </w:p>
              </w:tc>
            </w:tr>
            <w:tr w14:paraId="49D68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noWrap w:val="0"/>
                  <w:vAlign w:val="center"/>
                </w:tcPr>
                <w:p w14:paraId="6CA2A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rPr>
                  </w:pPr>
                </w:p>
              </w:tc>
              <w:tc>
                <w:tcPr>
                  <w:tcW w:w="895" w:type="pct"/>
                  <w:tcBorders>
                    <w:tl2br w:val="nil"/>
                    <w:tr2bl w:val="nil"/>
                  </w:tcBorders>
                  <w:noWrap w:val="0"/>
                  <w:vAlign w:val="center"/>
                </w:tcPr>
                <w:p w14:paraId="06A83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废气</w:t>
                  </w:r>
                </w:p>
              </w:tc>
              <w:tc>
                <w:tcPr>
                  <w:tcW w:w="3351" w:type="pct"/>
                  <w:tcBorders>
                    <w:tl2br w:val="nil"/>
                    <w:tr2bl w:val="nil"/>
                  </w:tcBorders>
                  <w:noWrap w:val="0"/>
                  <w:vAlign w:val="top"/>
                </w:tcPr>
                <w:p w14:paraId="2A66D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①所有废气均配套处理设施，经处理后达标排放；</w:t>
                  </w:r>
                </w:p>
                <w:p w14:paraId="03F3DA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②定期对废气处理设施进行维护保养。</w:t>
                  </w:r>
                </w:p>
              </w:tc>
            </w:tr>
            <w:tr w14:paraId="3BED0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52" w:type="pct"/>
                  <w:vMerge w:val="continue"/>
                  <w:tcBorders>
                    <w:tl2br w:val="nil"/>
                    <w:tr2bl w:val="nil"/>
                  </w:tcBorders>
                  <w:noWrap w:val="0"/>
                  <w:vAlign w:val="center"/>
                </w:tcPr>
                <w:p w14:paraId="5374C7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spacing w:val="-3"/>
                      <w:sz w:val="21"/>
                      <w:szCs w:val="21"/>
                      <w:u w:val="none" w:color="auto"/>
                      <w:lang w:val="en-US" w:eastAsia="zh-CN"/>
                    </w:rPr>
                  </w:pPr>
                </w:p>
              </w:tc>
              <w:tc>
                <w:tcPr>
                  <w:tcW w:w="895" w:type="pct"/>
                  <w:tcBorders>
                    <w:tl2br w:val="nil"/>
                    <w:tr2bl w:val="nil"/>
                  </w:tcBorders>
                  <w:noWrap w:val="0"/>
                  <w:vAlign w:val="center"/>
                </w:tcPr>
                <w:p w14:paraId="57D725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固废</w:t>
                  </w:r>
                </w:p>
              </w:tc>
              <w:tc>
                <w:tcPr>
                  <w:tcW w:w="3351" w:type="pct"/>
                  <w:tcBorders>
                    <w:tl2br w:val="nil"/>
                    <w:tr2bl w:val="nil"/>
                  </w:tcBorders>
                  <w:noWrap w:val="0"/>
                  <w:vAlign w:val="top"/>
                </w:tcPr>
                <w:p w14:paraId="3B68E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w:t>
                  </w:r>
                  <w:r>
                    <w:rPr>
                      <w:rFonts w:hint="default" w:ascii="Times New Roman" w:hAnsi="Times New Roman" w:eastAsia="宋体"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车间三</w:t>
                  </w:r>
                  <w:r>
                    <w:rPr>
                      <w:rFonts w:hint="default" w:ascii="Times New Roman" w:hAnsi="Times New Roman" w:eastAsia="宋体" w:cs="Times New Roman"/>
                      <w:color w:val="auto"/>
                      <w:sz w:val="21"/>
                      <w:szCs w:val="21"/>
                      <w:lang w:val="en-US" w:eastAsia="zh-CN"/>
                    </w:rPr>
                    <w:t>内设置1处</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的</w:t>
                  </w:r>
                  <w:r>
                    <w:rPr>
                      <w:rFonts w:hint="default" w:ascii="Times New Roman" w:hAnsi="Times New Roman" w:eastAsia="宋体" w:cs="Times New Roman"/>
                      <w:color w:val="auto"/>
                      <w:sz w:val="21"/>
                      <w:szCs w:val="21"/>
                      <w:lang w:val="en-US" w:eastAsia="zh-CN"/>
                    </w:rPr>
                    <w:t>危废仓库</w:t>
                  </w:r>
                  <w:r>
                    <w:rPr>
                      <w:rFonts w:hint="default" w:ascii="Times New Roman" w:hAnsi="Times New Roman" w:eastAsia="宋体" w:cs="Times New Roman"/>
                      <w:color w:val="auto"/>
                      <w:sz w:val="21"/>
                      <w:szCs w:val="21"/>
                    </w:rPr>
                    <w:t>，并按“防腐、防渗、防流散”等要求设置，并配备灭火器等应急物资，装有监控探头；</w:t>
                  </w:r>
                </w:p>
                <w:p w14:paraId="144DA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sz w:val="21"/>
                      <w:szCs w:val="21"/>
                      <w:lang w:val="en-US" w:eastAsia="zh-CN"/>
                    </w:rPr>
                    <w:t>在</w:t>
                  </w:r>
                  <w:r>
                    <w:rPr>
                      <w:rFonts w:hint="eastAsia" w:ascii="Times New Roman" w:hAnsi="Times New Roman" w:eastAsia="宋体" w:cs="Times New Roman"/>
                      <w:color w:val="auto"/>
                      <w:sz w:val="21"/>
                      <w:szCs w:val="21"/>
                      <w:lang w:val="en-US" w:eastAsia="zh-CN"/>
                    </w:rPr>
                    <w:t>车间三</w:t>
                  </w:r>
                  <w:r>
                    <w:rPr>
                      <w:rFonts w:hint="default" w:ascii="Times New Roman" w:hAnsi="Times New Roman" w:eastAsia="宋体" w:cs="Times New Roman"/>
                      <w:color w:val="auto"/>
                      <w:sz w:val="21"/>
                      <w:szCs w:val="21"/>
                      <w:lang w:val="en-US" w:eastAsia="zh-CN"/>
                    </w:rPr>
                    <w:t>内设置1处</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的</w:t>
                  </w:r>
                  <w:r>
                    <w:rPr>
                      <w:rFonts w:hint="default" w:ascii="Times New Roman" w:hAnsi="Times New Roman" w:eastAsia="宋体" w:cs="Times New Roman"/>
                      <w:color w:val="auto"/>
                      <w:sz w:val="21"/>
                      <w:szCs w:val="21"/>
                    </w:rPr>
                    <w:t>一般固废</w:t>
                  </w:r>
                  <w:r>
                    <w:rPr>
                      <w:rFonts w:hint="default" w:ascii="Times New Roman" w:hAnsi="Times New Roman" w:eastAsia="宋体" w:cs="Times New Roman"/>
                      <w:color w:val="auto"/>
                      <w:sz w:val="21"/>
                      <w:szCs w:val="21"/>
                      <w:lang w:val="en-US" w:eastAsia="zh-CN"/>
                    </w:rPr>
                    <w:t>堆场</w:t>
                  </w:r>
                  <w:r>
                    <w:rPr>
                      <w:rFonts w:hint="default" w:ascii="Times New Roman" w:hAnsi="Times New Roman" w:eastAsia="宋体" w:cs="Times New Roman"/>
                      <w:color w:val="auto"/>
                      <w:sz w:val="21"/>
                      <w:szCs w:val="21"/>
                    </w:rPr>
                    <w:t>，堆场设挡水坡，配有一定的应急设施；</w:t>
                  </w:r>
                </w:p>
                <w:p w14:paraId="5B8B3B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③定期检查固废堆场，及时排查物质的泄漏、挥发；</w:t>
                  </w:r>
                </w:p>
                <w:p w14:paraId="6AEC7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④加强管理，固废堆场附近严禁烟火、易燃易爆的固体废物应做好防静电措施。</w:t>
                  </w:r>
                </w:p>
              </w:tc>
            </w:tr>
            <w:tr w14:paraId="12CB5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48" w:type="pct"/>
                  <w:gridSpan w:val="2"/>
                  <w:tcBorders>
                    <w:tl2br w:val="nil"/>
                    <w:tr2bl w:val="nil"/>
                  </w:tcBorders>
                  <w:noWrap w:val="0"/>
                  <w:vAlign w:val="center"/>
                </w:tcPr>
                <w:p w14:paraId="7ED10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风险防范措施</w:t>
                  </w:r>
                </w:p>
              </w:tc>
              <w:tc>
                <w:tcPr>
                  <w:tcW w:w="3351" w:type="pct"/>
                  <w:tcBorders>
                    <w:tl2br w:val="nil"/>
                    <w:tr2bl w:val="nil"/>
                  </w:tcBorders>
                  <w:noWrap w:val="0"/>
                  <w:vAlign w:val="top"/>
                </w:tcPr>
                <w:p w14:paraId="28FCA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①厂区</w:t>
                  </w:r>
                  <w:r>
                    <w:rPr>
                      <w:rFonts w:hint="eastAsia" w:ascii="Times New Roman" w:hAnsi="Times New Roman" w:eastAsia="宋体" w:cs="Times New Roman"/>
                      <w:color w:val="auto"/>
                      <w:sz w:val="21"/>
                      <w:szCs w:val="21"/>
                      <w:lang w:val="en-US" w:eastAsia="zh-CN"/>
                    </w:rPr>
                    <w:t>应</w:t>
                  </w:r>
                  <w:r>
                    <w:rPr>
                      <w:rFonts w:hint="default" w:ascii="Times New Roman" w:hAnsi="Times New Roman" w:eastAsia="宋体" w:cs="Times New Roman"/>
                      <w:color w:val="auto"/>
                      <w:sz w:val="21"/>
                      <w:szCs w:val="21"/>
                    </w:rPr>
                    <w:t>设置1座</w:t>
                  </w:r>
                  <w:r>
                    <w:rPr>
                      <w:rFonts w:hint="eastAsia" w:cs="Times New Roman"/>
                      <w:color w:val="auto"/>
                      <w:sz w:val="21"/>
                      <w:szCs w:val="21"/>
                      <w:lang w:val="en-US" w:eastAsia="zh-CN"/>
                    </w:rPr>
                    <w:t>149.4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应急事故池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消防废水收集池</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，并设有控制阀门和应急泵；</w:t>
                  </w:r>
                </w:p>
                <w:p w14:paraId="3B197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②厂区设</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处雨水排放口，已设置截流阀、应急泵以及相应的应急管道，阻断泄漏物料和消防尾水汇入雨水管网，一旦发生事故，可以关闭雨水排口的截流阀，打开应急泵，利用与应急池连接的管道使事故废水泵入事故池内，待事故结束后，企业再根据事故水质处理；</w:t>
                  </w:r>
                </w:p>
                <w:p w14:paraId="2FBF5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③厂区内各个风险单元附近设有一定数量的消防栓、灭火器及消防沙等消防器材以及个人防护用品，满足应急要求；</w:t>
                  </w:r>
                </w:p>
                <w:p w14:paraId="2D776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8" w:lineRule="auto"/>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厂区内消防通道符合设计规范，保证在事故状态下畅通无阻</w:t>
                  </w:r>
                  <w:r>
                    <w:rPr>
                      <w:rFonts w:hint="default" w:ascii="Times New Roman" w:hAnsi="Times New Roman" w:eastAsia="宋体" w:cs="Times New Roman"/>
                      <w:color w:val="auto"/>
                      <w:sz w:val="21"/>
                      <w:szCs w:val="21"/>
                      <w:lang w:eastAsia="zh-CN"/>
                    </w:rPr>
                    <w:t>。</w:t>
                  </w:r>
                </w:p>
              </w:tc>
            </w:tr>
          </w:tbl>
          <w:p w14:paraId="38AD64E4">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72"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pacing w:val="-2"/>
                <w:sz w:val="24"/>
                <w:szCs w:val="24"/>
                <w:lang w:val="en-US" w:eastAsia="zh-CN"/>
              </w:rPr>
              <w:t>对照</w:t>
            </w:r>
            <w:r>
              <w:rPr>
                <w:rFonts w:hint="default" w:ascii="Times New Roman" w:hAnsi="Times New Roman" w:eastAsia="宋体" w:cs="Times New Roman"/>
                <w:color w:val="auto"/>
                <w:spacing w:val="-2"/>
                <w:sz w:val="24"/>
                <w:szCs w:val="24"/>
              </w:rPr>
              <w:t>《关于做好生态环境和应急管理部门联动工作的意见》（苏环办〔2020〕101号）</w:t>
            </w:r>
            <w:r>
              <w:rPr>
                <w:rFonts w:hint="eastAsia" w:ascii="Times New Roman" w:hAnsi="Times New Roman" w:eastAsia="宋体" w:cs="Times New Roman"/>
                <w:color w:val="auto"/>
                <w:spacing w:val="-2"/>
                <w:sz w:val="24"/>
                <w:szCs w:val="24"/>
                <w:lang w:val="en-US" w:eastAsia="zh-CN"/>
              </w:rPr>
              <w:t>文相关要求</w:t>
            </w:r>
            <w:r>
              <w:rPr>
                <w:rFonts w:hint="default" w:ascii="Times New Roman" w:hAnsi="Times New Roman" w:eastAsia="宋体" w:cs="Times New Roman"/>
                <w:color w:val="auto"/>
                <w:spacing w:val="-2"/>
                <w:sz w:val="24"/>
                <w:szCs w:val="24"/>
              </w:rPr>
              <w:t>，本项目生产、</w:t>
            </w:r>
            <w:r>
              <w:rPr>
                <w:rFonts w:hint="default" w:ascii="Times New Roman" w:hAnsi="Times New Roman" w:eastAsia="宋体" w:cs="Times New Roman"/>
                <w:color w:val="auto"/>
                <w:spacing w:val="-32"/>
                <w:sz w:val="24"/>
                <w:szCs w:val="24"/>
              </w:rPr>
              <w:t xml:space="preserve"> </w:t>
            </w:r>
            <w:r>
              <w:rPr>
                <w:rFonts w:hint="default" w:ascii="Times New Roman" w:hAnsi="Times New Roman" w:eastAsia="宋体" w:cs="Times New Roman"/>
                <w:color w:val="auto"/>
                <w:spacing w:val="-2"/>
                <w:sz w:val="24"/>
                <w:szCs w:val="24"/>
              </w:rPr>
              <w:t>储运、污染</w:t>
            </w:r>
            <w:r>
              <w:rPr>
                <w:rFonts w:hint="default" w:ascii="Times New Roman" w:hAnsi="Times New Roman" w:eastAsia="宋体" w:cs="Times New Roman"/>
                <w:color w:val="auto"/>
                <w:spacing w:val="-3"/>
                <w:sz w:val="24"/>
                <w:szCs w:val="24"/>
              </w:rPr>
              <w:t>防治设施安全风险如下。</w:t>
            </w:r>
          </w:p>
          <w:p w14:paraId="2DC25AB6">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leftChars="0" w:right="0" w:firstLine="474" w:firstLineChars="200"/>
              <w:jc w:val="center"/>
              <w:textAlignment w:val="auto"/>
              <w:rPr>
                <w:rFonts w:hint="eastAsia" w:ascii="Times New Roman" w:hAnsi="Times New Roman" w:cs="Times New Roman"/>
                <w:color w:val="auto"/>
                <w:sz w:val="24"/>
                <w:szCs w:val="24"/>
                <w:lang w:val="en-US" w:eastAsia="zh-CN"/>
              </w:rPr>
            </w:pPr>
            <w:r>
              <w:rPr>
                <w:rFonts w:hint="default" w:ascii="Times New Roman" w:hAnsi="Times New Roman" w:eastAsia="宋体" w:cs="Times New Roman"/>
                <w:b/>
                <w:bCs/>
                <w:color w:val="auto"/>
                <w:spacing w:val="-2"/>
                <w:sz w:val="24"/>
                <w:szCs w:val="24"/>
              </w:rPr>
              <w:t>表</w:t>
            </w:r>
            <w:r>
              <w:rPr>
                <w:rFonts w:hint="default" w:ascii="Times New Roman" w:hAnsi="Times New Roman" w:eastAsia="宋体" w:cs="Times New Roman"/>
                <w:b/>
                <w:bCs/>
                <w:color w:val="auto"/>
                <w:spacing w:val="-2"/>
                <w:sz w:val="24"/>
                <w:szCs w:val="24"/>
                <w:lang w:val="en-US" w:eastAsia="zh-CN"/>
              </w:rPr>
              <w:t>4.5-4</w:t>
            </w:r>
            <w:r>
              <w:rPr>
                <w:rFonts w:hint="default" w:ascii="Times New Roman" w:hAnsi="Times New Roman" w:eastAsia="宋体" w:cs="Times New Roman"/>
                <w:b/>
                <w:bCs/>
                <w:color w:val="auto"/>
                <w:spacing w:val="-2"/>
                <w:sz w:val="24"/>
                <w:szCs w:val="24"/>
              </w:rPr>
              <w:t xml:space="preserve"> 生产、储运、污染防治设施运行过程中安</w:t>
            </w:r>
            <w:r>
              <w:rPr>
                <w:rFonts w:hint="eastAsia" w:ascii="宋体" w:hAnsi="宋体" w:eastAsia="宋体" w:cs="宋体"/>
                <w:b/>
                <w:bCs/>
                <w:color w:val="auto"/>
                <w:spacing w:val="-2"/>
                <w:sz w:val="24"/>
                <w:szCs w:val="24"/>
              </w:rPr>
              <w:t>全风险情况</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998"/>
              <w:gridCol w:w="6854"/>
            </w:tblGrid>
            <w:tr w14:paraId="19616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53" w:type="pct"/>
                  <w:gridSpan w:val="2"/>
                  <w:tcBorders>
                    <w:tl2br w:val="nil"/>
                    <w:tr2bl w:val="nil"/>
                  </w:tcBorders>
                  <w:noWrap w:val="0"/>
                  <w:vAlign w:val="center"/>
                </w:tcPr>
                <w:p w14:paraId="6668D13F">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类别</w:t>
                  </w:r>
                </w:p>
              </w:tc>
              <w:tc>
                <w:tcPr>
                  <w:tcW w:w="4046" w:type="pct"/>
                  <w:tcBorders>
                    <w:tl2br w:val="nil"/>
                    <w:tr2bl w:val="nil"/>
                  </w:tcBorders>
                  <w:noWrap w:val="0"/>
                  <w:vAlign w:val="center"/>
                </w:tcPr>
                <w:p w14:paraId="789C4C39">
                  <w:pPr>
                    <w:pStyle w:val="10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val="0"/>
                      <w:color w:val="auto"/>
                      <w:sz w:val="21"/>
                      <w:szCs w:val="21"/>
                      <w:vertAlign w:val="baseline"/>
                      <w:lang w:val="en-US" w:eastAsia="zh-CN"/>
                    </w:rPr>
                  </w:pPr>
                  <w:r>
                    <w:rPr>
                      <w:rFonts w:hint="eastAsia" w:ascii="宋体" w:hAnsi="宋体" w:eastAsia="宋体" w:cs="宋体"/>
                      <w:b/>
                      <w:bCs w:val="0"/>
                      <w:color w:val="auto"/>
                      <w:sz w:val="21"/>
                      <w:szCs w:val="21"/>
                      <w:vertAlign w:val="baseline"/>
                      <w:lang w:val="en-US" w:eastAsia="zh-CN"/>
                    </w:rPr>
                    <w:t>风险防控、应急措施</w:t>
                  </w:r>
                </w:p>
              </w:tc>
            </w:tr>
            <w:tr w14:paraId="36CE79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restart"/>
                  <w:tcBorders>
                    <w:tl2br w:val="nil"/>
                    <w:tr2bl w:val="nil"/>
                  </w:tcBorders>
                  <w:noWrap w:val="0"/>
                  <w:vAlign w:val="center"/>
                </w:tcPr>
                <w:p w14:paraId="511D262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pacing w:val="-1"/>
                      <w:sz w:val="21"/>
                      <w:szCs w:val="21"/>
                    </w:rPr>
                    <w:t>储运系统</w:t>
                  </w:r>
                </w:p>
              </w:tc>
              <w:tc>
                <w:tcPr>
                  <w:tcW w:w="593" w:type="pct"/>
                  <w:tcBorders>
                    <w:tl2br w:val="nil"/>
                    <w:tr2bl w:val="nil"/>
                  </w:tcBorders>
                  <w:noWrap w:val="0"/>
                  <w:vAlign w:val="center"/>
                </w:tcPr>
                <w:p w14:paraId="6185F6C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物料</w:t>
                  </w:r>
                </w:p>
              </w:tc>
              <w:tc>
                <w:tcPr>
                  <w:tcW w:w="4046" w:type="pct"/>
                  <w:tcBorders>
                    <w:tl2br w:val="nil"/>
                    <w:tr2bl w:val="nil"/>
                  </w:tcBorders>
                  <w:noWrap w:val="0"/>
                  <w:vAlign w:val="top"/>
                </w:tcPr>
                <w:p w14:paraId="623B26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eastAsia" w:ascii="Times New Roman" w:hAnsi="Times New Roman" w:cs="Times New Roman"/>
                      <w:color w:val="auto"/>
                      <w:lang w:eastAsia="zh-CN"/>
                    </w:rPr>
                  </w:pPr>
                  <w:r>
                    <w:rPr>
                      <w:rFonts w:hint="default" w:ascii="Times New Roman" w:hAnsi="Times New Roman" w:cs="Times New Roman"/>
                      <w:color w:val="auto"/>
                    </w:rPr>
                    <w:t>所涉及的物料主要危险、有害因素在于转运过程可能会对从业人员造成物体打击事故。项目中属于一般化学品在使用过程中，可能会对从业人员健康有一定刺激作用，应加强作业现场通风及劳保用品管理，使用、储存、处理过程中涉及到一定量的有毒物质，因此存在着中毒窒息、化学灼伤等危险有害因素</w:t>
                  </w:r>
                  <w:r>
                    <w:rPr>
                      <w:rFonts w:hint="eastAsia" w:ascii="Times New Roman" w:hAnsi="Times New Roman" w:cs="Times New Roman"/>
                      <w:color w:val="auto"/>
                      <w:lang w:eastAsia="zh-CN"/>
                    </w:rPr>
                    <w:t>。</w:t>
                  </w:r>
                </w:p>
                <w:p w14:paraId="611A2FEA">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pacing w:val="-1"/>
                      <w:sz w:val="21"/>
                      <w:szCs w:val="21"/>
                      <w:lang w:val="en-US" w:eastAsia="zh-CN"/>
                    </w:rPr>
                    <w:t>公司</w:t>
                  </w:r>
                  <w:r>
                    <w:rPr>
                      <w:rFonts w:hint="eastAsia" w:cs="Times New Roman"/>
                      <w:color w:val="auto"/>
                      <w:spacing w:val="-1"/>
                      <w:sz w:val="21"/>
                      <w:szCs w:val="21"/>
                      <w:lang w:val="en-US" w:eastAsia="zh-CN"/>
                    </w:rPr>
                    <w:t>加热炉</w:t>
                  </w:r>
                  <w:r>
                    <w:rPr>
                      <w:rFonts w:hint="default" w:ascii="Times New Roman" w:hAnsi="Times New Roman" w:eastAsia="宋体" w:cs="Times New Roman"/>
                      <w:color w:val="auto"/>
                      <w:spacing w:val="-1"/>
                      <w:sz w:val="21"/>
                      <w:szCs w:val="21"/>
                      <w:lang w:val="en-US" w:eastAsia="zh-CN"/>
                    </w:rPr>
                    <w:t>使用天然气进行加热，若天然气输送管道发生泄漏，遇明火或高热可能造成火灾，进而形成爆炸事故</w:t>
                  </w:r>
                  <w:r>
                    <w:rPr>
                      <w:rFonts w:hint="eastAsia" w:ascii="Times New Roman" w:hAnsi="Times New Roman" w:eastAsia="宋体" w:cs="Times New Roman"/>
                      <w:color w:val="auto"/>
                      <w:spacing w:val="-1"/>
                      <w:sz w:val="21"/>
                      <w:szCs w:val="21"/>
                      <w:lang w:val="en-US" w:eastAsia="zh-CN"/>
                    </w:rPr>
                    <w:t>。</w:t>
                  </w:r>
                </w:p>
              </w:tc>
            </w:tr>
            <w:tr w14:paraId="0656A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360" w:type="pct"/>
                  <w:vMerge w:val="continue"/>
                  <w:tcBorders>
                    <w:tl2br w:val="nil"/>
                    <w:tr2bl w:val="nil"/>
                  </w:tcBorders>
                  <w:noWrap w:val="0"/>
                  <w:vAlign w:val="center"/>
                </w:tcPr>
                <w:p w14:paraId="0034EDB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eastAsia"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39E493C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运输</w:t>
                  </w:r>
                </w:p>
              </w:tc>
              <w:tc>
                <w:tcPr>
                  <w:tcW w:w="4046" w:type="pct"/>
                  <w:tcBorders>
                    <w:tl2br w:val="nil"/>
                    <w:tr2bl w:val="nil"/>
                  </w:tcBorders>
                  <w:noWrap w:val="0"/>
                  <w:vAlign w:val="top"/>
                </w:tcPr>
                <w:p w14:paraId="0CD3C23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物料若堆放过高或底部支撑不牢，会造成货物散落砸伤人员；</w:t>
                  </w:r>
                  <w:r>
                    <w:rPr>
                      <w:rFonts w:hint="default" w:ascii="宋体" w:hAnsi="宋体" w:eastAsia="宋体" w:cs="宋体"/>
                      <w:color w:val="auto"/>
                      <w:spacing w:val="-3"/>
                      <w:sz w:val="21"/>
                      <w:szCs w:val="21"/>
                    </w:rPr>
                    <w:t>搬运过程中由于操作失误或未穿戴劳动保护用品，还会经常发</w:t>
                  </w:r>
                  <w:r>
                    <w:rPr>
                      <w:rFonts w:hint="default" w:ascii="宋体" w:hAnsi="宋体" w:eastAsia="宋体" w:cs="宋体"/>
                      <w:color w:val="auto"/>
                      <w:spacing w:val="-1"/>
                      <w:sz w:val="21"/>
                      <w:szCs w:val="21"/>
                    </w:rPr>
                    <w:t>生操作人员砸伤手脚、划破衣服和皮肤等伤害事故</w:t>
                  </w:r>
                  <w:r>
                    <w:rPr>
                      <w:rFonts w:hint="eastAsia" w:ascii="宋体" w:hAnsi="宋体" w:eastAsia="宋体" w:cs="宋体"/>
                      <w:color w:val="auto"/>
                      <w:spacing w:val="-1"/>
                      <w:sz w:val="21"/>
                      <w:szCs w:val="21"/>
                      <w:lang w:eastAsia="zh-CN"/>
                    </w:rPr>
                    <w:t>。</w:t>
                  </w:r>
                </w:p>
              </w:tc>
            </w:tr>
            <w:tr w14:paraId="2C795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restart"/>
                  <w:tcBorders>
                    <w:tl2br w:val="nil"/>
                    <w:tr2bl w:val="nil"/>
                  </w:tcBorders>
                  <w:noWrap w:val="0"/>
                  <w:vAlign w:val="center"/>
                </w:tcPr>
                <w:p w14:paraId="25D8698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危险废物贮存及其他污染防</w:t>
                  </w:r>
                  <w:r>
                    <w:rPr>
                      <w:rFonts w:hint="default" w:ascii="宋体" w:hAnsi="宋体" w:eastAsia="宋体" w:cs="宋体"/>
                      <w:color w:val="auto"/>
                      <w:spacing w:val="-3"/>
                      <w:sz w:val="21"/>
                      <w:szCs w:val="21"/>
                    </w:rPr>
                    <w:t>治设施</w:t>
                  </w:r>
                </w:p>
              </w:tc>
              <w:tc>
                <w:tcPr>
                  <w:tcW w:w="593" w:type="pct"/>
                  <w:tcBorders>
                    <w:tl2br w:val="nil"/>
                    <w:tr2bl w:val="nil"/>
                  </w:tcBorders>
                  <w:noWrap w:val="0"/>
                  <w:vAlign w:val="center"/>
                </w:tcPr>
                <w:p w14:paraId="6F7C3E4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2"/>
                      <w:sz w:val="21"/>
                      <w:szCs w:val="21"/>
                    </w:rPr>
                    <w:t>火灾和爆炸</w:t>
                  </w:r>
                </w:p>
              </w:tc>
              <w:tc>
                <w:tcPr>
                  <w:tcW w:w="4046" w:type="pct"/>
                  <w:tcBorders>
                    <w:tl2br w:val="nil"/>
                    <w:tr2bl w:val="nil"/>
                  </w:tcBorders>
                  <w:noWrap w:val="0"/>
                  <w:vAlign w:val="top"/>
                </w:tcPr>
                <w:p w14:paraId="0A7E5E1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hanging="4"/>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①本项目</w:t>
                  </w:r>
                  <w:r>
                    <w:rPr>
                      <w:rFonts w:hint="eastAsia" w:cs="Times New Roman"/>
                      <w:color w:val="auto"/>
                      <w:sz w:val="21"/>
                      <w:szCs w:val="21"/>
                      <w:lang w:eastAsia="zh-CN"/>
                    </w:rPr>
                    <w:t>废润滑油</w:t>
                  </w:r>
                  <w:r>
                    <w:rPr>
                      <w:rFonts w:hint="default" w:ascii="Times New Roman" w:hAnsi="Times New Roman" w:eastAsia="宋体" w:cs="Times New Roman"/>
                      <w:color w:val="auto"/>
                      <w:spacing w:val="-1"/>
                      <w:sz w:val="21"/>
                      <w:szCs w:val="21"/>
                    </w:rPr>
                    <w:t>为可燃物，遇点火源可发生火灾事故。</w:t>
                  </w:r>
                </w:p>
                <w:p w14:paraId="61550B6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②本项目涉及电气设备较多，</w:t>
                  </w:r>
                  <w:r>
                    <w:rPr>
                      <w:rFonts w:hint="eastAsia" w:ascii="Times New Roman" w:hAnsi="Times New Roman" w:eastAsia="宋体" w:cs="Times New Roman"/>
                      <w:color w:val="auto"/>
                      <w:sz w:val="21"/>
                      <w:szCs w:val="21"/>
                      <w:lang w:eastAsia="zh-CN"/>
                    </w:rPr>
                    <w:t>潜藏着</w:t>
                  </w:r>
                  <w:r>
                    <w:rPr>
                      <w:rFonts w:hint="default" w:ascii="Times New Roman" w:hAnsi="Times New Roman" w:eastAsia="宋体" w:cs="Times New Roman"/>
                      <w:color w:val="auto"/>
                      <w:sz w:val="21"/>
                      <w:szCs w:val="21"/>
                    </w:rPr>
                    <w:t>电气火灾的事故隐患。</w:t>
                  </w:r>
                </w:p>
                <w:p w14:paraId="050E8BA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auto"/>
                    <w:rPr>
                      <w:rFonts w:hint="default"/>
                      <w:color w:val="auto"/>
                      <w:lang w:val="en-US" w:eastAsia="zh-CN"/>
                    </w:rPr>
                  </w:pPr>
                  <w:r>
                    <w:rPr>
                      <w:rFonts w:hint="default" w:ascii="Times New Roman" w:hAnsi="Times New Roman" w:eastAsia="宋体" w:cs="Times New Roman"/>
                      <w:color w:val="auto"/>
                      <w:spacing w:val="-1"/>
                      <w:sz w:val="21"/>
                      <w:szCs w:val="21"/>
                    </w:rPr>
                    <w:t>③</w:t>
                  </w:r>
                  <w:r>
                    <w:rPr>
                      <w:rFonts w:hint="eastAsia" w:cs="Times New Roman"/>
                      <w:color w:val="auto"/>
                      <w:spacing w:val="-1"/>
                      <w:sz w:val="21"/>
                      <w:szCs w:val="21"/>
                      <w:lang w:val="en-US" w:eastAsia="zh-CN"/>
                    </w:rPr>
                    <w:t>电渣重熔</w:t>
                  </w:r>
                  <w:r>
                    <w:rPr>
                      <w:rFonts w:hint="default" w:ascii="Times New Roman" w:hAnsi="Times New Roman" w:eastAsia="宋体" w:cs="Times New Roman"/>
                      <w:color w:val="auto"/>
                      <w:spacing w:val="-1"/>
                      <w:sz w:val="21"/>
                      <w:szCs w:val="21"/>
                    </w:rPr>
                    <w:t>过程中高温熔炼金属，若操作不当或防护措施不到位，可能会引发火灾或爆炸。</w:t>
                  </w:r>
                </w:p>
              </w:tc>
            </w:tr>
            <w:tr w14:paraId="11B06B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31FB52F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default"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0222901F">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触电</w:t>
                  </w:r>
                </w:p>
              </w:tc>
              <w:tc>
                <w:tcPr>
                  <w:tcW w:w="4046" w:type="pct"/>
                  <w:tcBorders>
                    <w:tl2br w:val="nil"/>
                    <w:tr2bl w:val="nil"/>
                  </w:tcBorders>
                  <w:noWrap w:val="0"/>
                  <w:vAlign w:val="top"/>
                </w:tcPr>
                <w:p w14:paraId="7A61C0A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3" w:firstLineChars="0"/>
                    <w:jc w:val="both"/>
                    <w:textAlignment w:val="auto"/>
                    <w:rPr>
                      <w:rFonts w:hint="default" w:ascii="宋体" w:hAnsi="宋体" w:eastAsia="宋体" w:cs="宋体"/>
                      <w:color w:val="auto"/>
                      <w:kern w:val="2"/>
                      <w:sz w:val="21"/>
                      <w:szCs w:val="21"/>
                      <w:lang w:val="en-US" w:eastAsia="zh-CN" w:bidi="ar-SA"/>
                    </w:rPr>
                  </w:pPr>
                  <w:r>
                    <w:rPr>
                      <w:rFonts w:hint="default" w:ascii="宋体" w:hAnsi="宋体" w:eastAsia="宋体" w:cs="宋体"/>
                      <w:color w:val="auto"/>
                      <w:sz w:val="21"/>
                      <w:szCs w:val="21"/>
                    </w:rPr>
                    <w:t>项目使用的变配电设施、电气线路、开关、用电设备等，如接</w:t>
                  </w:r>
                  <w:r>
                    <w:rPr>
                      <w:rFonts w:hint="default" w:ascii="宋体" w:hAnsi="宋体" w:eastAsia="宋体" w:cs="宋体"/>
                      <w:color w:val="auto"/>
                      <w:spacing w:val="4"/>
                      <w:sz w:val="21"/>
                      <w:szCs w:val="21"/>
                    </w:rPr>
                    <w:t>地接零保护不到位、绝缘性能不良或使用不当、绝缘机械损</w:t>
                  </w:r>
                  <w:r>
                    <w:rPr>
                      <w:rFonts w:hint="default" w:ascii="宋体" w:hAnsi="宋体" w:eastAsia="宋体" w:cs="宋体"/>
                      <w:color w:val="auto"/>
                      <w:spacing w:val="-6"/>
                      <w:sz w:val="21"/>
                      <w:szCs w:val="21"/>
                    </w:rPr>
                    <w:t>伤严重等，均可能引发触电事故。</w:t>
                  </w:r>
                </w:p>
              </w:tc>
            </w:tr>
            <w:tr w14:paraId="504391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7142D4D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default" w:ascii="宋体" w:hAnsi="宋体" w:eastAsia="宋体" w:cs="宋体"/>
                      <w:color w:val="auto"/>
                      <w:spacing w:val="-3"/>
                      <w:sz w:val="21"/>
                      <w:szCs w:val="21"/>
                      <w:u w:val="none" w:color="auto"/>
                    </w:rPr>
                  </w:pPr>
                </w:p>
              </w:tc>
              <w:tc>
                <w:tcPr>
                  <w:tcW w:w="593" w:type="pct"/>
                  <w:tcBorders>
                    <w:tl2br w:val="nil"/>
                    <w:tr2bl w:val="nil"/>
                  </w:tcBorders>
                  <w:noWrap w:val="0"/>
                  <w:vAlign w:val="center"/>
                </w:tcPr>
                <w:p w14:paraId="66C35D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宋体" w:hAnsi="宋体" w:eastAsia="宋体" w:cs="宋体"/>
                      <w:color w:val="auto"/>
                      <w:kern w:val="2"/>
                      <w:sz w:val="21"/>
                      <w:szCs w:val="21"/>
                      <w:lang w:val="en-US" w:eastAsia="zh-CN" w:bidi="ar-SA"/>
                    </w:rPr>
                  </w:pPr>
                  <w:r>
                    <w:rPr>
                      <w:rFonts w:hint="default" w:ascii="宋体" w:hAnsi="宋体" w:eastAsia="宋体" w:cs="宋体"/>
                      <w:color w:val="auto"/>
                      <w:spacing w:val="-1"/>
                      <w:sz w:val="21"/>
                      <w:szCs w:val="21"/>
                    </w:rPr>
                    <w:t>机械伤害</w:t>
                  </w:r>
                </w:p>
              </w:tc>
              <w:tc>
                <w:tcPr>
                  <w:tcW w:w="4046" w:type="pct"/>
                  <w:tcBorders>
                    <w:tl2br w:val="nil"/>
                    <w:tr2bl w:val="nil"/>
                  </w:tcBorders>
                  <w:noWrap w:val="0"/>
                  <w:vAlign w:val="top"/>
                </w:tcPr>
                <w:p w14:paraId="6B08565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default" w:ascii="宋体" w:hAnsi="宋体" w:eastAsia="宋体" w:cs="宋体"/>
                      <w:color w:val="auto"/>
                      <w:kern w:val="2"/>
                      <w:sz w:val="21"/>
                      <w:szCs w:val="21"/>
                      <w:lang w:val="en-US" w:eastAsia="zh-CN" w:bidi="ar-SA"/>
                    </w:rPr>
                  </w:pPr>
                  <w:r>
                    <w:rPr>
                      <w:rFonts w:hint="default" w:ascii="宋体" w:hAnsi="宋体" w:eastAsia="宋体" w:cs="宋体"/>
                      <w:color w:val="auto"/>
                      <w:sz w:val="21"/>
                      <w:szCs w:val="21"/>
                    </w:rPr>
                    <w:t>本项目使用风机等机械设备，在使用机械设备过程中，由于操</w:t>
                  </w:r>
                  <w:r>
                    <w:rPr>
                      <w:rFonts w:hint="default" w:ascii="宋体" w:hAnsi="宋体" w:eastAsia="宋体" w:cs="宋体"/>
                      <w:color w:val="auto"/>
                      <w:spacing w:val="-1"/>
                      <w:sz w:val="21"/>
                      <w:szCs w:val="21"/>
                    </w:rPr>
                    <w:t>作者的不安全行为、机械设备的不安全状态等原因，往往容易</w:t>
                  </w:r>
                  <w:r>
                    <w:rPr>
                      <w:rFonts w:hint="default" w:ascii="宋体" w:hAnsi="宋体" w:eastAsia="宋体" w:cs="宋体"/>
                      <w:color w:val="auto"/>
                      <w:spacing w:val="-3"/>
                      <w:sz w:val="21"/>
                      <w:szCs w:val="21"/>
                    </w:rPr>
                    <w:t>引发各种机械伤害事故，造成人员伤亡，影响生产正常</w:t>
                  </w:r>
                  <w:r>
                    <w:rPr>
                      <w:rFonts w:hint="eastAsia" w:ascii="宋体" w:hAnsi="宋体" w:cs="宋体"/>
                      <w:color w:val="auto"/>
                      <w:spacing w:val="-3"/>
                      <w:sz w:val="21"/>
                      <w:szCs w:val="21"/>
                      <w:lang w:val="en-US" w:eastAsia="zh-CN"/>
                    </w:rPr>
                    <w:t>进</w:t>
                  </w:r>
                  <w:r>
                    <w:rPr>
                      <w:rFonts w:hint="default" w:ascii="宋体" w:hAnsi="宋体" w:eastAsia="宋体" w:cs="宋体"/>
                      <w:color w:val="auto"/>
                      <w:spacing w:val="-3"/>
                      <w:sz w:val="21"/>
                      <w:szCs w:val="21"/>
                    </w:rPr>
                    <w:t>行。在</w:t>
                  </w:r>
                  <w:r>
                    <w:rPr>
                      <w:rFonts w:hint="default" w:ascii="宋体" w:hAnsi="宋体" w:eastAsia="宋体" w:cs="宋体"/>
                      <w:color w:val="auto"/>
                      <w:spacing w:val="8"/>
                      <w:sz w:val="21"/>
                      <w:szCs w:val="21"/>
                    </w:rPr>
                    <w:t>生产安全事故中，机械设备对人体伤害的事故占据很大的比</w:t>
                  </w:r>
                  <w:r>
                    <w:rPr>
                      <w:rFonts w:hint="default" w:ascii="宋体" w:hAnsi="宋体" w:eastAsia="宋体" w:cs="宋体"/>
                      <w:color w:val="auto"/>
                      <w:spacing w:val="-4"/>
                      <w:sz w:val="21"/>
                      <w:szCs w:val="21"/>
                    </w:rPr>
                    <w:t>例。</w:t>
                  </w:r>
                </w:p>
              </w:tc>
            </w:tr>
            <w:tr w14:paraId="2B4968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7C956B6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eastAsia"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4F634B4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车辆伤害</w:t>
                  </w:r>
                </w:p>
              </w:tc>
              <w:tc>
                <w:tcPr>
                  <w:tcW w:w="4046" w:type="pct"/>
                  <w:tcBorders>
                    <w:tl2br w:val="nil"/>
                    <w:tr2bl w:val="nil"/>
                  </w:tcBorders>
                  <w:noWrap w:val="0"/>
                  <w:vAlign w:val="top"/>
                </w:tcPr>
                <w:p w14:paraId="3C1CCAE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both"/>
                    <w:textAlignment w:val="auto"/>
                    <w:rPr>
                      <w:rFonts w:hint="eastAsia" w:ascii="宋体" w:hAnsi="宋体" w:eastAsia="宋体" w:cs="宋体"/>
                      <w:color w:val="auto"/>
                      <w:kern w:val="2"/>
                      <w:sz w:val="21"/>
                      <w:szCs w:val="21"/>
                      <w:lang w:val="en-US" w:eastAsia="zh-CN" w:bidi="ar-SA"/>
                    </w:rPr>
                  </w:pPr>
                  <w:r>
                    <w:rPr>
                      <w:rFonts w:hint="default" w:ascii="宋体" w:hAnsi="宋体" w:eastAsia="宋体" w:cs="宋体"/>
                      <w:color w:val="auto"/>
                      <w:sz w:val="21"/>
                      <w:szCs w:val="21"/>
                    </w:rPr>
                    <w:t>车辆伤害是指企业机动车辆在行驶中引起的人体坠落和物体倒塌、下落、挤压伤亡事故，不包括起重设备提升、牵引车辆和</w:t>
                  </w:r>
                  <w:r>
                    <w:rPr>
                      <w:rFonts w:hint="default" w:ascii="宋体" w:hAnsi="宋体" w:eastAsia="宋体" w:cs="宋体"/>
                      <w:color w:val="auto"/>
                      <w:spacing w:val="-2"/>
                      <w:sz w:val="21"/>
                      <w:szCs w:val="21"/>
                    </w:rPr>
                    <w:t>车辆停驶时发生的事故。在正常作业过程中原辅材</w:t>
                  </w:r>
                  <w:r>
                    <w:rPr>
                      <w:rFonts w:hint="default" w:ascii="宋体" w:hAnsi="宋体" w:eastAsia="宋体" w:cs="宋体"/>
                      <w:color w:val="auto"/>
                      <w:spacing w:val="-3"/>
                      <w:sz w:val="21"/>
                      <w:szCs w:val="21"/>
                    </w:rPr>
                    <w:t>料、危险废</w:t>
                  </w:r>
                  <w:r>
                    <w:rPr>
                      <w:rFonts w:hint="default" w:ascii="宋体" w:hAnsi="宋体" w:eastAsia="宋体" w:cs="宋体"/>
                      <w:color w:val="auto"/>
                      <w:spacing w:val="8"/>
                      <w:sz w:val="21"/>
                      <w:szCs w:val="21"/>
                    </w:rPr>
                    <w:t>弃物的装卸运输需要使用车辆，如果违章作业，不按规程操</w:t>
                  </w:r>
                  <w:r>
                    <w:rPr>
                      <w:rFonts w:hint="default" w:ascii="宋体" w:hAnsi="宋体" w:eastAsia="宋体" w:cs="宋体"/>
                      <w:color w:val="auto"/>
                      <w:sz w:val="21"/>
                      <w:szCs w:val="21"/>
                    </w:rPr>
                    <w:t>作，容易导致车辆伤害事故发生。车</w:t>
                  </w:r>
                  <w:r>
                    <w:rPr>
                      <w:rFonts w:hint="eastAsia" w:ascii="宋体" w:hAnsi="宋体" w:eastAsia="宋体" w:cs="宋体"/>
                      <w:color w:val="auto"/>
                      <w:sz w:val="21"/>
                      <w:szCs w:val="21"/>
                      <w:lang w:val="en-US" w:eastAsia="zh-CN"/>
                    </w:rPr>
                    <w:t>辆</w:t>
                  </w:r>
                  <w:r>
                    <w:rPr>
                      <w:rFonts w:hint="default" w:ascii="宋体" w:hAnsi="宋体" w:eastAsia="宋体" w:cs="宋体"/>
                      <w:color w:val="auto"/>
                      <w:sz w:val="21"/>
                      <w:szCs w:val="21"/>
                    </w:rPr>
                    <w:t>伤害事故发生的方式主</w:t>
                  </w:r>
                  <w:r>
                    <w:rPr>
                      <w:rFonts w:hint="default" w:ascii="宋体" w:hAnsi="宋体" w:eastAsia="宋体" w:cs="宋体"/>
                      <w:color w:val="auto"/>
                      <w:spacing w:val="-1"/>
                      <w:sz w:val="21"/>
                      <w:szCs w:val="21"/>
                    </w:rPr>
                    <w:t>要有挤人、撞人、压人和物料滚落伤人等。</w:t>
                  </w:r>
                </w:p>
              </w:tc>
            </w:tr>
            <w:tr w14:paraId="78C02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4DB5867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eastAsia"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503B854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spacing w:val="-2"/>
                      <w:sz w:val="21"/>
                      <w:szCs w:val="21"/>
                      <w:lang w:val="en-US" w:eastAsia="zh-CN"/>
                    </w:rPr>
                  </w:pPr>
                  <w:r>
                    <w:rPr>
                      <w:rFonts w:hint="default" w:ascii="宋体" w:hAnsi="宋体" w:eastAsia="宋体" w:cs="宋体"/>
                      <w:color w:val="auto"/>
                      <w:spacing w:val="-2"/>
                      <w:sz w:val="21"/>
                      <w:szCs w:val="21"/>
                    </w:rPr>
                    <w:t>高处坠落</w:t>
                  </w:r>
                </w:p>
              </w:tc>
              <w:tc>
                <w:tcPr>
                  <w:tcW w:w="4046" w:type="pct"/>
                  <w:tcBorders>
                    <w:tl2br w:val="nil"/>
                    <w:tr2bl w:val="nil"/>
                  </w:tcBorders>
                  <w:noWrap w:val="0"/>
                  <w:vAlign w:val="top"/>
                </w:tcPr>
                <w:p w14:paraId="390C07A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rPr>
                    <w:t>凡在坠落高度基准面2m以上（含2m）的可能坠落的高处所进行的作业，都称为高处作业。在高空作业中，如果未防护，防护不好或作业不当都可能发生人或物的坠落。人从高处坠落的事故，称为高处坠落事故。</w:t>
                  </w:r>
                </w:p>
              </w:tc>
            </w:tr>
            <w:tr w14:paraId="1A3E5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0B480BA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eastAsia"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2285474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spacing w:val="-2"/>
                      <w:sz w:val="21"/>
                      <w:szCs w:val="21"/>
                      <w:lang w:val="en-US" w:eastAsia="zh-CN"/>
                    </w:rPr>
                  </w:pPr>
                  <w:r>
                    <w:rPr>
                      <w:rFonts w:hint="default" w:ascii="宋体" w:hAnsi="宋体" w:eastAsia="宋体" w:cs="宋体"/>
                      <w:color w:val="auto"/>
                      <w:spacing w:val="-2"/>
                      <w:sz w:val="21"/>
                      <w:szCs w:val="21"/>
                    </w:rPr>
                    <w:t>噪声和振动</w:t>
                  </w:r>
                </w:p>
              </w:tc>
              <w:tc>
                <w:tcPr>
                  <w:tcW w:w="4046" w:type="pct"/>
                  <w:tcBorders>
                    <w:tl2br w:val="nil"/>
                    <w:tr2bl w:val="nil"/>
                  </w:tcBorders>
                  <w:noWrap w:val="0"/>
                  <w:vAlign w:val="top"/>
                </w:tcPr>
                <w:p w14:paraId="77E123E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eastAsia"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rPr>
                    <w:t>噪声与振动都是较常见的生产性有害因素。本项目主要噪声设备有风机等，机械运转时会产生噪声和振动；若人员在未采取保护措施的情况下，长期接触噪音，会对作业人员产生听力、神经系统损害。强烈的噪声与振动能分散人的注意力，降低工作能力和工作效率，影响人体生理过程，损害健康，甚至导致职业病的发生</w:t>
                  </w:r>
                  <w:r>
                    <w:rPr>
                      <w:rFonts w:hint="eastAsia" w:ascii="Times New Roman" w:hAnsi="Times New Roman" w:eastAsia="宋体" w:cs="Times New Roman"/>
                      <w:color w:val="auto"/>
                      <w:spacing w:val="-2"/>
                      <w:sz w:val="21"/>
                      <w:szCs w:val="21"/>
                      <w:lang w:eastAsia="zh-CN"/>
                    </w:rPr>
                    <w:t>。</w:t>
                  </w:r>
                </w:p>
              </w:tc>
            </w:tr>
            <w:tr w14:paraId="2AB39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restart"/>
                  <w:tcBorders>
                    <w:tl2br w:val="nil"/>
                    <w:tr2bl w:val="nil"/>
                  </w:tcBorders>
                  <w:noWrap w:val="0"/>
                  <w:vAlign w:val="center"/>
                </w:tcPr>
                <w:p w14:paraId="2670366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default" w:ascii="宋体" w:hAnsi="宋体" w:eastAsia="宋体" w:cs="宋体"/>
                      <w:color w:val="auto"/>
                      <w:spacing w:val="-3"/>
                      <w:sz w:val="21"/>
                      <w:szCs w:val="21"/>
                      <w:u w:val="none" w:color="auto"/>
                      <w:lang w:val="en-US" w:eastAsia="zh-CN"/>
                    </w:rPr>
                  </w:pPr>
                  <w:r>
                    <w:rPr>
                      <w:rFonts w:hint="eastAsia" w:ascii="宋体" w:hAnsi="宋体" w:eastAsia="宋体" w:cs="宋体"/>
                      <w:color w:val="auto"/>
                      <w:spacing w:val="-3"/>
                      <w:sz w:val="21"/>
                      <w:szCs w:val="21"/>
                      <w:u w:val="none" w:color="auto"/>
                      <w:lang w:val="en-US" w:eastAsia="zh-CN"/>
                    </w:rPr>
                    <w:t>设备、装置</w:t>
                  </w:r>
                </w:p>
              </w:tc>
              <w:tc>
                <w:tcPr>
                  <w:tcW w:w="593" w:type="pct"/>
                  <w:tcBorders>
                    <w:tl2br w:val="nil"/>
                    <w:tr2bl w:val="nil"/>
                  </w:tcBorders>
                  <w:noWrap w:val="0"/>
                  <w:vAlign w:val="center"/>
                </w:tcPr>
                <w:p w14:paraId="3F69CA2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eastAsia" w:ascii="宋体" w:hAnsi="宋体" w:eastAsia="宋体" w:cs="宋体"/>
                      <w:color w:val="auto"/>
                      <w:spacing w:val="-2"/>
                      <w:sz w:val="21"/>
                      <w:szCs w:val="21"/>
                      <w:lang w:val="en-US" w:eastAsia="zh-CN"/>
                    </w:rPr>
                  </w:pPr>
                  <w:r>
                    <w:rPr>
                      <w:rFonts w:hint="default" w:ascii="宋体" w:hAnsi="宋体" w:eastAsia="宋体" w:cs="宋体"/>
                      <w:color w:val="auto"/>
                      <w:spacing w:val="-2"/>
                      <w:sz w:val="21"/>
                      <w:szCs w:val="21"/>
                    </w:rPr>
                    <w:t>设备装置</w:t>
                  </w:r>
                </w:p>
              </w:tc>
              <w:tc>
                <w:tcPr>
                  <w:tcW w:w="4046" w:type="pct"/>
                  <w:tcBorders>
                    <w:tl2br w:val="nil"/>
                    <w:tr2bl w:val="nil"/>
                  </w:tcBorders>
                  <w:noWrap w:val="0"/>
                  <w:vAlign w:val="top"/>
                </w:tcPr>
                <w:p w14:paraId="196EAB7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default" w:ascii="宋体" w:hAnsi="宋体" w:eastAsia="宋体" w:cs="宋体"/>
                      <w:color w:val="auto"/>
                      <w:spacing w:val="-2"/>
                      <w:sz w:val="21"/>
                      <w:szCs w:val="21"/>
                    </w:rPr>
                  </w:pPr>
                  <w:r>
                    <w:rPr>
                      <w:rFonts w:hint="default" w:ascii="宋体" w:hAnsi="宋体" w:eastAsia="宋体" w:cs="宋体"/>
                      <w:color w:val="auto"/>
                      <w:spacing w:val="-2"/>
                      <w:sz w:val="21"/>
                      <w:szCs w:val="21"/>
                    </w:rPr>
                    <w:t>①设备本身不能满足工艺要求。如标准设备由不具有生产资质的专业工厂生产、制造。</w:t>
                  </w:r>
                </w:p>
                <w:p w14:paraId="0BF2690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eastAsia" w:ascii="宋体" w:hAnsi="宋体" w:eastAsia="宋体" w:cs="宋体"/>
                      <w:color w:val="auto"/>
                      <w:spacing w:val="-2"/>
                      <w:sz w:val="21"/>
                      <w:szCs w:val="21"/>
                    </w:rPr>
                  </w:pPr>
                  <w:r>
                    <w:rPr>
                      <w:rFonts w:hint="default" w:ascii="宋体" w:hAnsi="宋体" w:eastAsia="宋体" w:cs="宋体"/>
                      <w:color w:val="auto"/>
                      <w:spacing w:val="-2"/>
                      <w:sz w:val="21"/>
                      <w:szCs w:val="21"/>
                    </w:rPr>
                    <w:t>②设备设施缺陷、防护缺陷如：劣质产品、密封不良、未具备相应的安全附件和安全防护装置、未具备指示性安全技术措施、未具备紧急停车的装置、检修时不能自动投入等的安全装</w:t>
                  </w:r>
                  <w:r>
                    <w:rPr>
                      <w:rFonts w:hint="eastAsia" w:ascii="宋体" w:hAnsi="宋体" w:eastAsia="宋体" w:cs="宋体"/>
                      <w:color w:val="auto"/>
                      <w:spacing w:val="-2"/>
                      <w:sz w:val="21"/>
                      <w:szCs w:val="21"/>
                    </w:rPr>
                    <w:t>置。</w:t>
                  </w:r>
                </w:p>
                <w:p w14:paraId="5AA0AF2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eastAsia" w:ascii="宋体" w:hAnsi="宋体" w:eastAsia="宋体" w:cs="宋体"/>
                      <w:color w:val="auto"/>
                      <w:spacing w:val="-2"/>
                      <w:sz w:val="21"/>
                      <w:szCs w:val="21"/>
                      <w:lang w:val="en-US" w:eastAsia="zh-CN"/>
                    </w:rPr>
                  </w:pPr>
                  <w:r>
                    <w:rPr>
                      <w:rFonts w:hint="eastAsia" w:ascii="宋体" w:hAnsi="宋体" w:eastAsia="宋体" w:cs="宋体"/>
                      <w:color w:val="auto"/>
                      <w:spacing w:val="-2"/>
                      <w:sz w:val="21"/>
                      <w:szCs w:val="21"/>
                    </w:rPr>
                    <w:t>③设备在使用过程中未按照操作规程来操作，有可能引起机械伤害事故。</w:t>
                  </w:r>
                </w:p>
              </w:tc>
            </w:tr>
            <w:tr w14:paraId="552E3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4FC05120">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eastAsia"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638279C8">
                  <w:pPr>
                    <w:keepNext w:val="0"/>
                    <w:keepLines w:val="0"/>
                    <w:suppressLineNumbers w:val="0"/>
                    <w:spacing w:before="68" w:beforeAutospacing="0" w:after="0" w:afterAutospacing="0" w:line="240" w:lineRule="auto"/>
                    <w:ind w:left="132" w:leftChars="0" w:right="0"/>
                    <w:jc w:val="center"/>
                    <w:rPr>
                      <w:rFonts w:hint="default"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设备安装维修</w:t>
                  </w:r>
                </w:p>
              </w:tc>
              <w:tc>
                <w:tcPr>
                  <w:tcW w:w="4046" w:type="pct"/>
                  <w:tcBorders>
                    <w:tl2br w:val="nil"/>
                    <w:tr2bl w:val="nil"/>
                  </w:tcBorders>
                  <w:noWrap w:val="0"/>
                  <w:vAlign w:val="top"/>
                </w:tcPr>
                <w:p w14:paraId="73DD3857">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default" w:ascii="宋体" w:hAnsi="宋体" w:eastAsia="宋体" w:cs="宋体"/>
                      <w:color w:val="auto"/>
                      <w:spacing w:val="-2"/>
                      <w:sz w:val="21"/>
                      <w:szCs w:val="21"/>
                    </w:rPr>
                  </w:pPr>
                  <w:r>
                    <w:rPr>
                      <w:rFonts w:hint="default" w:ascii="宋体" w:hAnsi="宋体" w:eastAsia="宋体" w:cs="宋体"/>
                      <w:color w:val="auto"/>
                      <w:spacing w:val="-2"/>
                      <w:sz w:val="21"/>
                      <w:szCs w:val="21"/>
                    </w:rPr>
                    <w:t>①设备安装、检维修过程若进入受限空间，若未按受限空间相关作业要求进行作业，可能会产生窒息等事故发生。</w:t>
                  </w:r>
                </w:p>
                <w:p w14:paraId="133EC1B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default" w:ascii="宋体" w:hAnsi="宋体" w:eastAsia="宋体" w:cs="宋体"/>
                      <w:color w:val="auto"/>
                      <w:spacing w:val="-2"/>
                      <w:sz w:val="21"/>
                      <w:szCs w:val="21"/>
                    </w:rPr>
                  </w:pPr>
                  <w:r>
                    <w:rPr>
                      <w:rFonts w:hint="default" w:ascii="宋体" w:hAnsi="宋体" w:eastAsia="宋体" w:cs="宋体"/>
                      <w:color w:val="auto"/>
                      <w:spacing w:val="-2"/>
                      <w:sz w:val="21"/>
                      <w:szCs w:val="21"/>
                    </w:rPr>
                    <w:t>②在作业过程中，或进行设备检修、检查等情况下，物体（工具、零件等）滑落；高处有未被固定的浮物因被碰或风吹等原因坠落，可能会引起物体打击伤害和高处坠落。</w:t>
                  </w:r>
                </w:p>
                <w:p w14:paraId="0611A4A6">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left"/>
                    <w:textAlignment w:val="auto"/>
                    <w:rPr>
                      <w:rFonts w:hint="default" w:ascii="宋体" w:hAnsi="宋体" w:eastAsia="宋体" w:cs="宋体"/>
                      <w:color w:val="auto"/>
                      <w:spacing w:val="-2"/>
                      <w:sz w:val="21"/>
                      <w:szCs w:val="21"/>
                      <w:lang w:val="en-US" w:eastAsia="zh-CN"/>
                    </w:rPr>
                  </w:pPr>
                  <w:r>
                    <w:rPr>
                      <w:rFonts w:hint="default" w:ascii="宋体" w:hAnsi="宋体" w:eastAsia="宋体" w:cs="宋体"/>
                      <w:color w:val="auto"/>
                      <w:spacing w:val="-2"/>
                      <w:sz w:val="21"/>
                      <w:szCs w:val="21"/>
                    </w:rPr>
                    <w:t>③设备仪表、安全设施等附件经过长期使用，可能遭腐蚀或氧 化而失灵、损坏，导致工艺失常，而引起机械伤害、触电等事故。</w:t>
                  </w:r>
                </w:p>
              </w:tc>
            </w:tr>
            <w:tr w14:paraId="215C6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 w:type="pct"/>
                  <w:vMerge w:val="continue"/>
                  <w:tcBorders>
                    <w:tl2br w:val="nil"/>
                    <w:tr2bl w:val="nil"/>
                  </w:tcBorders>
                  <w:noWrap w:val="0"/>
                  <w:vAlign w:val="center"/>
                </w:tcPr>
                <w:p w14:paraId="530C070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center"/>
                    <w:textAlignment w:val="auto"/>
                    <w:rPr>
                      <w:rFonts w:hint="eastAsia" w:ascii="宋体" w:hAnsi="宋体" w:eastAsia="宋体" w:cs="宋体"/>
                      <w:color w:val="auto"/>
                      <w:spacing w:val="-3"/>
                      <w:sz w:val="21"/>
                      <w:szCs w:val="21"/>
                      <w:u w:val="none" w:color="auto"/>
                      <w:lang w:val="en-US" w:eastAsia="zh-CN"/>
                    </w:rPr>
                  </w:pPr>
                </w:p>
              </w:tc>
              <w:tc>
                <w:tcPr>
                  <w:tcW w:w="593" w:type="pct"/>
                  <w:tcBorders>
                    <w:tl2br w:val="nil"/>
                    <w:tr2bl w:val="nil"/>
                  </w:tcBorders>
                  <w:noWrap w:val="0"/>
                  <w:vAlign w:val="center"/>
                </w:tcPr>
                <w:p w14:paraId="44111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eastAsia="宋体" w:cs="宋体"/>
                      <w:color w:val="auto"/>
                      <w:kern w:val="2"/>
                      <w:sz w:val="21"/>
                      <w:szCs w:val="21"/>
                      <w:lang w:val="en-US" w:eastAsia="zh-CN" w:bidi="ar-SA"/>
                    </w:rPr>
                  </w:pPr>
                  <w:r>
                    <w:rPr>
                      <w:rFonts w:hint="default" w:ascii="宋体" w:hAnsi="宋体" w:eastAsia="宋体" w:cs="宋体"/>
                      <w:color w:val="auto"/>
                      <w:spacing w:val="-2"/>
                      <w:sz w:val="21"/>
                      <w:szCs w:val="21"/>
                    </w:rPr>
                    <w:t>废气处理装置及配套设备</w:t>
                  </w:r>
                </w:p>
              </w:tc>
              <w:tc>
                <w:tcPr>
                  <w:tcW w:w="4046" w:type="pct"/>
                  <w:tcBorders>
                    <w:tl2br w:val="nil"/>
                    <w:tr2bl w:val="nil"/>
                  </w:tcBorders>
                  <w:noWrap w:val="0"/>
                  <w:vAlign w:val="center"/>
                </w:tcPr>
                <w:p w14:paraId="45BDA5A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jc w:val="center"/>
                    <w:textAlignment w:val="auto"/>
                    <w:rPr>
                      <w:rFonts w:hint="default" w:ascii="宋体" w:hAnsi="宋体" w:eastAsia="宋体" w:cs="宋体"/>
                      <w:color w:val="auto"/>
                      <w:spacing w:val="-2"/>
                      <w:sz w:val="21"/>
                      <w:szCs w:val="21"/>
                      <w:lang w:val="en-US" w:eastAsia="zh-CN"/>
                    </w:rPr>
                  </w:pPr>
                  <w:r>
                    <w:rPr>
                      <w:rFonts w:hint="default" w:ascii="宋体" w:hAnsi="宋体" w:eastAsia="宋体" w:cs="宋体"/>
                      <w:color w:val="auto"/>
                      <w:spacing w:val="-2"/>
                      <w:sz w:val="21"/>
                      <w:szCs w:val="21"/>
                    </w:rPr>
                    <w:t>有机械设备风机，可能造成机械伤害。</w:t>
                  </w:r>
                </w:p>
              </w:tc>
            </w:tr>
          </w:tbl>
          <w:p w14:paraId="6E6546D0">
            <w:pPr>
              <w:keepNext w:val="0"/>
              <w:keepLines w:val="0"/>
              <w:suppressLineNumbers w:val="0"/>
              <w:spacing w:before="0" w:beforeAutospacing="0" w:after="0" w:afterAutospacing="0" w:line="480" w:lineRule="exact"/>
              <w:ind w:left="0" w:right="0" w:firstLine="480" w:firstLineChars="200"/>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企业突发环境事件发生后，应立即启动突发环境事件应急预案，组织本单位应急救援队伍和工作人员营救受害人员，疏散、撤离、安置受到威胁的人员，控制危险源，标明危险区域，封锁危险场所，并采取其他防止危害扩大的必要措施，组织开展应急自救工作。当突发环境事件超出公司内部应急处置能力时，建设单位应迅速向指前现代产业园环保办、常州市生态环境局金坛区分局、常州市人民政府等上级领导机关报告并请求外部增援。当地政府及有关部门介入后，公司内部应急救援组织将服从外部救援队伍的指挥，并协助进行相应职责的应急救援工作。在处理环境影响事故时，当公司突发环境事件应急预案与上级应急预案相抵触时，以上级应急预案为准。</w:t>
            </w:r>
          </w:p>
          <w:p w14:paraId="626B19DF">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rPr>
              <w:t>、</w:t>
            </w:r>
            <w:r>
              <w:rPr>
                <w:rFonts w:hint="default" w:ascii="Times New Roman" w:hAnsi="Times New Roman" w:cs="Times New Roman"/>
                <w:color w:val="auto"/>
                <w:sz w:val="24"/>
              </w:rPr>
              <w:t>分析结论</w:t>
            </w:r>
          </w:p>
          <w:p w14:paraId="74066242">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通过对本项目的</w:t>
            </w:r>
            <w:r>
              <w:rPr>
                <w:rFonts w:hint="eastAsia" w:ascii="Times New Roman" w:hAnsi="Times New Roman" w:cs="Times New Roman"/>
                <w:color w:val="auto"/>
                <w:sz w:val="24"/>
              </w:rPr>
              <w:t>环境风险等级判定、环境风险分析、</w:t>
            </w:r>
            <w:r>
              <w:rPr>
                <w:rFonts w:hint="default" w:ascii="Times New Roman" w:hAnsi="Times New Roman" w:cs="Times New Roman"/>
                <w:color w:val="auto"/>
                <w:sz w:val="24"/>
              </w:rPr>
              <w:t>环境风险防范措施及应急要求等环节分析可知，在落实各项环境风险防控措施、加强危险物质的管理的前提下，本项目环境风险是可防可控的。</w:t>
            </w:r>
          </w:p>
          <w:p w14:paraId="7A730A99">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bCs/>
                <w:color w:val="auto"/>
                <w:sz w:val="24"/>
              </w:rPr>
            </w:pPr>
            <w:r>
              <w:rPr>
                <w:rFonts w:hint="default" w:ascii="Times New Roman" w:hAnsi="Times New Roman" w:cs="Times New Roman"/>
                <w:b/>
                <w:color w:val="auto"/>
                <w:kern w:val="0"/>
                <w:sz w:val="24"/>
              </w:rPr>
              <w:t>表</w:t>
            </w:r>
            <w:r>
              <w:rPr>
                <w:rFonts w:hint="eastAsia" w:ascii="Times New Roman" w:hAnsi="Times New Roman" w:cs="Times New Roman"/>
                <w:b/>
                <w:color w:val="auto"/>
                <w:kern w:val="0"/>
                <w:sz w:val="24"/>
              </w:rPr>
              <w:t>4</w:t>
            </w:r>
            <w:r>
              <w:rPr>
                <w:rFonts w:hint="default" w:ascii="Times New Roman" w:hAnsi="Times New Roman" w:cs="Times New Roman"/>
                <w:b/>
                <w:color w:val="auto"/>
                <w:kern w:val="0"/>
                <w:sz w:val="24"/>
              </w:rPr>
              <w:t>.5-</w:t>
            </w:r>
            <w:r>
              <w:rPr>
                <w:rFonts w:hint="eastAsia" w:ascii="Times New Roman" w:hAnsi="Times New Roman" w:cs="Times New Roman"/>
                <w:b/>
                <w:color w:val="auto"/>
                <w:kern w:val="0"/>
                <w:sz w:val="24"/>
                <w:lang w:val="en-US" w:eastAsia="zh-CN"/>
              </w:rPr>
              <w:t>5</w:t>
            </w:r>
            <w:r>
              <w:rPr>
                <w:rFonts w:hint="eastAsia" w:ascii="Times New Roman" w:hAnsi="Times New Roman" w:cs="Times New Roman"/>
                <w:b/>
                <w:color w:val="auto"/>
                <w:kern w:val="0"/>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建设项目环境风险简单分析内容表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089"/>
              <w:gridCol w:w="1186"/>
              <w:gridCol w:w="1186"/>
              <w:gridCol w:w="815"/>
              <w:gridCol w:w="2574"/>
            </w:tblGrid>
            <w:tr w14:paraId="750D4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56" w:type="pct"/>
                  <w:noWrap w:val="0"/>
                  <w:vAlign w:val="center"/>
                </w:tcPr>
                <w:p w14:paraId="6F01C1B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4043" w:type="pct"/>
                  <w:gridSpan w:val="5"/>
                  <w:noWrap w:val="0"/>
                  <w:vAlign w:val="center"/>
                </w:tcPr>
                <w:p w14:paraId="12AC601C">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cs="Times New Roman"/>
                      <w:color w:val="auto"/>
                      <w:szCs w:val="21"/>
                    </w:rPr>
                  </w:pPr>
                  <w:r>
                    <w:rPr>
                      <w:rFonts w:hint="eastAsia" w:cs="Times New Roman"/>
                      <w:color w:val="auto"/>
                      <w:sz w:val="21"/>
                      <w:szCs w:val="21"/>
                      <w:highlight w:val="none"/>
                      <w:lang w:eastAsia="zh-CN"/>
                    </w:rPr>
                    <w:t>常州市昌帆金属科技有限公司高性能、高强度特种锻件技术改造项目</w:t>
                  </w:r>
                </w:p>
              </w:tc>
            </w:tr>
            <w:tr w14:paraId="03449D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56" w:type="pct"/>
                  <w:noWrap w:val="0"/>
                  <w:vAlign w:val="center"/>
                </w:tcPr>
                <w:p w14:paraId="2F5F95F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643" w:type="pct"/>
                  <w:noWrap w:val="0"/>
                  <w:vAlign w:val="center"/>
                </w:tcPr>
                <w:p w14:paraId="49C9AF6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江苏省</w:t>
                  </w:r>
                </w:p>
              </w:tc>
              <w:tc>
                <w:tcPr>
                  <w:tcW w:w="700" w:type="pct"/>
                  <w:noWrap w:val="0"/>
                  <w:vAlign w:val="center"/>
                </w:tcPr>
                <w:p w14:paraId="66E7705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常州市</w:t>
                  </w:r>
                </w:p>
              </w:tc>
              <w:tc>
                <w:tcPr>
                  <w:tcW w:w="700" w:type="pct"/>
                  <w:noWrap w:val="0"/>
                  <w:vAlign w:val="center"/>
                </w:tcPr>
                <w:p w14:paraId="528BE04C">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szCs w:val="21"/>
                    </w:rPr>
                    <w:t>金坛区</w:t>
                  </w:r>
                </w:p>
              </w:tc>
              <w:tc>
                <w:tcPr>
                  <w:tcW w:w="481" w:type="pct"/>
                  <w:noWrap w:val="0"/>
                  <w:vAlign w:val="center"/>
                </w:tcPr>
                <w:p w14:paraId="25F8F8D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县</w:t>
                  </w:r>
                </w:p>
              </w:tc>
              <w:tc>
                <w:tcPr>
                  <w:tcW w:w="1518" w:type="pct"/>
                  <w:noWrap w:val="0"/>
                  <w:vAlign w:val="center"/>
                </w:tcPr>
                <w:p w14:paraId="5F4E0A5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洮西工业集中区中路1号</w:t>
                  </w:r>
                </w:p>
              </w:tc>
            </w:tr>
            <w:tr w14:paraId="0AD57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exact"/>
                <w:jc w:val="center"/>
              </w:trPr>
              <w:tc>
                <w:tcPr>
                  <w:tcW w:w="956" w:type="pct"/>
                  <w:noWrap w:val="0"/>
                  <w:vAlign w:val="center"/>
                </w:tcPr>
                <w:p w14:paraId="018BE59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经度</w:t>
                  </w:r>
                </w:p>
              </w:tc>
              <w:tc>
                <w:tcPr>
                  <w:tcW w:w="1343" w:type="pct"/>
                  <w:gridSpan w:val="2"/>
                  <w:noWrap w:val="0"/>
                  <w:vAlign w:val="center"/>
                </w:tcPr>
                <w:p w14:paraId="3A8C1036">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cs="Times New Roman"/>
                      <w:color w:val="auto"/>
                      <w:szCs w:val="21"/>
                    </w:rPr>
                  </w:pPr>
                  <w:r>
                    <w:rPr>
                      <w:rFonts w:hint="eastAsia" w:ascii="Times New Roman" w:hAnsi="Times New Roman" w:cs="Times New Roman"/>
                      <w:color w:val="auto"/>
                      <w:kern w:val="0"/>
                      <w:szCs w:val="21"/>
                    </w:rPr>
                    <w:t>119度</w:t>
                  </w:r>
                  <w:r>
                    <w:rPr>
                      <w:rFonts w:hint="eastAsia" w:cs="Times New Roman"/>
                      <w:color w:val="auto"/>
                      <w:kern w:val="0"/>
                      <w:szCs w:val="21"/>
                      <w:lang w:val="en-US" w:eastAsia="zh-CN"/>
                    </w:rPr>
                    <w:t>18</w:t>
                  </w:r>
                  <w:r>
                    <w:rPr>
                      <w:rFonts w:hint="eastAsia" w:ascii="Times New Roman" w:hAnsi="Times New Roman" w:cs="Times New Roman"/>
                      <w:color w:val="auto"/>
                      <w:kern w:val="0"/>
                      <w:szCs w:val="21"/>
                    </w:rPr>
                    <w:t>分</w:t>
                  </w:r>
                  <w:r>
                    <w:rPr>
                      <w:rFonts w:hint="eastAsia" w:cs="Times New Roman"/>
                      <w:color w:val="auto"/>
                      <w:kern w:val="0"/>
                      <w:szCs w:val="21"/>
                      <w:lang w:val="en-US" w:eastAsia="zh-CN"/>
                    </w:rPr>
                    <w:t>41.424</w:t>
                  </w:r>
                  <w:r>
                    <w:rPr>
                      <w:rFonts w:hint="eastAsia" w:ascii="Times New Roman" w:hAnsi="Times New Roman" w:cs="Times New Roman"/>
                      <w:color w:val="auto"/>
                      <w:kern w:val="0"/>
                      <w:szCs w:val="21"/>
                    </w:rPr>
                    <w:t>秒</w:t>
                  </w:r>
                </w:p>
              </w:tc>
              <w:tc>
                <w:tcPr>
                  <w:tcW w:w="700" w:type="pct"/>
                  <w:noWrap w:val="0"/>
                  <w:vAlign w:val="center"/>
                </w:tcPr>
                <w:p w14:paraId="7374027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纬度</w:t>
                  </w:r>
                </w:p>
              </w:tc>
              <w:tc>
                <w:tcPr>
                  <w:tcW w:w="1999" w:type="pct"/>
                  <w:gridSpan w:val="2"/>
                  <w:noWrap w:val="0"/>
                  <w:vAlign w:val="center"/>
                </w:tcPr>
                <w:p w14:paraId="71502C53">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rPr>
                  </w:pPr>
                  <w:r>
                    <w:rPr>
                      <w:rFonts w:hint="default" w:ascii="Times New Roman" w:hAnsi="Times New Roman" w:cs="Times New Roman"/>
                      <w:color w:val="auto"/>
                      <w:kern w:val="0"/>
                      <w:szCs w:val="21"/>
                    </w:rPr>
                    <w:t>31度</w:t>
                  </w:r>
                  <w:r>
                    <w:rPr>
                      <w:rFonts w:hint="eastAsia" w:cs="Times New Roman"/>
                      <w:color w:val="auto"/>
                      <w:kern w:val="0"/>
                      <w:szCs w:val="21"/>
                      <w:lang w:val="en-US" w:eastAsia="zh-CN"/>
                    </w:rPr>
                    <w:t>24</w:t>
                  </w:r>
                  <w:r>
                    <w:rPr>
                      <w:rFonts w:hint="default" w:ascii="Times New Roman" w:hAnsi="Times New Roman" w:cs="Times New Roman"/>
                      <w:color w:val="auto"/>
                      <w:kern w:val="0"/>
                      <w:szCs w:val="21"/>
                    </w:rPr>
                    <w:t>分</w:t>
                  </w:r>
                  <w:r>
                    <w:rPr>
                      <w:rFonts w:hint="eastAsia" w:cs="Times New Roman"/>
                      <w:color w:val="auto"/>
                      <w:kern w:val="0"/>
                      <w:szCs w:val="21"/>
                      <w:lang w:val="en-US" w:eastAsia="zh-CN"/>
                    </w:rPr>
                    <w:t>10.332</w:t>
                  </w:r>
                  <w:r>
                    <w:rPr>
                      <w:rFonts w:hint="default" w:ascii="Times New Roman" w:hAnsi="Times New Roman" w:cs="Times New Roman"/>
                      <w:color w:val="auto"/>
                      <w:kern w:val="0"/>
                      <w:szCs w:val="21"/>
                    </w:rPr>
                    <w:t>秒</w:t>
                  </w:r>
                </w:p>
              </w:tc>
            </w:tr>
            <w:tr w14:paraId="5175A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pct"/>
                  <w:noWrap w:val="0"/>
                  <w:vAlign w:val="center"/>
                </w:tcPr>
                <w:p w14:paraId="690A67F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主要危险物质及分布</w:t>
                  </w:r>
                </w:p>
              </w:tc>
              <w:tc>
                <w:tcPr>
                  <w:tcW w:w="4043" w:type="pct"/>
                  <w:gridSpan w:val="5"/>
                  <w:noWrap w:val="0"/>
                  <w:vAlign w:val="center"/>
                </w:tcPr>
                <w:p w14:paraId="4C2FE3DE">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车间一</w:t>
                  </w:r>
                  <w:r>
                    <w:rPr>
                      <w:rFonts w:hint="eastAsia" w:ascii="Times New Roman" w:hAnsi="Times New Roman" w:cs="Times New Roman"/>
                      <w:color w:val="auto"/>
                      <w:szCs w:val="21"/>
                      <w:lang w:val="en-US" w:eastAsia="zh-CN"/>
                    </w:rPr>
                    <w:t>（</w:t>
                  </w:r>
                  <w:r>
                    <w:rPr>
                      <w:rFonts w:hint="eastAsia" w:cs="Times New Roman"/>
                      <w:color w:val="auto"/>
                      <w:szCs w:val="21"/>
                      <w:lang w:val="en-US" w:eastAsia="zh-CN"/>
                    </w:rPr>
                    <w:t>天然气</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rPr>
                    <w:t>液态原料库</w:t>
                  </w:r>
                  <w:r>
                    <w:rPr>
                      <w:rFonts w:hint="eastAsia" w:ascii="Times New Roman" w:hAnsi="Times New Roman" w:cs="Times New Roman"/>
                      <w:color w:val="auto"/>
                      <w:szCs w:val="21"/>
                      <w:lang w:eastAsia="zh-CN"/>
                    </w:rPr>
                    <w:t>（</w:t>
                  </w:r>
                  <w:r>
                    <w:rPr>
                      <w:rFonts w:hint="eastAsia" w:cs="Times New Roman"/>
                      <w:color w:val="auto"/>
                      <w:szCs w:val="21"/>
                      <w:lang w:val="en-US" w:eastAsia="zh-CN"/>
                    </w:rPr>
                    <w:t>切削液、润滑油、防锈乳化油</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rPr>
                    <w:t>、</w:t>
                  </w:r>
                  <w:r>
                    <w:rPr>
                      <w:rFonts w:hint="default" w:ascii="Times New Roman" w:hAnsi="Times New Roman" w:cs="Times New Roman"/>
                      <w:color w:val="auto"/>
                      <w:szCs w:val="21"/>
                    </w:rPr>
                    <w:t>危废仓库</w:t>
                  </w:r>
                  <w:r>
                    <w:rPr>
                      <w:rFonts w:hint="eastAsia" w:ascii="Times New Roman" w:hAnsi="Times New Roman" w:cs="Times New Roman"/>
                      <w:color w:val="auto"/>
                      <w:szCs w:val="21"/>
                      <w:lang w:eastAsia="zh-CN"/>
                    </w:rPr>
                    <w:t>（</w:t>
                  </w:r>
                  <w:r>
                    <w:rPr>
                      <w:rFonts w:hint="eastAsia" w:cs="Times New Roman"/>
                      <w:color w:val="auto"/>
                      <w:szCs w:val="21"/>
                      <w:lang w:val="en-US" w:eastAsia="zh-CN"/>
                    </w:rPr>
                    <w:t>废切削液、废乳化油、废润滑油</w:t>
                  </w:r>
                  <w:r>
                    <w:rPr>
                      <w:rFonts w:hint="eastAsia" w:ascii="Times New Roman" w:hAnsi="Times New Roman" w:cs="Times New Roman"/>
                      <w:color w:val="auto"/>
                      <w:szCs w:val="21"/>
                      <w:lang w:eastAsia="zh-CN"/>
                    </w:rPr>
                    <w:t>）</w:t>
                  </w:r>
                </w:p>
              </w:tc>
            </w:tr>
            <w:tr w14:paraId="6BACB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9" w:hRule="atLeast"/>
                <w:jc w:val="center"/>
              </w:trPr>
              <w:tc>
                <w:tcPr>
                  <w:tcW w:w="956" w:type="pct"/>
                  <w:noWrap w:val="0"/>
                  <w:vAlign w:val="center"/>
                </w:tcPr>
                <w:p w14:paraId="33046A4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环境影响途径及危害后果</w:t>
                  </w:r>
                </w:p>
              </w:tc>
              <w:tc>
                <w:tcPr>
                  <w:tcW w:w="4043" w:type="pct"/>
                  <w:gridSpan w:val="5"/>
                  <w:noWrap w:val="0"/>
                  <w:vAlign w:val="center"/>
                </w:tcPr>
                <w:p w14:paraId="6C5EB9F6">
                  <w:pPr>
                    <w:keepNext w:val="0"/>
                    <w:keepLines w:val="0"/>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（1）若项目在原料区、生产区、危废暂存场存储的</w:t>
                  </w:r>
                  <w:r>
                    <w:rPr>
                      <w:rFonts w:hint="eastAsia" w:cs="Times New Roman"/>
                      <w:color w:val="auto"/>
                      <w:szCs w:val="21"/>
                      <w:lang w:val="en-US" w:eastAsia="zh-CN"/>
                    </w:rPr>
                    <w:t>切削液、润滑油等</w:t>
                  </w:r>
                  <w:r>
                    <w:rPr>
                      <w:rFonts w:hint="eastAsia" w:ascii="Times New Roman" w:hAnsi="Times New Roman" w:cs="Times New Roman"/>
                      <w:color w:val="auto"/>
                      <w:szCs w:val="21"/>
                    </w:rPr>
                    <w:t>、危险废物发生泄漏，液体进入雨水管网向外环境扩散，泄漏的危险物质扩散进水中，通过雨水管网进入附近水体，危险物质在下渗过程中会污染地下水，进而流入周围的河流，造成整个周围地区水环境的污染。</w:t>
                  </w:r>
                </w:p>
                <w:p w14:paraId="67106255">
                  <w:pPr>
                    <w:keepNext w:val="0"/>
                    <w:keepLines w:val="0"/>
                    <w:suppressLineNumbers w:val="0"/>
                    <w:autoSpaceDE w:val="0"/>
                    <w:autoSpaceDN w:val="0"/>
                    <w:adjustRightInd w:val="0"/>
                    <w:spacing w:before="0" w:beforeAutospacing="0" w:after="0" w:afterAutospacing="0" w:line="240" w:lineRule="auto"/>
                    <w:ind w:left="0" w:right="0"/>
                    <w:jc w:val="both"/>
                    <w:rPr>
                      <w:rFonts w:hint="eastAsia"/>
                      <w:color w:val="auto"/>
                      <w:sz w:val="21"/>
                      <w:szCs w:val="21"/>
                    </w:rPr>
                  </w:pPr>
                  <w:r>
                    <w:rPr>
                      <w:rFonts w:hint="eastAsia" w:ascii="Times New Roman" w:hAnsi="Times New Roman" w:cs="Times New Roman"/>
                      <w:color w:val="auto"/>
                      <w:szCs w:val="21"/>
                    </w:rPr>
                    <w:t>（</w:t>
                  </w:r>
                  <w:r>
                    <w:rPr>
                      <w:rFonts w:hint="eastAsia" w:ascii="Times New Roman" w:hAnsi="Times New Roman" w:cs="Times New Roman"/>
                      <w:color w:val="auto"/>
                      <w:szCs w:val="21"/>
                      <w:lang w:val="en-US" w:eastAsia="zh-CN"/>
                    </w:rPr>
                    <w:t>2</w:t>
                  </w:r>
                  <w:r>
                    <w:rPr>
                      <w:rFonts w:hint="eastAsia" w:ascii="Times New Roman" w:hAnsi="Times New Roman" w:cs="Times New Roman"/>
                      <w:color w:val="auto"/>
                      <w:szCs w:val="21"/>
                    </w:rPr>
                    <w:t>）</w:t>
                  </w:r>
                  <w:r>
                    <w:rPr>
                      <w:rFonts w:hint="eastAsia"/>
                      <w:color w:val="auto"/>
                      <w:sz w:val="21"/>
                      <w:szCs w:val="21"/>
                    </w:rPr>
                    <w:t>项目采用天然气燃烧机对</w:t>
                  </w:r>
                  <w:r>
                    <w:rPr>
                      <w:rFonts w:hint="eastAsia"/>
                      <w:color w:val="auto"/>
                      <w:sz w:val="21"/>
                      <w:szCs w:val="21"/>
                      <w:lang w:val="en-US" w:eastAsia="zh-CN"/>
                    </w:rPr>
                    <w:t>加热炉</w:t>
                  </w:r>
                  <w:r>
                    <w:rPr>
                      <w:rFonts w:hint="eastAsia"/>
                      <w:color w:val="auto"/>
                      <w:sz w:val="21"/>
                      <w:szCs w:val="21"/>
                    </w:rPr>
                    <w:t>进行加热。若天然气输送管道发生泄漏，遇明火或高热可能造成火灾，进而形成爆炸事故；火灾事故产生的热辐射、浓烟及有毒气体对周边环境产生影响，同时带来次生/伴生危害；爆炸事故形成的爆炸震荡、冲击波及冲击碎片对周围环境造成严重破坏。</w:t>
                  </w:r>
                </w:p>
                <w:p w14:paraId="42084C11">
                  <w:pPr>
                    <w:keepNext w:val="0"/>
                    <w:keepLines w:val="0"/>
                    <w:suppressLineNumbers w:val="0"/>
                    <w:autoSpaceDE w:val="0"/>
                    <w:autoSpaceDN w:val="0"/>
                    <w:adjustRightInd w:val="0"/>
                    <w:spacing w:before="0" w:beforeAutospacing="0" w:after="0" w:afterAutospacing="0"/>
                    <w:ind w:left="0" w:right="0"/>
                    <w:jc w:val="left"/>
                    <w:rPr>
                      <w:rFonts w:hint="eastAsia" w:eastAsia="宋体"/>
                      <w:color w:val="auto"/>
                      <w:lang w:val="en-US" w:eastAsia="zh-CN"/>
                    </w:rPr>
                  </w:pPr>
                  <w:r>
                    <w:rPr>
                      <w:rFonts w:hint="eastAsia" w:cs="Times New Roman"/>
                      <w:color w:val="auto"/>
                      <w:szCs w:val="21"/>
                      <w:lang w:eastAsia="zh-CN"/>
                    </w:rPr>
                    <w:t>（</w:t>
                  </w:r>
                  <w:r>
                    <w:rPr>
                      <w:rFonts w:hint="eastAsia" w:cs="Times New Roman"/>
                      <w:color w:val="auto"/>
                      <w:szCs w:val="21"/>
                      <w:lang w:val="en-US" w:eastAsia="zh-CN"/>
                    </w:rPr>
                    <w:t>3</w:t>
                  </w:r>
                  <w:r>
                    <w:rPr>
                      <w:rFonts w:hint="eastAsia" w:cs="Times New Roman"/>
                      <w:color w:val="auto"/>
                      <w:szCs w:val="21"/>
                      <w:lang w:eastAsia="zh-CN"/>
                    </w:rPr>
                    <w:t>）</w:t>
                  </w:r>
                  <w:r>
                    <w:rPr>
                      <w:rFonts w:hint="eastAsia" w:ascii="Times New Roman" w:hAnsi="Times New Roman" w:cs="Times New Roman"/>
                      <w:color w:val="auto"/>
                      <w:szCs w:val="21"/>
                    </w:rPr>
                    <w:t>废气处理设施若发生故障，废气未经处理直接排放至大气，对周围大气环境造成污染。</w:t>
                  </w:r>
                </w:p>
              </w:tc>
            </w:tr>
            <w:tr w14:paraId="6E6F1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6" w:type="pct"/>
                  <w:noWrap w:val="0"/>
                  <w:vAlign w:val="center"/>
                </w:tcPr>
                <w:p w14:paraId="48FA9F5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风险防范措施</w:t>
                  </w:r>
                </w:p>
              </w:tc>
              <w:tc>
                <w:tcPr>
                  <w:tcW w:w="4043" w:type="pct"/>
                  <w:gridSpan w:val="5"/>
                  <w:noWrap w:val="0"/>
                  <w:vAlign w:val="center"/>
                </w:tcPr>
                <w:p w14:paraId="712FAE4C">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（1）原料仓库地面做好防腐防渗，危废库房按要求设置，并配备应急物资，配套相应截流措施及收集装置；</w:t>
                  </w:r>
                </w:p>
                <w:p w14:paraId="30613EF8">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2）车间内设置应急桶、消防砂、吸附毡等，若发生小量泄漏时，及时采用吸附毡、吸附剂进行应急处理；若发生大量泄漏，及时将破损桶内的物料转移至应急桶内，产生的伴生/次生污染物委托有资质单位集中处置，可防止泄漏物直接排入外环境，进而进入周边地表水环境。</w:t>
                  </w:r>
                </w:p>
                <w:p w14:paraId="549EE269">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（3）设专人负责定期巡查废气处理装置，一旦出现故障，需停产直至废气处理装置整修完毕并重新启动。</w:t>
                  </w:r>
                </w:p>
                <w:p w14:paraId="469A2B47">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（4）生产区、贮存区（液态原料库、危废库）附近严禁明火，且需设置干粉灭火器、消防砂；厂内采用电话报警，专人负责。</w:t>
                  </w:r>
                </w:p>
                <w:p w14:paraId="2F652B48">
                  <w:pPr>
                    <w:keepNext w:val="0"/>
                    <w:keepLines w:val="0"/>
                    <w:widowControl/>
                    <w:suppressLineNumbers w:val="0"/>
                    <w:autoSpaceDE w:val="0"/>
                    <w:autoSpaceDN w:val="0"/>
                    <w:adjustRightInd w:val="0"/>
                    <w:spacing w:before="0" w:beforeAutospacing="0" w:after="0" w:afterAutospacing="0"/>
                    <w:ind w:left="0" w:right="0"/>
                    <w:jc w:val="left"/>
                    <w:rPr>
                      <w:rFonts w:hint="eastAsia" w:eastAsia="宋体"/>
                      <w:color w:val="auto"/>
                      <w:lang w:eastAsia="zh-CN"/>
                    </w:rPr>
                  </w:pPr>
                  <w:r>
                    <w:rPr>
                      <w:rFonts w:hint="eastAsia" w:ascii="Times New Roman" w:hAnsi="Times New Roman" w:cs="Times New Roman"/>
                      <w:color w:val="auto"/>
                      <w:szCs w:val="21"/>
                    </w:rPr>
                    <w:t>（5）定期检查原料库、危废库的暂存情况，定期检查厂内各风险防范措施的完善情况，建立健全应急防范机制。</w:t>
                  </w:r>
                </w:p>
              </w:tc>
            </w:tr>
            <w:tr w14:paraId="3E612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45A593BF">
                  <w:pPr>
                    <w:keepNext w:val="0"/>
                    <w:keepLines w:val="0"/>
                    <w:suppressLineNumbers w:val="0"/>
                    <w:autoSpaceDE w:val="0"/>
                    <w:autoSpaceDN w:val="0"/>
                    <w:adjustRightIn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填表说明（列出本项目相关信息及评价说明）：</w:t>
                  </w:r>
                  <w:r>
                    <w:rPr>
                      <w:rFonts w:hint="eastAsia" w:ascii="Times New Roman" w:hAnsi="Times New Roman" w:cs="Times New Roman"/>
                      <w:color w:val="auto"/>
                      <w:szCs w:val="21"/>
                    </w:rPr>
                    <w:t>本项目Q&lt;1，环境风险势能直接判断为I等级。</w:t>
                  </w:r>
                </w:p>
              </w:tc>
            </w:tr>
          </w:tbl>
          <w:p w14:paraId="2564AF9F">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cs="Times New Roman"/>
                <w:b/>
                <w:bCs/>
                <w:color w:val="auto"/>
                <w:kern w:val="0"/>
                <w:sz w:val="24"/>
                <w:highlight w:val="none"/>
              </w:rPr>
            </w:pPr>
            <w:r>
              <w:rPr>
                <w:rFonts w:hint="eastAsia" w:ascii="Times New Roman" w:hAnsi="Times New Roman" w:cs="Times New Roman"/>
                <w:b/>
                <w:bCs/>
                <w:color w:val="auto"/>
                <w:kern w:val="0"/>
                <w:sz w:val="24"/>
                <w:highlight w:val="none"/>
                <w:lang w:val="en-US" w:eastAsia="zh-CN"/>
              </w:rPr>
              <w:t>六</w:t>
            </w:r>
            <w:r>
              <w:rPr>
                <w:rFonts w:hint="default" w:ascii="Times New Roman" w:hAnsi="Times New Roman" w:cs="Times New Roman"/>
                <w:b/>
                <w:bCs/>
                <w:color w:val="auto"/>
                <w:kern w:val="0"/>
                <w:sz w:val="24"/>
                <w:highlight w:val="none"/>
              </w:rPr>
              <w:t>、土壤和地下水</w:t>
            </w:r>
          </w:p>
          <w:p w14:paraId="342210AB">
            <w:pPr>
              <w:keepNext w:val="0"/>
              <w:keepLines w:val="0"/>
              <w:widowControl/>
              <w:suppressLineNumbers w:val="0"/>
              <w:spacing w:before="0" w:beforeAutospacing="0" w:after="0" w:afterAutospacing="0" w:line="480" w:lineRule="exact"/>
              <w:ind w:left="0" w:right="0" w:firstLine="482" w:firstLineChars="200"/>
              <w:jc w:val="left"/>
              <w:rPr>
                <w:rFonts w:hint="default" w:ascii="Times New Roman" w:hAnsi="Times New Roman" w:cs="Times New Roman"/>
                <w:b/>
                <w:color w:val="auto"/>
                <w:sz w:val="24"/>
                <w:lang w:bidi="ar"/>
              </w:rPr>
            </w:pPr>
            <w:r>
              <w:rPr>
                <w:rFonts w:hint="default" w:ascii="Times New Roman" w:hAnsi="Times New Roman" w:cs="Times New Roman"/>
                <w:b/>
                <w:color w:val="auto"/>
                <w:sz w:val="24"/>
                <w:lang w:bidi="ar"/>
              </w:rPr>
              <w:t>（一）污染途径</w:t>
            </w:r>
          </w:p>
          <w:p w14:paraId="4089CF11">
            <w:pPr>
              <w:keepNext w:val="0"/>
              <w:keepLines w:val="0"/>
              <w:widowControl/>
              <w:suppressLineNumbers w:val="0"/>
              <w:spacing w:before="0" w:beforeAutospacing="0" w:after="0" w:afterAutospacing="0" w:line="480" w:lineRule="exact"/>
              <w:ind w:left="0" w:right="0" w:firstLine="480" w:firstLineChars="200"/>
              <w:jc w:val="left"/>
              <w:rPr>
                <w:rFonts w:hint="eastAsia" w:ascii="Times New Roman" w:hAnsi="Times New Roman" w:cs="Times New Roman"/>
                <w:color w:val="auto"/>
                <w:sz w:val="24"/>
                <w:lang w:bidi="ar"/>
              </w:rPr>
            </w:pPr>
            <w:r>
              <w:rPr>
                <w:rFonts w:hint="default" w:ascii="Times New Roman" w:hAnsi="Times New Roman" w:cs="Times New Roman"/>
                <w:color w:val="auto"/>
                <w:sz w:val="24"/>
                <w:lang w:bidi="ar"/>
              </w:rPr>
              <w:t>本项目对地下水及土壤的影响类型和途径见表4.</w:t>
            </w:r>
            <w:r>
              <w:rPr>
                <w:rFonts w:hint="eastAsia" w:ascii="Times New Roman" w:hAnsi="Times New Roman" w:cs="Times New Roman"/>
                <w:color w:val="auto"/>
                <w:sz w:val="24"/>
                <w:lang w:val="en-US" w:eastAsia="zh-CN" w:bidi="ar"/>
              </w:rPr>
              <w:t>6</w:t>
            </w:r>
            <w:r>
              <w:rPr>
                <w:rFonts w:hint="default" w:ascii="Times New Roman" w:hAnsi="Times New Roman" w:cs="Times New Roman"/>
                <w:color w:val="auto"/>
                <w:sz w:val="24"/>
                <w:lang w:bidi="ar"/>
              </w:rPr>
              <w:t>-1。</w:t>
            </w:r>
          </w:p>
          <w:p w14:paraId="70ACC2D1">
            <w:pPr>
              <w:keepNext w:val="0"/>
              <w:keepLines w:val="0"/>
              <w:suppressLineNumbers w:val="0"/>
              <w:spacing w:before="0" w:beforeAutospacing="0" w:after="0" w:afterAutospacing="0" w:line="480" w:lineRule="exact"/>
              <w:ind w:left="0" w:right="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4.</w:t>
            </w:r>
            <w:r>
              <w:rPr>
                <w:rFonts w:hint="eastAsia" w:ascii="Times New Roman" w:hAnsi="Times New Roman" w:cs="Times New Roman"/>
                <w:b/>
                <w:color w:val="auto"/>
                <w:kern w:val="0"/>
                <w:sz w:val="24"/>
                <w:lang w:val="en-US" w:eastAsia="zh-CN"/>
              </w:rPr>
              <w:t>6</w:t>
            </w:r>
            <w:r>
              <w:rPr>
                <w:rFonts w:hint="default" w:ascii="Times New Roman" w:hAnsi="Times New Roman" w:cs="Times New Roman"/>
                <w:b/>
                <w:color w:val="auto"/>
                <w:kern w:val="0"/>
                <w:sz w:val="24"/>
              </w:rPr>
              <w:t>-1  建设项目地下水及土壤环境影响类型与影响途径表</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2285"/>
              <w:gridCol w:w="2287"/>
              <w:gridCol w:w="2289"/>
            </w:tblGrid>
            <w:tr w14:paraId="5F5AF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Merge w:val="restart"/>
                  <w:noWrap w:val="0"/>
                  <w:vAlign w:val="center"/>
                </w:tcPr>
                <w:p w14:paraId="128A5CC4">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不同时段</w:t>
                  </w:r>
                </w:p>
              </w:tc>
              <w:tc>
                <w:tcPr>
                  <w:tcW w:w="4047" w:type="pct"/>
                  <w:gridSpan w:val="3"/>
                  <w:noWrap w:val="0"/>
                  <w:vAlign w:val="center"/>
                </w:tcPr>
                <w:p w14:paraId="47AAEF5E">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污染影响型</w:t>
                  </w:r>
                </w:p>
              </w:tc>
            </w:tr>
            <w:tr w14:paraId="447E1C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vMerge w:val="continue"/>
                  <w:noWrap w:val="0"/>
                  <w:vAlign w:val="center"/>
                </w:tcPr>
                <w:p w14:paraId="0E7B3612">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p>
              </w:tc>
              <w:tc>
                <w:tcPr>
                  <w:tcW w:w="1348" w:type="pct"/>
                  <w:noWrap w:val="0"/>
                  <w:vAlign w:val="center"/>
                </w:tcPr>
                <w:p w14:paraId="1497C88E">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大气沉降</w:t>
                  </w:r>
                </w:p>
              </w:tc>
              <w:tc>
                <w:tcPr>
                  <w:tcW w:w="1349" w:type="pct"/>
                  <w:noWrap w:val="0"/>
                  <w:vAlign w:val="center"/>
                </w:tcPr>
                <w:p w14:paraId="46AA1028">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地面漫流</w:t>
                  </w:r>
                </w:p>
              </w:tc>
              <w:tc>
                <w:tcPr>
                  <w:tcW w:w="1349" w:type="pct"/>
                  <w:noWrap w:val="0"/>
                  <w:vAlign w:val="center"/>
                </w:tcPr>
                <w:p w14:paraId="77FB5A66">
                  <w:pPr>
                    <w:keepNext w:val="0"/>
                    <w:keepLines w:val="0"/>
                    <w:suppressLineNumbers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垂直入渗</w:t>
                  </w:r>
                </w:p>
              </w:tc>
            </w:tr>
            <w:tr w14:paraId="77FE9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noWrap w:val="0"/>
                  <w:vAlign w:val="center"/>
                </w:tcPr>
                <w:p w14:paraId="358E0523">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建设期</w:t>
                  </w:r>
                </w:p>
              </w:tc>
              <w:tc>
                <w:tcPr>
                  <w:tcW w:w="1348" w:type="pct"/>
                  <w:noWrap w:val="0"/>
                  <w:vAlign w:val="center"/>
                </w:tcPr>
                <w:p w14:paraId="60EC762E">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349" w:type="pct"/>
                  <w:noWrap w:val="0"/>
                  <w:vAlign w:val="center"/>
                </w:tcPr>
                <w:p w14:paraId="5606BE46">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349" w:type="pct"/>
                  <w:noWrap w:val="0"/>
                  <w:vAlign w:val="center"/>
                </w:tcPr>
                <w:p w14:paraId="3843DA89">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14:paraId="59786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noWrap w:val="0"/>
                  <w:vAlign w:val="center"/>
                </w:tcPr>
                <w:p w14:paraId="72481BCD">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运营期</w:t>
                  </w:r>
                </w:p>
              </w:tc>
              <w:tc>
                <w:tcPr>
                  <w:tcW w:w="1348" w:type="pct"/>
                  <w:noWrap w:val="0"/>
                  <w:vAlign w:val="center"/>
                </w:tcPr>
                <w:p w14:paraId="27451D46">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349" w:type="pct"/>
                  <w:noWrap w:val="0"/>
                  <w:vAlign w:val="center"/>
                </w:tcPr>
                <w:p w14:paraId="50A5980A">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349" w:type="pct"/>
                  <w:noWrap w:val="0"/>
                  <w:vAlign w:val="center"/>
                </w:tcPr>
                <w:p w14:paraId="6092FD55">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r>
            <w:tr w14:paraId="0A4D4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2" w:type="pct"/>
                  <w:noWrap w:val="0"/>
                  <w:vAlign w:val="center"/>
                </w:tcPr>
                <w:p w14:paraId="66937629">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服务期满后</w:t>
                  </w:r>
                </w:p>
              </w:tc>
              <w:tc>
                <w:tcPr>
                  <w:tcW w:w="1348" w:type="pct"/>
                  <w:noWrap w:val="0"/>
                  <w:vAlign w:val="center"/>
                </w:tcPr>
                <w:p w14:paraId="54EF1263">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349" w:type="pct"/>
                  <w:noWrap w:val="0"/>
                  <w:vAlign w:val="center"/>
                </w:tcPr>
                <w:p w14:paraId="54DE7FFE">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w:t>
                  </w:r>
                </w:p>
              </w:tc>
              <w:tc>
                <w:tcPr>
                  <w:tcW w:w="1349" w:type="pct"/>
                  <w:noWrap w:val="0"/>
                  <w:vAlign w:val="center"/>
                </w:tcPr>
                <w:p w14:paraId="2667014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Cs/>
                      <w:color w:val="auto"/>
                      <w:szCs w:val="21"/>
                    </w:rPr>
                    <w:t>—</w:t>
                  </w:r>
                </w:p>
              </w:tc>
            </w:tr>
          </w:tbl>
          <w:p w14:paraId="397DC24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液态原料库、</w:t>
            </w:r>
            <w:r>
              <w:rPr>
                <w:rFonts w:hint="default" w:ascii="Times New Roman" w:hAnsi="Times New Roman" w:eastAsia="宋体" w:cs="Times New Roman"/>
                <w:color w:val="auto"/>
                <w:sz w:val="24"/>
                <w:szCs w:val="24"/>
                <w:lang w:eastAsia="zh-CN"/>
              </w:rPr>
              <w:t>危废贮存过程中发生泄漏时</w:t>
            </w:r>
            <w:r>
              <w:rPr>
                <w:rFonts w:hint="default" w:ascii="Times New Roman" w:hAnsi="Times New Roman" w:eastAsia="宋体" w:cs="Times New Roman"/>
                <w:color w:val="auto"/>
                <w:sz w:val="24"/>
                <w:szCs w:val="24"/>
                <w:lang w:val="en-US" w:eastAsia="zh-CN"/>
              </w:rPr>
              <w:t>，污染物渗入土壤甚至地下水中造成一定影响。</w:t>
            </w:r>
          </w:p>
          <w:p w14:paraId="19F5DE71">
            <w:pPr>
              <w:keepNext w:val="0"/>
              <w:keepLines w:val="0"/>
              <w:widowControl/>
              <w:suppressLineNumbers w:val="0"/>
              <w:spacing w:before="0" w:beforeAutospacing="0" w:after="0" w:afterAutospacing="0" w:line="480" w:lineRule="exact"/>
              <w:ind w:left="0" w:right="0" w:firstLine="482" w:firstLineChars="200"/>
              <w:jc w:val="left"/>
              <w:rPr>
                <w:rFonts w:hint="default" w:ascii="Times New Roman" w:hAnsi="Times New Roman" w:cs="Times New Roman"/>
                <w:b/>
                <w:color w:val="auto"/>
                <w:sz w:val="24"/>
                <w:lang w:bidi="ar"/>
              </w:rPr>
            </w:pPr>
            <w:r>
              <w:rPr>
                <w:rFonts w:hint="eastAsia" w:ascii="Times New Roman" w:hAnsi="Times New Roman" w:cs="Times New Roman"/>
                <w:b/>
                <w:color w:val="auto"/>
                <w:sz w:val="24"/>
                <w:lang w:bidi="ar"/>
              </w:rPr>
              <w:t>（二）</w:t>
            </w:r>
            <w:r>
              <w:rPr>
                <w:rFonts w:hint="default" w:ascii="Times New Roman" w:hAnsi="Times New Roman" w:cs="Times New Roman"/>
                <w:b/>
                <w:color w:val="auto"/>
                <w:sz w:val="24"/>
                <w:lang w:bidi="ar"/>
              </w:rPr>
              <w:t>污染控制措施</w:t>
            </w:r>
          </w:p>
          <w:p w14:paraId="0BBA61D9">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1、源头控制措施</w:t>
            </w:r>
          </w:p>
          <w:p w14:paraId="7074C727">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7FC35EB4">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322006F3">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2、过程控制措施</w:t>
            </w:r>
          </w:p>
          <w:p w14:paraId="0632359C">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从大气沉降、地面漫流、垂直入渗三个途径分别进行控制。</w:t>
            </w:r>
          </w:p>
          <w:p w14:paraId="509F2A65">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（1）大气沉降污染途径治理措施及效果</w:t>
            </w:r>
          </w:p>
          <w:p w14:paraId="41B27B29">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宋体" w:cs="Times New Roman"/>
                <w:color w:val="auto"/>
                <w:sz w:val="24"/>
              </w:rPr>
            </w:pPr>
            <w:r>
              <w:rPr>
                <w:rFonts w:hint="default" w:ascii="Times New Roman" w:hAnsi="Times New Roman" w:cs="Times New Roman"/>
                <w:color w:val="auto"/>
                <w:sz w:val="24"/>
                <w:lang w:bidi="ar"/>
              </w:rPr>
              <w:t>本项目针对各类废气污染物均采取了对应的治理措施，确保污染物达标排放</w:t>
            </w:r>
            <w:r>
              <w:rPr>
                <w:rFonts w:hint="eastAsia" w:ascii="Times New Roman" w:hAnsi="Times New Roman" w:cs="Times New Roman"/>
                <w:color w:val="auto"/>
                <w:sz w:val="24"/>
                <w:lang w:bidi="ar"/>
              </w:rPr>
              <w:t>。</w:t>
            </w:r>
            <w:r>
              <w:rPr>
                <w:rFonts w:hint="eastAsia" w:ascii="Times New Roman" w:hAnsi="宋体" w:cs="Times New Roman"/>
                <w:color w:val="auto"/>
                <w:sz w:val="24"/>
              </w:rPr>
              <w:t>厂内废气排放能达到</w:t>
            </w:r>
            <w:r>
              <w:rPr>
                <w:rFonts w:hint="eastAsia" w:ascii="Times New Roman" w:hAnsi="Times New Roman" w:cs="Times New Roman"/>
                <w:bCs/>
                <w:color w:val="auto"/>
                <w:sz w:val="24"/>
                <w:szCs w:val="24"/>
                <w:highlight w:val="none"/>
                <w:lang w:val="en-US" w:eastAsia="zh-CN"/>
              </w:rPr>
              <w:t>《铸造工业大气污染物排放标准》（GB39726-2020）</w:t>
            </w:r>
            <w:r>
              <w:rPr>
                <w:rFonts w:hint="eastAsia" w:ascii="Times New Roman" w:hAnsi="Times New Roman" w:cs="Times New Roman"/>
                <w:color w:val="auto"/>
                <w:sz w:val="24"/>
                <w:szCs w:val="24"/>
                <w:lang w:eastAsia="zh-CN"/>
              </w:rPr>
              <w:t>、</w:t>
            </w:r>
            <w:r>
              <w:rPr>
                <w:rFonts w:hint="eastAsia" w:ascii="Times New Roman" w:hAnsi="Times New Roman" w:cs="Times New Roman"/>
                <w:bCs/>
                <w:color w:val="auto"/>
                <w:sz w:val="24"/>
              </w:rPr>
              <w:t>《大气污染物综合排放标准》（DB32/4041-2021）</w:t>
            </w:r>
            <w:r>
              <w:rPr>
                <w:rFonts w:hint="default" w:ascii="Times New Roman" w:hAnsi="Times New Roman" w:cs="Times New Roman"/>
                <w:bCs/>
                <w:color w:val="auto"/>
                <w:sz w:val="24"/>
              </w:rPr>
              <w:t>排放限值</w:t>
            </w:r>
            <w:r>
              <w:rPr>
                <w:rFonts w:hint="default" w:ascii="Times New Roman" w:hAnsi="Times New Roman" w:cs="Times New Roman"/>
                <w:color w:val="auto"/>
                <w:sz w:val="24"/>
                <w:lang w:bidi="ar"/>
              </w:rPr>
              <w:t>。</w:t>
            </w:r>
          </w:p>
          <w:p w14:paraId="30993289">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（2）地面漫流污染途径治理措施及效果</w:t>
            </w:r>
          </w:p>
          <w:p w14:paraId="0311FB60">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涉及地面漫流途径须设置防控、地面硬化等措施。</w:t>
            </w:r>
          </w:p>
          <w:p w14:paraId="3494B805">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对于项目事故状态的废水，必须保证在未经处理满足要求的前提下不得流出厂界。项目须贯彻</w:t>
            </w:r>
            <w:r>
              <w:rPr>
                <w:rFonts w:hint="eastAsia" w:ascii="Times New Roman" w:hAnsi="Times New Roman" w:cs="Times New Roman"/>
                <w:color w:val="auto"/>
                <w:sz w:val="24"/>
                <w:lang w:bidi="ar"/>
              </w:rPr>
              <w:t>“</w:t>
            </w:r>
            <w:r>
              <w:rPr>
                <w:rFonts w:hint="default" w:ascii="Times New Roman" w:hAnsi="Times New Roman" w:cs="Times New Roman"/>
                <w:color w:val="auto"/>
                <w:sz w:val="24"/>
                <w:lang w:bidi="ar"/>
              </w:rPr>
              <w:t>围、追、堵、截</w:t>
            </w:r>
            <w:r>
              <w:rPr>
                <w:rFonts w:hint="eastAsia" w:ascii="Times New Roman" w:hAnsi="Times New Roman" w:cs="Times New Roman"/>
                <w:color w:val="auto"/>
                <w:sz w:val="24"/>
                <w:lang w:bidi="ar"/>
              </w:rPr>
              <w:t>”</w:t>
            </w:r>
            <w:r>
              <w:rPr>
                <w:rFonts w:hint="default" w:ascii="Times New Roman" w:hAnsi="Times New Roman" w:cs="Times New Roman"/>
                <w:color w:val="auto"/>
                <w:sz w:val="24"/>
                <w:lang w:bidi="ar"/>
              </w:rPr>
              <w:t>的原则，采取多级防护措施，确保事故废水未经处理不得出厂界。</w:t>
            </w:r>
          </w:p>
          <w:p w14:paraId="3238D87F">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（3）垂直入渗污染途径治理措施及效果</w:t>
            </w:r>
          </w:p>
          <w:p w14:paraId="540E259B">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lang w:bidi="ar"/>
              </w:rPr>
            </w:pPr>
            <w:r>
              <w:rPr>
                <w:rFonts w:hint="default" w:ascii="Times New Roman" w:hAnsi="Times New Roman" w:cs="Times New Roman"/>
                <w:color w:val="auto"/>
                <w:sz w:val="24"/>
                <w:lang w:bidi="ar"/>
              </w:rPr>
              <w:t>项目按重点污染</w:t>
            </w:r>
            <w:r>
              <w:rPr>
                <w:rFonts w:hint="eastAsia" w:cs="Times New Roman"/>
                <w:color w:val="auto"/>
                <w:sz w:val="24"/>
                <w:lang w:val="en-US" w:eastAsia="zh-CN" w:bidi="ar"/>
              </w:rPr>
              <w:t>防渗区</w:t>
            </w:r>
            <w:r>
              <w:rPr>
                <w:rFonts w:hint="default" w:ascii="Times New Roman" w:hAnsi="Times New Roman" w:cs="Times New Roman"/>
                <w:color w:val="auto"/>
                <w:sz w:val="24"/>
                <w:lang w:bidi="ar"/>
              </w:rPr>
              <w:t>、一般污染防</w:t>
            </w:r>
            <w:r>
              <w:rPr>
                <w:rFonts w:hint="eastAsia" w:cs="Times New Roman"/>
                <w:color w:val="auto"/>
                <w:sz w:val="24"/>
                <w:lang w:val="en-US" w:eastAsia="zh-CN" w:bidi="ar"/>
              </w:rPr>
              <w:t>渗</w:t>
            </w:r>
            <w:r>
              <w:rPr>
                <w:rFonts w:hint="default" w:ascii="Times New Roman" w:hAnsi="Times New Roman" w:cs="Times New Roman"/>
                <w:color w:val="auto"/>
                <w:sz w:val="24"/>
                <w:lang w:bidi="ar"/>
              </w:rPr>
              <w:t>区、简单防渗区分别采取不同等级的防渗措施，防渗层尽量在地表铺设，防渗材料拟选取环氧树脂和水泥基渗透结晶型防渗材料，按照污染防治分区采取不同的设计方案。其中：</w:t>
            </w:r>
          </w:p>
          <w:p w14:paraId="1DEFBFFE">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重点防渗区——</w:t>
            </w:r>
            <w:r>
              <w:rPr>
                <w:rFonts w:hint="eastAsia" w:ascii="Times New Roman" w:hAnsi="Times New Roman" w:cs="Times New Roman"/>
                <w:color w:val="auto"/>
                <w:sz w:val="24"/>
              </w:rPr>
              <w:t>危废仓库、液态原料库</w:t>
            </w:r>
            <w:r>
              <w:rPr>
                <w:rFonts w:hint="default" w:ascii="Times New Roman" w:hAnsi="Times New Roman" w:cs="Times New Roman"/>
                <w:color w:val="auto"/>
                <w:sz w:val="24"/>
                <w:szCs w:val="24"/>
                <w:lang w:bidi="ar"/>
              </w:rPr>
              <w:t>应选用人工防渗材料，防渗技术要求为等效黏土防渗层Mb≥6.0m，渗透系数K≤10</w:t>
            </w:r>
            <w:r>
              <w:rPr>
                <w:rFonts w:hint="default" w:ascii="Times New Roman" w:hAnsi="Times New Roman" w:cs="Times New Roman"/>
                <w:color w:val="auto"/>
                <w:sz w:val="24"/>
                <w:szCs w:val="24"/>
                <w:vertAlign w:val="superscript"/>
                <w:lang w:bidi="ar"/>
              </w:rPr>
              <w:t>-7</w:t>
            </w:r>
            <w:r>
              <w:rPr>
                <w:rFonts w:hint="default" w:ascii="Times New Roman" w:hAnsi="Times New Roman" w:cs="Times New Roman"/>
                <w:color w:val="auto"/>
                <w:sz w:val="24"/>
                <w:szCs w:val="24"/>
                <w:lang w:bidi="ar"/>
              </w:rPr>
              <w:t>cm/s。另外，重点防渗区还应满足《危险废物贮存污染控制标准》（GB18597-20</w:t>
            </w:r>
            <w:r>
              <w:rPr>
                <w:rFonts w:hint="eastAsia" w:ascii="Times New Roman" w:hAnsi="Times New Roman" w:cs="Times New Roman"/>
                <w:color w:val="auto"/>
                <w:sz w:val="24"/>
                <w:szCs w:val="24"/>
                <w:lang w:val="en-US" w:eastAsia="zh-CN" w:bidi="ar"/>
              </w:rPr>
              <w:t>23</w:t>
            </w:r>
            <w:r>
              <w:rPr>
                <w:rFonts w:hint="default" w:ascii="Times New Roman" w:hAnsi="Times New Roman" w:cs="Times New Roman"/>
                <w:color w:val="auto"/>
                <w:sz w:val="24"/>
                <w:szCs w:val="24"/>
                <w:lang w:bidi="ar"/>
              </w:rPr>
              <w:t>）中要求，即防渗层为至少1米厚黏土层（渗透系数K≤10</w:t>
            </w:r>
            <w:r>
              <w:rPr>
                <w:rFonts w:hint="default" w:ascii="Times New Roman" w:hAnsi="Times New Roman" w:cs="Times New Roman"/>
                <w:color w:val="auto"/>
                <w:sz w:val="24"/>
                <w:szCs w:val="24"/>
                <w:vertAlign w:val="superscript"/>
                <w:lang w:bidi="ar"/>
              </w:rPr>
              <w:t>-7</w:t>
            </w:r>
            <w:r>
              <w:rPr>
                <w:rFonts w:hint="default" w:ascii="Times New Roman" w:hAnsi="Times New Roman" w:cs="Times New Roman"/>
                <w:color w:val="auto"/>
                <w:sz w:val="24"/>
                <w:szCs w:val="24"/>
                <w:lang w:bidi="ar"/>
              </w:rPr>
              <w:t>cm/s），或2毫米厚高密度聚乙烯，或至少2毫米厚的其他人工材料，渗透系统上K≤10</w:t>
            </w:r>
            <w:r>
              <w:rPr>
                <w:rFonts w:hint="default" w:ascii="Times New Roman" w:hAnsi="Times New Roman" w:cs="Times New Roman"/>
                <w:color w:val="auto"/>
                <w:sz w:val="24"/>
                <w:szCs w:val="24"/>
                <w:vertAlign w:val="superscript"/>
                <w:lang w:bidi="ar"/>
              </w:rPr>
              <w:t>-10</w:t>
            </w:r>
            <w:r>
              <w:rPr>
                <w:rFonts w:hint="default" w:ascii="Times New Roman" w:hAnsi="Times New Roman" w:cs="Times New Roman"/>
                <w:color w:val="auto"/>
                <w:sz w:val="24"/>
                <w:szCs w:val="24"/>
                <w:lang w:bidi="ar"/>
              </w:rPr>
              <w:t>cm/s；</w:t>
            </w:r>
          </w:p>
          <w:p w14:paraId="14D29E27">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cs="Times New Roman"/>
                <w:color w:val="auto"/>
                <w:sz w:val="24"/>
                <w:szCs w:val="24"/>
              </w:rPr>
            </w:pPr>
            <w:r>
              <w:rPr>
                <w:rFonts w:hint="default" w:ascii="Times New Roman" w:hAnsi="Times New Roman" w:cs="Times New Roman"/>
                <w:color w:val="auto"/>
                <w:sz w:val="24"/>
                <w:szCs w:val="24"/>
              </w:rPr>
              <w:t>重点防渗区防渗措施为底层铺设10cm-50cm厚成品水泥混凝土，中层铺设1cm-5cm厚的成品普通防腐水泥，上层铺设0.1mm-0.2mm厚的环氧树脂涂层。通过上述措施可使重点污染区各单元防渗层防渗性能相当于2mm厚渗透系数为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cm/s的防渗层，保证防渗层渗透系数≤10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cm/s。满足《环境影响评价技术导则——地下水环境》（HJ610-2016）中重点防渗区防渗技术要求</w:t>
            </w:r>
            <w:r>
              <w:rPr>
                <w:rFonts w:hint="eastAsia" w:ascii="Times New Roman" w:hAnsi="Times New Roman" w:cs="Times New Roman"/>
                <w:color w:val="auto"/>
                <w:sz w:val="24"/>
                <w:szCs w:val="24"/>
              </w:rPr>
              <w:t>。</w:t>
            </w:r>
          </w:p>
          <w:p w14:paraId="478C3CA5">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272405" cy="1678940"/>
                  <wp:effectExtent l="0" t="0" r="4445" b="1651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a:stretch>
                            <a:fillRect/>
                          </a:stretch>
                        </pic:blipFill>
                        <pic:spPr>
                          <a:xfrm>
                            <a:off x="0" y="0"/>
                            <a:ext cx="5272405" cy="1678940"/>
                          </a:xfrm>
                          <a:prstGeom prst="rect">
                            <a:avLst/>
                          </a:prstGeom>
                          <a:noFill/>
                          <a:ln>
                            <a:noFill/>
                          </a:ln>
                        </pic:spPr>
                      </pic:pic>
                    </a:graphicData>
                  </a:graphic>
                </wp:inline>
              </w:drawing>
            </w:r>
          </w:p>
          <w:p w14:paraId="07C6483D">
            <w:pPr>
              <w:keepNext w:val="0"/>
              <w:keepLines w:val="0"/>
              <w:suppressLineNumbers w:val="0"/>
              <w:spacing w:before="0" w:beforeAutospacing="0" w:after="0" w:afterAutospacing="0" w:line="480" w:lineRule="exact"/>
              <w:ind w:left="0" w:right="0" w:firstLine="482" w:firstLineChars="200"/>
              <w:jc w:val="center"/>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rPr>
              <w:t>图</w:t>
            </w:r>
            <w:r>
              <w:rPr>
                <w:rFonts w:hint="eastAsia" w:ascii="Times New Roman" w:hAnsi="Times New Roman" w:cs="Times New Roman"/>
                <w:b/>
                <w:bCs/>
                <w:color w:val="auto"/>
                <w:sz w:val="24"/>
                <w:szCs w:val="24"/>
                <w:lang w:val="en-US" w:eastAsia="zh-CN"/>
              </w:rPr>
              <w:t>4.6-1</w:t>
            </w:r>
            <w:r>
              <w:rPr>
                <w:rFonts w:hint="eastAsia" w:ascii="Times New Roman" w:hAnsi="Times New Roman" w:cs="Times New Roman"/>
                <w:b/>
                <w:bCs/>
                <w:color w:val="auto"/>
                <w:sz w:val="24"/>
                <w:szCs w:val="24"/>
              </w:rPr>
              <w:t xml:space="preserve"> 重点区域防渗层剖面图</w:t>
            </w:r>
          </w:p>
          <w:p w14:paraId="543025E4">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一般污染防</w:t>
            </w:r>
            <w:r>
              <w:rPr>
                <w:rFonts w:hint="eastAsia" w:cs="Times New Roman"/>
                <w:color w:val="auto"/>
                <w:sz w:val="24"/>
                <w:szCs w:val="24"/>
                <w:lang w:val="en-US" w:eastAsia="zh-CN" w:bidi="ar"/>
              </w:rPr>
              <w:t>渗</w:t>
            </w:r>
            <w:r>
              <w:rPr>
                <w:rFonts w:hint="default" w:ascii="Times New Roman" w:hAnsi="Times New Roman" w:cs="Times New Roman"/>
                <w:color w:val="auto"/>
                <w:sz w:val="24"/>
                <w:szCs w:val="24"/>
                <w:lang w:bidi="ar"/>
              </w:rPr>
              <w:t>区——</w:t>
            </w:r>
            <w:r>
              <w:rPr>
                <w:rFonts w:hint="eastAsia" w:ascii="Times New Roman" w:hAnsi="Times New Roman" w:cs="Times New Roman"/>
                <w:color w:val="auto"/>
                <w:sz w:val="24"/>
                <w:szCs w:val="24"/>
                <w:lang w:bidi="ar"/>
              </w:rPr>
              <w:t>其他车间</w:t>
            </w:r>
            <w:r>
              <w:rPr>
                <w:rFonts w:hint="default" w:ascii="Times New Roman" w:hAnsi="Times New Roman" w:cs="Times New Roman"/>
                <w:color w:val="auto"/>
                <w:sz w:val="24"/>
                <w:szCs w:val="24"/>
                <w:lang w:bidi="ar"/>
              </w:rPr>
              <w:t>，铺设配筋混凝土加防渗剂的防渗地坪，切断污染地下水途径，防渗技术要求为等效黏土防渗层Mb≥1.5m，渗透系数K≤10</w:t>
            </w:r>
            <w:r>
              <w:rPr>
                <w:rFonts w:hint="default" w:ascii="Times New Roman" w:hAnsi="Times New Roman" w:cs="Times New Roman"/>
                <w:color w:val="auto"/>
                <w:sz w:val="24"/>
                <w:szCs w:val="24"/>
                <w:vertAlign w:val="superscript"/>
                <w:lang w:bidi="ar"/>
              </w:rPr>
              <w:t>-7</w:t>
            </w:r>
            <w:r>
              <w:rPr>
                <w:rFonts w:hint="default" w:ascii="Times New Roman" w:hAnsi="Times New Roman" w:cs="Times New Roman"/>
                <w:color w:val="auto"/>
                <w:sz w:val="24"/>
                <w:szCs w:val="24"/>
                <w:lang w:bidi="ar"/>
              </w:rPr>
              <w:t>cm/s；</w:t>
            </w:r>
          </w:p>
          <w:p w14:paraId="2EA11C82">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szCs w:val="24"/>
                <w:lang w:bidi="ar"/>
              </w:rPr>
            </w:pPr>
            <w:r>
              <w:rPr>
                <w:rFonts w:hint="eastAsia" w:ascii="Times New Roman" w:hAnsi="Times New Roman" w:cs="Times New Roman"/>
                <w:color w:val="auto"/>
                <w:sz w:val="24"/>
                <w:szCs w:val="24"/>
                <w:lang w:bidi="ar"/>
              </w:rPr>
              <w:t>对于生产过程中可能产生的主要污染源的场地、产生生活污水的区域以及雨水管线、生活污水管线的地带，防渗措施为底层铺设10cm-15cm厚成品水泥混凝土，中层铺设1cm-5cm厚的成品普通防腐水泥。通过上述措施可使一般污染区各单元防渗层防渗性能相当于1.5m厚</w:t>
            </w:r>
            <w:r>
              <w:rPr>
                <w:rFonts w:hint="eastAsia" w:ascii="Times New Roman" w:hAnsi="Times New Roman" w:cs="Times New Roman"/>
                <w:color w:val="auto"/>
                <w:sz w:val="24"/>
                <w:szCs w:val="24"/>
                <w:lang w:val="en-US" w:eastAsia="zh-CN" w:bidi="ar"/>
              </w:rPr>
              <w:t>黏土</w:t>
            </w:r>
            <w:r>
              <w:rPr>
                <w:rFonts w:hint="eastAsia" w:ascii="Times New Roman" w:hAnsi="Times New Roman" w:cs="Times New Roman"/>
                <w:color w:val="auto"/>
                <w:sz w:val="24"/>
                <w:szCs w:val="24"/>
                <w:lang w:bidi="ar"/>
              </w:rPr>
              <w:t>层，保证防渗层渗透系数≤10</w:t>
            </w:r>
            <w:r>
              <w:rPr>
                <w:rFonts w:hint="eastAsia" w:ascii="Times New Roman" w:hAnsi="Times New Roman" w:cs="Times New Roman"/>
                <w:color w:val="auto"/>
                <w:sz w:val="24"/>
                <w:szCs w:val="24"/>
                <w:vertAlign w:val="superscript"/>
                <w:lang w:bidi="ar"/>
              </w:rPr>
              <w:t>-7</w:t>
            </w:r>
            <w:r>
              <w:rPr>
                <w:rFonts w:hint="eastAsia" w:ascii="Times New Roman" w:hAnsi="Times New Roman" w:cs="Times New Roman"/>
                <w:color w:val="auto"/>
                <w:sz w:val="24"/>
                <w:szCs w:val="24"/>
                <w:lang w:bidi="ar"/>
              </w:rPr>
              <w:t>cm/s，满足《环境影响评价技术导则—地下水环境》（HJ610-2016）中一般防渗区防渗技术要求。</w:t>
            </w:r>
          </w:p>
          <w:p w14:paraId="4DADDB3C">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企业在管理方面严加管理，并采取相应的防渗措施可有效防</w:t>
            </w:r>
            <w:r>
              <w:rPr>
                <w:rFonts w:hint="eastAsia" w:ascii="Times New Roman" w:hAnsi="Times New Roman" w:cs="Times New Roman"/>
                <w:color w:val="auto"/>
                <w:sz w:val="24"/>
                <w:szCs w:val="24"/>
                <w:lang w:val="en-US" w:eastAsia="zh-CN"/>
              </w:rPr>
              <w:t>止</w:t>
            </w:r>
            <w:r>
              <w:rPr>
                <w:rFonts w:hint="default" w:ascii="Times New Roman" w:hAnsi="Times New Roman" w:cs="Times New Roman"/>
                <w:color w:val="auto"/>
                <w:sz w:val="24"/>
                <w:szCs w:val="24"/>
                <w:lang w:bidi="ar"/>
              </w:rPr>
              <w:t>危险废物暂存和处置过程中因物料泄漏造成对区域土壤环境的污染。</w:t>
            </w:r>
          </w:p>
          <w:p w14:paraId="2CF54C2C">
            <w:pPr>
              <w:keepNext w:val="0"/>
              <w:keepLines w:val="0"/>
              <w:widowControl/>
              <w:suppressLineNumbers w:val="0"/>
              <w:spacing w:before="0" w:beforeAutospacing="0" w:after="0" w:afterAutospacing="0" w:line="480" w:lineRule="exact"/>
              <w:ind w:left="0" w:right="0" w:firstLine="480" w:firstLineChars="200"/>
              <w:jc w:val="left"/>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危废库房应满足“三防”要求建设。厂内设置一个危废库房（</w:t>
            </w:r>
            <w:r>
              <w:rPr>
                <w:rFonts w:hint="eastAsia" w:ascii="Times New Roman" w:hAnsi="Times New Roman" w:cs="Times New Roman"/>
                <w:color w:val="auto"/>
                <w:sz w:val="24"/>
                <w:szCs w:val="24"/>
                <w:lang w:val="en-US" w:eastAsia="zh-CN" w:bidi="ar"/>
              </w:rPr>
              <w:t>2</w:t>
            </w:r>
            <w:r>
              <w:rPr>
                <w:rFonts w:hint="eastAsia" w:ascii="Times New Roman" w:hAnsi="Times New Roman" w:cs="Times New Roman"/>
                <w:color w:val="auto"/>
                <w:sz w:val="24"/>
                <w:szCs w:val="24"/>
                <w:lang w:bidi="ar"/>
              </w:rPr>
              <w:t>0</w:t>
            </w:r>
            <w:r>
              <w:rPr>
                <w:rFonts w:hint="default" w:ascii="Times New Roman" w:hAnsi="Times New Roman" w:cs="Times New Roman"/>
                <w:color w:val="auto"/>
                <w:sz w:val="24"/>
                <w:szCs w:val="24"/>
                <w:lang w:bidi="ar"/>
              </w:rPr>
              <w:t>m</w:t>
            </w:r>
            <w:r>
              <w:rPr>
                <w:rFonts w:hint="default" w:ascii="Times New Roman" w:hAnsi="Times New Roman" w:cs="Times New Roman"/>
                <w:color w:val="auto"/>
                <w:sz w:val="24"/>
                <w:szCs w:val="24"/>
                <w:vertAlign w:val="superscript"/>
                <w:lang w:bidi="ar"/>
              </w:rPr>
              <w:t>2</w:t>
            </w:r>
            <w:r>
              <w:rPr>
                <w:rFonts w:hint="default" w:ascii="Times New Roman" w:hAnsi="Times New Roman" w:cs="Times New Roman"/>
                <w:color w:val="auto"/>
                <w:sz w:val="24"/>
                <w:szCs w:val="24"/>
                <w:lang w:bidi="ar"/>
              </w:rPr>
              <w:t>），应按照“三防”（防雨、防晒、防渗漏）建设，并按照《危险废物贮存污染控制标准》（GB18597-2</w:t>
            </w:r>
            <w:r>
              <w:rPr>
                <w:rFonts w:hint="eastAsia" w:ascii="Times New Roman" w:hAnsi="Times New Roman" w:cs="Times New Roman"/>
                <w:color w:val="auto"/>
                <w:sz w:val="24"/>
                <w:szCs w:val="24"/>
                <w:lang w:val="en-US" w:eastAsia="zh-CN" w:bidi="ar"/>
              </w:rPr>
              <w:t>023</w:t>
            </w:r>
            <w:r>
              <w:rPr>
                <w:rFonts w:hint="default" w:ascii="Times New Roman" w:hAnsi="Times New Roman" w:cs="Times New Roman"/>
                <w:color w:val="auto"/>
                <w:sz w:val="24"/>
                <w:szCs w:val="24"/>
                <w:lang w:bidi="ar"/>
              </w:rPr>
              <w:t>）中要求进行设置，并对地面作防渗防腐处理，设置导流沟以及导流槽。</w:t>
            </w:r>
          </w:p>
          <w:p w14:paraId="33636A25">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项目针对各类污染物均采取了对应的污染治理措施，可确保污染物的达标排放及防止渗漏发生，可从源头上控制项目对区域土壤环境的污染源强，确保项目对区域土壤环境的影响处于可接受水平。因此，只要企业严格落实本报告提出的污染防治措施，项目对区域土壤环境影响是可接受的。</w:t>
            </w:r>
          </w:p>
          <w:p w14:paraId="505D1726">
            <w:pPr>
              <w:keepNext w:val="0"/>
              <w:keepLines w:val="0"/>
              <w:suppressLineNumbers w:val="0"/>
              <w:spacing w:before="120" w:beforeLines="50" w:beforeAutospacing="0" w:after="0" w:afterAutospacing="0" w:line="360" w:lineRule="auto"/>
              <w:ind w:left="0" w:right="0" w:firstLine="482" w:firstLineChars="200"/>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七</w:t>
            </w:r>
            <w:r>
              <w:rPr>
                <w:rFonts w:hint="default" w:ascii="Times New Roman" w:hAnsi="Times New Roman" w:cs="Times New Roman"/>
                <w:b/>
                <w:bCs/>
                <w:color w:val="auto"/>
                <w:kern w:val="0"/>
                <w:sz w:val="24"/>
                <w:szCs w:val="24"/>
              </w:rPr>
              <w:t>、</w:t>
            </w:r>
            <w:r>
              <w:rPr>
                <w:rFonts w:hint="eastAsia" w:ascii="Times New Roman" w:hAnsi="Times New Roman" w:cs="Times New Roman"/>
                <w:b/>
                <w:bCs/>
                <w:color w:val="auto"/>
                <w:kern w:val="0"/>
                <w:sz w:val="24"/>
                <w:szCs w:val="24"/>
                <w:lang w:val="en-US" w:eastAsia="zh-CN"/>
              </w:rPr>
              <w:t>清洁生产水平分析</w:t>
            </w:r>
          </w:p>
          <w:p w14:paraId="5B41A0A2">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bidi="ar"/>
              </w:rPr>
            </w:pPr>
            <w:r>
              <w:rPr>
                <w:rFonts w:hint="eastAsia" w:ascii="Times New Roman" w:hAnsi="Times New Roman" w:cs="Times New Roman"/>
                <w:color w:val="auto"/>
                <w:sz w:val="24"/>
                <w:szCs w:val="24"/>
                <w:lang w:val="en-US" w:eastAsia="zh-CN" w:bidi="ar"/>
              </w:rPr>
              <w:t>（1）原辅料、能源清洁性分析</w:t>
            </w:r>
          </w:p>
          <w:p w14:paraId="5B9AB2A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bidi="ar"/>
              </w:rPr>
            </w:pPr>
            <w:r>
              <w:rPr>
                <w:rFonts w:hint="eastAsia" w:ascii="Times New Roman" w:hAnsi="Times New Roman" w:cs="Times New Roman"/>
                <w:color w:val="auto"/>
                <w:sz w:val="24"/>
                <w:szCs w:val="24"/>
                <w:lang w:val="en-US" w:eastAsia="zh-CN" w:bidi="ar"/>
              </w:rPr>
              <w:t>公司铸造原料为废钢、浇冒口，使用废钢可提高铸件的硬度和硬度均匀性，改善铸件的切削性能，同时降低企业生产成本，减少资源浪费。</w:t>
            </w:r>
          </w:p>
          <w:p w14:paraId="24977570">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bCs/>
                <w:color w:val="auto"/>
                <w:sz w:val="24"/>
                <w:lang w:val="en-US" w:eastAsia="zh-CN"/>
              </w:rPr>
            </w:pPr>
            <w:r>
              <w:rPr>
                <w:rFonts w:hint="eastAsia" w:ascii="Times New Roman" w:hAnsi="Times New Roman" w:cs="Times New Roman"/>
                <w:color w:val="auto"/>
                <w:sz w:val="24"/>
                <w:szCs w:val="24"/>
                <w:lang w:val="en-US" w:eastAsia="zh-CN" w:bidi="ar"/>
              </w:rPr>
              <w:t>项目将</w:t>
            </w:r>
            <w:r>
              <w:rPr>
                <w:rFonts w:hint="eastAsia" w:cs="Times New Roman"/>
                <w:bCs/>
                <w:color w:val="auto"/>
                <w:sz w:val="24"/>
                <w:lang w:val="en-US" w:eastAsia="zh-CN"/>
              </w:rPr>
              <w:t>锻压成型前的电加热炉改为天然气加热炉，天然气的燃烧效率高于电力的转化效率，故可以降低企业的生产成本，同时提高设备运行效率，减少碳排放，降低区域污染物排放。</w:t>
            </w:r>
          </w:p>
          <w:p w14:paraId="0BABB7D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bidi="ar"/>
              </w:rPr>
            </w:pPr>
            <w:r>
              <w:rPr>
                <w:rFonts w:hint="eastAsia" w:ascii="Times New Roman" w:hAnsi="Times New Roman" w:cs="Times New Roman"/>
                <w:color w:val="auto"/>
                <w:sz w:val="24"/>
                <w:szCs w:val="24"/>
                <w:lang w:val="en-US" w:eastAsia="zh-CN" w:bidi="ar"/>
              </w:rPr>
              <w:t>项目所用能源均为电能、天然气，属于清洁能源，符合清洁生产国内先进水平要求。</w:t>
            </w:r>
          </w:p>
          <w:p w14:paraId="310F5E7B">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sz w:val="24"/>
                <w:szCs w:val="24"/>
                <w:lang w:val="en-US" w:eastAsia="zh-CN" w:bidi="ar"/>
              </w:rPr>
            </w:pPr>
            <w:r>
              <w:rPr>
                <w:rFonts w:hint="eastAsia" w:ascii="Times New Roman" w:hAnsi="Times New Roman" w:cs="Times New Roman"/>
                <w:color w:val="auto"/>
                <w:sz w:val="24"/>
                <w:szCs w:val="24"/>
                <w:lang w:val="en-US" w:eastAsia="zh-CN" w:bidi="ar"/>
              </w:rPr>
              <w:t>（2）生产工艺与装备清洁性分析</w:t>
            </w:r>
          </w:p>
          <w:p w14:paraId="27F0593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cs="Times New Roman"/>
                <w:color w:val="auto"/>
                <w:sz w:val="24"/>
                <w:szCs w:val="24"/>
                <w:lang w:val="en-US" w:eastAsia="zh-CN" w:bidi="ar"/>
              </w:rPr>
              <w:t>本项目生产设备的选材满足工艺介质要求，符合国内相关行业的规定要求。对生产过程中易出现危险的部位采用可靠的防治措施，同时提高设备的自动化水平，加强生产管理，从而降低危险事故的发生；公司在工艺流程的选择、设备选型和布置方面，充分考虑了操作方便、安全等因素，注意贯彻以预防为主的原则，消除和降低人身、设备事故的隐患。</w:t>
            </w:r>
          </w:p>
          <w:p w14:paraId="1E3C676A">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项目生产设备均采用国家推荐的节能型品种，部分关键的工艺控制点使用先进的仪器仪表进行控制，强化生产过程中的自控水平，减少能耗，尽可能做到合理利用和节约能耗，严格控制跑、冒、滴、漏，</w:t>
            </w:r>
            <w:r>
              <w:rPr>
                <w:rFonts w:hint="eastAsia" w:ascii="Times New Roman" w:hAnsi="Times New Roman" w:cs="Times New Roman"/>
                <w:color w:val="auto"/>
                <w:kern w:val="0"/>
                <w:sz w:val="24"/>
                <w:szCs w:val="24"/>
                <w:lang w:eastAsia="zh-CN"/>
              </w:rPr>
              <w:t>最大限度地减少</w:t>
            </w:r>
            <w:r>
              <w:rPr>
                <w:rFonts w:hint="default" w:ascii="Times New Roman" w:hAnsi="Times New Roman" w:cs="Times New Roman"/>
                <w:color w:val="auto"/>
                <w:kern w:val="0"/>
                <w:sz w:val="24"/>
                <w:szCs w:val="24"/>
              </w:rPr>
              <w:t>物耗、能耗。</w:t>
            </w:r>
          </w:p>
          <w:p w14:paraId="1C6C773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新宋体" w:cs="Times New Roman"/>
                <w:color w:val="auto"/>
                <w:sz w:val="24"/>
                <w:szCs w:val="24"/>
              </w:rPr>
            </w:pPr>
            <w:r>
              <w:rPr>
                <w:rFonts w:hint="default" w:ascii="Times New Roman" w:hAnsi="Times New Roman" w:eastAsia="新宋体" w:cs="Times New Roman"/>
                <w:color w:val="auto"/>
                <w:sz w:val="24"/>
                <w:szCs w:val="24"/>
              </w:rPr>
              <w:t>项目合理布置总平面及车间内的设备，减少管线长度，缩短物料运输线路，尽量利用设备位差放料，降低动力消耗。</w:t>
            </w:r>
          </w:p>
          <w:p w14:paraId="388CD1E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（3）污染防治措施清洁性分析</w:t>
            </w:r>
          </w:p>
          <w:p w14:paraId="6F264A2A">
            <w:pPr>
              <w:keepNext w:val="0"/>
              <w:keepLines w:val="0"/>
              <w:suppressLineNumbers w:val="0"/>
              <w:spacing w:before="0" w:beforeAutospacing="0" w:after="0" w:afterAutospacing="0" w:line="360" w:lineRule="auto"/>
              <w:ind w:left="0" w:right="0" w:firstLine="480" w:firstLineChars="200"/>
              <w:rPr>
                <w:rFonts w:hint="eastAsia" w:ascii="Times New Roman"/>
                <w:color w:val="auto"/>
                <w:sz w:val="24"/>
                <w:szCs w:val="24"/>
                <w:lang w:val="en-US" w:eastAsia="zh-CN"/>
              </w:rPr>
            </w:pPr>
            <w:r>
              <w:rPr>
                <w:rFonts w:hint="eastAsia" w:ascii="Times New Roman" w:hAnsi="Times New Roman" w:cs="Times New Roman"/>
                <w:color w:val="auto"/>
                <w:kern w:val="0"/>
                <w:sz w:val="24"/>
                <w:szCs w:val="24"/>
                <w:lang w:val="en-US" w:eastAsia="zh-CN"/>
              </w:rPr>
              <w:t>项目</w:t>
            </w:r>
            <w:r>
              <w:rPr>
                <w:rFonts w:hint="default" w:ascii="Times New Roman" w:hAnsi="Times New Roman" w:cs="Times New Roman"/>
                <w:color w:val="auto"/>
                <w:kern w:val="0"/>
                <w:sz w:val="24"/>
                <w:szCs w:val="24"/>
              </w:rPr>
              <w:t>厂区范围内</w:t>
            </w:r>
            <w:r>
              <w:rPr>
                <w:rFonts w:hint="eastAsia" w:ascii="Times New Roman" w:hAnsi="Times New Roman" w:cs="Times New Roman"/>
                <w:color w:val="auto"/>
                <w:kern w:val="0"/>
                <w:sz w:val="24"/>
                <w:szCs w:val="24"/>
                <w:lang w:val="en-US" w:eastAsia="zh-CN"/>
              </w:rPr>
              <w:t>以</w:t>
            </w:r>
            <w:r>
              <w:rPr>
                <w:rFonts w:hint="default" w:ascii="Times New Roman" w:hAnsi="Times New Roman" w:cs="Times New Roman"/>
                <w:color w:val="auto"/>
                <w:kern w:val="0"/>
                <w:sz w:val="24"/>
                <w:szCs w:val="24"/>
              </w:rPr>
              <w:t>实现雨污分流、清污分流</w:t>
            </w:r>
            <w:r>
              <w:rPr>
                <w:rFonts w:hint="eastAsia" w:ascii="Times New Roman" w:hAnsi="Times New Roman" w:cs="Times New Roman"/>
                <w:color w:val="auto"/>
                <w:kern w:val="0"/>
                <w:sz w:val="24"/>
                <w:szCs w:val="24"/>
                <w:lang w:eastAsia="zh-CN"/>
              </w:rPr>
              <w:t>。</w:t>
            </w:r>
            <w:r>
              <w:rPr>
                <w:rFonts w:hint="eastAsia" w:ascii="Times New Roman"/>
                <w:color w:val="auto"/>
                <w:sz w:val="24"/>
                <w:szCs w:val="24"/>
              </w:rPr>
              <w:t>本项目不新增员工，不新增生活污水</w:t>
            </w:r>
            <w:r>
              <w:rPr>
                <w:rFonts w:hint="eastAsia" w:ascii="Times New Roman"/>
                <w:color w:val="auto"/>
                <w:sz w:val="24"/>
                <w:szCs w:val="24"/>
                <w:lang w:eastAsia="zh-CN"/>
              </w:rPr>
              <w:t>；</w:t>
            </w:r>
            <w:r>
              <w:rPr>
                <w:rFonts w:hint="eastAsia" w:ascii="Times New Roman"/>
                <w:color w:val="auto"/>
                <w:sz w:val="24"/>
                <w:szCs w:val="24"/>
                <w:lang w:val="en-US" w:eastAsia="zh-CN"/>
              </w:rPr>
              <w:t>冷却水循环使用，不外排。</w:t>
            </w:r>
          </w:p>
          <w:p w14:paraId="6E1A0302">
            <w:pPr>
              <w:keepNext w:val="0"/>
              <w:keepLines w:val="0"/>
              <w:suppressLineNumbers w:val="0"/>
              <w:spacing w:before="0" w:beforeAutospacing="0" w:after="0" w:afterAutospacing="0" w:line="360" w:lineRule="auto"/>
              <w:ind w:left="0" w:right="0" w:firstLine="480" w:firstLineChars="200"/>
              <w:rPr>
                <w:rFonts w:hint="eastAsia" w:ascii="Times New Roman"/>
                <w:color w:val="auto"/>
                <w:sz w:val="24"/>
                <w:szCs w:val="24"/>
                <w:lang w:val="en-US" w:eastAsia="zh-CN"/>
              </w:rPr>
            </w:pPr>
            <w:r>
              <w:rPr>
                <w:rFonts w:hint="eastAsia" w:ascii="Times New Roman"/>
                <w:color w:val="auto"/>
                <w:sz w:val="24"/>
                <w:szCs w:val="24"/>
                <w:lang w:val="en-US" w:eastAsia="zh-CN"/>
              </w:rPr>
              <w:t>项目化渣过程中产生的化渣废气和电渣重熔过程中产生的熔化烟尘分别经半密闭式集气罩收集后一同进布袋除尘器进行处理，处理后尾气通过15m高排气筒有组织排放；焊接烟尘经移动式焊烟净化器处理后在车间内无组织排放。</w:t>
            </w:r>
          </w:p>
          <w:p w14:paraId="7518386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本项目通过厂区合理布局，严格按照规范安装，以及基座减振，车间墙壁、绿化带隔声等，厂界噪声可以达标排放。对于公辅设备，主要采用了消声及加装吸声隔声屏障使厂界达标。</w:t>
            </w:r>
          </w:p>
          <w:p w14:paraId="0C1D530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次生危险废物均委托有资质单位处置</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一般固体废物外售综合利用。固废处理处置率100%，不会对周围环境产生二次影响。</w:t>
            </w:r>
          </w:p>
          <w:p w14:paraId="5D82DB4B">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w:t>
            </w:r>
            <w:r>
              <w:rPr>
                <w:rFonts w:hint="eastAsia" w:ascii="Times New Roman" w:hAnsi="Times New Roman" w:cs="Times New Roman"/>
                <w:color w:val="auto"/>
                <w:sz w:val="24"/>
                <w:lang w:val="en-US" w:eastAsia="zh-CN"/>
              </w:rPr>
              <w:t>所述</w:t>
            </w:r>
            <w:r>
              <w:rPr>
                <w:rFonts w:hint="default" w:ascii="Times New Roman" w:hAnsi="Times New Roman" w:cs="Times New Roman"/>
                <w:color w:val="auto"/>
                <w:sz w:val="24"/>
              </w:rPr>
              <w:t>，本项目</w:t>
            </w:r>
            <w:r>
              <w:rPr>
                <w:rFonts w:hint="eastAsia" w:ascii="Times New Roman" w:hAnsi="Times New Roman" w:cs="Times New Roman"/>
                <w:color w:val="auto"/>
                <w:sz w:val="24"/>
                <w:lang w:val="en-US" w:eastAsia="zh-CN"/>
              </w:rPr>
              <w:t>污染防治措施符合清洁生产国内水平要求</w:t>
            </w:r>
            <w:r>
              <w:rPr>
                <w:rFonts w:hint="default" w:ascii="Times New Roman" w:hAnsi="Times New Roman" w:cs="Times New Roman"/>
                <w:color w:val="auto"/>
                <w:sz w:val="24"/>
              </w:rPr>
              <w:t>。</w:t>
            </w:r>
          </w:p>
          <w:p w14:paraId="4EC47DA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（4）节能减排</w:t>
            </w:r>
          </w:p>
          <w:p w14:paraId="39F7CD6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本项目合理管理物流和人流、能量流，“三废”产生环节和污染物产生量尽量减少，且在生产过程中采用了一系列降耗节能少污染的工艺技术。</w:t>
            </w:r>
          </w:p>
          <w:p w14:paraId="536E7288">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①项目生产设备均采用国家推荐的节能型品种，部分关键的工艺控制点使用先进的仪器仪表进行控制，强化生产过程中的自控水平，减少能耗，尽可能做到合理利用和节约能耗，严格控制跑、冒、滴、漏，最大限度地减少物耗、能耗。</w:t>
            </w:r>
          </w:p>
          <w:p w14:paraId="75100F84">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②项目合理布置总平面及车间内的设备，减少管线长度，缩短物料运输线路，尽量利用设备位差放料，降低动力消耗。</w:t>
            </w:r>
          </w:p>
          <w:p w14:paraId="4397401D">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③项目采用电、天然气作为能源，减少了污染物的排放。</w:t>
            </w:r>
          </w:p>
          <w:p w14:paraId="5AD6C6DE">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④项目厂区范围内已实现雨污分流、清污分流。</w:t>
            </w:r>
          </w:p>
          <w:p w14:paraId="3EE10526">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⑤项目冷却水循环使用，不外排，减少浪费，降低能耗。</w:t>
            </w:r>
          </w:p>
          <w:p w14:paraId="12D75A4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新宋体" w:cs="Times New Roman"/>
                <w:color w:val="auto"/>
                <w:sz w:val="24"/>
                <w:szCs w:val="24"/>
              </w:rPr>
            </w:pPr>
            <w:r>
              <w:rPr>
                <w:rFonts w:hint="eastAsia" w:ascii="Times New Roman" w:hAnsi="Times New Roman" w:cs="Times New Roman"/>
                <w:color w:val="auto"/>
                <w:kern w:val="0"/>
                <w:sz w:val="24"/>
                <w:szCs w:val="24"/>
                <w:lang w:val="en-US" w:eastAsia="zh-CN"/>
              </w:rPr>
              <w:t>⑥</w:t>
            </w:r>
            <w:r>
              <w:rPr>
                <w:rFonts w:hint="default" w:ascii="Times New Roman" w:hAnsi="Times New Roman" w:eastAsia="新宋体" w:cs="Times New Roman"/>
                <w:color w:val="auto"/>
                <w:sz w:val="24"/>
                <w:szCs w:val="24"/>
              </w:rPr>
              <w:t>加强能耗管理，落实成本责任制；加强节能教育，</w:t>
            </w:r>
            <w:r>
              <w:rPr>
                <w:rFonts w:hint="eastAsia" w:ascii="Times New Roman" w:hAnsi="Times New Roman" w:eastAsia="新宋体" w:cs="Times New Roman"/>
                <w:color w:val="auto"/>
                <w:sz w:val="24"/>
                <w:szCs w:val="24"/>
                <w:lang w:eastAsia="zh-CN"/>
              </w:rPr>
              <w:t>增强</w:t>
            </w:r>
            <w:r>
              <w:rPr>
                <w:rFonts w:hint="default" w:ascii="Times New Roman" w:hAnsi="Times New Roman" w:eastAsia="新宋体" w:cs="Times New Roman"/>
                <w:color w:val="auto"/>
                <w:sz w:val="24"/>
                <w:szCs w:val="24"/>
              </w:rPr>
              <w:t>职工的节能意识。</w:t>
            </w:r>
          </w:p>
          <w:p w14:paraId="5C8C4109">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新宋体" w:cs="Times New Roman"/>
                <w:color w:val="auto"/>
                <w:sz w:val="24"/>
                <w:szCs w:val="24"/>
                <w:lang w:eastAsia="zh-CN"/>
              </w:rPr>
            </w:pPr>
            <w:r>
              <w:rPr>
                <w:rFonts w:hint="default" w:ascii="Times New Roman" w:hAnsi="Times New Roman" w:eastAsia="新宋体" w:cs="Times New Roman"/>
                <w:color w:val="auto"/>
                <w:sz w:val="24"/>
                <w:szCs w:val="24"/>
              </w:rPr>
              <w:t>综上，本项目</w:t>
            </w:r>
            <w:r>
              <w:rPr>
                <w:rFonts w:hint="eastAsia" w:ascii="Times New Roman" w:hAnsi="Times New Roman" w:eastAsia="新宋体" w:cs="Times New Roman"/>
                <w:color w:val="auto"/>
                <w:sz w:val="24"/>
                <w:szCs w:val="24"/>
                <w:lang w:eastAsia="zh-CN"/>
              </w:rPr>
              <w:t>较好地贯彻了</w:t>
            </w:r>
            <w:r>
              <w:rPr>
                <w:rFonts w:hint="default" w:ascii="Times New Roman" w:hAnsi="Times New Roman" w:eastAsia="新宋体" w:cs="Times New Roman"/>
                <w:color w:val="auto"/>
                <w:sz w:val="24"/>
                <w:szCs w:val="24"/>
              </w:rPr>
              <w:t>节能减排精神</w:t>
            </w:r>
            <w:r>
              <w:rPr>
                <w:rFonts w:hint="eastAsia" w:ascii="Times New Roman" w:hAnsi="Times New Roman" w:eastAsia="新宋体" w:cs="Times New Roman"/>
                <w:color w:val="auto"/>
                <w:sz w:val="24"/>
                <w:szCs w:val="24"/>
                <w:lang w:eastAsia="zh-CN"/>
              </w:rPr>
              <w:t>。</w:t>
            </w:r>
          </w:p>
          <w:p w14:paraId="0DA3B98F">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新宋体" w:cs="Times New Roman"/>
                <w:color w:val="auto"/>
                <w:sz w:val="24"/>
                <w:szCs w:val="24"/>
                <w:lang w:val="en-US" w:eastAsia="zh-CN"/>
              </w:rPr>
            </w:pPr>
            <w:r>
              <w:rPr>
                <w:rFonts w:hint="eastAsia" w:ascii="Times New Roman" w:hAnsi="Times New Roman" w:eastAsia="新宋体" w:cs="Times New Roman"/>
                <w:color w:val="auto"/>
                <w:sz w:val="24"/>
                <w:szCs w:val="24"/>
                <w:lang w:eastAsia="zh-CN"/>
              </w:rPr>
              <w:t>（</w:t>
            </w:r>
            <w:r>
              <w:rPr>
                <w:rFonts w:hint="eastAsia" w:ascii="Times New Roman" w:hAnsi="Times New Roman" w:eastAsia="新宋体" w:cs="Times New Roman"/>
                <w:color w:val="auto"/>
                <w:sz w:val="24"/>
                <w:szCs w:val="24"/>
                <w:lang w:val="en-US" w:eastAsia="zh-CN"/>
              </w:rPr>
              <w:t>5</w:t>
            </w:r>
            <w:r>
              <w:rPr>
                <w:rFonts w:hint="eastAsia" w:ascii="Times New Roman" w:hAnsi="Times New Roman" w:eastAsia="新宋体" w:cs="Times New Roman"/>
                <w:color w:val="auto"/>
                <w:sz w:val="24"/>
                <w:szCs w:val="24"/>
                <w:lang w:eastAsia="zh-CN"/>
              </w:rPr>
              <w:t>）</w:t>
            </w:r>
            <w:r>
              <w:rPr>
                <w:rFonts w:hint="eastAsia" w:ascii="Times New Roman" w:hAnsi="Times New Roman" w:eastAsia="新宋体" w:cs="Times New Roman"/>
                <w:color w:val="auto"/>
                <w:sz w:val="24"/>
                <w:szCs w:val="24"/>
                <w:lang w:val="en-US" w:eastAsia="zh-CN"/>
              </w:rPr>
              <w:t>清洁生产结论</w:t>
            </w:r>
          </w:p>
          <w:p w14:paraId="4607235D">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实施过程充分考虑了环境保护因素，按照清洁生产的要求，对生产中不可避免产生的污染，做到治理与综合利用相结合。在物料路线、工艺技术上选择了污染少、运行可靠、稳定的方案，结合科学、严格的管理，将污染尽可能地消化在工艺生产过程中，从污染源头减少排放，降低对环境的影响。本项目所采用的污染治理措施，经过实际生产检验并充分考虑了经济效益，治理后各类污染物均可达标排放。本项目在原辅料、能源、工艺过程、设备、污染防治措施等各方面清洁生产水平较高，符合清洁生产的要求。</w:t>
            </w:r>
          </w:p>
          <w:p w14:paraId="0F0CB2B9">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szCs w:val="24"/>
              </w:rPr>
            </w:pPr>
          </w:p>
          <w:p w14:paraId="7D0BB5D9">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4CFFC402">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107ACB5F">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2EDFE2B4">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2695B019">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170FE57D">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7F56192F">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388F9615">
            <w:pPr>
              <w:keepNext w:val="0"/>
              <w:keepLines w:val="0"/>
              <w:suppressLineNumbers w:val="0"/>
              <w:spacing w:before="0" w:beforeAutospacing="0" w:after="0" w:afterAutospacing="0" w:line="480" w:lineRule="exact"/>
              <w:ind w:left="0" w:right="0" w:firstLine="480" w:firstLineChars="200"/>
              <w:rPr>
                <w:rFonts w:hint="eastAsia" w:cs="Times New Roman"/>
                <w:color w:val="auto"/>
                <w:sz w:val="24"/>
                <w:szCs w:val="24"/>
                <w:lang w:eastAsia="zh-CN"/>
              </w:rPr>
            </w:pPr>
          </w:p>
          <w:p w14:paraId="67FC2606">
            <w:pPr>
              <w:keepNext w:val="0"/>
              <w:keepLines w:val="0"/>
              <w:suppressLineNumbers w:val="0"/>
              <w:spacing w:before="0" w:beforeAutospacing="0" w:after="0" w:afterAutospacing="0" w:line="480" w:lineRule="exact"/>
              <w:ind w:left="0" w:right="0" w:firstLine="480" w:firstLineChars="200"/>
              <w:rPr>
                <w:rFonts w:hint="eastAsia" w:ascii="Times New Roman" w:hAnsi="Times New Roman" w:eastAsia="宋体" w:cs="Times New Roman"/>
                <w:color w:val="auto"/>
                <w:sz w:val="24"/>
                <w:szCs w:val="24"/>
                <w:lang w:eastAsia="zh-CN"/>
              </w:rPr>
            </w:pPr>
          </w:p>
        </w:tc>
      </w:tr>
    </w:tbl>
    <w:p w14:paraId="2356F3BD">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627C2BF6">
      <w:pPr>
        <w:pStyle w:val="23"/>
        <w:jc w:val="center"/>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五、</w:t>
      </w:r>
      <w:bookmarkStart w:id="5" w:name="_Hlk54167917"/>
      <w:r>
        <w:rPr>
          <w:rFonts w:ascii="Times New Roman" w:hAnsi="Times New Roman" w:eastAsia="黑体"/>
          <w:snapToGrid w:val="0"/>
          <w:color w:val="auto"/>
          <w:sz w:val="30"/>
          <w:szCs w:val="30"/>
          <w:highlight w:val="none"/>
        </w:rPr>
        <w:t>环境保护措施监督检查清单</w:t>
      </w:r>
      <w:bookmarkEnd w:id="5"/>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5"/>
        <w:gridCol w:w="735"/>
        <w:gridCol w:w="1103"/>
        <w:gridCol w:w="1257"/>
        <w:gridCol w:w="2063"/>
        <w:gridCol w:w="1947"/>
      </w:tblGrid>
      <w:tr w14:paraId="438CE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tcBorders>
              <w:tl2br w:val="single" w:color="auto" w:sz="4" w:space="0"/>
            </w:tcBorders>
            <w:noWrap w:val="0"/>
            <w:vAlign w:val="top"/>
          </w:tcPr>
          <w:p w14:paraId="55EE360A">
            <w:pPr>
              <w:keepNext w:val="0"/>
              <w:keepLines w:val="0"/>
              <w:suppressLineNumbers w:val="0"/>
              <w:adjustRightInd w:val="0"/>
              <w:snapToGrid w:val="0"/>
              <w:spacing w:before="0" w:beforeAutospacing="0" w:after="0" w:afterAutospacing="0"/>
              <w:ind w:left="0" w:right="0" w:firstLine="84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内容</w:t>
            </w:r>
          </w:p>
          <w:p w14:paraId="1E1C1EF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要素</w:t>
            </w:r>
          </w:p>
        </w:tc>
        <w:tc>
          <w:tcPr>
            <w:tcW w:w="1838" w:type="dxa"/>
            <w:gridSpan w:val="2"/>
            <w:noWrap w:val="0"/>
            <w:vAlign w:val="center"/>
          </w:tcPr>
          <w:p w14:paraId="01010C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排放口</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编号、</w:t>
            </w:r>
          </w:p>
          <w:p w14:paraId="1066A01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/污染源</w:t>
            </w:r>
          </w:p>
        </w:tc>
        <w:tc>
          <w:tcPr>
            <w:tcW w:w="1257" w:type="dxa"/>
            <w:noWrap w:val="0"/>
            <w:vAlign w:val="center"/>
          </w:tcPr>
          <w:p w14:paraId="5CBDF6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污染物项目</w:t>
            </w:r>
          </w:p>
        </w:tc>
        <w:tc>
          <w:tcPr>
            <w:tcW w:w="2063" w:type="dxa"/>
            <w:noWrap w:val="0"/>
            <w:vAlign w:val="center"/>
          </w:tcPr>
          <w:p w14:paraId="0DE0BA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环境保护措施</w:t>
            </w:r>
          </w:p>
        </w:tc>
        <w:tc>
          <w:tcPr>
            <w:tcW w:w="1947" w:type="dxa"/>
            <w:noWrap w:val="0"/>
            <w:vAlign w:val="center"/>
          </w:tcPr>
          <w:p w14:paraId="2C7524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执行标准</w:t>
            </w:r>
          </w:p>
        </w:tc>
      </w:tr>
      <w:tr w14:paraId="0CE556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vMerge w:val="restart"/>
            <w:noWrap w:val="0"/>
            <w:vAlign w:val="center"/>
          </w:tcPr>
          <w:p w14:paraId="07DDE1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大气环境</w:t>
            </w:r>
          </w:p>
        </w:tc>
        <w:tc>
          <w:tcPr>
            <w:tcW w:w="735" w:type="dxa"/>
            <w:vMerge w:val="restart"/>
            <w:noWrap w:val="0"/>
            <w:vAlign w:val="center"/>
          </w:tcPr>
          <w:p w14:paraId="72AE41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有组织</w:t>
            </w:r>
          </w:p>
        </w:tc>
        <w:tc>
          <w:tcPr>
            <w:tcW w:w="1103" w:type="dxa"/>
            <w:noWrap w:val="0"/>
            <w:vAlign w:val="center"/>
          </w:tcPr>
          <w:p w14:paraId="62191F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2</w:t>
            </w:r>
            <w:r>
              <w:rPr>
                <w:rFonts w:hint="eastAsia" w:ascii="Times New Roman" w:hAnsi="Times New Roman" w:eastAsia="宋体" w:cs="Times New Roman"/>
                <w:color w:val="auto"/>
                <w:kern w:val="0"/>
                <w:sz w:val="21"/>
                <w:szCs w:val="21"/>
                <w:highlight w:val="none"/>
                <w:lang w:val="en-US" w:eastAsia="zh-CN" w:bidi="ar-SA"/>
              </w:rPr>
              <w:t>#排气筒</w:t>
            </w:r>
          </w:p>
        </w:tc>
        <w:tc>
          <w:tcPr>
            <w:tcW w:w="1257" w:type="dxa"/>
            <w:noWrap w:val="0"/>
            <w:vAlign w:val="center"/>
          </w:tcPr>
          <w:p w14:paraId="4083AF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cs="Times New Roman"/>
                <w:bCs/>
                <w:color w:val="auto"/>
                <w:szCs w:val="21"/>
                <w:highlight w:val="none"/>
                <w:lang w:val="en-US" w:eastAsia="zh-CN"/>
              </w:rPr>
              <w:t>颗粒物</w:t>
            </w:r>
            <w:r>
              <w:rPr>
                <w:rFonts w:hint="eastAsia" w:cs="Times New Roman"/>
                <w:bCs/>
                <w:color w:val="auto"/>
                <w:szCs w:val="21"/>
                <w:highlight w:val="none"/>
                <w:lang w:val="en-US" w:eastAsia="zh-CN"/>
              </w:rPr>
              <w:t>、镍及其化合物、铬及其化合物、氟化物</w:t>
            </w:r>
          </w:p>
        </w:tc>
        <w:tc>
          <w:tcPr>
            <w:tcW w:w="2063" w:type="dxa"/>
            <w:noWrap w:val="0"/>
            <w:vAlign w:val="center"/>
          </w:tcPr>
          <w:p w14:paraId="4FB5AA05">
            <w:pPr>
              <w:pStyle w:val="61"/>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Cs w:val="21"/>
                <w:lang w:bidi="ar"/>
              </w:rPr>
              <w:t>布袋除尘器</w:t>
            </w:r>
            <w:r>
              <w:rPr>
                <w:rFonts w:hint="eastAsia" w:cs="Times New Roman"/>
                <w:color w:val="auto"/>
                <w:kern w:val="0"/>
                <w:szCs w:val="21"/>
                <w:lang w:eastAsia="zh-CN" w:bidi="ar"/>
              </w:rPr>
              <w:t>（</w:t>
            </w:r>
            <w:r>
              <w:rPr>
                <w:rFonts w:hint="eastAsia" w:cs="Times New Roman"/>
                <w:color w:val="auto"/>
                <w:kern w:val="0"/>
                <w:szCs w:val="21"/>
                <w:lang w:val="en-US" w:eastAsia="zh-CN" w:bidi="ar"/>
              </w:rPr>
              <w:t>喷石灰粉</w:t>
            </w:r>
            <w:r>
              <w:rPr>
                <w:rFonts w:hint="eastAsia" w:cs="Times New Roman"/>
                <w:color w:val="auto"/>
                <w:kern w:val="0"/>
                <w:szCs w:val="21"/>
                <w:lang w:eastAsia="zh-CN" w:bidi="ar"/>
              </w:rPr>
              <w:t>）</w:t>
            </w:r>
            <w:r>
              <w:rPr>
                <w:rFonts w:hint="eastAsia" w:ascii="Times New Roman" w:hAnsi="Times New Roman" w:cs="Times New Roman"/>
                <w:color w:val="auto"/>
                <w:kern w:val="0"/>
                <w:szCs w:val="21"/>
                <w:lang w:bidi="ar"/>
              </w:rPr>
              <w:t>+排气筒</w:t>
            </w:r>
            <w:r>
              <w:rPr>
                <w:rFonts w:hint="eastAsia" w:cs="Times New Roman"/>
                <w:color w:val="auto"/>
                <w:kern w:val="0"/>
                <w:szCs w:val="21"/>
                <w:lang w:val="en-US" w:eastAsia="zh-CN" w:bidi="ar"/>
              </w:rPr>
              <w:t>2</w:t>
            </w:r>
            <w:r>
              <w:rPr>
                <w:rFonts w:hint="eastAsia" w:ascii="Times New Roman" w:hAnsi="Times New Roman" w:cs="Times New Roman"/>
                <w:color w:val="auto"/>
                <w:kern w:val="0"/>
                <w:szCs w:val="21"/>
                <w:lang w:bidi="ar"/>
              </w:rPr>
              <w:t>#，</w:t>
            </w:r>
            <w:r>
              <w:rPr>
                <w:rFonts w:hint="eastAsia" w:ascii="Times New Roman" w:hAnsi="Times New Roman" w:cs="Times New Roman"/>
                <w:color w:val="auto"/>
                <w:szCs w:val="21"/>
              </w:rPr>
              <w:t>变频风机，风量</w:t>
            </w:r>
            <w:r>
              <w:rPr>
                <w:rFonts w:hint="eastAsia" w:cs="Times New Roman"/>
                <w:color w:val="auto"/>
                <w:szCs w:val="21"/>
                <w:lang w:val="en-US" w:eastAsia="zh-CN"/>
              </w:rPr>
              <w:t>260</w:t>
            </w:r>
            <w:r>
              <w:rPr>
                <w:rFonts w:hint="default" w:ascii="Times New Roman" w:hAnsi="Times New Roman" w:cs="Times New Roman"/>
                <w:color w:val="auto"/>
                <w:szCs w:val="21"/>
              </w:rPr>
              <w:t>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r>
              <w:rPr>
                <w:rFonts w:hint="eastAsia" w:cs="Times New Roman"/>
                <w:color w:val="auto"/>
                <w:szCs w:val="21"/>
                <w:lang w:val="en-US" w:eastAsia="zh-CN"/>
              </w:rPr>
              <w:t>30</w:t>
            </w:r>
            <w:r>
              <w:rPr>
                <w:rFonts w:hint="default" w:ascii="Times New Roman" w:hAnsi="Times New Roman" w:cs="Times New Roman"/>
                <w:color w:val="auto"/>
                <w:szCs w:val="21"/>
              </w:rPr>
              <w:t>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1947" w:type="dxa"/>
            <w:vMerge w:val="restart"/>
            <w:noWrap w:val="0"/>
            <w:vAlign w:val="center"/>
          </w:tcPr>
          <w:p w14:paraId="7D61E20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《铸造工业大气污染物排放标准》（GB39726-2020）</w:t>
            </w:r>
            <w:r>
              <w:rPr>
                <w:rFonts w:hint="eastAsia" w:ascii="Times New Roman" w:hAnsi="Times New Roman" w:eastAsia="宋体" w:cs="Times New Roman"/>
                <w:color w:val="auto"/>
                <w:szCs w:val="21"/>
                <w:lang w:val="en-US" w:eastAsia="zh-CN"/>
              </w:rPr>
              <w:t>《大气污染物综合排放标准》（DB32/4041-2021）</w:t>
            </w:r>
          </w:p>
        </w:tc>
      </w:tr>
      <w:tr w14:paraId="372AAF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vMerge w:val="continue"/>
            <w:noWrap w:val="0"/>
            <w:vAlign w:val="center"/>
          </w:tcPr>
          <w:p w14:paraId="01A503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35" w:type="dxa"/>
            <w:vMerge w:val="continue"/>
            <w:noWrap w:val="0"/>
            <w:vAlign w:val="center"/>
          </w:tcPr>
          <w:p w14:paraId="724980A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highlight w:val="none"/>
                <w:lang w:val="en-US" w:eastAsia="zh-CN"/>
              </w:rPr>
            </w:pPr>
          </w:p>
        </w:tc>
        <w:tc>
          <w:tcPr>
            <w:tcW w:w="1103" w:type="dxa"/>
            <w:noWrap w:val="0"/>
            <w:vAlign w:val="center"/>
          </w:tcPr>
          <w:p w14:paraId="3B93FD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3#排气筒</w:t>
            </w:r>
          </w:p>
        </w:tc>
        <w:tc>
          <w:tcPr>
            <w:tcW w:w="1257" w:type="dxa"/>
            <w:noWrap w:val="0"/>
            <w:vAlign w:val="center"/>
          </w:tcPr>
          <w:p w14:paraId="2D09370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lang w:val="en-US"/>
              </w:rPr>
            </w:pPr>
            <w:r>
              <w:rPr>
                <w:rFonts w:hint="eastAsia" w:ascii="Times New Roman" w:hAnsi="Times New Roman" w:cs="Times New Roman"/>
                <w:bCs/>
                <w:color w:val="auto"/>
                <w:szCs w:val="21"/>
                <w:highlight w:val="none"/>
                <w:lang w:val="en-US" w:eastAsia="zh-CN"/>
              </w:rPr>
              <w:t>颗粒物</w:t>
            </w:r>
            <w:r>
              <w:rPr>
                <w:rFonts w:hint="eastAsia" w:cs="Times New Roman"/>
                <w:bCs/>
                <w:color w:val="auto"/>
                <w:szCs w:val="21"/>
                <w:highlight w:val="none"/>
                <w:lang w:val="en-US" w:eastAsia="zh-CN"/>
              </w:rPr>
              <w:t>、SO</w:t>
            </w:r>
            <w:r>
              <w:rPr>
                <w:rFonts w:hint="eastAsia" w:cs="Times New Roman"/>
                <w:bCs/>
                <w:color w:val="auto"/>
                <w:szCs w:val="21"/>
                <w:highlight w:val="none"/>
                <w:vertAlign w:val="subscript"/>
                <w:lang w:val="en-US" w:eastAsia="zh-CN"/>
              </w:rPr>
              <w:t>2</w:t>
            </w:r>
            <w:r>
              <w:rPr>
                <w:rFonts w:hint="eastAsia" w:cs="Times New Roman"/>
                <w:bCs/>
                <w:color w:val="auto"/>
                <w:szCs w:val="21"/>
                <w:highlight w:val="none"/>
                <w:lang w:val="en-US" w:eastAsia="zh-CN"/>
              </w:rPr>
              <w:t>、NOx</w:t>
            </w:r>
          </w:p>
        </w:tc>
        <w:tc>
          <w:tcPr>
            <w:tcW w:w="2063" w:type="dxa"/>
            <w:noWrap w:val="0"/>
            <w:vAlign w:val="center"/>
          </w:tcPr>
          <w:p w14:paraId="54D1DA49">
            <w:pPr>
              <w:pStyle w:val="61"/>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color w:val="auto"/>
                <w:kern w:val="2"/>
                <w:sz w:val="21"/>
                <w:szCs w:val="21"/>
                <w:highlight w:val="none"/>
                <w:lang w:val="en-US" w:eastAsia="zh-CN" w:bidi="ar-SA"/>
              </w:rPr>
            </w:pPr>
            <w:r>
              <w:rPr>
                <w:rFonts w:hint="eastAsia" w:cs="Times New Roman"/>
                <w:color w:val="auto"/>
                <w:kern w:val="0"/>
                <w:szCs w:val="21"/>
                <w:lang w:val="en-US" w:eastAsia="zh-CN" w:bidi="ar"/>
              </w:rPr>
              <w:t>低氮燃烧装置</w:t>
            </w:r>
            <w:r>
              <w:rPr>
                <w:rFonts w:hint="eastAsia" w:ascii="Times New Roman" w:hAnsi="Times New Roman" w:cs="Times New Roman"/>
                <w:color w:val="auto"/>
                <w:kern w:val="0"/>
                <w:szCs w:val="21"/>
                <w:lang w:bidi="ar"/>
              </w:rPr>
              <w:t>+排气筒</w:t>
            </w:r>
            <w:r>
              <w:rPr>
                <w:rFonts w:hint="eastAsia" w:cs="Times New Roman"/>
                <w:color w:val="auto"/>
                <w:kern w:val="0"/>
                <w:szCs w:val="21"/>
                <w:lang w:val="en-US" w:eastAsia="zh-CN" w:bidi="ar"/>
              </w:rPr>
              <w:t>3</w:t>
            </w:r>
            <w:r>
              <w:rPr>
                <w:rFonts w:hint="eastAsia" w:ascii="Times New Roman" w:hAnsi="Times New Roman" w:cs="Times New Roman"/>
                <w:color w:val="auto"/>
                <w:kern w:val="0"/>
                <w:szCs w:val="21"/>
                <w:lang w:bidi="ar"/>
              </w:rPr>
              <w:t>#</w:t>
            </w:r>
            <w:r>
              <w:rPr>
                <w:rFonts w:hint="eastAsia" w:ascii="Times New Roman" w:hAnsi="Times New Roman" w:cs="Times New Roman"/>
                <w:color w:val="auto"/>
                <w:szCs w:val="21"/>
              </w:rPr>
              <w:t>，风量</w:t>
            </w:r>
            <w:r>
              <w:rPr>
                <w:rFonts w:hint="eastAsia" w:cs="Times New Roman"/>
                <w:color w:val="auto"/>
                <w:szCs w:val="21"/>
                <w:lang w:val="en-US" w:eastAsia="zh-CN"/>
              </w:rPr>
              <w:t>6</w:t>
            </w:r>
            <w:r>
              <w:rPr>
                <w:rFonts w:hint="default" w:ascii="Times New Roman" w:hAnsi="Times New Roman" w:cs="Times New Roman"/>
                <w:color w:val="auto"/>
                <w:szCs w:val="21"/>
              </w:rPr>
              <w:t>000m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/h</w:t>
            </w:r>
          </w:p>
        </w:tc>
        <w:tc>
          <w:tcPr>
            <w:tcW w:w="1947" w:type="dxa"/>
            <w:vMerge w:val="continue"/>
            <w:noWrap w:val="0"/>
            <w:vAlign w:val="center"/>
          </w:tcPr>
          <w:p w14:paraId="037AAD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p>
        </w:tc>
      </w:tr>
      <w:tr w14:paraId="40B75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vMerge w:val="continue"/>
            <w:noWrap w:val="0"/>
            <w:vAlign w:val="center"/>
          </w:tcPr>
          <w:p w14:paraId="38EA51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35" w:type="dxa"/>
            <w:vMerge w:val="restart"/>
            <w:noWrap w:val="0"/>
            <w:vAlign w:val="center"/>
          </w:tcPr>
          <w:p w14:paraId="342D29D4">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szCs w:val="21"/>
                <w:highlight w:val="none"/>
                <w:lang w:val="en-US" w:eastAsia="zh-CN"/>
              </w:rPr>
              <w:t>无组织</w:t>
            </w:r>
          </w:p>
        </w:tc>
        <w:tc>
          <w:tcPr>
            <w:tcW w:w="1103" w:type="dxa"/>
            <w:noWrap w:val="0"/>
            <w:vAlign w:val="center"/>
          </w:tcPr>
          <w:p w14:paraId="2D7EAAB9">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车间</w:t>
            </w:r>
            <w:r>
              <w:rPr>
                <w:rFonts w:hint="eastAsia" w:cs="Times New Roman"/>
                <w:color w:val="auto"/>
                <w:szCs w:val="21"/>
                <w:highlight w:val="none"/>
                <w:lang w:val="en-US" w:eastAsia="zh-CN"/>
              </w:rPr>
              <w:t>二</w:t>
            </w:r>
          </w:p>
        </w:tc>
        <w:tc>
          <w:tcPr>
            <w:tcW w:w="1257" w:type="dxa"/>
            <w:noWrap w:val="0"/>
            <w:vAlign w:val="center"/>
          </w:tcPr>
          <w:p w14:paraId="1B42526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lang w:val="en-US"/>
              </w:rPr>
            </w:pPr>
            <w:r>
              <w:rPr>
                <w:rFonts w:hint="eastAsia" w:ascii="Times New Roman" w:hAnsi="Times New Roman" w:cs="Times New Roman"/>
                <w:bCs/>
                <w:color w:val="auto"/>
                <w:szCs w:val="21"/>
                <w:highlight w:val="none"/>
                <w:lang w:val="en-US" w:eastAsia="zh-CN"/>
              </w:rPr>
              <w:t>颗粒物</w:t>
            </w:r>
            <w:r>
              <w:rPr>
                <w:rFonts w:hint="eastAsia" w:cs="Times New Roman"/>
                <w:bCs/>
                <w:color w:val="auto"/>
                <w:szCs w:val="21"/>
                <w:highlight w:val="none"/>
                <w:lang w:val="en-US" w:eastAsia="zh-CN"/>
              </w:rPr>
              <w:t>、镍及其化合物、铬及其化合物、氟化物</w:t>
            </w:r>
          </w:p>
        </w:tc>
        <w:tc>
          <w:tcPr>
            <w:tcW w:w="2063" w:type="dxa"/>
            <w:vMerge w:val="restart"/>
            <w:noWrap w:val="0"/>
            <w:vAlign w:val="center"/>
          </w:tcPr>
          <w:p w14:paraId="4314BFB8">
            <w:pPr>
              <w:keepNext w:val="0"/>
              <w:keepLines w:val="0"/>
              <w:suppressLineNumbers w:val="0"/>
              <w:spacing w:before="0" w:beforeAutospacing="0" w:after="0" w:afterAutospacing="0"/>
              <w:ind w:left="0" w:right="0" w:firstLine="0" w:firstLineChars="0"/>
              <w:jc w:val="center"/>
              <w:rPr>
                <w:rFonts w:hint="eastAsia"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color w:val="auto"/>
                <w:szCs w:val="21"/>
              </w:rPr>
              <w:t>加强车间通风，规范生产管</w:t>
            </w:r>
            <w:r>
              <w:rPr>
                <w:rFonts w:hint="eastAsia" w:ascii="Times New Roman" w:hAnsi="Times New Roman" w:eastAsia="宋体" w:cs="Times New Roman"/>
                <w:color w:val="auto"/>
                <w:szCs w:val="21"/>
                <w:lang w:eastAsia="zh-CN"/>
              </w:rPr>
              <w:t>理和</w:t>
            </w:r>
            <w:r>
              <w:rPr>
                <w:rFonts w:hint="default" w:ascii="Times New Roman" w:hAnsi="Times New Roman" w:eastAsia="宋体" w:cs="Times New Roman"/>
                <w:color w:val="auto"/>
                <w:szCs w:val="21"/>
              </w:rPr>
              <w:t>生产操作</w:t>
            </w:r>
          </w:p>
        </w:tc>
        <w:tc>
          <w:tcPr>
            <w:tcW w:w="1947" w:type="dxa"/>
            <w:vMerge w:val="restart"/>
            <w:noWrap w:val="0"/>
            <w:vAlign w:val="center"/>
          </w:tcPr>
          <w:p w14:paraId="5CDFBE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《铸造工业大气污染物排放标准》（GB39726-2020）</w:t>
            </w:r>
            <w:r>
              <w:rPr>
                <w:rFonts w:hint="default" w:ascii="Times New Roman" w:hAnsi="Times New Roman" w:eastAsia="宋体" w:cs="Times New Roman"/>
                <w:color w:val="auto"/>
                <w:szCs w:val="21"/>
              </w:rPr>
              <w:t>《大气污染物综合排放标准》（DB32/4041-2021）</w:t>
            </w:r>
          </w:p>
        </w:tc>
      </w:tr>
      <w:tr w14:paraId="791E41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vMerge w:val="continue"/>
            <w:noWrap w:val="0"/>
            <w:vAlign w:val="center"/>
          </w:tcPr>
          <w:p w14:paraId="48946A9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735" w:type="dxa"/>
            <w:vMerge w:val="continue"/>
            <w:noWrap w:val="0"/>
            <w:vAlign w:val="center"/>
          </w:tcPr>
          <w:p w14:paraId="62F8CF36">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highlight w:val="none"/>
                <w:lang w:val="en-US" w:eastAsia="zh-CN"/>
              </w:rPr>
            </w:pPr>
          </w:p>
        </w:tc>
        <w:tc>
          <w:tcPr>
            <w:tcW w:w="1103" w:type="dxa"/>
            <w:noWrap w:val="0"/>
            <w:vAlign w:val="center"/>
          </w:tcPr>
          <w:p w14:paraId="5683F4D8">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车间三</w:t>
            </w:r>
          </w:p>
        </w:tc>
        <w:tc>
          <w:tcPr>
            <w:tcW w:w="1257" w:type="dxa"/>
            <w:noWrap w:val="0"/>
            <w:vAlign w:val="center"/>
          </w:tcPr>
          <w:p w14:paraId="3BCEAE9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lang w:val="en-US" w:eastAsia="zh-CN"/>
              </w:rPr>
            </w:pPr>
            <w:r>
              <w:rPr>
                <w:rFonts w:hint="eastAsia" w:cs="Times New Roman"/>
                <w:bCs/>
                <w:color w:val="auto"/>
                <w:szCs w:val="21"/>
                <w:highlight w:val="none"/>
                <w:lang w:val="en-US" w:eastAsia="zh-CN"/>
              </w:rPr>
              <w:t>颗粒物</w:t>
            </w:r>
          </w:p>
        </w:tc>
        <w:tc>
          <w:tcPr>
            <w:tcW w:w="2063" w:type="dxa"/>
            <w:vMerge w:val="continue"/>
            <w:noWrap w:val="0"/>
            <w:vAlign w:val="center"/>
          </w:tcPr>
          <w:p w14:paraId="27DD79F1">
            <w:pPr>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color w:val="auto"/>
                <w:szCs w:val="21"/>
              </w:rPr>
            </w:pPr>
          </w:p>
        </w:tc>
        <w:tc>
          <w:tcPr>
            <w:tcW w:w="1947" w:type="dxa"/>
            <w:vMerge w:val="continue"/>
            <w:noWrap w:val="0"/>
            <w:vAlign w:val="center"/>
          </w:tcPr>
          <w:p w14:paraId="1FE6BDE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r>
      <w:tr w14:paraId="57D74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4136DA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地表水环境</w:t>
            </w:r>
          </w:p>
        </w:tc>
        <w:tc>
          <w:tcPr>
            <w:tcW w:w="7105" w:type="dxa"/>
            <w:gridSpan w:val="5"/>
            <w:noWrap w:val="0"/>
            <w:vAlign w:val="center"/>
          </w:tcPr>
          <w:p w14:paraId="0834B49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0"/>
                <w:sz w:val="21"/>
                <w:szCs w:val="21"/>
              </w:rPr>
              <w:t>本项目</w:t>
            </w:r>
            <w:r>
              <w:rPr>
                <w:rFonts w:hint="eastAsia" w:ascii="Times New Roman" w:hAnsi="Times New Roman" w:cs="Times New Roman"/>
                <w:color w:val="auto"/>
                <w:kern w:val="0"/>
                <w:sz w:val="21"/>
                <w:szCs w:val="21"/>
              </w:rPr>
              <w:t>不产生生产废水，</w:t>
            </w:r>
            <w:r>
              <w:rPr>
                <w:rFonts w:hint="default" w:ascii="Times New Roman" w:hAnsi="Times New Roman" w:cs="Times New Roman"/>
                <w:color w:val="auto"/>
                <w:kern w:val="0"/>
                <w:sz w:val="21"/>
                <w:szCs w:val="21"/>
              </w:rPr>
              <w:t>不新增员工，不新增生活污水</w:t>
            </w:r>
            <w:r>
              <w:rPr>
                <w:rFonts w:hint="eastAsia" w:ascii="Times New Roman" w:hAnsi="Times New Roman" w:cs="Times New Roman"/>
                <w:color w:val="auto"/>
                <w:kern w:val="0"/>
                <w:sz w:val="21"/>
                <w:szCs w:val="21"/>
                <w:lang w:eastAsia="zh-CN"/>
              </w:rPr>
              <w:t>。</w:t>
            </w:r>
          </w:p>
        </w:tc>
      </w:tr>
      <w:tr w14:paraId="44CAA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16038D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声环境</w:t>
            </w:r>
          </w:p>
        </w:tc>
        <w:tc>
          <w:tcPr>
            <w:tcW w:w="1838" w:type="dxa"/>
            <w:gridSpan w:val="2"/>
            <w:noWrap w:val="0"/>
            <w:vAlign w:val="center"/>
          </w:tcPr>
          <w:p w14:paraId="066891D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生产/公辅设备</w:t>
            </w:r>
          </w:p>
        </w:tc>
        <w:tc>
          <w:tcPr>
            <w:tcW w:w="1257" w:type="dxa"/>
            <w:noWrap w:val="0"/>
            <w:vAlign w:val="center"/>
          </w:tcPr>
          <w:p w14:paraId="7AF6C479">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噪声</w:t>
            </w:r>
          </w:p>
        </w:tc>
        <w:tc>
          <w:tcPr>
            <w:tcW w:w="2063" w:type="dxa"/>
            <w:noWrap w:val="0"/>
            <w:vAlign w:val="center"/>
          </w:tcPr>
          <w:p w14:paraId="445AE24D">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Cs w:val="21"/>
              </w:rPr>
              <w:t>选用低噪声设备，距离衰减、建筑隔声</w:t>
            </w:r>
          </w:p>
        </w:tc>
        <w:tc>
          <w:tcPr>
            <w:tcW w:w="1947" w:type="dxa"/>
            <w:noWrap w:val="0"/>
            <w:vAlign w:val="center"/>
          </w:tcPr>
          <w:p w14:paraId="40EFB7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kern w:val="2"/>
                <w:sz w:val="21"/>
                <w:szCs w:val="21"/>
                <w:lang w:val="en-US" w:eastAsia="zh-CN" w:bidi="ar-SA"/>
              </w:rPr>
            </w:pPr>
            <w:r>
              <w:rPr>
                <w:rFonts w:hint="default" w:ascii="Times New Roman" w:hAnsi="Times New Roman" w:cs="Times New Roman"/>
                <w:color w:val="auto"/>
                <w:szCs w:val="21"/>
              </w:rPr>
              <w:t>《工业企业厂界环境噪声排放标准》中</w:t>
            </w:r>
            <w:r>
              <w:rPr>
                <w:rFonts w:hint="eastAsia" w:ascii="Times New Roman" w:hAnsi="Times New Roman" w:cs="Times New Roman"/>
                <w:color w:val="auto"/>
                <w:szCs w:val="21"/>
              </w:rPr>
              <w:t>3</w:t>
            </w:r>
            <w:r>
              <w:rPr>
                <w:rFonts w:hint="default" w:ascii="Times New Roman" w:hAnsi="Times New Roman" w:cs="Times New Roman"/>
                <w:color w:val="auto"/>
                <w:szCs w:val="21"/>
              </w:rPr>
              <w:t>类标准</w:t>
            </w:r>
          </w:p>
        </w:tc>
      </w:tr>
      <w:tr w14:paraId="1E557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0B53B6E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电磁辐射</w:t>
            </w:r>
          </w:p>
        </w:tc>
        <w:tc>
          <w:tcPr>
            <w:tcW w:w="7105" w:type="dxa"/>
            <w:gridSpan w:val="5"/>
            <w:noWrap w:val="0"/>
            <w:vAlign w:val="center"/>
          </w:tcPr>
          <w:p w14:paraId="46F3FA1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r>
      <w:tr w14:paraId="4394E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489F06C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固体废物</w:t>
            </w:r>
          </w:p>
        </w:tc>
        <w:tc>
          <w:tcPr>
            <w:tcW w:w="7105" w:type="dxa"/>
            <w:gridSpan w:val="5"/>
            <w:noWrap w:val="0"/>
            <w:vAlign w:val="center"/>
          </w:tcPr>
          <w:p w14:paraId="5CD651FB">
            <w:pPr>
              <w:keepNext w:val="0"/>
              <w:keepLines w:val="0"/>
              <w:suppressLineNumbers w:val="0"/>
              <w:adjustRightInd w:val="0"/>
              <w:snapToGrid w:val="0"/>
              <w:spacing w:before="0" w:beforeAutospacing="0" w:after="0" w:afterAutospacing="0"/>
              <w:ind w:left="0" w:right="0"/>
              <w:jc w:val="left"/>
              <w:rPr>
                <w:rFonts w:hint="eastAsia"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一般固废：焊渣、废炉渣、废包装材料、经收集后外售综合利用；废浇冒口经收集后回用于中频炉熔化；</w:t>
            </w:r>
          </w:p>
          <w:p w14:paraId="077FA687">
            <w:pPr>
              <w:keepNext w:val="0"/>
              <w:keepLines w:val="0"/>
              <w:suppressLineNumbers w:val="0"/>
              <w:adjustRightInd w:val="0"/>
              <w:snapToGrid w:val="0"/>
              <w:spacing w:before="0" w:beforeAutospacing="0" w:after="0" w:afterAutospacing="0"/>
              <w:ind w:left="0" w:right="0"/>
              <w:jc w:val="left"/>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危险废物：布袋除尘器收尘（电渣重熔）、废布袋（电渣重熔）、废切削液、废包装桶、废润滑油经收集后委托有资质单位集中处理。</w:t>
            </w:r>
          </w:p>
        </w:tc>
      </w:tr>
      <w:tr w14:paraId="72800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390029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w:t>
            </w:r>
          </w:p>
          <w:p w14:paraId="7F2FCB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污染防治措施</w:t>
            </w:r>
          </w:p>
        </w:tc>
        <w:tc>
          <w:tcPr>
            <w:tcW w:w="7105" w:type="dxa"/>
            <w:gridSpan w:val="5"/>
            <w:noWrap w:val="0"/>
            <w:vAlign w:val="center"/>
          </w:tcPr>
          <w:p w14:paraId="2D2556CB">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重点防渗区——</w:t>
            </w:r>
            <w:r>
              <w:rPr>
                <w:rFonts w:hint="eastAsia" w:ascii="Times New Roman" w:hAnsi="Times New Roman" w:cs="Times New Roman"/>
                <w:color w:val="auto"/>
                <w:szCs w:val="21"/>
              </w:rPr>
              <w:t>危废仓库、液态原料库</w:t>
            </w:r>
            <w:r>
              <w:rPr>
                <w:rFonts w:hint="default" w:ascii="Times New Roman" w:hAnsi="Times New Roman" w:cs="Times New Roman"/>
                <w:color w:val="auto"/>
                <w:szCs w:val="21"/>
                <w:lang w:bidi="ar"/>
              </w:rPr>
              <w:t>应选用人工防渗材料，防渗技术要求为等效黏土防渗层Mb≥6.0m，渗透系数K≤10</w:t>
            </w:r>
            <w:r>
              <w:rPr>
                <w:rFonts w:hint="default" w:ascii="Times New Roman" w:hAnsi="Times New Roman" w:cs="Times New Roman"/>
                <w:color w:val="auto"/>
                <w:szCs w:val="21"/>
                <w:vertAlign w:val="superscript"/>
                <w:lang w:bidi="ar"/>
              </w:rPr>
              <w:t>-7</w:t>
            </w:r>
            <w:r>
              <w:rPr>
                <w:rFonts w:hint="default" w:ascii="Times New Roman" w:hAnsi="Times New Roman" w:cs="Times New Roman"/>
                <w:color w:val="auto"/>
                <w:szCs w:val="21"/>
                <w:lang w:bidi="ar"/>
              </w:rPr>
              <w:t>cm/s。另外，重点防渗区还应满足《危险废物贮存污染控制标准》（GB18597-20</w:t>
            </w:r>
            <w:r>
              <w:rPr>
                <w:rFonts w:hint="eastAsia" w:ascii="Times New Roman" w:hAnsi="Times New Roman" w:cs="Times New Roman"/>
                <w:color w:val="auto"/>
                <w:szCs w:val="21"/>
                <w:lang w:bidi="ar"/>
              </w:rPr>
              <w:t>23</w:t>
            </w:r>
            <w:r>
              <w:rPr>
                <w:rFonts w:hint="default" w:ascii="Times New Roman" w:hAnsi="Times New Roman" w:cs="Times New Roman"/>
                <w:color w:val="auto"/>
                <w:szCs w:val="21"/>
                <w:lang w:bidi="ar"/>
              </w:rPr>
              <w:t>）中要求，即防渗层为至少1米厚黏土层（渗透系数K≤10</w:t>
            </w:r>
            <w:r>
              <w:rPr>
                <w:rFonts w:hint="default" w:ascii="Times New Roman" w:hAnsi="Times New Roman" w:cs="Times New Roman"/>
                <w:color w:val="auto"/>
                <w:szCs w:val="21"/>
                <w:vertAlign w:val="superscript"/>
                <w:lang w:bidi="ar"/>
              </w:rPr>
              <w:t>-7</w:t>
            </w:r>
            <w:r>
              <w:rPr>
                <w:rFonts w:hint="default" w:ascii="Times New Roman" w:hAnsi="Times New Roman" w:cs="Times New Roman"/>
                <w:color w:val="auto"/>
                <w:szCs w:val="21"/>
                <w:lang w:bidi="ar"/>
              </w:rPr>
              <w:t>cm/s），或2毫米厚高密度聚乙烯，或至少2毫米厚的其他人工材料，渗透系统上K≤10</w:t>
            </w:r>
            <w:r>
              <w:rPr>
                <w:rFonts w:hint="default" w:ascii="Times New Roman" w:hAnsi="Times New Roman" w:cs="Times New Roman"/>
                <w:color w:val="auto"/>
                <w:szCs w:val="21"/>
                <w:vertAlign w:val="superscript"/>
                <w:lang w:bidi="ar"/>
              </w:rPr>
              <w:t>-10</w:t>
            </w:r>
            <w:r>
              <w:rPr>
                <w:rFonts w:hint="default" w:ascii="Times New Roman" w:hAnsi="Times New Roman" w:cs="Times New Roman"/>
                <w:color w:val="auto"/>
                <w:szCs w:val="21"/>
                <w:lang w:bidi="ar"/>
              </w:rPr>
              <w:t>cm/s；</w:t>
            </w:r>
          </w:p>
          <w:p w14:paraId="1FC2F9F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lang w:val="en-US" w:eastAsia="zh-CN" w:bidi="ar"/>
              </w:rPr>
              <w:t>一般污染防</w:t>
            </w:r>
            <w:r>
              <w:rPr>
                <w:rFonts w:hint="eastAsia" w:cs="Times New Roman"/>
                <w:color w:val="auto"/>
                <w:sz w:val="21"/>
                <w:szCs w:val="21"/>
                <w:lang w:val="en-US" w:eastAsia="zh-CN" w:bidi="ar"/>
              </w:rPr>
              <w:t>渗</w:t>
            </w:r>
            <w:r>
              <w:rPr>
                <w:rFonts w:hint="default" w:ascii="Times New Roman" w:hAnsi="Times New Roman" w:cs="Times New Roman"/>
                <w:color w:val="auto"/>
                <w:sz w:val="21"/>
                <w:szCs w:val="21"/>
                <w:lang w:val="en-US" w:eastAsia="zh-CN" w:bidi="ar"/>
              </w:rPr>
              <w:t>区——其它车间，铺设配筋混凝土加防渗剂的防渗地坪，切断污染地下水途径，防渗技术要求为等效黏土防渗层Mb≥1.5m，渗透系数K≤10</w:t>
            </w:r>
            <w:r>
              <w:rPr>
                <w:rFonts w:hint="default" w:ascii="Times New Roman" w:hAnsi="Times New Roman" w:cs="Times New Roman"/>
                <w:color w:val="auto"/>
                <w:sz w:val="21"/>
                <w:szCs w:val="21"/>
                <w:vertAlign w:val="superscript"/>
                <w:lang w:val="en-US" w:eastAsia="zh-CN" w:bidi="ar"/>
              </w:rPr>
              <w:t>-7</w:t>
            </w:r>
            <w:r>
              <w:rPr>
                <w:rFonts w:hint="default" w:ascii="Times New Roman" w:hAnsi="Times New Roman" w:cs="Times New Roman"/>
                <w:color w:val="auto"/>
                <w:sz w:val="21"/>
                <w:szCs w:val="21"/>
                <w:lang w:val="en-US" w:eastAsia="zh-CN" w:bidi="ar"/>
              </w:rPr>
              <w:t>cm/s</w:t>
            </w:r>
            <w:r>
              <w:rPr>
                <w:rFonts w:hint="default" w:ascii="Times New Roman" w:hAnsi="Times New Roman" w:cs="Times New Roman"/>
                <w:color w:val="auto"/>
                <w:sz w:val="21"/>
                <w:szCs w:val="21"/>
                <w:lang w:val="en-US" w:eastAsia="zh-CN"/>
              </w:rPr>
              <w:t>。</w:t>
            </w:r>
          </w:p>
        </w:tc>
      </w:tr>
      <w:tr w14:paraId="25F405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77E905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生态保护措施</w:t>
            </w:r>
          </w:p>
        </w:tc>
        <w:tc>
          <w:tcPr>
            <w:tcW w:w="7105" w:type="dxa"/>
            <w:gridSpan w:val="5"/>
            <w:noWrap w:val="0"/>
            <w:vAlign w:val="center"/>
          </w:tcPr>
          <w:p w14:paraId="3B6765E5">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对照《省政府关于印发江苏省生态红线区域保护规划的通知》（苏政发</w:t>
            </w:r>
            <w:r>
              <w:rPr>
                <w:rFonts w:hint="eastAsia" w:ascii="Times New Roman" w:hAnsi="Times New Roman" w:cs="Times New Roman"/>
                <w:color w:val="auto"/>
                <w:szCs w:val="21"/>
              </w:rPr>
              <w:t>〔</w:t>
            </w:r>
            <w:r>
              <w:rPr>
                <w:rFonts w:hint="default" w:ascii="Times New Roman" w:hAnsi="Times New Roman" w:cs="Times New Roman"/>
                <w:color w:val="auto"/>
                <w:szCs w:val="21"/>
              </w:rPr>
              <w:t>2020</w:t>
            </w:r>
            <w:r>
              <w:rPr>
                <w:rFonts w:hint="eastAsia" w:ascii="Times New Roman" w:hAnsi="Times New Roman" w:cs="Times New Roman"/>
                <w:color w:val="auto"/>
                <w:szCs w:val="21"/>
              </w:rPr>
              <w:t>〕</w:t>
            </w:r>
            <w:r>
              <w:rPr>
                <w:rFonts w:hint="default" w:ascii="Times New Roman" w:hAnsi="Times New Roman" w:cs="Times New Roman"/>
                <w:color w:val="auto"/>
                <w:szCs w:val="21"/>
              </w:rPr>
              <w:t>1号）和《江苏省政府关于印发江苏省国家级生态保护红线规划的通知》（苏政发</w:t>
            </w:r>
            <w:r>
              <w:rPr>
                <w:rFonts w:hint="eastAsia" w:ascii="Times New Roman" w:hAnsi="Times New Roman" w:cs="Times New Roman"/>
                <w:color w:val="auto"/>
                <w:szCs w:val="21"/>
              </w:rPr>
              <w:t>〔</w:t>
            </w:r>
            <w:r>
              <w:rPr>
                <w:rFonts w:hint="default" w:ascii="Times New Roman" w:hAnsi="Times New Roman" w:cs="Times New Roman"/>
                <w:color w:val="auto"/>
                <w:szCs w:val="21"/>
              </w:rPr>
              <w:t>2018</w:t>
            </w:r>
            <w:r>
              <w:rPr>
                <w:rFonts w:hint="eastAsia" w:ascii="Times New Roman" w:hAnsi="Times New Roman" w:cs="Times New Roman"/>
                <w:color w:val="auto"/>
                <w:szCs w:val="21"/>
              </w:rPr>
              <w:t>〕</w:t>
            </w:r>
            <w:r>
              <w:rPr>
                <w:rFonts w:hint="default" w:ascii="Times New Roman" w:hAnsi="Times New Roman" w:cs="Times New Roman"/>
                <w:color w:val="auto"/>
                <w:szCs w:val="21"/>
              </w:rPr>
              <w:t>74 号），本项目不在重要生态功能保护区区域内，不会对重要生态功能保护区造成影响。</w:t>
            </w:r>
          </w:p>
          <w:p w14:paraId="5B3643D3">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lang w:val="en-US" w:eastAsia="zh-CN"/>
              </w:rPr>
              <w:t>本项目所使用的土地性质为工业用地。本项目建设不改变土地利用类型，对周边生态影响较小。</w:t>
            </w:r>
          </w:p>
        </w:tc>
      </w:tr>
      <w:tr w14:paraId="24A78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95" w:type="dxa"/>
            <w:noWrap w:val="0"/>
            <w:vAlign w:val="center"/>
          </w:tcPr>
          <w:p w14:paraId="0D2E982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环境风险</w:t>
            </w:r>
          </w:p>
          <w:p w14:paraId="086B25E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防范措施</w:t>
            </w:r>
          </w:p>
        </w:tc>
        <w:tc>
          <w:tcPr>
            <w:tcW w:w="7105" w:type="dxa"/>
            <w:gridSpan w:val="5"/>
            <w:noWrap w:val="0"/>
            <w:vAlign w:val="center"/>
          </w:tcPr>
          <w:p w14:paraId="0E5B330F">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（1）原料仓库地面做好防腐防渗，危废库房按要求设置，并配备应急物资，配套相应截流措施及收集装置；</w:t>
            </w:r>
          </w:p>
          <w:p w14:paraId="519418EC">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2）车间内设置应急桶、消防砂、吸附毡等，若发生小量泄漏时，及时采用吸附毡、吸附剂进行应急处理；若发生大量泄漏，及时将破损桶内的物料转移至应急桶内，产生的伴生/次生污染物委托有资质单位集中处置，可防止泄漏物直接排入外环境，进而进入周边地表水环境。</w:t>
            </w:r>
          </w:p>
          <w:p w14:paraId="24D21156">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（3）设专人负责定期巡查废气处理装置，一旦出现故障，需停产直至废气处理装置整修完毕并重新启动。</w:t>
            </w:r>
          </w:p>
          <w:p w14:paraId="48A22AA4">
            <w:pPr>
              <w:keepNext w:val="0"/>
              <w:keepLines w:val="0"/>
              <w:widowControl/>
              <w:suppressLineNumbers w:val="0"/>
              <w:autoSpaceDE w:val="0"/>
              <w:autoSpaceDN w:val="0"/>
              <w:adjustRightInd w:val="0"/>
              <w:spacing w:before="0" w:beforeAutospacing="0" w:after="0" w:afterAutospacing="0"/>
              <w:ind w:left="0" w:right="0"/>
              <w:jc w:val="left"/>
              <w:rPr>
                <w:rFonts w:hint="eastAsia" w:ascii="Times New Roman" w:hAnsi="Times New Roman" w:cs="Times New Roman"/>
                <w:color w:val="auto"/>
                <w:szCs w:val="21"/>
              </w:rPr>
            </w:pPr>
            <w:r>
              <w:rPr>
                <w:rFonts w:hint="eastAsia" w:ascii="Times New Roman" w:hAnsi="Times New Roman" w:cs="Times New Roman"/>
                <w:color w:val="auto"/>
                <w:szCs w:val="21"/>
              </w:rPr>
              <w:t>（4）生产区、贮存区（液态原料库、危废库）附近严禁明火，且需设置干粉灭火器、消防砂；厂内采用电话报警，专人负责。</w:t>
            </w:r>
          </w:p>
          <w:p w14:paraId="1F1A3E47">
            <w:pPr>
              <w:keepNext w:val="0"/>
              <w:keepLines w:val="0"/>
              <w:suppressLineNumbers w:val="0"/>
              <w:adjustRightInd w:val="0"/>
              <w:snapToGrid w:val="0"/>
              <w:spacing w:before="0" w:beforeAutospacing="0" w:after="0" w:afterAutospacing="0"/>
              <w:ind w:left="0" w:right="0"/>
              <w:jc w:val="left"/>
              <w:rPr>
                <w:rFonts w:hint="default"/>
                <w:color w:val="auto"/>
              </w:rPr>
            </w:pPr>
            <w:r>
              <w:rPr>
                <w:rFonts w:hint="eastAsia" w:ascii="Times New Roman" w:hAnsi="Times New Roman" w:cs="Times New Roman"/>
                <w:color w:val="auto"/>
                <w:szCs w:val="21"/>
              </w:rPr>
              <w:t>（5）定期检查原料库、危废库的暂存情况，定期检查厂内各风险防范措施的完善情况，建立健全应急防范机制。</w:t>
            </w:r>
          </w:p>
        </w:tc>
      </w:tr>
      <w:tr w14:paraId="080C27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95" w:hRule="atLeast"/>
          <w:jc w:val="center"/>
        </w:trPr>
        <w:tc>
          <w:tcPr>
            <w:tcW w:w="1695" w:type="dxa"/>
            <w:noWrap w:val="0"/>
            <w:vAlign w:val="top"/>
          </w:tcPr>
          <w:p w14:paraId="30BD38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其他环境</w:t>
            </w:r>
          </w:p>
          <w:p w14:paraId="3BBAFDE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pacing w:val="-8"/>
                <w:szCs w:val="21"/>
                <w:highlight w:val="none"/>
              </w:rPr>
            </w:pPr>
            <w:r>
              <w:rPr>
                <w:rFonts w:hint="default" w:ascii="Times New Roman" w:hAnsi="Times New Roman" w:cs="Times New Roman"/>
                <w:color w:val="auto"/>
                <w:spacing w:val="-8"/>
                <w:szCs w:val="21"/>
                <w:highlight w:val="none"/>
              </w:rPr>
              <w:t>管理要求</w:t>
            </w:r>
          </w:p>
        </w:tc>
        <w:tc>
          <w:tcPr>
            <w:tcW w:w="7105" w:type="dxa"/>
            <w:gridSpan w:val="5"/>
            <w:noWrap w:val="0"/>
            <w:vAlign w:val="top"/>
          </w:tcPr>
          <w:p w14:paraId="335AC81A">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eastAsia" w:cs="Times New Roman"/>
                <w:color w:val="auto"/>
                <w:szCs w:val="21"/>
                <w:lang w:eastAsia="zh-CN"/>
              </w:rPr>
              <w:t>（</w:t>
            </w:r>
            <w:r>
              <w:rPr>
                <w:rFonts w:hint="eastAsia" w:cs="Times New Roman"/>
                <w:color w:val="auto"/>
                <w:szCs w:val="21"/>
                <w:lang w:val="en-US" w:eastAsia="zh-CN"/>
              </w:rPr>
              <w:t>1</w:t>
            </w:r>
            <w:r>
              <w:rPr>
                <w:rFonts w:hint="eastAsia" w:cs="Times New Roman"/>
                <w:color w:val="auto"/>
                <w:szCs w:val="21"/>
                <w:lang w:eastAsia="zh-CN"/>
              </w:rPr>
              <w:t>）</w:t>
            </w:r>
            <w:r>
              <w:rPr>
                <w:rFonts w:hint="eastAsia" w:ascii="Times New Roman" w:hAnsi="Times New Roman" w:cs="Times New Roman"/>
                <w:color w:val="auto"/>
                <w:szCs w:val="21"/>
              </w:rPr>
              <w:t>本项目</w:t>
            </w:r>
            <w:r>
              <w:rPr>
                <w:rFonts w:hint="eastAsia" w:ascii="Times New Roman" w:hAnsi="Times New Roman" w:cs="Times New Roman"/>
                <w:color w:val="auto"/>
                <w:szCs w:val="21"/>
                <w:lang w:val="en-US" w:eastAsia="zh-CN"/>
              </w:rPr>
              <w:t>建成后全厂以厂区边界</w:t>
            </w:r>
            <w:r>
              <w:rPr>
                <w:rFonts w:hint="eastAsia" w:cs="Times New Roman"/>
                <w:color w:val="auto"/>
                <w:szCs w:val="21"/>
                <w:lang w:val="en-US" w:eastAsia="zh-CN"/>
              </w:rPr>
              <w:t>为界设置</w:t>
            </w:r>
            <w:r>
              <w:rPr>
                <w:rFonts w:hint="eastAsia" w:ascii="Times New Roman" w:hAnsi="Times New Roman" w:cs="Times New Roman"/>
                <w:color w:val="auto"/>
                <w:szCs w:val="21"/>
                <w:lang w:val="en-US" w:eastAsia="zh-CN"/>
              </w:rPr>
              <w:t>100m</w:t>
            </w:r>
            <w:r>
              <w:rPr>
                <w:rFonts w:hint="eastAsia" w:ascii="Times New Roman" w:hAnsi="Times New Roman" w:cs="Times New Roman"/>
                <w:color w:val="auto"/>
                <w:szCs w:val="21"/>
              </w:rPr>
              <w:t>的卫生防护距离</w:t>
            </w:r>
            <w:r>
              <w:rPr>
                <w:rFonts w:hint="default" w:ascii="Times New Roman" w:hAnsi="Times New Roman" w:cs="Times New Roman"/>
                <w:color w:val="auto"/>
                <w:szCs w:val="21"/>
              </w:rPr>
              <w:t>，现无居民点及敏感目标</w:t>
            </w:r>
            <w:r>
              <w:rPr>
                <w:rFonts w:hint="eastAsia" w:ascii="Times New Roman" w:hAnsi="Times New Roman" w:cs="Times New Roman"/>
                <w:color w:val="auto"/>
                <w:szCs w:val="21"/>
              </w:rPr>
              <w:t>。</w:t>
            </w:r>
          </w:p>
          <w:p w14:paraId="322E7164">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eastAsia" w:cs="Times New Roman"/>
                <w:color w:val="auto"/>
                <w:szCs w:val="21"/>
                <w:lang w:eastAsia="zh-CN"/>
              </w:rPr>
              <w:t>（</w:t>
            </w:r>
            <w:r>
              <w:rPr>
                <w:rFonts w:hint="eastAsia" w:cs="Times New Roman"/>
                <w:color w:val="auto"/>
                <w:szCs w:val="21"/>
                <w:lang w:val="en-US" w:eastAsia="zh-CN"/>
              </w:rPr>
              <w:t>2</w:t>
            </w:r>
            <w:r>
              <w:rPr>
                <w:rFonts w:hint="eastAsia" w:cs="Times New Roman"/>
                <w:color w:val="auto"/>
                <w:szCs w:val="21"/>
                <w:lang w:eastAsia="zh-CN"/>
              </w:rPr>
              <w:t>）</w:t>
            </w:r>
            <w:r>
              <w:rPr>
                <w:rFonts w:hint="default" w:ascii="Times New Roman" w:hAnsi="Times New Roman" w:cs="Times New Roman"/>
                <w:color w:val="auto"/>
                <w:szCs w:val="21"/>
              </w:rPr>
              <w:t>排污口设置——本项目排水系统按“清污分流、雨污分流”原则设计，厂区设置1个污水接管口，1个雨水口（雨水口设置应急控制阀门）。按《江苏省排污口设置及规范化整治管理办法》</w:t>
            </w:r>
            <w:r>
              <w:rPr>
                <w:rFonts w:hint="eastAsia" w:ascii="Times New Roman" w:hAnsi="Times New Roman" w:cs="Times New Roman"/>
                <w:color w:val="auto"/>
                <w:szCs w:val="21"/>
              </w:rPr>
              <w:t>（</w:t>
            </w:r>
            <w:r>
              <w:rPr>
                <w:rFonts w:hint="default" w:ascii="Times New Roman" w:hAnsi="Times New Roman" w:cs="Times New Roman"/>
                <w:color w:val="auto"/>
                <w:szCs w:val="21"/>
              </w:rPr>
              <w:t>苏环控</w:t>
            </w:r>
            <w:r>
              <w:rPr>
                <w:rFonts w:hint="eastAsia" w:ascii="Times New Roman" w:hAnsi="Times New Roman" w:cs="Times New Roman"/>
                <w:color w:val="auto"/>
                <w:szCs w:val="21"/>
              </w:rPr>
              <w:t>〔</w:t>
            </w:r>
            <w:r>
              <w:rPr>
                <w:rFonts w:hint="default" w:ascii="Times New Roman" w:hAnsi="Times New Roman" w:cs="Times New Roman"/>
                <w:color w:val="auto"/>
                <w:szCs w:val="21"/>
              </w:rPr>
              <w:t>97</w:t>
            </w:r>
            <w:r>
              <w:rPr>
                <w:rFonts w:hint="eastAsia" w:ascii="Times New Roman" w:hAnsi="Times New Roman" w:cs="Times New Roman"/>
                <w:color w:val="auto"/>
                <w:szCs w:val="21"/>
              </w:rPr>
              <w:t>〕</w:t>
            </w:r>
            <w:r>
              <w:rPr>
                <w:rFonts w:hint="default" w:ascii="Times New Roman" w:hAnsi="Times New Roman" w:cs="Times New Roman"/>
                <w:color w:val="auto"/>
                <w:szCs w:val="21"/>
              </w:rPr>
              <w:t>122号</w:t>
            </w:r>
            <w:r>
              <w:rPr>
                <w:rFonts w:hint="eastAsia" w:ascii="Times New Roman" w:hAnsi="Times New Roman" w:cs="Times New Roman"/>
                <w:color w:val="auto"/>
                <w:szCs w:val="21"/>
              </w:rPr>
              <w:t>）</w:t>
            </w:r>
            <w:r>
              <w:rPr>
                <w:rFonts w:hint="default" w:ascii="Times New Roman" w:hAnsi="Times New Roman" w:cs="Times New Roman"/>
                <w:color w:val="auto"/>
                <w:szCs w:val="21"/>
              </w:rPr>
              <w:t>要求，对污水接管口、污水排放口、固定噪声污染源、固体废物堆场进行规范化设置。</w:t>
            </w:r>
          </w:p>
          <w:p w14:paraId="61ABB8E3">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eastAsia" w:cs="Times New Roman"/>
                <w:color w:val="auto"/>
                <w:szCs w:val="21"/>
                <w:lang w:eastAsia="zh-CN"/>
              </w:rPr>
              <w:t>（</w:t>
            </w:r>
            <w:r>
              <w:rPr>
                <w:rFonts w:hint="eastAsia" w:cs="Times New Roman"/>
                <w:color w:val="auto"/>
                <w:szCs w:val="21"/>
                <w:lang w:val="en-US" w:eastAsia="zh-CN"/>
              </w:rPr>
              <w:t>3</w:t>
            </w:r>
            <w:r>
              <w:rPr>
                <w:rFonts w:hint="eastAsia" w:cs="Times New Roman"/>
                <w:color w:val="auto"/>
                <w:szCs w:val="21"/>
                <w:lang w:eastAsia="zh-CN"/>
              </w:rPr>
              <w:t>）</w:t>
            </w:r>
            <w:r>
              <w:rPr>
                <w:rFonts w:hint="default" w:ascii="Times New Roman" w:hAnsi="Times New Roman" w:cs="Times New Roman"/>
                <w:color w:val="auto"/>
                <w:szCs w:val="21"/>
              </w:rPr>
              <w:t>加强对废气、废水处理装置的管理，确保废气、废水污染物稳定达标排放。</w:t>
            </w:r>
          </w:p>
          <w:p w14:paraId="6450C423">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auto"/>
                <w:szCs w:val="21"/>
              </w:rPr>
            </w:pPr>
            <w:r>
              <w:rPr>
                <w:rFonts w:hint="eastAsia" w:cs="Times New Roman"/>
                <w:color w:val="auto"/>
                <w:szCs w:val="21"/>
                <w:lang w:eastAsia="zh-CN"/>
              </w:rPr>
              <w:t>（</w:t>
            </w:r>
            <w:r>
              <w:rPr>
                <w:rFonts w:hint="eastAsia" w:cs="Times New Roman"/>
                <w:color w:val="auto"/>
                <w:szCs w:val="21"/>
                <w:lang w:val="en-US" w:eastAsia="zh-CN"/>
              </w:rPr>
              <w:t>4</w:t>
            </w:r>
            <w:r>
              <w:rPr>
                <w:rFonts w:hint="eastAsia" w:cs="Times New Roman"/>
                <w:color w:val="auto"/>
                <w:szCs w:val="21"/>
                <w:lang w:eastAsia="zh-CN"/>
              </w:rPr>
              <w:t>）</w:t>
            </w:r>
            <w:r>
              <w:rPr>
                <w:rFonts w:hint="default" w:ascii="Times New Roman" w:hAnsi="Times New Roman" w:cs="Times New Roman"/>
                <w:color w:val="auto"/>
                <w:szCs w:val="21"/>
              </w:rPr>
              <w:t>加强管理，建立各种健全的生产环保规章制度，严格在岗人员操作管理。</w:t>
            </w:r>
          </w:p>
          <w:p w14:paraId="5BC6AE4F">
            <w:pPr>
              <w:keepNext w:val="0"/>
              <w:keepLines w:val="0"/>
              <w:suppressLineNumbers w:val="0"/>
              <w:adjustRightInd w:val="0"/>
              <w:snapToGrid w:val="0"/>
              <w:spacing w:before="0" w:beforeAutospacing="0" w:after="0" w:afterAutospacing="0"/>
              <w:ind w:left="0" w:right="0"/>
              <w:jc w:val="both"/>
              <w:rPr>
                <w:rFonts w:hint="eastAsia" w:cs="Times New Roman"/>
                <w:color w:val="auto"/>
                <w:szCs w:val="21"/>
                <w:lang w:val="en-US" w:eastAsia="zh-CN"/>
              </w:rPr>
            </w:pPr>
            <w:r>
              <w:rPr>
                <w:rFonts w:hint="eastAsia" w:cs="Times New Roman"/>
                <w:color w:val="auto"/>
                <w:szCs w:val="21"/>
                <w:lang w:val="en-US" w:eastAsia="zh-CN"/>
              </w:rPr>
              <w:t>（5）根据《排污许可证管理暂行规定》申领排污许可证并进行公示。在统一社会信用代码基础上，通过国家排污许可证管理信息平台对全国的排污许可证实行统一编码。排污许可证申请、受理、审核、发放、变更、延续、注销、撤销、遗失补办应当在国家排污许可证管理信息平台上进行。排污许可证的执行、监管执法、社会监督等信息应当在国家排污许可证管理信息平台上记录。</w:t>
            </w:r>
          </w:p>
          <w:p w14:paraId="5F8E7A66">
            <w:pPr>
              <w:keepNext w:val="0"/>
              <w:keepLines w:val="0"/>
              <w:suppressLineNumbers w:val="0"/>
              <w:adjustRightInd w:val="0"/>
              <w:snapToGrid w:val="0"/>
              <w:spacing w:before="0" w:beforeAutospacing="0" w:after="0" w:afterAutospacing="0"/>
              <w:ind w:left="0" w:right="0"/>
              <w:jc w:val="both"/>
              <w:rPr>
                <w:rFonts w:hint="eastAsia" w:cs="Times New Roman"/>
                <w:color w:val="auto"/>
                <w:szCs w:val="21"/>
                <w:lang w:val="en-US" w:eastAsia="zh-CN"/>
              </w:rPr>
            </w:pPr>
            <w:r>
              <w:rPr>
                <w:rFonts w:hint="eastAsia" w:cs="Times New Roman"/>
                <w:color w:val="auto"/>
                <w:szCs w:val="21"/>
                <w:lang w:val="en-US" w:eastAsia="zh-CN"/>
              </w:rPr>
              <w:t>排污单位在申请排污许可证前，应当将主要申请内容，包括排污单位基本信息、拟申请的许可事项、产排污环节、污染防治设施，通过国家排污许可证管理信息平台或者其他规定途径等便于公众知晓的方式向社会公开。</w:t>
            </w:r>
          </w:p>
          <w:p w14:paraId="34E38D69">
            <w:pPr>
              <w:keepNext w:val="0"/>
              <w:keepLines w:val="0"/>
              <w:suppressLineNumbers w:val="0"/>
              <w:adjustRightInd w:val="0"/>
              <w:snapToGrid w:val="0"/>
              <w:spacing w:before="0" w:beforeAutospacing="0" w:after="0" w:afterAutospacing="0"/>
              <w:ind w:left="0" w:right="0"/>
              <w:jc w:val="both"/>
              <w:rPr>
                <w:rFonts w:hint="eastAsia" w:cs="Times New Roman"/>
                <w:color w:val="auto"/>
                <w:szCs w:val="21"/>
                <w:lang w:val="en-US" w:eastAsia="zh-CN"/>
              </w:rPr>
            </w:pPr>
            <w:r>
              <w:rPr>
                <w:rFonts w:hint="eastAsia" w:cs="Times New Roman"/>
                <w:color w:val="auto"/>
                <w:szCs w:val="21"/>
                <w:lang w:val="en-US" w:eastAsia="zh-CN"/>
              </w:rPr>
              <w:t>按排污许可证规定的监测点位、监测因子、监测频次和相关监测技术规范开展自行监测并公开。</w:t>
            </w:r>
          </w:p>
          <w:p w14:paraId="0837E9D3">
            <w:pPr>
              <w:keepNext w:val="0"/>
              <w:keepLines w:val="0"/>
              <w:suppressLineNumbers w:val="0"/>
              <w:adjustRightInd w:val="0"/>
              <w:snapToGrid w:val="0"/>
              <w:spacing w:before="0" w:beforeAutospacing="0" w:after="0" w:afterAutospacing="0"/>
              <w:ind w:left="0" w:right="0"/>
              <w:jc w:val="both"/>
              <w:rPr>
                <w:rFonts w:hint="eastAsia" w:cs="Times New Roman"/>
                <w:color w:val="auto"/>
                <w:szCs w:val="21"/>
                <w:lang w:val="en-US" w:eastAsia="zh-CN"/>
              </w:rPr>
            </w:pPr>
            <w:r>
              <w:rPr>
                <w:rFonts w:hint="eastAsia" w:cs="Times New Roman"/>
                <w:color w:val="auto"/>
                <w:szCs w:val="21"/>
                <w:lang w:val="en-US" w:eastAsia="zh-CN"/>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14:paraId="7838310B">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szCs w:val="21"/>
                <w:lang w:eastAsia="zh-CN"/>
              </w:rPr>
              <w:t>（</w:t>
            </w:r>
            <w:r>
              <w:rPr>
                <w:rFonts w:hint="eastAsia"/>
                <w:color w:val="auto"/>
                <w:szCs w:val="21"/>
                <w:lang w:val="en-US" w:eastAsia="zh-CN"/>
              </w:rPr>
              <w:t>6</w:t>
            </w:r>
            <w:r>
              <w:rPr>
                <w:rFonts w:hint="eastAsia"/>
                <w:color w:val="auto"/>
                <w:szCs w:val="21"/>
                <w:lang w:eastAsia="zh-CN"/>
              </w:rPr>
              <w:t>）</w:t>
            </w:r>
            <w:r>
              <w:rPr>
                <w:rFonts w:hint="default"/>
                <w:color w:val="auto"/>
                <w:szCs w:val="21"/>
              </w:rPr>
              <w:t>环境管理</w:t>
            </w:r>
          </w:p>
          <w:p w14:paraId="61174B90">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项目建成后，应按地方生态环境局的要求加强对企业的环境管理，建立健全企业的环保监督、管理制度。</w:t>
            </w:r>
          </w:p>
          <w:p w14:paraId="767535DA">
            <w:pPr>
              <w:keepNext w:val="0"/>
              <w:keepLines w:val="0"/>
              <w:suppressLineNumbers w:val="0"/>
              <w:adjustRightInd w:val="0"/>
              <w:snapToGrid w:val="0"/>
              <w:spacing w:before="0" w:beforeAutospacing="0" w:after="0" w:afterAutospacing="0"/>
              <w:ind w:left="0" w:right="0"/>
              <w:rPr>
                <w:rFonts w:hint="default"/>
                <w:color w:val="auto"/>
                <w:szCs w:val="21"/>
              </w:rPr>
            </w:pPr>
            <w:r>
              <w:rPr>
                <w:rFonts w:hint="default"/>
                <w:color w:val="auto"/>
                <w:szCs w:val="21"/>
              </w:rPr>
              <w:t>根据该项目的建设规模和环境管理的任务，建设期项目筹建处应设环保专职或兼职人员，负责工程建设期的环境保护工作；车间设置2~3名专职环保管理人员，负责公司的环境管理以及对外的环保协调工作，污染源监测可委托第三方检测公司承担。</w:t>
            </w:r>
          </w:p>
          <w:p w14:paraId="6D22D0C4">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szCs w:val="21"/>
                <w:lang w:val="en-US" w:eastAsia="zh-CN"/>
              </w:rPr>
              <w:t>①</w:t>
            </w:r>
            <w:r>
              <w:rPr>
                <w:rFonts w:hint="default"/>
                <w:color w:val="auto"/>
                <w:szCs w:val="21"/>
              </w:rPr>
              <w:t>建立公司专门的环保设施档案，记录环保设施的运转及检修情况，以便督促有关人员加强对环保设施的管理和及时维修，保证治理设施的正常运行。</w:t>
            </w:r>
          </w:p>
          <w:p w14:paraId="374D3DFF">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szCs w:val="21"/>
                <w:lang w:val="en-US" w:eastAsia="zh-CN"/>
              </w:rPr>
              <w:t>②</w:t>
            </w:r>
            <w:r>
              <w:rPr>
                <w:rFonts w:hint="default"/>
                <w:color w:val="auto"/>
                <w:szCs w:val="21"/>
              </w:rPr>
              <w:t>建立污染源监测数据档案，定期编写环保通报，便于政府环保部门和公司管理部门及时了解污染动态，以便于采取相应的对策措施。</w:t>
            </w:r>
          </w:p>
          <w:p w14:paraId="321960CC">
            <w:pPr>
              <w:keepNext w:val="0"/>
              <w:keepLines w:val="0"/>
              <w:suppressLineNumbers w:val="0"/>
              <w:adjustRightInd w:val="0"/>
              <w:snapToGrid w:val="0"/>
              <w:spacing w:before="0" w:beforeAutospacing="0" w:after="0" w:afterAutospacing="0"/>
              <w:ind w:left="0" w:right="0"/>
              <w:rPr>
                <w:rFonts w:hint="default"/>
                <w:color w:val="auto"/>
                <w:szCs w:val="21"/>
              </w:rPr>
            </w:pPr>
            <w:r>
              <w:rPr>
                <w:rFonts w:hint="eastAsia"/>
                <w:color w:val="auto"/>
                <w:szCs w:val="21"/>
                <w:lang w:val="en-US" w:eastAsia="zh-CN"/>
              </w:rPr>
              <w:t>③</w:t>
            </w:r>
            <w:r>
              <w:rPr>
                <w:rFonts w:hint="default"/>
                <w:color w:val="auto"/>
                <w:szCs w:val="21"/>
              </w:rPr>
              <w:t>制定环保奖惩条例。对于爱护环保设施、节能降耗、改善环境人员进行奖励；对于环保观念淡薄，不按环保要求管理、造成环境设施损坏、环境污染及资源和能源浪费人员一律予以重罚。</w:t>
            </w:r>
          </w:p>
          <w:p w14:paraId="0EBE2CF5">
            <w:pPr>
              <w:keepNext w:val="0"/>
              <w:keepLines w:val="0"/>
              <w:suppressLineNumbers w:val="0"/>
              <w:adjustRightInd w:val="0"/>
              <w:snapToGrid w:val="0"/>
              <w:spacing w:before="0" w:beforeAutospacing="0" w:after="0" w:afterAutospacing="0"/>
              <w:ind w:left="0" w:right="0"/>
              <w:rPr>
                <w:rFonts w:hint="eastAsia"/>
                <w:color w:val="auto"/>
                <w:szCs w:val="21"/>
              </w:rPr>
            </w:pPr>
            <w:r>
              <w:rPr>
                <w:rFonts w:hint="eastAsia"/>
                <w:color w:val="auto"/>
                <w:szCs w:val="21"/>
                <w:lang w:eastAsia="zh-CN"/>
              </w:rPr>
              <w:t>（</w:t>
            </w:r>
            <w:r>
              <w:rPr>
                <w:rFonts w:hint="eastAsia"/>
                <w:color w:val="auto"/>
                <w:szCs w:val="21"/>
                <w:lang w:val="en-US" w:eastAsia="zh-CN"/>
              </w:rPr>
              <w:t>7</w:t>
            </w:r>
            <w:r>
              <w:rPr>
                <w:rFonts w:hint="eastAsia"/>
                <w:color w:val="auto"/>
                <w:szCs w:val="21"/>
                <w:lang w:eastAsia="zh-CN"/>
              </w:rPr>
              <w:t>）</w:t>
            </w:r>
            <w:r>
              <w:rPr>
                <w:rFonts w:hint="eastAsia"/>
                <w:color w:val="auto"/>
                <w:szCs w:val="21"/>
              </w:rPr>
              <w:t>环境质量监测</w:t>
            </w:r>
          </w:p>
          <w:p w14:paraId="26857F20">
            <w:pPr>
              <w:keepNext w:val="0"/>
              <w:keepLines w:val="0"/>
              <w:suppressLineNumbers w:val="0"/>
              <w:adjustRightInd w:val="0"/>
              <w:snapToGrid w:val="0"/>
              <w:spacing w:before="0" w:beforeAutospacing="0" w:after="0" w:afterAutospacing="0"/>
              <w:ind w:left="0" w:right="0"/>
              <w:jc w:val="both"/>
              <w:rPr>
                <w:rFonts w:hint="eastAsia" w:ascii="Times New Roman" w:hAnsi="Times New Roman" w:eastAsia="宋体" w:cs="Times New Roman"/>
                <w:color w:val="auto"/>
                <w:szCs w:val="21"/>
                <w:highlight w:val="none"/>
                <w:lang w:val="en-US" w:eastAsia="zh-CN"/>
              </w:rPr>
            </w:pPr>
            <w:r>
              <w:rPr>
                <w:rFonts w:hint="eastAsia"/>
                <w:color w:val="auto"/>
                <w:szCs w:val="21"/>
              </w:rPr>
              <w:t>根</w:t>
            </w:r>
            <w:r>
              <w:rPr>
                <w:rFonts w:hint="default"/>
                <w:color w:val="auto"/>
                <w:szCs w:val="21"/>
              </w:rPr>
              <w:t>据</w:t>
            </w:r>
            <w:r>
              <w:rPr>
                <w:rFonts w:hint="eastAsia"/>
                <w:color w:val="auto"/>
                <w:szCs w:val="21"/>
              </w:rPr>
              <w:t>《排污单位自行监测技术指南 金属铸造工业》（HJ1251-2022）、《排污单位自行监测技术指南 总则》（HJ 819-2017）</w:t>
            </w:r>
            <w:r>
              <w:rPr>
                <w:rFonts w:hint="default"/>
                <w:color w:val="auto"/>
                <w:szCs w:val="21"/>
              </w:rPr>
              <w:t>的要求，企业可根据自身条件和能力，利用自有人员、场所和设备进行自行监测，也</w:t>
            </w:r>
            <w:r>
              <w:rPr>
                <w:rFonts w:hint="eastAsia"/>
                <w:color w:val="auto"/>
                <w:szCs w:val="21"/>
                <w:lang w:val="en-US" w:eastAsia="zh-CN"/>
              </w:rPr>
              <w:t>可</w:t>
            </w:r>
            <w:r>
              <w:rPr>
                <w:rFonts w:hint="default"/>
                <w:color w:val="auto"/>
                <w:szCs w:val="21"/>
              </w:rPr>
              <w:t>委托其他有资质的监测机构代开展自行监测，包括污染物排放监测（废气污染物、废水污染物和噪声污染等）、周边环境质量影响监测（周边的空气、地表水等）、关键工艺参数监测（通过对与污染物产生和排放密切相关的关键工艺参数进行测试）、污染治理设施处理效果监测。</w:t>
            </w:r>
          </w:p>
        </w:tc>
      </w:tr>
    </w:tbl>
    <w:p w14:paraId="59743DC9">
      <w:pPr>
        <w:pStyle w:val="23"/>
        <w:jc w:val="center"/>
        <w:outlineLvl w:val="0"/>
        <w:rPr>
          <w:rFonts w:ascii="Times New Roman" w:hAnsi="Times New Roman" w:eastAsia="黑体"/>
          <w:snapToGrid w:val="0"/>
          <w:color w:val="auto"/>
          <w:sz w:val="30"/>
          <w:szCs w:val="30"/>
          <w:highlight w:val="none"/>
        </w:rPr>
      </w:pPr>
      <w:r>
        <w:rPr>
          <w:rFonts w:ascii="Times New Roman" w:hAnsi="Times New Roman"/>
          <w:snapToGrid w:val="0"/>
          <w:color w:val="auto"/>
          <w:highlight w:val="none"/>
        </w:rPr>
        <w:br w:type="page"/>
      </w:r>
      <w:r>
        <w:rPr>
          <w:rFonts w:ascii="Times New Roman" w:hAnsi="Times New Roman" w:eastAsia="黑体"/>
          <w:snapToGrid w:val="0"/>
          <w:color w:val="auto"/>
          <w:sz w:val="30"/>
          <w:szCs w:val="30"/>
          <w:highlight w:val="none"/>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02C76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6D3581E">
            <w:pPr>
              <w:keepNext w:val="0"/>
              <w:keepLines w:val="0"/>
              <w:suppressLineNumbers w:val="0"/>
              <w:spacing w:before="0" w:beforeAutospacing="0" w:after="0" w:afterAutospacing="0" w:line="480" w:lineRule="exact"/>
              <w:ind w:left="0" w:right="0"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rPr>
              <w:t>本项目符合国家相关法律法规、产业政策和城市总体规划，符合现行环保法律法规、环保政策、生态环境保护规划。项目在建设中和建成运行后将产生一定程度的废气、废水、噪声及固体废物的污染，在全面落实本评价拟定的各项环境保护措施，项目对周围环境的影响可以控制在国家标准和要求的允许范围以内，各项污染物能够满足国家和地方规定的污染物排放标准，不改变当地的环境质量功能属性。本项目在加强管理和严格规范操作，做好各项风险防范措施后，本项目的风险事故发生概率较小，在环境风险可接受范围内。因此，该项目的建设方案和规划，在环境保护方面可行，在拟定地点、按拟定规模及计划实施具有环境可行性。</w:t>
            </w:r>
          </w:p>
          <w:p w14:paraId="05F11E28">
            <w:pPr>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highlight w:val="none"/>
              </w:rPr>
            </w:pPr>
          </w:p>
        </w:tc>
      </w:tr>
    </w:tbl>
    <w:p w14:paraId="650ECAF8">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19282F2">
      <w:pPr>
        <w:pStyle w:val="23"/>
        <w:adjustRightInd w:val="0"/>
        <w:snapToGrid w:val="0"/>
        <w:spacing w:before="0" w:beforeAutospacing="0" w:after="0" w:afterAutospacing="0" w:line="480" w:lineRule="auto"/>
        <w:outlineLvl w:val="0"/>
        <w:rPr>
          <w:rFonts w:ascii="Times New Roman" w:hAnsi="Times New Roman" w:eastAsia="黑体"/>
          <w:snapToGrid w:val="0"/>
          <w:color w:val="auto"/>
          <w:sz w:val="32"/>
          <w:szCs w:val="32"/>
          <w:highlight w:val="none"/>
        </w:rPr>
      </w:pPr>
      <w:r>
        <w:rPr>
          <w:rFonts w:ascii="Times New Roman" w:hAnsi="Times New Roman" w:eastAsia="黑体"/>
          <w:snapToGrid w:val="0"/>
          <w:color w:val="auto"/>
          <w:sz w:val="32"/>
          <w:szCs w:val="32"/>
          <w:highlight w:val="none"/>
        </w:rPr>
        <w:t>附表</w:t>
      </w:r>
    </w:p>
    <w:p w14:paraId="743F5438">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方正小标宋_GBK"/>
          <w:snapToGrid w:val="0"/>
          <w:color w:val="auto"/>
          <w:sz w:val="38"/>
          <w:szCs w:val="38"/>
          <w:highlight w:val="none"/>
        </w:rPr>
      </w:pPr>
      <w:r>
        <w:rPr>
          <w:rFonts w:ascii="Times New Roman" w:hAnsi="Times New Roman" w:eastAsia="方正小标宋_GBK"/>
          <w:snapToGrid w:val="0"/>
          <w:color w:val="auto"/>
          <w:sz w:val="38"/>
          <w:szCs w:val="38"/>
          <w:highlight w:val="none"/>
        </w:rPr>
        <w:t>建设项目污染物排放量汇总表</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878"/>
        <w:gridCol w:w="1484"/>
        <w:gridCol w:w="1787"/>
        <w:gridCol w:w="1276"/>
        <w:gridCol w:w="1701"/>
        <w:gridCol w:w="1559"/>
        <w:gridCol w:w="1657"/>
        <w:gridCol w:w="1605"/>
        <w:gridCol w:w="1284"/>
      </w:tblGrid>
      <w:tr w14:paraId="46371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5" w:type="dxa"/>
            <w:gridSpan w:val="2"/>
            <w:tcBorders>
              <w:top w:val="single" w:color="auto" w:sz="4" w:space="0"/>
              <w:left w:val="single" w:color="auto" w:sz="4" w:space="0"/>
              <w:bottom w:val="single" w:color="auto" w:sz="4" w:space="0"/>
              <w:tl2br w:val="single" w:color="auto" w:sz="4" w:space="0"/>
            </w:tcBorders>
            <w:noWrap w:val="0"/>
            <w:tcMar>
              <w:left w:w="28" w:type="dxa"/>
              <w:right w:w="28" w:type="dxa"/>
            </w:tcMar>
            <w:vAlign w:val="center"/>
          </w:tcPr>
          <w:p w14:paraId="32276F73">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right"/>
              <w:rPr>
                <w:rFonts w:hint="default" w:ascii="Times New Roman" w:hAnsi="Times New Roman" w:cs="Times New Roman"/>
                <w:snapToGrid w:val="0"/>
                <w:color w:val="auto"/>
                <w:spacing w:val="-6"/>
                <w:kern w:val="21"/>
                <w:sz w:val="21"/>
                <w:szCs w:val="21"/>
              </w:rPr>
            </w:pPr>
            <w:bookmarkStart w:id="6" w:name="_Hlk92816558"/>
            <w:r>
              <w:rPr>
                <w:rFonts w:hint="default" w:ascii="Times New Roman" w:hAnsi="Times New Roman" w:cs="Times New Roman"/>
                <w:snapToGrid w:val="0"/>
                <w:color w:val="auto"/>
                <w:spacing w:val="-6"/>
                <w:kern w:val="21"/>
                <w:sz w:val="21"/>
                <w:szCs w:val="21"/>
              </w:rPr>
              <w:t>项目</w:t>
            </w:r>
          </w:p>
          <w:p w14:paraId="6A78D298">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left"/>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分类</w:t>
            </w:r>
          </w:p>
        </w:tc>
        <w:tc>
          <w:tcPr>
            <w:tcW w:w="1484" w:type="dxa"/>
            <w:tcBorders>
              <w:top w:val="single" w:color="auto" w:sz="4" w:space="0"/>
              <w:bottom w:val="single" w:color="auto" w:sz="4" w:space="0"/>
            </w:tcBorders>
            <w:noWrap w:val="0"/>
            <w:tcMar>
              <w:left w:w="28" w:type="dxa"/>
              <w:right w:w="28" w:type="dxa"/>
            </w:tcMar>
            <w:vAlign w:val="center"/>
          </w:tcPr>
          <w:p w14:paraId="2421956C">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污染物名称</w:t>
            </w:r>
          </w:p>
        </w:tc>
        <w:tc>
          <w:tcPr>
            <w:tcW w:w="1787" w:type="dxa"/>
            <w:tcBorders>
              <w:top w:val="single" w:color="auto" w:sz="4" w:space="0"/>
              <w:bottom w:val="single" w:color="auto" w:sz="4" w:space="0"/>
            </w:tcBorders>
            <w:noWrap w:val="0"/>
            <w:tcMar>
              <w:left w:w="28" w:type="dxa"/>
              <w:right w:w="28" w:type="dxa"/>
            </w:tcMar>
            <w:vAlign w:val="center"/>
          </w:tcPr>
          <w:p w14:paraId="69DDABA5">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765FB205">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1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snapToGrid w:val="0"/>
                <w:color w:val="auto"/>
                <w:spacing w:val="-6"/>
                <w:kern w:val="21"/>
                <w:sz w:val="21"/>
                <w:szCs w:val="21"/>
              </w:rPr>
              <w:t>①</w:t>
            </w:r>
            <w:r>
              <w:rPr>
                <w:rFonts w:hint="default" w:ascii="Times New Roman" w:hAnsi="Times New Roman" w:cs="Times New Roman"/>
                <w:snapToGrid w:val="0"/>
                <w:color w:val="auto"/>
                <w:spacing w:val="-6"/>
                <w:kern w:val="21"/>
                <w:sz w:val="21"/>
                <w:szCs w:val="21"/>
              </w:rPr>
              <w:fldChar w:fldCharType="end"/>
            </w:r>
          </w:p>
        </w:tc>
        <w:tc>
          <w:tcPr>
            <w:tcW w:w="1276" w:type="dxa"/>
            <w:tcBorders>
              <w:top w:val="single" w:color="auto" w:sz="4" w:space="0"/>
              <w:bottom w:val="single" w:color="auto" w:sz="4" w:space="0"/>
            </w:tcBorders>
            <w:noWrap w:val="0"/>
            <w:tcMar>
              <w:left w:w="28" w:type="dxa"/>
              <w:right w:w="28" w:type="dxa"/>
            </w:tcMar>
            <w:vAlign w:val="center"/>
          </w:tcPr>
          <w:p w14:paraId="1190CB34">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现有工程</w:t>
            </w:r>
          </w:p>
          <w:p w14:paraId="60AE5E6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许可排放量</w:t>
            </w:r>
          </w:p>
          <w:p w14:paraId="553D8CC7">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2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snapToGrid w:val="0"/>
                <w:color w:val="auto"/>
                <w:spacing w:val="-6"/>
                <w:kern w:val="21"/>
                <w:sz w:val="21"/>
                <w:szCs w:val="21"/>
              </w:rPr>
              <w:t>②</w:t>
            </w:r>
            <w:r>
              <w:rPr>
                <w:rFonts w:hint="default" w:ascii="Times New Roman" w:hAnsi="Times New Roman" w:cs="Times New Roman"/>
                <w:snapToGrid w:val="0"/>
                <w:color w:val="auto"/>
                <w:spacing w:val="-6"/>
                <w:kern w:val="21"/>
                <w:sz w:val="21"/>
                <w:szCs w:val="21"/>
              </w:rPr>
              <w:fldChar w:fldCharType="end"/>
            </w:r>
          </w:p>
        </w:tc>
        <w:tc>
          <w:tcPr>
            <w:tcW w:w="1701" w:type="dxa"/>
            <w:tcBorders>
              <w:top w:val="single" w:color="auto" w:sz="4" w:space="0"/>
              <w:bottom w:val="single" w:color="auto" w:sz="4" w:space="0"/>
            </w:tcBorders>
            <w:noWrap w:val="0"/>
            <w:tcMar>
              <w:left w:w="28" w:type="dxa"/>
              <w:right w:w="28" w:type="dxa"/>
            </w:tcMar>
            <w:vAlign w:val="center"/>
          </w:tcPr>
          <w:p w14:paraId="3EE49E0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在建工程</w:t>
            </w:r>
          </w:p>
          <w:p w14:paraId="540B1F8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3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③</w:t>
            </w:r>
            <w:r>
              <w:rPr>
                <w:rFonts w:hint="default" w:ascii="Times New Roman" w:hAnsi="Times New Roman" w:cs="Times New Roman"/>
                <w:snapToGrid w:val="0"/>
                <w:color w:val="auto"/>
                <w:spacing w:val="-6"/>
                <w:kern w:val="21"/>
                <w:sz w:val="21"/>
                <w:szCs w:val="21"/>
              </w:rPr>
              <w:fldChar w:fldCharType="end"/>
            </w:r>
          </w:p>
        </w:tc>
        <w:tc>
          <w:tcPr>
            <w:tcW w:w="1559" w:type="dxa"/>
            <w:tcBorders>
              <w:top w:val="single" w:color="auto" w:sz="4" w:space="0"/>
              <w:bottom w:val="single" w:color="auto" w:sz="4" w:space="0"/>
            </w:tcBorders>
            <w:noWrap w:val="0"/>
            <w:tcMar>
              <w:left w:w="28" w:type="dxa"/>
              <w:right w:w="28" w:type="dxa"/>
            </w:tcMar>
            <w:vAlign w:val="center"/>
          </w:tcPr>
          <w:p w14:paraId="747EB0B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本项目</w:t>
            </w:r>
          </w:p>
          <w:p w14:paraId="0F389699">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排放量（固体废物产生量）</w:t>
            </w: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4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④</w:t>
            </w:r>
            <w:r>
              <w:rPr>
                <w:rFonts w:hint="default" w:ascii="Times New Roman" w:hAnsi="Times New Roman" w:cs="Times New Roman"/>
                <w:snapToGrid w:val="0"/>
                <w:color w:val="auto"/>
                <w:spacing w:val="-6"/>
                <w:kern w:val="21"/>
                <w:sz w:val="21"/>
                <w:szCs w:val="21"/>
              </w:rPr>
              <w:fldChar w:fldCharType="end"/>
            </w:r>
          </w:p>
        </w:tc>
        <w:tc>
          <w:tcPr>
            <w:tcW w:w="1657" w:type="dxa"/>
            <w:tcBorders>
              <w:top w:val="single" w:color="auto" w:sz="4" w:space="0"/>
              <w:bottom w:val="single" w:color="auto" w:sz="4" w:space="0"/>
            </w:tcBorders>
            <w:noWrap w:val="0"/>
            <w:tcMar>
              <w:left w:w="28" w:type="dxa"/>
              <w:right w:w="28" w:type="dxa"/>
            </w:tcMar>
            <w:vAlign w:val="center"/>
          </w:tcPr>
          <w:p w14:paraId="19723959">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以新带老削减量</w:t>
            </w:r>
          </w:p>
          <w:p w14:paraId="1560F7FD">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（新建项目不填）</w:t>
            </w:r>
            <w:r>
              <w:rPr>
                <w:rFonts w:hint="default" w:ascii="Times New Roman" w:hAnsi="Times New Roman" w:cs="Times New Roman"/>
                <w:snapToGrid w:val="0"/>
                <w:color w:val="auto"/>
                <w:spacing w:val="-16"/>
                <w:kern w:val="21"/>
                <w:sz w:val="21"/>
                <w:szCs w:val="21"/>
              </w:rPr>
              <w:fldChar w:fldCharType="begin"/>
            </w:r>
            <w:r>
              <w:rPr>
                <w:rFonts w:hint="default" w:ascii="Times New Roman" w:hAnsi="Times New Roman" w:cs="Times New Roman"/>
                <w:snapToGrid w:val="0"/>
                <w:color w:val="auto"/>
                <w:spacing w:val="-16"/>
                <w:kern w:val="21"/>
                <w:sz w:val="21"/>
                <w:szCs w:val="21"/>
              </w:rPr>
              <w:instrText xml:space="preserve"> = 5 \* GB3 \* MERGEFORMAT </w:instrText>
            </w:r>
            <w:r>
              <w:rPr>
                <w:rFonts w:hint="default"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kern w:val="2"/>
                <w:sz w:val="21"/>
                <w:szCs w:val="21"/>
              </w:rPr>
              <w:t>⑤</w:t>
            </w:r>
            <w:r>
              <w:rPr>
                <w:rFonts w:hint="default" w:ascii="Times New Roman" w:hAnsi="Times New Roman" w:cs="Times New Roman"/>
                <w:snapToGrid w:val="0"/>
                <w:color w:val="auto"/>
                <w:spacing w:val="-16"/>
                <w:kern w:val="21"/>
                <w:sz w:val="21"/>
                <w:szCs w:val="21"/>
              </w:rPr>
              <w:fldChar w:fldCharType="end"/>
            </w:r>
          </w:p>
        </w:tc>
        <w:tc>
          <w:tcPr>
            <w:tcW w:w="1605" w:type="dxa"/>
            <w:tcBorders>
              <w:top w:val="single" w:color="auto" w:sz="4" w:space="0"/>
              <w:bottom w:val="single" w:color="auto" w:sz="4" w:space="0"/>
            </w:tcBorders>
            <w:noWrap w:val="0"/>
            <w:tcMar>
              <w:left w:w="28" w:type="dxa"/>
              <w:right w:w="28" w:type="dxa"/>
            </w:tcMar>
            <w:vAlign w:val="center"/>
          </w:tcPr>
          <w:p w14:paraId="0DA32B98">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本项目建成后</w:t>
            </w:r>
          </w:p>
          <w:p w14:paraId="58AB4AEC">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16"/>
                <w:kern w:val="21"/>
                <w:sz w:val="21"/>
                <w:szCs w:val="21"/>
              </w:rPr>
            </w:pPr>
            <w:r>
              <w:rPr>
                <w:rFonts w:hint="default" w:ascii="Times New Roman" w:hAnsi="Times New Roman" w:cs="Times New Roman"/>
                <w:snapToGrid w:val="0"/>
                <w:color w:val="auto"/>
                <w:spacing w:val="-16"/>
                <w:kern w:val="21"/>
                <w:sz w:val="21"/>
                <w:szCs w:val="21"/>
              </w:rPr>
              <w:t>全厂排放量（固体废物产生量）</w:t>
            </w:r>
            <w:r>
              <w:rPr>
                <w:rFonts w:hint="default" w:ascii="Times New Roman" w:hAnsi="Times New Roman" w:cs="Times New Roman"/>
                <w:snapToGrid w:val="0"/>
                <w:color w:val="auto"/>
                <w:spacing w:val="-16"/>
                <w:kern w:val="21"/>
                <w:sz w:val="21"/>
                <w:szCs w:val="21"/>
              </w:rPr>
              <w:fldChar w:fldCharType="begin"/>
            </w:r>
            <w:r>
              <w:rPr>
                <w:rFonts w:hint="default" w:ascii="Times New Roman" w:hAnsi="Times New Roman" w:cs="Times New Roman"/>
                <w:snapToGrid w:val="0"/>
                <w:color w:val="auto"/>
                <w:spacing w:val="-16"/>
                <w:kern w:val="21"/>
                <w:sz w:val="21"/>
                <w:szCs w:val="21"/>
              </w:rPr>
              <w:instrText xml:space="preserve"> = 6 \* GB3 \* MERGEFORMAT </w:instrText>
            </w:r>
            <w:r>
              <w:rPr>
                <w:rFonts w:hint="default" w:ascii="Times New Roman" w:hAnsi="Times New Roman" w:cs="Times New Roman"/>
                <w:snapToGrid w:val="0"/>
                <w:color w:val="auto"/>
                <w:spacing w:val="-16"/>
                <w:kern w:val="21"/>
                <w:sz w:val="21"/>
                <w:szCs w:val="21"/>
              </w:rPr>
              <w:fldChar w:fldCharType="separate"/>
            </w:r>
            <w:r>
              <w:rPr>
                <w:rFonts w:hint="default" w:ascii="Times New Roman" w:hAnsi="Times New Roman" w:cs="Times New Roman"/>
                <w:color w:val="auto"/>
                <w:kern w:val="2"/>
                <w:sz w:val="21"/>
                <w:szCs w:val="21"/>
              </w:rPr>
              <w:t>⑥</w:t>
            </w:r>
            <w:r>
              <w:rPr>
                <w:rFonts w:hint="default" w:ascii="Times New Roman" w:hAnsi="Times New Roman" w:cs="Times New Roman"/>
                <w:snapToGrid w:val="0"/>
                <w:color w:val="auto"/>
                <w:spacing w:val="-16"/>
                <w:kern w:val="21"/>
                <w:sz w:val="21"/>
                <w:szCs w:val="21"/>
              </w:rPr>
              <w:fldChar w:fldCharType="end"/>
            </w:r>
          </w:p>
        </w:tc>
        <w:tc>
          <w:tcPr>
            <w:tcW w:w="1284" w:type="dxa"/>
            <w:tcBorders>
              <w:top w:val="single" w:color="auto" w:sz="4" w:space="0"/>
              <w:bottom w:val="single" w:color="auto" w:sz="4" w:space="0"/>
              <w:right w:val="single" w:color="auto" w:sz="4" w:space="0"/>
            </w:tcBorders>
            <w:noWrap w:val="0"/>
            <w:tcMar>
              <w:left w:w="28" w:type="dxa"/>
              <w:right w:w="28" w:type="dxa"/>
            </w:tcMar>
            <w:vAlign w:val="center"/>
          </w:tcPr>
          <w:p w14:paraId="0DE44616">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t>变化量</w:t>
            </w:r>
          </w:p>
          <w:p w14:paraId="08EB9B7A">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rPr>
            </w:pPr>
            <w:r>
              <w:rPr>
                <w:rFonts w:hint="default" w:ascii="Times New Roman" w:hAnsi="Times New Roman" w:cs="Times New Roman"/>
                <w:snapToGrid w:val="0"/>
                <w:color w:val="auto"/>
                <w:spacing w:val="-6"/>
                <w:kern w:val="21"/>
                <w:sz w:val="21"/>
                <w:szCs w:val="21"/>
              </w:rPr>
              <w:fldChar w:fldCharType="begin"/>
            </w:r>
            <w:r>
              <w:rPr>
                <w:rFonts w:hint="default" w:ascii="Times New Roman" w:hAnsi="Times New Roman" w:cs="Times New Roman"/>
                <w:snapToGrid w:val="0"/>
                <w:color w:val="auto"/>
                <w:spacing w:val="-6"/>
                <w:kern w:val="21"/>
                <w:sz w:val="21"/>
                <w:szCs w:val="21"/>
              </w:rPr>
              <w:instrText xml:space="preserve"> = 7 \* GB3 \* MERGEFORMAT </w:instrText>
            </w:r>
            <w:r>
              <w:rPr>
                <w:rFonts w:hint="default" w:ascii="Times New Roman" w:hAnsi="Times New Roman" w:cs="Times New Roman"/>
                <w:snapToGrid w:val="0"/>
                <w:color w:val="auto"/>
                <w:spacing w:val="-6"/>
                <w:kern w:val="21"/>
                <w:sz w:val="21"/>
                <w:szCs w:val="21"/>
              </w:rPr>
              <w:fldChar w:fldCharType="separate"/>
            </w:r>
            <w:r>
              <w:rPr>
                <w:rFonts w:hint="default" w:ascii="Times New Roman" w:hAnsi="Times New Roman" w:cs="Times New Roman"/>
                <w:color w:val="auto"/>
                <w:kern w:val="2"/>
                <w:sz w:val="21"/>
                <w:szCs w:val="21"/>
              </w:rPr>
              <w:t>⑦</w:t>
            </w:r>
            <w:r>
              <w:rPr>
                <w:rFonts w:hint="default" w:ascii="Times New Roman" w:hAnsi="Times New Roman" w:cs="Times New Roman"/>
                <w:snapToGrid w:val="0"/>
                <w:color w:val="auto"/>
                <w:spacing w:val="-6"/>
                <w:kern w:val="21"/>
                <w:sz w:val="21"/>
                <w:szCs w:val="21"/>
              </w:rPr>
              <w:fldChar w:fldCharType="end"/>
            </w:r>
          </w:p>
        </w:tc>
      </w:tr>
      <w:tr w14:paraId="0FDC7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restart"/>
            <w:tcBorders>
              <w:top w:val="single" w:color="auto" w:sz="4" w:space="0"/>
              <w:left w:val="single" w:color="auto" w:sz="4" w:space="0"/>
              <w:bottom w:val="single" w:color="auto" w:sz="4" w:space="0"/>
            </w:tcBorders>
            <w:noWrap w:val="0"/>
            <w:vAlign w:val="center"/>
          </w:tcPr>
          <w:p w14:paraId="793ECB5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废气</w:t>
            </w:r>
          </w:p>
        </w:tc>
        <w:tc>
          <w:tcPr>
            <w:tcW w:w="878" w:type="dxa"/>
            <w:vMerge w:val="restart"/>
            <w:tcBorders>
              <w:top w:val="single" w:color="auto" w:sz="4" w:space="0"/>
            </w:tcBorders>
            <w:noWrap w:val="0"/>
            <w:vAlign w:val="center"/>
          </w:tcPr>
          <w:p w14:paraId="4FE02D5A">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有组织</w:t>
            </w:r>
            <w:r>
              <w:rPr>
                <w:rFonts w:hint="eastAsia" w:ascii="Times New Roman" w:hAnsi="Times New Roman" w:cs="Times New Roman"/>
                <w:snapToGrid w:val="0"/>
                <w:color w:val="auto"/>
                <w:kern w:val="21"/>
                <w:sz w:val="21"/>
                <w:szCs w:val="21"/>
                <w:lang w:val="en-US" w:eastAsia="zh-CN"/>
              </w:rPr>
              <w:t>+</w:t>
            </w:r>
            <w:r>
              <w:rPr>
                <w:rFonts w:hint="default" w:ascii="Times New Roman" w:hAnsi="Times New Roman" w:cs="Times New Roman"/>
                <w:snapToGrid w:val="0"/>
                <w:color w:val="auto"/>
                <w:kern w:val="21"/>
                <w:sz w:val="21"/>
                <w:szCs w:val="21"/>
              </w:rPr>
              <w:t>无组织</w:t>
            </w:r>
          </w:p>
        </w:tc>
        <w:tc>
          <w:tcPr>
            <w:tcW w:w="1484" w:type="dxa"/>
            <w:tcBorders>
              <w:top w:val="single" w:color="auto" w:sz="4" w:space="0"/>
              <w:bottom w:val="single" w:color="auto" w:sz="4" w:space="0"/>
            </w:tcBorders>
            <w:shd w:val="clear" w:color="auto" w:fill="auto"/>
            <w:noWrap w:val="0"/>
            <w:vAlign w:val="center"/>
          </w:tcPr>
          <w:p w14:paraId="790F49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颗粒物</w:t>
            </w:r>
          </w:p>
        </w:tc>
        <w:tc>
          <w:tcPr>
            <w:tcW w:w="1787" w:type="dxa"/>
            <w:tcBorders>
              <w:top w:val="single" w:color="auto" w:sz="4" w:space="0"/>
              <w:bottom w:val="single" w:color="auto" w:sz="4" w:space="0"/>
            </w:tcBorders>
            <w:shd w:val="clear" w:color="auto" w:fill="auto"/>
            <w:noWrap w:val="0"/>
            <w:vAlign w:val="center"/>
          </w:tcPr>
          <w:p w14:paraId="195425FD">
            <w:pPr>
              <w:pStyle w:val="89"/>
              <w:keepNext w:val="0"/>
              <w:keepLines w:val="0"/>
              <w:suppressLineNumbers w:val="0"/>
              <w:spacing w:before="0" w:beforeAutospacing="0" w:after="0" w:afterAutospacing="0"/>
              <w:ind w:left="0" w:leftChars="0" w:right="0" w:rightChars="0"/>
              <w:rPr>
                <w:rFonts w:hint="default" w:ascii="Times New Roman" w:hAnsi="Times New Roman" w:cs="Times New Roman"/>
                <w:snapToGrid w:val="0"/>
                <w:color w:val="auto"/>
                <w:spacing w:val="-6"/>
                <w:kern w:val="21"/>
                <w:sz w:val="21"/>
                <w:szCs w:val="21"/>
                <w:lang w:val="en-US" w:eastAsia="zh-CN"/>
              </w:rPr>
            </w:pPr>
            <w:r>
              <w:rPr>
                <w:rFonts w:hint="eastAsia" w:cs="Times New Roman"/>
                <w:color w:val="auto"/>
                <w:sz w:val="21"/>
                <w:szCs w:val="21"/>
                <w:lang w:val="en-US" w:eastAsia="zh-CN"/>
              </w:rPr>
              <w:t>7.848</w:t>
            </w:r>
          </w:p>
        </w:tc>
        <w:tc>
          <w:tcPr>
            <w:tcW w:w="1276" w:type="dxa"/>
            <w:tcBorders>
              <w:top w:val="single" w:color="auto" w:sz="4" w:space="0"/>
              <w:bottom w:val="single" w:color="auto" w:sz="4" w:space="0"/>
            </w:tcBorders>
            <w:shd w:val="clear" w:color="auto" w:fill="auto"/>
            <w:noWrap w:val="0"/>
            <w:vAlign w:val="center"/>
          </w:tcPr>
          <w:p w14:paraId="762E33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highlight w:val="none"/>
                <w:lang w:val="en-US" w:eastAsia="zh-CN"/>
              </w:rPr>
              <w:t>8.660</w:t>
            </w:r>
          </w:p>
        </w:tc>
        <w:tc>
          <w:tcPr>
            <w:tcW w:w="1701" w:type="dxa"/>
            <w:tcBorders>
              <w:top w:val="single" w:color="auto" w:sz="4" w:space="0"/>
              <w:bottom w:val="single" w:color="auto" w:sz="4" w:space="0"/>
            </w:tcBorders>
            <w:shd w:val="clear" w:color="auto" w:fill="auto"/>
            <w:noWrap w:val="0"/>
            <w:vAlign w:val="center"/>
          </w:tcPr>
          <w:p w14:paraId="23B742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3D7BF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1.127</w:t>
            </w:r>
          </w:p>
        </w:tc>
        <w:tc>
          <w:tcPr>
            <w:tcW w:w="1657" w:type="dxa"/>
            <w:tcBorders>
              <w:top w:val="single" w:color="auto" w:sz="4" w:space="0"/>
              <w:bottom w:val="single" w:color="auto" w:sz="4" w:space="0"/>
            </w:tcBorders>
            <w:shd w:val="clear" w:color="auto" w:fill="auto"/>
            <w:noWrap w:val="0"/>
            <w:vAlign w:val="center"/>
          </w:tcPr>
          <w:p w14:paraId="123E01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2.844</w:t>
            </w:r>
          </w:p>
        </w:tc>
        <w:tc>
          <w:tcPr>
            <w:tcW w:w="1605" w:type="dxa"/>
            <w:tcBorders>
              <w:top w:val="single" w:color="auto" w:sz="4" w:space="0"/>
              <w:bottom w:val="single" w:color="auto" w:sz="4" w:space="0"/>
            </w:tcBorders>
            <w:shd w:val="clear" w:color="auto" w:fill="auto"/>
            <w:noWrap w:val="0"/>
            <w:vAlign w:val="center"/>
          </w:tcPr>
          <w:p w14:paraId="45C3F2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6.943</w:t>
            </w:r>
          </w:p>
        </w:tc>
        <w:tc>
          <w:tcPr>
            <w:tcW w:w="1284" w:type="dxa"/>
            <w:tcBorders>
              <w:top w:val="single" w:color="auto" w:sz="4" w:space="0"/>
              <w:bottom w:val="single" w:color="auto" w:sz="4" w:space="0"/>
              <w:right w:val="single" w:color="auto" w:sz="4" w:space="0"/>
            </w:tcBorders>
            <w:shd w:val="clear" w:color="auto" w:fill="auto"/>
            <w:noWrap w:val="0"/>
            <w:vAlign w:val="center"/>
          </w:tcPr>
          <w:p w14:paraId="0139C2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-1.717</w:t>
            </w:r>
          </w:p>
        </w:tc>
      </w:tr>
      <w:tr w14:paraId="2A45FB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tcBorders>
              <w:left w:val="single" w:color="auto" w:sz="4" w:space="0"/>
            </w:tcBorders>
            <w:noWrap w:val="0"/>
            <w:vAlign w:val="center"/>
          </w:tcPr>
          <w:p w14:paraId="0C3D21A8">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noWrap w:val="0"/>
            <w:vAlign w:val="center"/>
          </w:tcPr>
          <w:p w14:paraId="14D536A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both"/>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3C2488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SO</w:t>
            </w:r>
            <w:r>
              <w:rPr>
                <w:rFonts w:hint="default" w:ascii="Times New Roman" w:hAnsi="Times New Roman" w:eastAsia="宋体" w:cs="Times New Roman"/>
                <w:i w:val="0"/>
                <w:iCs w:val="0"/>
                <w:color w:val="auto"/>
                <w:kern w:val="2"/>
                <w:sz w:val="21"/>
                <w:szCs w:val="21"/>
                <w:u w:val="none"/>
                <w:vertAlign w:val="subscript"/>
                <w:lang w:val="en-US" w:eastAsia="zh-CN" w:bidi="ar-SA"/>
              </w:rPr>
              <w:t>2</w:t>
            </w:r>
          </w:p>
        </w:tc>
        <w:tc>
          <w:tcPr>
            <w:tcW w:w="1787" w:type="dxa"/>
            <w:tcBorders>
              <w:top w:val="single" w:color="auto" w:sz="4" w:space="0"/>
              <w:bottom w:val="single" w:color="auto" w:sz="4" w:space="0"/>
            </w:tcBorders>
            <w:shd w:val="clear" w:color="auto" w:fill="auto"/>
            <w:noWrap w:val="0"/>
            <w:vAlign w:val="center"/>
          </w:tcPr>
          <w:p w14:paraId="10D74E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eastAsia="宋体" w:cs="Times New Roman"/>
                <w:color w:val="auto"/>
                <w:kern w:val="2"/>
                <w:sz w:val="21"/>
                <w:szCs w:val="21"/>
                <w:lang w:val="en-US" w:eastAsia="zh-CN" w:bidi="ar"/>
              </w:rPr>
              <w:t>/</w:t>
            </w:r>
          </w:p>
        </w:tc>
        <w:tc>
          <w:tcPr>
            <w:tcW w:w="1276" w:type="dxa"/>
            <w:tcBorders>
              <w:top w:val="single" w:color="auto" w:sz="4" w:space="0"/>
              <w:bottom w:val="single" w:color="auto" w:sz="4" w:space="0"/>
            </w:tcBorders>
            <w:shd w:val="clear" w:color="auto" w:fill="auto"/>
            <w:noWrap w:val="0"/>
            <w:vAlign w:val="center"/>
          </w:tcPr>
          <w:p w14:paraId="7E2F84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8.190</w:t>
            </w:r>
          </w:p>
        </w:tc>
        <w:tc>
          <w:tcPr>
            <w:tcW w:w="1701" w:type="dxa"/>
            <w:tcBorders>
              <w:top w:val="single" w:color="auto" w:sz="4" w:space="0"/>
              <w:bottom w:val="single" w:color="auto" w:sz="4" w:space="0"/>
            </w:tcBorders>
            <w:shd w:val="clear" w:color="auto" w:fill="auto"/>
            <w:noWrap w:val="0"/>
            <w:vAlign w:val="center"/>
          </w:tcPr>
          <w:p w14:paraId="2CECD5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7C907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0.240</w:t>
            </w:r>
          </w:p>
        </w:tc>
        <w:tc>
          <w:tcPr>
            <w:tcW w:w="1657" w:type="dxa"/>
            <w:tcBorders>
              <w:top w:val="single" w:color="auto" w:sz="4" w:space="0"/>
              <w:bottom w:val="single" w:color="auto" w:sz="4" w:space="0"/>
            </w:tcBorders>
            <w:shd w:val="clear" w:color="auto" w:fill="auto"/>
            <w:noWrap w:val="0"/>
            <w:vAlign w:val="center"/>
          </w:tcPr>
          <w:p w14:paraId="381FAC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color w:val="auto"/>
                <w:sz w:val="21"/>
                <w:szCs w:val="21"/>
                <w:highlight w:val="none"/>
                <w:lang w:val="en-US" w:eastAsia="zh-CN"/>
              </w:rPr>
              <w:t>8.190</w:t>
            </w:r>
          </w:p>
        </w:tc>
        <w:tc>
          <w:tcPr>
            <w:tcW w:w="1605" w:type="dxa"/>
            <w:tcBorders>
              <w:top w:val="single" w:color="auto" w:sz="4" w:space="0"/>
              <w:bottom w:val="single" w:color="auto" w:sz="4" w:space="0"/>
            </w:tcBorders>
            <w:shd w:val="clear" w:color="auto" w:fill="auto"/>
            <w:noWrap w:val="0"/>
            <w:vAlign w:val="center"/>
          </w:tcPr>
          <w:p w14:paraId="147D2D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0.24</w:t>
            </w:r>
            <w:r>
              <w:rPr>
                <w:rFonts w:hint="eastAsia" w:cs="Times New Roman"/>
                <w:i w:val="0"/>
                <w:iCs w:val="0"/>
                <w:color w:val="auto"/>
                <w:kern w:val="0"/>
                <w:sz w:val="21"/>
                <w:szCs w:val="21"/>
                <w:u w:val="none"/>
                <w:lang w:val="en-US" w:eastAsia="zh-CN" w:bidi="ar"/>
              </w:rPr>
              <w:t>0</w:t>
            </w:r>
          </w:p>
        </w:tc>
        <w:tc>
          <w:tcPr>
            <w:tcW w:w="1284" w:type="dxa"/>
            <w:tcBorders>
              <w:top w:val="single" w:color="auto" w:sz="4" w:space="0"/>
              <w:bottom w:val="single" w:color="auto" w:sz="4" w:space="0"/>
              <w:right w:val="single" w:color="auto" w:sz="4" w:space="0"/>
            </w:tcBorders>
            <w:shd w:val="clear" w:color="auto" w:fill="auto"/>
            <w:noWrap w:val="0"/>
            <w:vAlign w:val="center"/>
          </w:tcPr>
          <w:p w14:paraId="5AA686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-7.950</w:t>
            </w:r>
          </w:p>
        </w:tc>
      </w:tr>
      <w:tr w14:paraId="3FEF8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tcBorders>
              <w:left w:val="single" w:color="auto" w:sz="4" w:space="0"/>
            </w:tcBorders>
            <w:noWrap w:val="0"/>
            <w:vAlign w:val="center"/>
          </w:tcPr>
          <w:p w14:paraId="7C4779ED">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noWrap w:val="0"/>
            <w:vAlign w:val="center"/>
          </w:tcPr>
          <w:p w14:paraId="27C15C64">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both"/>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1A921D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NOx</w:t>
            </w:r>
          </w:p>
        </w:tc>
        <w:tc>
          <w:tcPr>
            <w:tcW w:w="1787" w:type="dxa"/>
            <w:tcBorders>
              <w:top w:val="single" w:color="auto" w:sz="4" w:space="0"/>
              <w:bottom w:val="single" w:color="auto" w:sz="4" w:space="0"/>
            </w:tcBorders>
            <w:shd w:val="clear" w:color="auto" w:fill="auto"/>
            <w:noWrap w:val="0"/>
            <w:vAlign w:val="center"/>
          </w:tcPr>
          <w:p w14:paraId="285DD1B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eastAsia="宋体" w:cs="Times New Roman"/>
                <w:color w:val="auto"/>
                <w:kern w:val="2"/>
                <w:sz w:val="21"/>
                <w:szCs w:val="21"/>
                <w:lang w:val="en-US" w:eastAsia="zh-CN" w:bidi="ar"/>
              </w:rPr>
              <w:t>/</w:t>
            </w:r>
          </w:p>
        </w:tc>
        <w:tc>
          <w:tcPr>
            <w:tcW w:w="1276" w:type="dxa"/>
            <w:tcBorders>
              <w:top w:val="single" w:color="auto" w:sz="4" w:space="0"/>
              <w:bottom w:val="single" w:color="auto" w:sz="4" w:space="0"/>
            </w:tcBorders>
            <w:shd w:val="clear" w:color="auto" w:fill="auto"/>
            <w:noWrap w:val="0"/>
            <w:vAlign w:val="center"/>
          </w:tcPr>
          <w:p w14:paraId="6D1DFB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701" w:type="dxa"/>
            <w:tcBorders>
              <w:top w:val="single" w:color="auto" w:sz="4" w:space="0"/>
              <w:bottom w:val="single" w:color="auto" w:sz="4" w:space="0"/>
            </w:tcBorders>
            <w:shd w:val="clear" w:color="auto" w:fill="auto"/>
            <w:noWrap w:val="0"/>
            <w:vAlign w:val="center"/>
          </w:tcPr>
          <w:p w14:paraId="5BE0D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56D1E6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0.836</w:t>
            </w:r>
          </w:p>
        </w:tc>
        <w:tc>
          <w:tcPr>
            <w:tcW w:w="1657" w:type="dxa"/>
            <w:tcBorders>
              <w:top w:val="single" w:color="auto" w:sz="4" w:space="0"/>
              <w:bottom w:val="single" w:color="auto" w:sz="4" w:space="0"/>
            </w:tcBorders>
            <w:shd w:val="clear" w:color="auto" w:fill="auto"/>
            <w:noWrap w:val="0"/>
            <w:vAlign w:val="center"/>
          </w:tcPr>
          <w:p w14:paraId="302E78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w:t>
            </w:r>
          </w:p>
        </w:tc>
        <w:tc>
          <w:tcPr>
            <w:tcW w:w="1605" w:type="dxa"/>
            <w:tcBorders>
              <w:top w:val="single" w:color="auto" w:sz="4" w:space="0"/>
              <w:bottom w:val="single" w:color="auto" w:sz="4" w:space="0"/>
            </w:tcBorders>
            <w:shd w:val="clear" w:color="auto" w:fill="auto"/>
            <w:noWrap w:val="0"/>
            <w:vAlign w:val="center"/>
          </w:tcPr>
          <w:p w14:paraId="79D46C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0.836</w:t>
            </w:r>
          </w:p>
        </w:tc>
        <w:tc>
          <w:tcPr>
            <w:tcW w:w="1284" w:type="dxa"/>
            <w:tcBorders>
              <w:top w:val="single" w:color="auto" w:sz="4" w:space="0"/>
              <w:bottom w:val="single" w:color="auto" w:sz="4" w:space="0"/>
              <w:right w:val="single" w:color="auto" w:sz="4" w:space="0"/>
            </w:tcBorders>
            <w:shd w:val="clear" w:color="auto" w:fill="auto"/>
            <w:noWrap w:val="0"/>
            <w:vAlign w:val="center"/>
          </w:tcPr>
          <w:p w14:paraId="2BDD66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0.836</w:t>
            </w:r>
          </w:p>
        </w:tc>
      </w:tr>
      <w:tr w14:paraId="5281B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tcBorders>
              <w:left w:val="single" w:color="auto" w:sz="4" w:space="0"/>
            </w:tcBorders>
            <w:noWrap w:val="0"/>
            <w:vAlign w:val="center"/>
          </w:tcPr>
          <w:p w14:paraId="6EB6994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noWrap w:val="0"/>
            <w:vAlign w:val="center"/>
          </w:tcPr>
          <w:p w14:paraId="2AE2C754">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both"/>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6D796F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镍及其化合物</w:t>
            </w:r>
          </w:p>
        </w:tc>
        <w:tc>
          <w:tcPr>
            <w:tcW w:w="1787" w:type="dxa"/>
            <w:tcBorders>
              <w:top w:val="single" w:color="auto" w:sz="4" w:space="0"/>
              <w:bottom w:val="single" w:color="auto" w:sz="4" w:space="0"/>
            </w:tcBorders>
            <w:shd w:val="clear" w:color="auto" w:fill="auto"/>
            <w:noWrap w:val="0"/>
            <w:vAlign w:val="center"/>
          </w:tcPr>
          <w:p w14:paraId="4BAAF4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6"/>
                <w:kern w:val="21"/>
                <w:sz w:val="21"/>
                <w:szCs w:val="21"/>
                <w:lang w:val="en-US" w:eastAsia="zh-CN"/>
              </w:rPr>
            </w:pPr>
            <w:r>
              <w:rPr>
                <w:rFonts w:hint="eastAsia" w:ascii="Times New Roman" w:hAnsi="Times New Roman" w:eastAsia="宋体" w:cs="Times New Roman"/>
                <w:color w:val="auto"/>
                <w:kern w:val="2"/>
                <w:sz w:val="21"/>
                <w:szCs w:val="21"/>
                <w:lang w:val="en-US" w:eastAsia="zh-CN" w:bidi="ar"/>
              </w:rPr>
              <w:t>0.0138</w:t>
            </w:r>
          </w:p>
        </w:tc>
        <w:tc>
          <w:tcPr>
            <w:tcW w:w="1276" w:type="dxa"/>
            <w:tcBorders>
              <w:top w:val="single" w:color="auto" w:sz="4" w:space="0"/>
              <w:bottom w:val="single" w:color="auto" w:sz="4" w:space="0"/>
            </w:tcBorders>
            <w:shd w:val="clear" w:color="auto" w:fill="auto"/>
            <w:noWrap w:val="0"/>
            <w:vAlign w:val="center"/>
          </w:tcPr>
          <w:p w14:paraId="00BF4DF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701" w:type="dxa"/>
            <w:tcBorders>
              <w:top w:val="single" w:color="auto" w:sz="4" w:space="0"/>
              <w:bottom w:val="single" w:color="auto" w:sz="4" w:space="0"/>
            </w:tcBorders>
            <w:shd w:val="clear" w:color="auto" w:fill="auto"/>
            <w:noWrap w:val="0"/>
            <w:vAlign w:val="center"/>
          </w:tcPr>
          <w:p w14:paraId="01C23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63C83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0.0018</w:t>
            </w:r>
          </w:p>
        </w:tc>
        <w:tc>
          <w:tcPr>
            <w:tcW w:w="1657" w:type="dxa"/>
            <w:tcBorders>
              <w:top w:val="single" w:color="auto" w:sz="4" w:space="0"/>
              <w:bottom w:val="single" w:color="auto" w:sz="4" w:space="0"/>
            </w:tcBorders>
            <w:shd w:val="clear" w:color="auto" w:fill="auto"/>
            <w:noWrap w:val="0"/>
            <w:vAlign w:val="center"/>
          </w:tcPr>
          <w:p w14:paraId="314768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-0.0138</w:t>
            </w:r>
          </w:p>
        </w:tc>
        <w:tc>
          <w:tcPr>
            <w:tcW w:w="1605" w:type="dxa"/>
            <w:tcBorders>
              <w:top w:val="single" w:color="auto" w:sz="4" w:space="0"/>
              <w:bottom w:val="single" w:color="auto" w:sz="4" w:space="0"/>
            </w:tcBorders>
            <w:shd w:val="clear" w:color="auto" w:fill="auto"/>
            <w:noWrap w:val="0"/>
            <w:vAlign w:val="center"/>
          </w:tcPr>
          <w:p w14:paraId="2FAC8E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0.0156</w:t>
            </w:r>
          </w:p>
        </w:tc>
        <w:tc>
          <w:tcPr>
            <w:tcW w:w="1284" w:type="dxa"/>
            <w:tcBorders>
              <w:top w:val="single" w:color="auto" w:sz="4" w:space="0"/>
              <w:bottom w:val="single" w:color="auto" w:sz="4" w:space="0"/>
              <w:right w:val="single" w:color="auto" w:sz="4" w:space="0"/>
            </w:tcBorders>
            <w:shd w:val="clear" w:color="auto" w:fill="auto"/>
            <w:noWrap w:val="0"/>
            <w:vAlign w:val="center"/>
          </w:tcPr>
          <w:p w14:paraId="792A5E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+0.0156</w:t>
            </w:r>
          </w:p>
        </w:tc>
      </w:tr>
      <w:tr w14:paraId="5F5C9E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tcBorders>
              <w:left w:val="single" w:color="auto" w:sz="4" w:space="0"/>
            </w:tcBorders>
            <w:noWrap w:val="0"/>
            <w:vAlign w:val="center"/>
          </w:tcPr>
          <w:p w14:paraId="7751B75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noWrap w:val="0"/>
            <w:vAlign w:val="center"/>
          </w:tcPr>
          <w:p w14:paraId="3118274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both"/>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240738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铬及其化合物</w:t>
            </w:r>
          </w:p>
        </w:tc>
        <w:tc>
          <w:tcPr>
            <w:tcW w:w="1787" w:type="dxa"/>
            <w:tcBorders>
              <w:top w:val="single" w:color="auto" w:sz="4" w:space="0"/>
              <w:bottom w:val="single" w:color="auto" w:sz="4" w:space="0"/>
            </w:tcBorders>
            <w:shd w:val="clear" w:color="auto" w:fill="auto"/>
            <w:noWrap w:val="0"/>
            <w:vAlign w:val="center"/>
          </w:tcPr>
          <w:p w14:paraId="3EA56BD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6"/>
                <w:kern w:val="21"/>
                <w:sz w:val="21"/>
                <w:szCs w:val="21"/>
                <w:lang w:val="en-US" w:eastAsia="zh-CN"/>
              </w:rPr>
            </w:pPr>
            <w:r>
              <w:rPr>
                <w:rFonts w:hint="eastAsia" w:ascii="Times New Roman" w:hAnsi="Times New Roman" w:eastAsia="宋体" w:cs="Times New Roman"/>
                <w:color w:val="auto"/>
                <w:kern w:val="2"/>
                <w:sz w:val="21"/>
                <w:szCs w:val="21"/>
                <w:lang w:val="en-US" w:eastAsia="zh-CN" w:bidi="ar"/>
              </w:rPr>
              <w:t>0.0175</w:t>
            </w:r>
          </w:p>
        </w:tc>
        <w:tc>
          <w:tcPr>
            <w:tcW w:w="1276" w:type="dxa"/>
            <w:tcBorders>
              <w:top w:val="single" w:color="auto" w:sz="4" w:space="0"/>
              <w:bottom w:val="single" w:color="auto" w:sz="4" w:space="0"/>
            </w:tcBorders>
            <w:shd w:val="clear" w:color="auto" w:fill="auto"/>
            <w:noWrap w:val="0"/>
            <w:vAlign w:val="center"/>
          </w:tcPr>
          <w:p w14:paraId="13FD7A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701" w:type="dxa"/>
            <w:tcBorders>
              <w:top w:val="single" w:color="auto" w:sz="4" w:space="0"/>
              <w:bottom w:val="single" w:color="auto" w:sz="4" w:space="0"/>
            </w:tcBorders>
            <w:shd w:val="clear" w:color="auto" w:fill="auto"/>
            <w:noWrap w:val="0"/>
            <w:vAlign w:val="center"/>
          </w:tcPr>
          <w:p w14:paraId="459765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534CD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0.0021</w:t>
            </w:r>
          </w:p>
        </w:tc>
        <w:tc>
          <w:tcPr>
            <w:tcW w:w="1657" w:type="dxa"/>
            <w:tcBorders>
              <w:top w:val="single" w:color="auto" w:sz="4" w:space="0"/>
              <w:bottom w:val="single" w:color="auto" w:sz="4" w:space="0"/>
            </w:tcBorders>
            <w:shd w:val="clear" w:color="auto" w:fill="auto"/>
            <w:noWrap w:val="0"/>
            <w:vAlign w:val="center"/>
          </w:tcPr>
          <w:p w14:paraId="4AA766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-0.0175</w:t>
            </w:r>
          </w:p>
        </w:tc>
        <w:tc>
          <w:tcPr>
            <w:tcW w:w="1605" w:type="dxa"/>
            <w:tcBorders>
              <w:top w:val="single" w:color="auto" w:sz="4" w:space="0"/>
              <w:bottom w:val="single" w:color="auto" w:sz="4" w:space="0"/>
            </w:tcBorders>
            <w:shd w:val="clear" w:color="auto" w:fill="auto"/>
            <w:noWrap w:val="0"/>
            <w:vAlign w:val="center"/>
          </w:tcPr>
          <w:p w14:paraId="3FD1D5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0.0196</w:t>
            </w:r>
          </w:p>
        </w:tc>
        <w:tc>
          <w:tcPr>
            <w:tcW w:w="1284" w:type="dxa"/>
            <w:tcBorders>
              <w:top w:val="single" w:color="auto" w:sz="4" w:space="0"/>
              <w:bottom w:val="single" w:color="auto" w:sz="4" w:space="0"/>
              <w:right w:val="single" w:color="auto" w:sz="4" w:space="0"/>
            </w:tcBorders>
            <w:shd w:val="clear" w:color="auto" w:fill="auto"/>
            <w:noWrap w:val="0"/>
            <w:vAlign w:val="center"/>
          </w:tcPr>
          <w:p w14:paraId="133BBB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+0.0196</w:t>
            </w:r>
          </w:p>
        </w:tc>
      </w:tr>
      <w:tr w14:paraId="7841F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tcBorders>
              <w:left w:val="single" w:color="auto" w:sz="4" w:space="0"/>
            </w:tcBorders>
            <w:noWrap w:val="0"/>
            <w:vAlign w:val="center"/>
          </w:tcPr>
          <w:p w14:paraId="75E4F637">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noWrap w:val="0"/>
            <w:vAlign w:val="center"/>
          </w:tcPr>
          <w:p w14:paraId="40A77798">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jc w:val="both"/>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493CCA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氟化物</w:t>
            </w:r>
          </w:p>
        </w:tc>
        <w:tc>
          <w:tcPr>
            <w:tcW w:w="1787" w:type="dxa"/>
            <w:tcBorders>
              <w:top w:val="single" w:color="auto" w:sz="4" w:space="0"/>
              <w:bottom w:val="single" w:color="auto" w:sz="4" w:space="0"/>
            </w:tcBorders>
            <w:shd w:val="clear" w:color="auto" w:fill="auto"/>
            <w:noWrap w:val="0"/>
            <w:vAlign w:val="center"/>
          </w:tcPr>
          <w:p w14:paraId="24FC62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snapToGrid w:val="0"/>
                <w:color w:val="auto"/>
                <w:spacing w:val="-6"/>
                <w:kern w:val="21"/>
                <w:sz w:val="21"/>
                <w:szCs w:val="21"/>
                <w:lang w:val="en-US" w:eastAsia="zh-CN"/>
              </w:rPr>
            </w:pPr>
            <w:r>
              <w:rPr>
                <w:rFonts w:hint="eastAsia" w:cs="Times New Roman"/>
                <w:color w:val="auto"/>
                <w:kern w:val="2"/>
                <w:sz w:val="21"/>
                <w:szCs w:val="21"/>
                <w:lang w:val="en-US" w:eastAsia="zh-CN" w:bidi="ar"/>
              </w:rPr>
              <w:t>0</w:t>
            </w:r>
          </w:p>
        </w:tc>
        <w:tc>
          <w:tcPr>
            <w:tcW w:w="1276" w:type="dxa"/>
            <w:tcBorders>
              <w:top w:val="single" w:color="auto" w:sz="4" w:space="0"/>
              <w:bottom w:val="single" w:color="auto" w:sz="4" w:space="0"/>
            </w:tcBorders>
            <w:shd w:val="clear" w:color="auto" w:fill="auto"/>
            <w:noWrap w:val="0"/>
            <w:vAlign w:val="center"/>
          </w:tcPr>
          <w:p w14:paraId="24B5C55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w:t>
            </w:r>
          </w:p>
        </w:tc>
        <w:tc>
          <w:tcPr>
            <w:tcW w:w="1701" w:type="dxa"/>
            <w:tcBorders>
              <w:top w:val="single" w:color="auto" w:sz="4" w:space="0"/>
              <w:bottom w:val="single" w:color="auto" w:sz="4" w:space="0"/>
            </w:tcBorders>
            <w:shd w:val="clear" w:color="auto" w:fill="auto"/>
            <w:noWrap w:val="0"/>
            <w:vAlign w:val="center"/>
          </w:tcPr>
          <w:p w14:paraId="29F4C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w:t>
            </w:r>
          </w:p>
        </w:tc>
        <w:tc>
          <w:tcPr>
            <w:tcW w:w="1559" w:type="dxa"/>
            <w:tcBorders>
              <w:top w:val="single" w:color="auto" w:sz="4" w:space="0"/>
              <w:bottom w:val="single" w:color="auto" w:sz="4" w:space="0"/>
            </w:tcBorders>
            <w:shd w:val="clear" w:color="auto" w:fill="auto"/>
            <w:noWrap w:val="0"/>
            <w:vAlign w:val="center"/>
          </w:tcPr>
          <w:p w14:paraId="4F6C78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c>
          <w:tcPr>
            <w:tcW w:w="1657" w:type="dxa"/>
            <w:tcBorders>
              <w:top w:val="single" w:color="auto" w:sz="4" w:space="0"/>
              <w:bottom w:val="single" w:color="auto" w:sz="4" w:space="0"/>
            </w:tcBorders>
            <w:shd w:val="clear" w:color="auto" w:fill="auto"/>
            <w:noWrap w:val="0"/>
            <w:vAlign w:val="center"/>
          </w:tcPr>
          <w:p w14:paraId="244EA8E3">
            <w:pPr>
              <w:keepNext w:val="0"/>
              <w:keepLines w:val="0"/>
              <w:widowControl/>
              <w:suppressLineNumbers w:val="0"/>
              <w:spacing w:before="0" w:beforeAutospacing="0" w:after="0" w:afterAutospacing="0"/>
              <w:ind w:left="0" w:leftChars="0" w:right="0" w:rightChars="0"/>
              <w:jc w:val="center"/>
              <w:textAlignment w:val="center"/>
              <w:rPr>
                <w:rFonts w:hint="eastAsia"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w:t>
            </w:r>
          </w:p>
        </w:tc>
        <w:tc>
          <w:tcPr>
            <w:tcW w:w="1605" w:type="dxa"/>
            <w:tcBorders>
              <w:top w:val="single" w:color="auto" w:sz="4" w:space="0"/>
              <w:bottom w:val="single" w:color="auto" w:sz="4" w:space="0"/>
            </w:tcBorders>
            <w:shd w:val="clear" w:color="auto" w:fill="auto"/>
            <w:noWrap w:val="0"/>
            <w:vAlign w:val="center"/>
          </w:tcPr>
          <w:p w14:paraId="78C8E43D">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c>
          <w:tcPr>
            <w:tcW w:w="1284" w:type="dxa"/>
            <w:tcBorders>
              <w:top w:val="single" w:color="auto" w:sz="4" w:space="0"/>
              <w:bottom w:val="single" w:color="auto" w:sz="4" w:space="0"/>
              <w:right w:val="single" w:color="auto" w:sz="4" w:space="0"/>
            </w:tcBorders>
            <w:shd w:val="clear" w:color="auto" w:fill="auto"/>
            <w:noWrap w:val="0"/>
            <w:vAlign w:val="center"/>
          </w:tcPr>
          <w:p w14:paraId="7EE566E2">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+0.016</w:t>
            </w:r>
          </w:p>
        </w:tc>
      </w:tr>
      <w:tr w14:paraId="558B08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7" w:type="dxa"/>
            <w:vMerge w:val="continue"/>
            <w:tcBorders>
              <w:top w:val="single" w:color="auto" w:sz="4" w:space="0"/>
              <w:left w:val="single" w:color="auto" w:sz="4" w:space="0"/>
              <w:bottom w:val="single" w:color="auto" w:sz="4" w:space="0"/>
            </w:tcBorders>
            <w:noWrap w:val="0"/>
            <w:vAlign w:val="center"/>
          </w:tcPr>
          <w:p w14:paraId="5E766DE4">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tcBorders>
              <w:bottom w:val="single" w:color="auto" w:sz="4" w:space="0"/>
            </w:tcBorders>
            <w:noWrap w:val="0"/>
            <w:vAlign w:val="center"/>
          </w:tcPr>
          <w:p w14:paraId="58F15C25">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6B109D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2"/>
                <w:sz w:val="21"/>
                <w:szCs w:val="21"/>
                <w:u w:val="none"/>
                <w:lang w:val="en-US" w:eastAsia="zh-CN" w:bidi="ar-SA"/>
              </w:rPr>
              <w:t>VOCs（非甲烷总烃）</w:t>
            </w:r>
          </w:p>
        </w:tc>
        <w:tc>
          <w:tcPr>
            <w:tcW w:w="1787" w:type="dxa"/>
            <w:tcBorders>
              <w:top w:val="single" w:color="auto" w:sz="4" w:space="0"/>
              <w:bottom w:val="single" w:color="auto" w:sz="4" w:space="0"/>
            </w:tcBorders>
            <w:shd w:val="clear" w:color="auto" w:fill="auto"/>
            <w:noWrap w:val="0"/>
            <w:vAlign w:val="center"/>
          </w:tcPr>
          <w:p w14:paraId="48A84B11">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cs="Times New Roman"/>
                <w:snapToGrid w:val="0"/>
                <w:color w:val="auto"/>
                <w:spacing w:val="-6"/>
                <w:kern w:val="21"/>
                <w:sz w:val="21"/>
                <w:szCs w:val="21"/>
                <w:lang w:val="en-US" w:eastAsia="zh-CN"/>
              </w:rPr>
              <w:t>/</w:t>
            </w:r>
          </w:p>
        </w:tc>
        <w:tc>
          <w:tcPr>
            <w:tcW w:w="1276" w:type="dxa"/>
            <w:tcBorders>
              <w:top w:val="single" w:color="auto" w:sz="4" w:space="0"/>
              <w:bottom w:val="single" w:color="auto" w:sz="4" w:space="0"/>
            </w:tcBorders>
            <w:shd w:val="clear" w:color="auto" w:fill="auto"/>
            <w:noWrap w:val="0"/>
            <w:vAlign w:val="center"/>
          </w:tcPr>
          <w:p w14:paraId="4CD770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0.0126</w:t>
            </w:r>
          </w:p>
        </w:tc>
        <w:tc>
          <w:tcPr>
            <w:tcW w:w="1701" w:type="dxa"/>
            <w:tcBorders>
              <w:top w:val="single" w:color="auto" w:sz="4" w:space="0"/>
              <w:bottom w:val="single" w:color="auto" w:sz="4" w:space="0"/>
            </w:tcBorders>
            <w:shd w:val="clear" w:color="auto" w:fill="auto"/>
            <w:noWrap w:val="0"/>
            <w:vAlign w:val="center"/>
          </w:tcPr>
          <w:p w14:paraId="17BC8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0727BC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color w:val="auto"/>
                <w:kern w:val="2"/>
                <w:sz w:val="21"/>
                <w:szCs w:val="21"/>
                <w:lang w:val="en-US" w:eastAsia="zh-CN" w:bidi="ar-SA"/>
              </w:rPr>
              <w:t>0</w:t>
            </w:r>
          </w:p>
        </w:tc>
        <w:tc>
          <w:tcPr>
            <w:tcW w:w="1657" w:type="dxa"/>
            <w:tcBorders>
              <w:top w:val="single" w:color="auto" w:sz="4" w:space="0"/>
              <w:bottom w:val="single" w:color="auto" w:sz="4" w:space="0"/>
            </w:tcBorders>
            <w:shd w:val="clear" w:color="auto" w:fill="auto"/>
            <w:noWrap w:val="0"/>
            <w:vAlign w:val="center"/>
          </w:tcPr>
          <w:p w14:paraId="526901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color w:val="auto"/>
                <w:kern w:val="2"/>
                <w:sz w:val="21"/>
                <w:szCs w:val="21"/>
                <w:lang w:val="en-US" w:eastAsia="zh-CN" w:bidi="ar-SA"/>
              </w:rPr>
              <w:t>0</w:t>
            </w:r>
          </w:p>
        </w:tc>
        <w:tc>
          <w:tcPr>
            <w:tcW w:w="1605" w:type="dxa"/>
            <w:tcBorders>
              <w:top w:val="single" w:color="auto" w:sz="4" w:space="0"/>
              <w:bottom w:val="single" w:color="auto" w:sz="4" w:space="0"/>
            </w:tcBorders>
            <w:shd w:val="clear" w:color="auto" w:fill="auto"/>
            <w:noWrap w:val="0"/>
            <w:vAlign w:val="center"/>
          </w:tcPr>
          <w:p w14:paraId="6EBD9F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0.0126</w:t>
            </w:r>
          </w:p>
        </w:tc>
        <w:tc>
          <w:tcPr>
            <w:tcW w:w="1284" w:type="dxa"/>
            <w:tcBorders>
              <w:top w:val="single" w:color="auto" w:sz="4" w:space="0"/>
              <w:bottom w:val="single" w:color="auto" w:sz="4" w:space="0"/>
              <w:right w:val="single" w:color="auto" w:sz="4" w:space="0"/>
            </w:tcBorders>
            <w:shd w:val="clear" w:color="auto" w:fill="auto"/>
            <w:noWrap w:val="0"/>
            <w:vAlign w:val="center"/>
          </w:tcPr>
          <w:p w14:paraId="0B17B7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w:t>
            </w:r>
          </w:p>
        </w:tc>
      </w:tr>
      <w:tr w14:paraId="52DB6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557" w:type="dxa"/>
            <w:vMerge w:val="restart"/>
            <w:tcBorders>
              <w:top w:val="single" w:color="auto" w:sz="4" w:space="0"/>
              <w:left w:val="single" w:color="auto" w:sz="4" w:space="0"/>
            </w:tcBorders>
            <w:noWrap w:val="0"/>
            <w:vAlign w:val="center"/>
          </w:tcPr>
          <w:p w14:paraId="106BBC21">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废水</w:t>
            </w:r>
          </w:p>
        </w:tc>
        <w:tc>
          <w:tcPr>
            <w:tcW w:w="878" w:type="dxa"/>
            <w:vMerge w:val="restart"/>
            <w:tcBorders>
              <w:top w:val="single" w:color="auto" w:sz="4" w:space="0"/>
              <w:left w:val="single" w:color="auto" w:sz="4" w:space="0"/>
            </w:tcBorders>
            <w:noWrap w:val="0"/>
            <w:vAlign w:val="center"/>
          </w:tcPr>
          <w:p w14:paraId="68D4885D">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生活污水</w:t>
            </w:r>
          </w:p>
        </w:tc>
        <w:tc>
          <w:tcPr>
            <w:tcW w:w="1484" w:type="dxa"/>
            <w:tcBorders>
              <w:top w:val="single" w:color="auto" w:sz="4" w:space="0"/>
              <w:bottom w:val="single" w:color="auto" w:sz="4" w:space="0"/>
            </w:tcBorders>
            <w:noWrap w:val="0"/>
            <w:vAlign w:val="center"/>
          </w:tcPr>
          <w:p w14:paraId="4B87CA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废水量</w:t>
            </w:r>
          </w:p>
        </w:tc>
        <w:tc>
          <w:tcPr>
            <w:tcW w:w="1787" w:type="dxa"/>
            <w:tcBorders>
              <w:top w:val="single" w:color="auto" w:sz="4" w:space="0"/>
              <w:bottom w:val="single" w:color="auto" w:sz="4" w:space="0"/>
            </w:tcBorders>
            <w:shd w:val="clear" w:color="auto" w:fill="auto"/>
            <w:noWrap w:val="0"/>
            <w:vAlign w:val="center"/>
          </w:tcPr>
          <w:p w14:paraId="2A980449">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eastAsia" w:ascii="Times New Roman" w:hAnsi="Times New Roman" w:cs="Times New Roman"/>
                <w:snapToGrid w:val="0"/>
                <w:color w:val="auto"/>
                <w:spacing w:val="-6"/>
                <w:kern w:val="21"/>
                <w:sz w:val="21"/>
                <w:szCs w:val="21"/>
                <w:lang w:val="en-US" w:eastAsia="zh-CN"/>
              </w:rPr>
              <w:t>2448</w:t>
            </w:r>
          </w:p>
        </w:tc>
        <w:tc>
          <w:tcPr>
            <w:tcW w:w="1276" w:type="dxa"/>
            <w:tcBorders>
              <w:top w:val="single" w:color="auto" w:sz="4" w:space="0"/>
              <w:bottom w:val="single" w:color="auto" w:sz="4" w:space="0"/>
            </w:tcBorders>
            <w:shd w:val="clear" w:color="auto" w:fill="auto"/>
            <w:noWrap w:val="0"/>
            <w:vAlign w:val="center"/>
          </w:tcPr>
          <w:p w14:paraId="2C88F92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7920</w:t>
            </w:r>
          </w:p>
        </w:tc>
        <w:tc>
          <w:tcPr>
            <w:tcW w:w="1701" w:type="dxa"/>
            <w:tcBorders>
              <w:top w:val="single" w:color="auto" w:sz="4" w:space="0"/>
              <w:bottom w:val="single" w:color="auto" w:sz="4" w:space="0"/>
            </w:tcBorders>
            <w:noWrap w:val="0"/>
            <w:vAlign w:val="center"/>
          </w:tcPr>
          <w:p w14:paraId="59DD1F6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noWrap w:val="0"/>
            <w:vAlign w:val="center"/>
          </w:tcPr>
          <w:p w14:paraId="3491F23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657" w:type="dxa"/>
            <w:tcBorders>
              <w:top w:val="single" w:color="auto" w:sz="4" w:space="0"/>
              <w:bottom w:val="single" w:color="auto" w:sz="4" w:space="0"/>
            </w:tcBorders>
            <w:noWrap w:val="0"/>
            <w:vAlign w:val="center"/>
          </w:tcPr>
          <w:p w14:paraId="1E34CA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p>
        </w:tc>
        <w:tc>
          <w:tcPr>
            <w:tcW w:w="1605" w:type="dxa"/>
            <w:tcBorders>
              <w:top w:val="single" w:color="auto" w:sz="4" w:space="0"/>
              <w:bottom w:val="single" w:color="auto" w:sz="4" w:space="0"/>
            </w:tcBorders>
            <w:shd w:val="clear" w:color="auto" w:fill="auto"/>
            <w:noWrap w:val="0"/>
            <w:vAlign w:val="center"/>
          </w:tcPr>
          <w:p w14:paraId="5AA0A8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0.979 </w:t>
            </w:r>
          </w:p>
        </w:tc>
        <w:tc>
          <w:tcPr>
            <w:tcW w:w="1284" w:type="dxa"/>
            <w:tcBorders>
              <w:top w:val="single" w:color="auto" w:sz="4" w:space="0"/>
              <w:bottom w:val="single" w:color="auto" w:sz="4" w:space="0"/>
              <w:right w:val="single" w:color="auto" w:sz="4" w:space="0"/>
            </w:tcBorders>
            <w:noWrap w:val="0"/>
            <w:vAlign w:val="center"/>
          </w:tcPr>
          <w:p w14:paraId="36E1416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r>
      <w:tr w14:paraId="7A1DE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557" w:type="dxa"/>
            <w:vMerge w:val="continue"/>
            <w:tcBorders>
              <w:left w:val="single" w:color="auto" w:sz="4" w:space="0"/>
            </w:tcBorders>
            <w:noWrap w:val="0"/>
            <w:vAlign w:val="center"/>
          </w:tcPr>
          <w:p w14:paraId="46CF406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tcBorders>
              <w:left w:val="single" w:color="auto" w:sz="4" w:space="0"/>
            </w:tcBorders>
            <w:noWrap w:val="0"/>
            <w:vAlign w:val="center"/>
          </w:tcPr>
          <w:p w14:paraId="12710A5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23D3747E">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COD</w:t>
            </w:r>
          </w:p>
        </w:tc>
        <w:tc>
          <w:tcPr>
            <w:tcW w:w="1787" w:type="dxa"/>
            <w:tcBorders>
              <w:top w:val="single" w:color="auto" w:sz="4" w:space="0"/>
              <w:bottom w:val="single" w:color="auto" w:sz="4" w:space="0"/>
            </w:tcBorders>
            <w:shd w:val="clear" w:color="auto" w:fill="auto"/>
            <w:noWrap w:val="0"/>
            <w:vAlign w:val="center"/>
          </w:tcPr>
          <w:p w14:paraId="0699F0B6">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cs="Times New Roman"/>
                <w:snapToGrid w:val="0"/>
                <w:color w:val="auto"/>
                <w:spacing w:val="-6"/>
                <w:kern w:val="21"/>
                <w:sz w:val="21"/>
                <w:szCs w:val="21"/>
                <w:lang w:val="en-US" w:eastAsia="zh-CN"/>
              </w:rPr>
              <w:t xml:space="preserve">0.979 </w:t>
            </w:r>
          </w:p>
        </w:tc>
        <w:tc>
          <w:tcPr>
            <w:tcW w:w="1276" w:type="dxa"/>
            <w:tcBorders>
              <w:top w:val="single" w:color="auto" w:sz="4" w:space="0"/>
              <w:bottom w:val="single" w:color="auto" w:sz="4" w:space="0"/>
            </w:tcBorders>
            <w:shd w:val="clear" w:color="auto" w:fill="auto"/>
            <w:noWrap w:val="0"/>
            <w:vAlign w:val="center"/>
          </w:tcPr>
          <w:p w14:paraId="634DB4E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2.92</w:t>
            </w:r>
            <w:r>
              <w:rPr>
                <w:rFonts w:hint="eastAsia" w:ascii="Times New Roman" w:hAnsi="Times New Roman" w:eastAsia="宋体" w:cs="Times New Roman"/>
                <w:color w:val="auto"/>
                <w:kern w:val="2"/>
                <w:sz w:val="21"/>
                <w:szCs w:val="21"/>
                <w:lang w:val="en-US" w:eastAsia="zh-CN" w:bidi="ar"/>
              </w:rPr>
              <w:t>0</w:t>
            </w:r>
          </w:p>
        </w:tc>
        <w:tc>
          <w:tcPr>
            <w:tcW w:w="1701" w:type="dxa"/>
            <w:tcBorders>
              <w:top w:val="single" w:color="auto" w:sz="4" w:space="0"/>
              <w:bottom w:val="single" w:color="auto" w:sz="4" w:space="0"/>
            </w:tcBorders>
            <w:noWrap w:val="0"/>
            <w:vAlign w:val="center"/>
          </w:tcPr>
          <w:p w14:paraId="404AB8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noWrap w:val="0"/>
            <w:vAlign w:val="center"/>
          </w:tcPr>
          <w:p w14:paraId="5C8C6C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657" w:type="dxa"/>
            <w:tcBorders>
              <w:top w:val="single" w:color="auto" w:sz="4" w:space="0"/>
              <w:bottom w:val="single" w:color="auto" w:sz="4" w:space="0"/>
            </w:tcBorders>
            <w:noWrap w:val="0"/>
            <w:vAlign w:val="center"/>
          </w:tcPr>
          <w:p w14:paraId="5C8B2DE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p>
        </w:tc>
        <w:tc>
          <w:tcPr>
            <w:tcW w:w="1605" w:type="dxa"/>
            <w:tcBorders>
              <w:top w:val="single" w:color="auto" w:sz="4" w:space="0"/>
              <w:bottom w:val="single" w:color="auto" w:sz="4" w:space="0"/>
            </w:tcBorders>
            <w:shd w:val="clear" w:color="auto" w:fill="auto"/>
            <w:noWrap w:val="0"/>
            <w:vAlign w:val="center"/>
          </w:tcPr>
          <w:p w14:paraId="04D149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0.612 </w:t>
            </w:r>
          </w:p>
        </w:tc>
        <w:tc>
          <w:tcPr>
            <w:tcW w:w="1284" w:type="dxa"/>
            <w:tcBorders>
              <w:top w:val="single" w:color="auto" w:sz="4" w:space="0"/>
              <w:bottom w:val="single" w:color="auto" w:sz="4" w:space="0"/>
              <w:right w:val="single" w:color="auto" w:sz="4" w:space="0"/>
            </w:tcBorders>
            <w:noWrap w:val="0"/>
            <w:vAlign w:val="center"/>
          </w:tcPr>
          <w:p w14:paraId="1E6A526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r>
      <w:tr w14:paraId="193D6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557" w:type="dxa"/>
            <w:vMerge w:val="continue"/>
            <w:tcBorders>
              <w:left w:val="single" w:color="auto" w:sz="4" w:space="0"/>
            </w:tcBorders>
            <w:noWrap w:val="0"/>
            <w:vAlign w:val="center"/>
          </w:tcPr>
          <w:p w14:paraId="2A45A21C">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tcBorders>
              <w:left w:val="single" w:color="auto" w:sz="4" w:space="0"/>
            </w:tcBorders>
            <w:noWrap w:val="0"/>
            <w:vAlign w:val="center"/>
          </w:tcPr>
          <w:p w14:paraId="1542C9B1">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534933E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1787" w:type="dxa"/>
            <w:tcBorders>
              <w:top w:val="single" w:color="auto" w:sz="4" w:space="0"/>
              <w:bottom w:val="single" w:color="auto" w:sz="4" w:space="0"/>
            </w:tcBorders>
            <w:shd w:val="clear" w:color="auto" w:fill="auto"/>
            <w:noWrap w:val="0"/>
            <w:vAlign w:val="center"/>
          </w:tcPr>
          <w:p w14:paraId="6CB40C6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cs="Times New Roman"/>
                <w:snapToGrid w:val="0"/>
                <w:color w:val="auto"/>
                <w:spacing w:val="-6"/>
                <w:kern w:val="21"/>
                <w:sz w:val="21"/>
                <w:szCs w:val="21"/>
                <w:lang w:val="en-US" w:eastAsia="zh-CN"/>
              </w:rPr>
              <w:t xml:space="preserve">0.612 </w:t>
            </w:r>
          </w:p>
        </w:tc>
        <w:tc>
          <w:tcPr>
            <w:tcW w:w="1276" w:type="dxa"/>
            <w:tcBorders>
              <w:top w:val="single" w:color="auto" w:sz="4" w:space="0"/>
              <w:bottom w:val="single" w:color="auto" w:sz="4" w:space="0"/>
            </w:tcBorders>
            <w:shd w:val="clear" w:color="auto" w:fill="auto"/>
            <w:noWrap w:val="0"/>
            <w:vAlign w:val="center"/>
          </w:tcPr>
          <w:p w14:paraId="17984609">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1.82</w:t>
            </w:r>
            <w:r>
              <w:rPr>
                <w:rFonts w:hint="eastAsia" w:ascii="Times New Roman" w:hAnsi="Times New Roman" w:eastAsia="宋体" w:cs="Times New Roman"/>
                <w:color w:val="auto"/>
                <w:kern w:val="2"/>
                <w:sz w:val="21"/>
                <w:szCs w:val="21"/>
                <w:lang w:val="en-US" w:eastAsia="zh-CN" w:bidi="ar"/>
              </w:rPr>
              <w:t>0</w:t>
            </w:r>
          </w:p>
        </w:tc>
        <w:tc>
          <w:tcPr>
            <w:tcW w:w="1701" w:type="dxa"/>
            <w:tcBorders>
              <w:top w:val="single" w:color="auto" w:sz="4" w:space="0"/>
              <w:bottom w:val="single" w:color="auto" w:sz="4" w:space="0"/>
            </w:tcBorders>
            <w:noWrap w:val="0"/>
            <w:vAlign w:val="center"/>
          </w:tcPr>
          <w:p w14:paraId="6F75DD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noWrap w:val="0"/>
            <w:vAlign w:val="center"/>
          </w:tcPr>
          <w:p w14:paraId="200BFAB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657" w:type="dxa"/>
            <w:tcBorders>
              <w:top w:val="single" w:color="auto" w:sz="4" w:space="0"/>
              <w:bottom w:val="single" w:color="auto" w:sz="4" w:space="0"/>
            </w:tcBorders>
            <w:noWrap w:val="0"/>
            <w:vAlign w:val="center"/>
          </w:tcPr>
          <w:p w14:paraId="43A3F7F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p>
        </w:tc>
        <w:tc>
          <w:tcPr>
            <w:tcW w:w="1605" w:type="dxa"/>
            <w:tcBorders>
              <w:top w:val="single" w:color="auto" w:sz="4" w:space="0"/>
              <w:bottom w:val="single" w:color="auto" w:sz="4" w:space="0"/>
            </w:tcBorders>
            <w:shd w:val="clear" w:color="auto" w:fill="auto"/>
            <w:noWrap w:val="0"/>
            <w:vAlign w:val="center"/>
          </w:tcPr>
          <w:p w14:paraId="40DE24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0.086 </w:t>
            </w:r>
          </w:p>
        </w:tc>
        <w:tc>
          <w:tcPr>
            <w:tcW w:w="1284" w:type="dxa"/>
            <w:tcBorders>
              <w:top w:val="single" w:color="auto" w:sz="4" w:space="0"/>
              <w:bottom w:val="single" w:color="auto" w:sz="4" w:space="0"/>
              <w:right w:val="single" w:color="auto" w:sz="4" w:space="0"/>
            </w:tcBorders>
            <w:noWrap w:val="0"/>
            <w:vAlign w:val="center"/>
          </w:tcPr>
          <w:p w14:paraId="296BA63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r>
      <w:tr w14:paraId="7B10D8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557" w:type="dxa"/>
            <w:vMerge w:val="continue"/>
            <w:tcBorders>
              <w:left w:val="single" w:color="auto" w:sz="4" w:space="0"/>
            </w:tcBorders>
            <w:noWrap w:val="0"/>
            <w:vAlign w:val="center"/>
          </w:tcPr>
          <w:p w14:paraId="0DB0C7F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tcBorders>
              <w:left w:val="single" w:color="auto" w:sz="4" w:space="0"/>
            </w:tcBorders>
            <w:noWrap w:val="0"/>
            <w:vAlign w:val="center"/>
          </w:tcPr>
          <w:p w14:paraId="422D51CA">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564B3060">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787" w:type="dxa"/>
            <w:tcBorders>
              <w:top w:val="single" w:color="auto" w:sz="4" w:space="0"/>
              <w:bottom w:val="single" w:color="auto" w:sz="4" w:space="0"/>
            </w:tcBorders>
            <w:shd w:val="clear" w:color="auto" w:fill="auto"/>
            <w:noWrap w:val="0"/>
            <w:vAlign w:val="center"/>
          </w:tcPr>
          <w:p w14:paraId="2A9A958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cs="Times New Roman"/>
                <w:snapToGrid w:val="0"/>
                <w:color w:val="auto"/>
                <w:spacing w:val="-6"/>
                <w:kern w:val="21"/>
                <w:sz w:val="21"/>
                <w:szCs w:val="21"/>
                <w:lang w:val="en-US" w:eastAsia="zh-CN"/>
              </w:rPr>
              <w:t xml:space="preserve">0.086 </w:t>
            </w:r>
          </w:p>
        </w:tc>
        <w:tc>
          <w:tcPr>
            <w:tcW w:w="1276" w:type="dxa"/>
            <w:tcBorders>
              <w:top w:val="single" w:color="auto" w:sz="4" w:space="0"/>
              <w:bottom w:val="single" w:color="auto" w:sz="4" w:space="0"/>
            </w:tcBorders>
            <w:shd w:val="clear" w:color="auto" w:fill="auto"/>
            <w:noWrap w:val="0"/>
            <w:vAlign w:val="center"/>
          </w:tcPr>
          <w:p w14:paraId="010F74D5">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0.22</w:t>
            </w:r>
            <w:r>
              <w:rPr>
                <w:rFonts w:hint="eastAsia" w:ascii="Times New Roman" w:hAnsi="Times New Roman" w:eastAsia="宋体" w:cs="Times New Roman"/>
                <w:color w:val="auto"/>
                <w:kern w:val="2"/>
                <w:sz w:val="21"/>
                <w:szCs w:val="21"/>
                <w:lang w:val="en-US" w:eastAsia="zh-CN" w:bidi="ar"/>
              </w:rPr>
              <w:t>0</w:t>
            </w:r>
          </w:p>
        </w:tc>
        <w:tc>
          <w:tcPr>
            <w:tcW w:w="1701" w:type="dxa"/>
            <w:tcBorders>
              <w:top w:val="single" w:color="auto" w:sz="4" w:space="0"/>
              <w:bottom w:val="single" w:color="auto" w:sz="4" w:space="0"/>
            </w:tcBorders>
            <w:noWrap w:val="0"/>
            <w:vAlign w:val="center"/>
          </w:tcPr>
          <w:p w14:paraId="7B17D5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noWrap w:val="0"/>
            <w:vAlign w:val="center"/>
          </w:tcPr>
          <w:p w14:paraId="12487A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657" w:type="dxa"/>
            <w:tcBorders>
              <w:top w:val="single" w:color="auto" w:sz="4" w:space="0"/>
              <w:bottom w:val="single" w:color="auto" w:sz="4" w:space="0"/>
            </w:tcBorders>
            <w:noWrap w:val="0"/>
            <w:vAlign w:val="center"/>
          </w:tcPr>
          <w:p w14:paraId="047DBFD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p>
        </w:tc>
        <w:tc>
          <w:tcPr>
            <w:tcW w:w="1605" w:type="dxa"/>
            <w:tcBorders>
              <w:top w:val="single" w:color="auto" w:sz="4" w:space="0"/>
              <w:bottom w:val="single" w:color="auto" w:sz="4" w:space="0"/>
            </w:tcBorders>
            <w:shd w:val="clear" w:color="auto" w:fill="auto"/>
            <w:noWrap w:val="0"/>
            <w:vAlign w:val="center"/>
          </w:tcPr>
          <w:p w14:paraId="1A65DA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0.098 </w:t>
            </w:r>
          </w:p>
        </w:tc>
        <w:tc>
          <w:tcPr>
            <w:tcW w:w="1284" w:type="dxa"/>
            <w:tcBorders>
              <w:top w:val="single" w:color="auto" w:sz="4" w:space="0"/>
              <w:bottom w:val="single" w:color="auto" w:sz="4" w:space="0"/>
              <w:right w:val="single" w:color="auto" w:sz="4" w:space="0"/>
            </w:tcBorders>
            <w:noWrap w:val="0"/>
            <w:vAlign w:val="center"/>
          </w:tcPr>
          <w:p w14:paraId="0018763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r>
      <w:tr w14:paraId="3D61E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557" w:type="dxa"/>
            <w:vMerge w:val="continue"/>
            <w:tcBorders>
              <w:left w:val="single" w:color="auto" w:sz="4" w:space="0"/>
            </w:tcBorders>
            <w:noWrap w:val="0"/>
            <w:vAlign w:val="center"/>
          </w:tcPr>
          <w:p w14:paraId="41AE5003">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tcBorders>
              <w:left w:val="single" w:color="auto" w:sz="4" w:space="0"/>
            </w:tcBorders>
            <w:noWrap w:val="0"/>
            <w:vAlign w:val="center"/>
          </w:tcPr>
          <w:p w14:paraId="515BE0D5">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5E24A87B">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TN</w:t>
            </w:r>
          </w:p>
        </w:tc>
        <w:tc>
          <w:tcPr>
            <w:tcW w:w="1787" w:type="dxa"/>
            <w:tcBorders>
              <w:top w:val="single" w:color="auto" w:sz="4" w:space="0"/>
              <w:bottom w:val="single" w:color="auto" w:sz="4" w:space="0"/>
            </w:tcBorders>
            <w:shd w:val="clear" w:color="auto" w:fill="auto"/>
            <w:noWrap w:val="0"/>
            <w:vAlign w:val="center"/>
          </w:tcPr>
          <w:p w14:paraId="067C2E3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cs="Times New Roman"/>
                <w:snapToGrid w:val="0"/>
                <w:color w:val="auto"/>
                <w:spacing w:val="-6"/>
                <w:kern w:val="21"/>
                <w:sz w:val="21"/>
                <w:szCs w:val="21"/>
                <w:lang w:val="en-US" w:eastAsia="zh-CN"/>
              </w:rPr>
              <w:t xml:space="preserve">0.098 </w:t>
            </w:r>
          </w:p>
        </w:tc>
        <w:tc>
          <w:tcPr>
            <w:tcW w:w="1276" w:type="dxa"/>
            <w:tcBorders>
              <w:top w:val="single" w:color="auto" w:sz="4" w:space="0"/>
              <w:bottom w:val="single" w:color="auto" w:sz="4" w:space="0"/>
            </w:tcBorders>
            <w:shd w:val="clear" w:color="auto" w:fill="auto"/>
            <w:noWrap w:val="0"/>
            <w:vAlign w:val="center"/>
          </w:tcPr>
          <w:p w14:paraId="02E6EE2B">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701" w:type="dxa"/>
            <w:tcBorders>
              <w:top w:val="single" w:color="auto" w:sz="4" w:space="0"/>
              <w:bottom w:val="single" w:color="auto" w:sz="4" w:space="0"/>
            </w:tcBorders>
            <w:noWrap w:val="0"/>
            <w:vAlign w:val="center"/>
          </w:tcPr>
          <w:p w14:paraId="6863EB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noWrap w:val="0"/>
            <w:vAlign w:val="center"/>
          </w:tcPr>
          <w:p w14:paraId="249C0FE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657" w:type="dxa"/>
            <w:tcBorders>
              <w:top w:val="single" w:color="auto" w:sz="4" w:space="0"/>
              <w:bottom w:val="single" w:color="auto" w:sz="4" w:space="0"/>
            </w:tcBorders>
            <w:noWrap w:val="0"/>
            <w:vAlign w:val="center"/>
          </w:tcPr>
          <w:p w14:paraId="2BBD8B5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605" w:type="dxa"/>
            <w:tcBorders>
              <w:top w:val="single" w:color="auto" w:sz="4" w:space="0"/>
              <w:bottom w:val="single" w:color="auto" w:sz="4" w:space="0"/>
            </w:tcBorders>
            <w:shd w:val="clear" w:color="auto" w:fill="auto"/>
            <w:noWrap w:val="0"/>
            <w:vAlign w:val="center"/>
          </w:tcPr>
          <w:p w14:paraId="444E3C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0.007 </w:t>
            </w:r>
          </w:p>
        </w:tc>
        <w:tc>
          <w:tcPr>
            <w:tcW w:w="1284" w:type="dxa"/>
            <w:tcBorders>
              <w:top w:val="single" w:color="auto" w:sz="4" w:space="0"/>
              <w:bottom w:val="single" w:color="auto" w:sz="4" w:space="0"/>
              <w:right w:val="single" w:color="auto" w:sz="4" w:space="0"/>
            </w:tcBorders>
            <w:noWrap w:val="0"/>
            <w:vAlign w:val="center"/>
          </w:tcPr>
          <w:p w14:paraId="020D209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p>
        </w:tc>
      </w:tr>
      <w:tr w14:paraId="055C1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557" w:type="dxa"/>
            <w:vMerge w:val="continue"/>
            <w:tcBorders>
              <w:left w:val="single" w:color="auto" w:sz="4" w:space="0"/>
            </w:tcBorders>
            <w:noWrap w:val="0"/>
            <w:vAlign w:val="center"/>
          </w:tcPr>
          <w:p w14:paraId="3215E5C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878" w:type="dxa"/>
            <w:vMerge w:val="continue"/>
            <w:tcBorders>
              <w:left w:val="single" w:color="auto" w:sz="4" w:space="0"/>
            </w:tcBorders>
            <w:noWrap w:val="0"/>
            <w:vAlign w:val="center"/>
          </w:tcPr>
          <w:p w14:paraId="7A9CC55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shd w:val="clear" w:color="auto" w:fill="auto"/>
            <w:noWrap w:val="0"/>
            <w:vAlign w:val="center"/>
          </w:tcPr>
          <w:p w14:paraId="7423591F">
            <w:pPr>
              <w:keepNext w:val="0"/>
              <w:keepLines w:val="0"/>
              <w:pageBreakBefore w:val="0"/>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TP</w:t>
            </w:r>
          </w:p>
        </w:tc>
        <w:tc>
          <w:tcPr>
            <w:tcW w:w="1787" w:type="dxa"/>
            <w:tcBorders>
              <w:top w:val="single" w:color="auto" w:sz="4" w:space="0"/>
              <w:bottom w:val="single" w:color="auto" w:sz="4" w:space="0"/>
            </w:tcBorders>
            <w:shd w:val="clear" w:color="auto" w:fill="auto"/>
            <w:noWrap w:val="0"/>
            <w:vAlign w:val="center"/>
          </w:tcPr>
          <w:p w14:paraId="19D476B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default" w:ascii="Times New Roman" w:hAnsi="Times New Roman" w:cs="Times New Roman"/>
                <w:snapToGrid w:val="0"/>
                <w:color w:val="auto"/>
                <w:spacing w:val="-6"/>
                <w:kern w:val="21"/>
                <w:sz w:val="21"/>
                <w:szCs w:val="21"/>
                <w:lang w:val="en-US" w:eastAsia="zh-CN"/>
              </w:rPr>
              <w:t xml:space="preserve">0.007 </w:t>
            </w:r>
          </w:p>
        </w:tc>
        <w:tc>
          <w:tcPr>
            <w:tcW w:w="1276" w:type="dxa"/>
            <w:tcBorders>
              <w:top w:val="single" w:color="auto" w:sz="4" w:space="0"/>
              <w:bottom w:val="single" w:color="auto" w:sz="4" w:space="0"/>
            </w:tcBorders>
            <w:shd w:val="clear" w:color="auto" w:fill="auto"/>
            <w:noWrap w:val="0"/>
            <w:vAlign w:val="center"/>
          </w:tcPr>
          <w:p w14:paraId="289E2E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0.029</w:t>
            </w:r>
          </w:p>
        </w:tc>
        <w:tc>
          <w:tcPr>
            <w:tcW w:w="1701" w:type="dxa"/>
            <w:tcBorders>
              <w:top w:val="single" w:color="auto" w:sz="4" w:space="0"/>
              <w:bottom w:val="single" w:color="auto" w:sz="4" w:space="0"/>
            </w:tcBorders>
            <w:noWrap w:val="0"/>
            <w:vAlign w:val="center"/>
          </w:tcPr>
          <w:p w14:paraId="3481AC3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noWrap w:val="0"/>
            <w:vAlign w:val="center"/>
          </w:tcPr>
          <w:p w14:paraId="526250A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c>
          <w:tcPr>
            <w:tcW w:w="1657" w:type="dxa"/>
            <w:tcBorders>
              <w:top w:val="single" w:color="auto" w:sz="4" w:space="0"/>
              <w:bottom w:val="single" w:color="auto" w:sz="4" w:space="0"/>
            </w:tcBorders>
            <w:noWrap w:val="0"/>
            <w:vAlign w:val="center"/>
          </w:tcPr>
          <w:p w14:paraId="253A320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0</w:t>
            </w:r>
          </w:p>
        </w:tc>
        <w:tc>
          <w:tcPr>
            <w:tcW w:w="1605" w:type="dxa"/>
            <w:tcBorders>
              <w:top w:val="single" w:color="auto" w:sz="4" w:space="0"/>
              <w:bottom w:val="single" w:color="auto" w:sz="4" w:space="0"/>
            </w:tcBorders>
            <w:noWrap w:val="0"/>
            <w:vAlign w:val="center"/>
          </w:tcPr>
          <w:p w14:paraId="574FDF3A">
            <w:pPr>
              <w:pStyle w:val="89"/>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0.004</w:t>
            </w:r>
            <w:r>
              <w:rPr>
                <w:rFonts w:hint="default" w:ascii="Times New Roman" w:hAnsi="Times New Roman" w:cs="Times New Roman"/>
                <w:color w:val="auto"/>
                <w:sz w:val="21"/>
                <w:szCs w:val="21"/>
                <w:lang w:val="en-US" w:eastAsia="zh-CN"/>
              </w:rPr>
              <w:t>7</w:t>
            </w:r>
          </w:p>
        </w:tc>
        <w:tc>
          <w:tcPr>
            <w:tcW w:w="1284" w:type="dxa"/>
            <w:tcBorders>
              <w:top w:val="single" w:color="auto" w:sz="4" w:space="0"/>
              <w:bottom w:val="single" w:color="auto" w:sz="4" w:space="0"/>
              <w:right w:val="single" w:color="auto" w:sz="4" w:space="0"/>
            </w:tcBorders>
            <w:noWrap w:val="0"/>
            <w:vAlign w:val="center"/>
          </w:tcPr>
          <w:p w14:paraId="458A0D7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cs="Times New Roman"/>
                <w:color w:val="auto"/>
                <w:kern w:val="0"/>
                <w:sz w:val="21"/>
                <w:szCs w:val="21"/>
                <w:lang w:bidi="ar"/>
              </w:rPr>
              <w:t>0</w:t>
            </w:r>
          </w:p>
        </w:tc>
      </w:tr>
      <w:tr w14:paraId="3DE0B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35" w:type="dxa"/>
            <w:gridSpan w:val="2"/>
            <w:vMerge w:val="restart"/>
            <w:tcBorders>
              <w:top w:val="single" w:color="auto" w:sz="4" w:space="0"/>
              <w:left w:val="single" w:color="auto" w:sz="4" w:space="0"/>
            </w:tcBorders>
            <w:noWrap w:val="0"/>
            <w:vAlign w:val="center"/>
          </w:tcPr>
          <w:p w14:paraId="3E5E5F40">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一般工业</w:t>
            </w:r>
          </w:p>
          <w:p w14:paraId="7DAEEEEE">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r>
              <w:rPr>
                <w:rFonts w:hint="default" w:ascii="Times New Roman" w:hAnsi="Times New Roman" w:cs="Times New Roman"/>
                <w:snapToGrid w:val="0"/>
                <w:color w:val="auto"/>
                <w:kern w:val="21"/>
                <w:sz w:val="21"/>
                <w:szCs w:val="21"/>
              </w:rPr>
              <w:t>固体废物</w:t>
            </w:r>
          </w:p>
        </w:tc>
        <w:tc>
          <w:tcPr>
            <w:tcW w:w="1484" w:type="dxa"/>
            <w:tcBorders>
              <w:top w:val="single" w:color="auto" w:sz="4" w:space="0"/>
              <w:bottom w:val="single" w:color="auto" w:sz="4" w:space="0"/>
            </w:tcBorders>
            <w:noWrap w:val="0"/>
            <w:vAlign w:val="center"/>
          </w:tcPr>
          <w:p w14:paraId="3FBEFA6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生活垃圾</w:t>
            </w:r>
          </w:p>
        </w:tc>
        <w:tc>
          <w:tcPr>
            <w:tcW w:w="1787" w:type="dxa"/>
            <w:tcBorders>
              <w:top w:val="single" w:color="auto" w:sz="4" w:space="0"/>
              <w:bottom w:val="single" w:color="auto" w:sz="4" w:space="0"/>
            </w:tcBorders>
            <w:noWrap w:val="0"/>
            <w:vAlign w:val="center"/>
          </w:tcPr>
          <w:p w14:paraId="79AB72B4">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eastAsia" w:ascii="Times New Roman" w:hAnsi="Times New Roman" w:cs="Times New Roman"/>
                <w:snapToGrid w:val="0"/>
                <w:color w:val="auto"/>
                <w:spacing w:val="-6"/>
                <w:kern w:val="21"/>
                <w:sz w:val="21"/>
                <w:szCs w:val="21"/>
                <w:lang w:val="en-US" w:eastAsia="zh-CN"/>
              </w:rPr>
              <w:t>12</w:t>
            </w:r>
          </w:p>
        </w:tc>
        <w:tc>
          <w:tcPr>
            <w:tcW w:w="1276" w:type="dxa"/>
            <w:tcBorders>
              <w:top w:val="single" w:color="auto" w:sz="4" w:space="0"/>
              <w:bottom w:val="single" w:color="auto" w:sz="4" w:space="0"/>
            </w:tcBorders>
            <w:noWrap w:val="0"/>
            <w:vAlign w:val="center"/>
          </w:tcPr>
          <w:p w14:paraId="38E62A4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701" w:type="dxa"/>
            <w:tcBorders>
              <w:top w:val="single" w:color="auto" w:sz="4" w:space="0"/>
              <w:bottom w:val="single" w:color="auto" w:sz="4" w:space="0"/>
            </w:tcBorders>
            <w:noWrap w:val="0"/>
            <w:vAlign w:val="center"/>
          </w:tcPr>
          <w:p w14:paraId="200593F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4F227A07">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657" w:type="dxa"/>
            <w:tcBorders>
              <w:top w:val="single" w:color="auto" w:sz="4" w:space="0"/>
              <w:bottom w:val="single" w:color="auto" w:sz="4" w:space="0"/>
            </w:tcBorders>
            <w:noWrap w:val="0"/>
            <w:vAlign w:val="center"/>
          </w:tcPr>
          <w:p w14:paraId="2FB702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605" w:type="dxa"/>
            <w:tcBorders>
              <w:top w:val="single" w:color="auto" w:sz="4" w:space="0"/>
              <w:bottom w:val="single" w:color="auto" w:sz="4" w:space="0"/>
            </w:tcBorders>
            <w:noWrap w:val="0"/>
            <w:vAlign w:val="center"/>
          </w:tcPr>
          <w:p w14:paraId="01DB49D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12</w:t>
            </w:r>
          </w:p>
        </w:tc>
        <w:tc>
          <w:tcPr>
            <w:tcW w:w="1284" w:type="dxa"/>
            <w:tcBorders>
              <w:top w:val="single" w:color="auto" w:sz="4" w:space="0"/>
              <w:bottom w:val="single" w:color="auto" w:sz="4" w:space="0"/>
              <w:right w:val="single" w:color="auto" w:sz="4" w:space="0"/>
            </w:tcBorders>
            <w:noWrap w:val="0"/>
            <w:vAlign w:val="center"/>
          </w:tcPr>
          <w:p w14:paraId="4A5643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p>
        </w:tc>
      </w:tr>
      <w:tr w14:paraId="6AE28E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35" w:type="dxa"/>
            <w:gridSpan w:val="2"/>
            <w:vMerge w:val="continue"/>
            <w:tcBorders>
              <w:left w:val="single" w:color="auto" w:sz="4" w:space="0"/>
            </w:tcBorders>
            <w:noWrap w:val="0"/>
            <w:vAlign w:val="center"/>
          </w:tcPr>
          <w:p w14:paraId="63C58D3B">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noWrap w:val="0"/>
            <w:vAlign w:val="center"/>
          </w:tcPr>
          <w:p w14:paraId="066A9AC2">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一般固废</w:t>
            </w:r>
          </w:p>
        </w:tc>
        <w:tc>
          <w:tcPr>
            <w:tcW w:w="1787" w:type="dxa"/>
            <w:tcBorders>
              <w:top w:val="single" w:color="auto" w:sz="4" w:space="0"/>
              <w:bottom w:val="single" w:color="auto" w:sz="4" w:space="0"/>
            </w:tcBorders>
            <w:noWrap w:val="0"/>
            <w:vAlign w:val="center"/>
          </w:tcPr>
          <w:p w14:paraId="50638250">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spacing w:val="-6"/>
                <w:kern w:val="21"/>
                <w:sz w:val="21"/>
                <w:szCs w:val="21"/>
                <w:lang w:val="en-US" w:eastAsia="zh-CN"/>
              </w:rPr>
            </w:pPr>
            <w:r>
              <w:rPr>
                <w:rFonts w:hint="eastAsia" w:ascii="Times New Roman" w:hAnsi="Times New Roman" w:cs="Times New Roman"/>
                <w:snapToGrid w:val="0"/>
                <w:color w:val="auto"/>
                <w:spacing w:val="-6"/>
                <w:kern w:val="21"/>
                <w:sz w:val="21"/>
                <w:szCs w:val="21"/>
                <w:lang w:val="en-US" w:eastAsia="zh-CN"/>
              </w:rPr>
              <w:t>1901.998</w:t>
            </w:r>
          </w:p>
        </w:tc>
        <w:tc>
          <w:tcPr>
            <w:tcW w:w="1276" w:type="dxa"/>
            <w:tcBorders>
              <w:top w:val="single" w:color="auto" w:sz="4" w:space="0"/>
              <w:bottom w:val="single" w:color="auto" w:sz="4" w:space="0"/>
            </w:tcBorders>
            <w:noWrap w:val="0"/>
            <w:vAlign w:val="center"/>
          </w:tcPr>
          <w:p w14:paraId="22EF0FA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701" w:type="dxa"/>
            <w:tcBorders>
              <w:top w:val="single" w:color="auto" w:sz="4" w:space="0"/>
              <w:bottom w:val="single" w:color="auto" w:sz="4" w:space="0"/>
            </w:tcBorders>
            <w:noWrap w:val="0"/>
            <w:vAlign w:val="center"/>
          </w:tcPr>
          <w:p w14:paraId="77E21B0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53D4D8F4">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503.14</w:t>
            </w:r>
          </w:p>
        </w:tc>
        <w:tc>
          <w:tcPr>
            <w:tcW w:w="1657" w:type="dxa"/>
            <w:tcBorders>
              <w:top w:val="single" w:color="auto" w:sz="4" w:space="0"/>
              <w:bottom w:val="single" w:color="auto" w:sz="4" w:space="0"/>
            </w:tcBorders>
            <w:noWrap w:val="0"/>
            <w:vAlign w:val="center"/>
          </w:tcPr>
          <w:p w14:paraId="7938615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val="en-US" w:eastAsia="zh-CN" w:bidi="ar"/>
              </w:rPr>
              <w:t>0</w:t>
            </w:r>
          </w:p>
        </w:tc>
        <w:tc>
          <w:tcPr>
            <w:tcW w:w="1605" w:type="dxa"/>
            <w:tcBorders>
              <w:top w:val="single" w:color="auto" w:sz="4" w:space="0"/>
              <w:bottom w:val="single" w:color="auto" w:sz="4" w:space="0"/>
            </w:tcBorders>
            <w:noWrap w:val="0"/>
            <w:vAlign w:val="center"/>
          </w:tcPr>
          <w:p w14:paraId="4747D16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2409.474</w:t>
            </w:r>
          </w:p>
        </w:tc>
        <w:tc>
          <w:tcPr>
            <w:tcW w:w="1284" w:type="dxa"/>
            <w:tcBorders>
              <w:top w:val="single" w:color="auto" w:sz="4" w:space="0"/>
              <w:bottom w:val="single" w:color="auto" w:sz="4" w:space="0"/>
              <w:right w:val="single" w:color="auto" w:sz="4" w:space="0"/>
            </w:tcBorders>
            <w:noWrap w:val="0"/>
            <w:vAlign w:val="center"/>
          </w:tcPr>
          <w:p w14:paraId="0A991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1906.334</w:t>
            </w:r>
          </w:p>
        </w:tc>
      </w:tr>
      <w:tr w14:paraId="5C69D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1435" w:type="dxa"/>
            <w:gridSpan w:val="2"/>
            <w:vMerge w:val="continue"/>
            <w:tcBorders>
              <w:left w:val="single" w:color="auto" w:sz="4" w:space="0"/>
              <w:bottom w:val="single" w:color="auto" w:sz="4" w:space="0"/>
            </w:tcBorders>
            <w:noWrap w:val="0"/>
            <w:vAlign w:val="center"/>
          </w:tcPr>
          <w:p w14:paraId="4765409C">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auto"/>
                <w:kern w:val="21"/>
                <w:sz w:val="21"/>
                <w:szCs w:val="21"/>
              </w:rPr>
            </w:pPr>
          </w:p>
        </w:tc>
        <w:tc>
          <w:tcPr>
            <w:tcW w:w="1484" w:type="dxa"/>
            <w:tcBorders>
              <w:top w:val="single" w:color="auto" w:sz="4" w:space="0"/>
              <w:bottom w:val="single" w:color="auto" w:sz="4" w:space="0"/>
            </w:tcBorders>
            <w:noWrap w:val="0"/>
            <w:vAlign w:val="center"/>
          </w:tcPr>
          <w:p w14:paraId="745FF651">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危险固废</w:t>
            </w:r>
          </w:p>
        </w:tc>
        <w:tc>
          <w:tcPr>
            <w:tcW w:w="1787" w:type="dxa"/>
            <w:tcBorders>
              <w:top w:val="single" w:color="auto" w:sz="4" w:space="0"/>
              <w:bottom w:val="single" w:color="auto" w:sz="4" w:space="0"/>
            </w:tcBorders>
            <w:noWrap w:val="0"/>
            <w:vAlign w:val="center"/>
          </w:tcPr>
          <w:p w14:paraId="5D569061">
            <w:pPr>
              <w:pStyle w:val="49"/>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0" w:firstLineChars="0"/>
              <w:rPr>
                <w:rFonts w:hint="default" w:ascii="Times New Roman" w:hAnsi="Times New Roman" w:eastAsia="黑体" w:cs="Times New Roman"/>
                <w:snapToGrid w:val="0"/>
                <w:color w:val="auto"/>
                <w:spacing w:val="-6"/>
                <w:kern w:val="21"/>
                <w:sz w:val="21"/>
                <w:szCs w:val="21"/>
                <w:lang w:val="en-US" w:eastAsia="zh-CN"/>
              </w:rPr>
            </w:pPr>
            <w:r>
              <w:rPr>
                <w:rFonts w:hint="eastAsia" w:ascii="Times New Roman" w:hAnsi="Times New Roman" w:cs="Times New Roman"/>
                <w:snapToGrid w:val="0"/>
                <w:color w:val="auto"/>
                <w:spacing w:val="-6"/>
                <w:kern w:val="21"/>
                <w:sz w:val="21"/>
                <w:szCs w:val="21"/>
                <w:lang w:val="en-US" w:eastAsia="zh-CN"/>
              </w:rPr>
              <w:t>6.04</w:t>
            </w:r>
          </w:p>
        </w:tc>
        <w:tc>
          <w:tcPr>
            <w:tcW w:w="1276" w:type="dxa"/>
            <w:tcBorders>
              <w:top w:val="single" w:color="auto" w:sz="4" w:space="0"/>
              <w:bottom w:val="single" w:color="auto" w:sz="4" w:space="0"/>
            </w:tcBorders>
            <w:noWrap w:val="0"/>
            <w:vAlign w:val="center"/>
          </w:tcPr>
          <w:p w14:paraId="63F66D3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701" w:type="dxa"/>
            <w:tcBorders>
              <w:top w:val="single" w:color="auto" w:sz="4" w:space="0"/>
              <w:bottom w:val="single" w:color="auto" w:sz="4" w:space="0"/>
            </w:tcBorders>
            <w:noWrap w:val="0"/>
            <w:vAlign w:val="center"/>
          </w:tcPr>
          <w:p w14:paraId="63333D1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1559" w:type="dxa"/>
            <w:tcBorders>
              <w:top w:val="single" w:color="auto" w:sz="4" w:space="0"/>
              <w:bottom w:val="single" w:color="auto" w:sz="4" w:space="0"/>
            </w:tcBorders>
            <w:shd w:val="clear" w:color="auto" w:fill="auto"/>
            <w:noWrap w:val="0"/>
            <w:vAlign w:val="center"/>
          </w:tcPr>
          <w:p w14:paraId="71420BBF">
            <w:pPr>
              <w:keepNext w:val="0"/>
              <w:keepLines w:val="0"/>
              <w:pageBreakBefore w:val="0"/>
              <w:widowControl/>
              <w:suppressLineNumbers w:val="0"/>
              <w:kinsoku/>
              <w:wordWrap/>
              <w:overflowPunct/>
              <w:topLinePunct w:val="0"/>
              <w:autoSpaceDE/>
              <w:bidi w:val="0"/>
              <w:adjustRightInd/>
              <w:snapToGrid/>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9.297</w:t>
            </w:r>
          </w:p>
        </w:tc>
        <w:tc>
          <w:tcPr>
            <w:tcW w:w="1657" w:type="dxa"/>
            <w:tcBorders>
              <w:top w:val="single" w:color="auto" w:sz="4" w:space="0"/>
              <w:bottom w:val="single" w:color="auto" w:sz="4" w:space="0"/>
            </w:tcBorders>
            <w:noWrap w:val="0"/>
            <w:vAlign w:val="center"/>
          </w:tcPr>
          <w:p w14:paraId="7A33994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1605" w:type="dxa"/>
            <w:tcBorders>
              <w:top w:val="single" w:color="auto" w:sz="4" w:space="0"/>
              <w:bottom w:val="single" w:color="auto" w:sz="4" w:space="0"/>
            </w:tcBorders>
            <w:noWrap w:val="0"/>
            <w:vAlign w:val="center"/>
          </w:tcPr>
          <w:p w14:paraId="10E6629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15.337</w:t>
            </w:r>
          </w:p>
        </w:tc>
        <w:tc>
          <w:tcPr>
            <w:tcW w:w="1284" w:type="dxa"/>
            <w:tcBorders>
              <w:top w:val="single" w:color="auto" w:sz="4" w:space="0"/>
              <w:bottom w:val="single" w:color="auto" w:sz="4" w:space="0"/>
              <w:right w:val="single" w:color="auto" w:sz="4" w:space="0"/>
            </w:tcBorders>
            <w:noWrap w:val="0"/>
            <w:vAlign w:val="center"/>
          </w:tcPr>
          <w:p w14:paraId="7A40E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9.297</w:t>
            </w:r>
          </w:p>
        </w:tc>
      </w:tr>
      <w:bookmarkEnd w:id="6"/>
    </w:tbl>
    <w:p w14:paraId="504DFA13">
      <w:pPr>
        <w:pStyle w:val="49"/>
        <w:spacing w:before="192" w:beforeLines="80" w:after="24"/>
        <w:jc w:val="left"/>
        <w:rPr>
          <w:color w:val="auto"/>
          <w:highlight w:val="none"/>
        </w:rPr>
      </w:pPr>
      <w:r>
        <w:rPr>
          <w:rFonts w:ascii="Times New Roman"/>
          <w:snapToGrid w:val="0"/>
          <w:color w:val="auto"/>
          <w:kern w:val="21"/>
          <w:szCs w:val="21"/>
          <w:highlight w:val="none"/>
        </w:rPr>
        <w:t>注：</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3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③</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4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④</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5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⑤</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7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⑦</w:t>
      </w:r>
      <w:r>
        <w:rPr>
          <w:rFonts w:ascii="Times New Roman"/>
          <w:snapToGrid w:val="0"/>
          <w:color w:val="auto"/>
          <w:spacing w:val="-6"/>
          <w:kern w:val="21"/>
          <w:szCs w:val="21"/>
          <w:highlight w:val="none"/>
        </w:rPr>
        <w:fldChar w:fldCharType="end"/>
      </w:r>
      <w:r>
        <w:rPr>
          <w:rFonts w:ascii="Times New Roman"/>
          <w:snapToGrid w:val="0"/>
          <w:color w:val="auto"/>
          <w:spacing w:val="-6"/>
          <w:kern w:val="21"/>
          <w:szCs w:val="21"/>
          <w:highlight w:val="none"/>
        </w:rPr>
        <w:t>=</w:t>
      </w:r>
      <w:r>
        <w:rPr>
          <w:rFonts w:ascii="Times New Roman"/>
          <w:snapToGrid w:val="0"/>
          <w:color w:val="auto"/>
          <w:spacing w:val="-16"/>
          <w:kern w:val="21"/>
          <w:szCs w:val="21"/>
          <w:highlight w:val="none"/>
        </w:rPr>
        <w:fldChar w:fldCharType="begin"/>
      </w:r>
      <w:r>
        <w:rPr>
          <w:rFonts w:ascii="Times New Roman"/>
          <w:snapToGrid w:val="0"/>
          <w:color w:val="auto"/>
          <w:spacing w:val="-16"/>
          <w:kern w:val="21"/>
          <w:szCs w:val="21"/>
          <w:highlight w:val="none"/>
        </w:rPr>
        <w:instrText xml:space="preserve"> = 6 \* GB3 \* MERGEFORMAT </w:instrText>
      </w:r>
      <w:r>
        <w:rPr>
          <w:rFonts w:ascii="Times New Roman"/>
          <w:snapToGrid w:val="0"/>
          <w:color w:val="auto"/>
          <w:spacing w:val="-16"/>
          <w:kern w:val="21"/>
          <w:szCs w:val="21"/>
          <w:highlight w:val="none"/>
        </w:rPr>
        <w:fldChar w:fldCharType="separate"/>
      </w:r>
      <w:r>
        <w:rPr>
          <w:rFonts w:ascii="Times New Roman"/>
          <w:color w:val="auto"/>
          <w:szCs w:val="21"/>
          <w:highlight w:val="none"/>
        </w:rPr>
        <w:t>⑥</w:t>
      </w:r>
      <w:r>
        <w:rPr>
          <w:rFonts w:ascii="Times New Roman"/>
          <w:snapToGrid w:val="0"/>
          <w:color w:val="auto"/>
          <w:spacing w:val="-16"/>
          <w:kern w:val="21"/>
          <w:szCs w:val="21"/>
          <w:highlight w:val="none"/>
        </w:rPr>
        <w:fldChar w:fldCharType="end"/>
      </w:r>
      <w:r>
        <w:rPr>
          <w:rFonts w:ascii="Times New Roman"/>
          <w:snapToGrid w:val="0"/>
          <w:color w:val="auto"/>
          <w:spacing w:val="-16"/>
          <w:kern w:val="21"/>
          <w:szCs w:val="21"/>
          <w:highlight w:val="none"/>
        </w:rPr>
        <w:t>-</w:t>
      </w:r>
      <w:r>
        <w:rPr>
          <w:rFonts w:ascii="Times New Roman"/>
          <w:snapToGrid w:val="0"/>
          <w:color w:val="auto"/>
          <w:spacing w:val="-6"/>
          <w:kern w:val="21"/>
          <w:szCs w:val="21"/>
          <w:highlight w:val="none"/>
        </w:rPr>
        <w:fldChar w:fldCharType="begin"/>
      </w:r>
      <w:r>
        <w:rPr>
          <w:rFonts w:ascii="Times New Roman"/>
          <w:snapToGrid w:val="0"/>
          <w:color w:val="auto"/>
          <w:spacing w:val="-6"/>
          <w:kern w:val="21"/>
          <w:szCs w:val="21"/>
          <w:highlight w:val="none"/>
        </w:rPr>
        <w:instrText xml:space="preserve"> = 1 \* GB3 \* MERGEFORMAT </w:instrText>
      </w:r>
      <w:r>
        <w:rPr>
          <w:rFonts w:ascii="Times New Roman"/>
          <w:snapToGrid w:val="0"/>
          <w:color w:val="auto"/>
          <w:spacing w:val="-6"/>
          <w:kern w:val="21"/>
          <w:szCs w:val="21"/>
          <w:highlight w:val="none"/>
        </w:rPr>
        <w:fldChar w:fldCharType="separate"/>
      </w:r>
      <w:r>
        <w:rPr>
          <w:rFonts w:ascii="Times New Roman"/>
          <w:color w:val="auto"/>
          <w:szCs w:val="21"/>
          <w:highlight w:val="none"/>
        </w:rPr>
        <w:t>①</w:t>
      </w:r>
      <w:r>
        <w:rPr>
          <w:rFonts w:ascii="Times New Roman"/>
          <w:snapToGrid w:val="0"/>
          <w:color w:val="auto"/>
          <w:spacing w:val="-6"/>
          <w:kern w:val="21"/>
          <w:szCs w:val="21"/>
          <w:highlight w:val="none"/>
        </w:rPr>
        <w:fldChar w:fldCharType="end"/>
      </w:r>
    </w:p>
    <w:p w14:paraId="5A0C6447">
      <w:pPr>
        <w:rPr>
          <w:color w:val="auto"/>
          <w:highlight w:val="none"/>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pPr w:leftFromText="180" w:rightFromText="180" w:vertAnchor="text" w:horzAnchor="page" w:tblpX="2018" w:tblpY="-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B46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4" w:hRule="atLeast"/>
        </w:trPr>
        <w:tc>
          <w:tcPr>
            <w:tcW w:w="9060" w:type="dxa"/>
            <w:noWrap w:val="0"/>
            <w:vAlign w:val="top"/>
          </w:tcPr>
          <w:p w14:paraId="40571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240" w:firstLineChars="1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本报告表附图、附件：</w:t>
            </w:r>
          </w:p>
          <w:p w14:paraId="419B0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240" w:firstLineChars="1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附图</w:t>
            </w:r>
          </w:p>
          <w:p w14:paraId="3AD8C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附图1 项目地理位置图</w:t>
            </w:r>
          </w:p>
          <w:p w14:paraId="78382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附图2 项目周边环境状况图</w:t>
            </w:r>
          </w:p>
          <w:p w14:paraId="1C2A6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附图3 厂区平面布置图</w:t>
            </w:r>
          </w:p>
          <w:p w14:paraId="393D2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rPr>
              <w:t>附图</w:t>
            </w: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rPr>
              <w:t xml:space="preserve"> </w:t>
            </w:r>
            <w:r>
              <w:rPr>
                <w:rFonts w:hint="eastAsia" w:cs="Times New Roman"/>
                <w:color w:val="auto"/>
                <w:sz w:val="24"/>
                <w:lang w:val="en-US" w:eastAsia="zh-CN"/>
              </w:rPr>
              <w:t>车间平面布置图</w:t>
            </w:r>
          </w:p>
          <w:p w14:paraId="046AD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cs="Times New Roman"/>
                <w:color w:val="auto"/>
                <w:sz w:val="24"/>
              </w:rPr>
            </w:pPr>
            <w:r>
              <w:rPr>
                <w:rFonts w:hint="eastAsia" w:cs="Times New Roman"/>
                <w:color w:val="auto"/>
                <w:sz w:val="24"/>
                <w:lang w:val="en-US" w:eastAsia="zh-CN"/>
              </w:rPr>
              <w:t xml:space="preserve">附图5 </w:t>
            </w:r>
            <w:r>
              <w:rPr>
                <w:rFonts w:hint="default" w:ascii="Times New Roman" w:hAnsi="Times New Roman" w:cs="Times New Roman"/>
                <w:color w:val="auto"/>
                <w:sz w:val="24"/>
              </w:rPr>
              <w:t>常州市生态空间保护区域分布图</w:t>
            </w:r>
          </w:p>
          <w:p w14:paraId="3C0C4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附图</w:t>
            </w:r>
            <w:r>
              <w:rPr>
                <w:rFonts w:hint="eastAsia" w:cs="Times New Roman"/>
                <w:color w:val="auto"/>
                <w:sz w:val="24"/>
                <w:lang w:val="en-US" w:eastAsia="zh-CN"/>
              </w:rPr>
              <w:t>6</w:t>
            </w:r>
            <w:r>
              <w:rPr>
                <w:rFonts w:hint="default" w:ascii="Times New Roman" w:hAnsi="Times New Roman" w:cs="Times New Roman"/>
                <w:color w:val="auto"/>
                <w:sz w:val="24"/>
              </w:rPr>
              <w:t xml:space="preserve"> 用地规划图</w:t>
            </w:r>
          </w:p>
          <w:p w14:paraId="7CFFD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cs="Times New Roman"/>
                <w:color w:val="auto"/>
                <w:sz w:val="24"/>
              </w:rPr>
            </w:pPr>
            <w:r>
              <w:rPr>
                <w:rFonts w:hint="default" w:ascii="Times New Roman" w:hAnsi="Times New Roman" w:cs="Times New Roman"/>
                <w:color w:val="auto"/>
                <w:sz w:val="24"/>
              </w:rPr>
              <w:t>附图</w:t>
            </w:r>
            <w:r>
              <w:rPr>
                <w:rFonts w:hint="eastAsia" w:cs="Times New Roman"/>
                <w:color w:val="auto"/>
                <w:sz w:val="24"/>
                <w:lang w:val="en-US" w:eastAsia="zh-CN"/>
              </w:rPr>
              <w:t>7</w:t>
            </w:r>
            <w:r>
              <w:rPr>
                <w:rFonts w:hint="default" w:ascii="Times New Roman" w:hAnsi="Times New Roman" w:cs="Times New Roman"/>
                <w:color w:val="auto"/>
                <w:sz w:val="24"/>
              </w:rPr>
              <w:t xml:space="preserve"> 区域水系图</w:t>
            </w:r>
          </w:p>
          <w:p w14:paraId="489FF6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附图</w:t>
            </w:r>
            <w:r>
              <w:rPr>
                <w:rFonts w:hint="eastAsia" w:cs="Times New Roman"/>
                <w:color w:val="auto"/>
                <w:sz w:val="24"/>
                <w:lang w:val="en-US" w:eastAsia="zh-CN"/>
              </w:rPr>
              <w:t>8</w:t>
            </w:r>
            <w:r>
              <w:rPr>
                <w:rFonts w:hint="eastAsia" w:ascii="Times New Roman" w:hAnsi="Times New Roman" w:cs="Times New Roman"/>
                <w:color w:val="auto"/>
                <w:sz w:val="24"/>
              </w:rPr>
              <w:t xml:space="preserve"> 常州市环境管控单元图</w:t>
            </w:r>
          </w:p>
          <w:p w14:paraId="16083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4"/>
                <w:lang w:val="en-US" w:eastAsia="zh-CN"/>
              </w:rPr>
              <w:t>附图</w:t>
            </w:r>
            <w:r>
              <w:rPr>
                <w:rFonts w:hint="eastAsia" w:cs="Times New Roman"/>
                <w:color w:val="auto"/>
                <w:sz w:val="24"/>
                <w:lang w:val="en-US" w:eastAsia="zh-CN"/>
              </w:rPr>
              <w:t>9</w:t>
            </w:r>
            <w:r>
              <w:rPr>
                <w:rFonts w:hint="eastAsia" w:ascii="Times New Roman" w:hAnsi="Times New Roman" w:cs="Times New Roman"/>
                <w:color w:val="auto"/>
                <w:sz w:val="24"/>
                <w:lang w:val="en-US" w:eastAsia="zh-CN"/>
              </w:rPr>
              <w:t xml:space="preserve"> 国土空间控制线规划图</w:t>
            </w:r>
          </w:p>
          <w:p w14:paraId="4A3F1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cs="Times New Roman"/>
                <w:color w:val="auto"/>
                <w:sz w:val="24"/>
                <w:lang w:val="en-US" w:eastAsia="zh-CN"/>
              </w:rPr>
            </w:pPr>
            <w:r>
              <w:rPr>
                <w:rFonts w:hint="default" w:ascii="Times New Roman" w:hAnsi="Times New Roman" w:cs="Times New Roman"/>
                <w:color w:val="auto"/>
                <w:sz w:val="24"/>
              </w:rPr>
              <w:t>附图</w:t>
            </w:r>
            <w:r>
              <w:rPr>
                <w:rFonts w:hint="eastAsia" w:cs="Times New Roman"/>
                <w:color w:val="auto"/>
                <w:sz w:val="24"/>
                <w:lang w:val="en-US" w:eastAsia="zh-CN"/>
              </w:rPr>
              <w:t>10</w:t>
            </w:r>
            <w:r>
              <w:rPr>
                <w:rFonts w:hint="default" w:ascii="Times New Roman" w:hAnsi="Times New Roman" w:cs="Times New Roman"/>
                <w:color w:val="auto"/>
                <w:sz w:val="24"/>
              </w:rPr>
              <w:t xml:space="preserve"> </w:t>
            </w:r>
            <w:r>
              <w:rPr>
                <w:rFonts w:hint="eastAsia" w:cs="Times New Roman"/>
                <w:color w:val="auto"/>
                <w:sz w:val="24"/>
                <w:lang w:val="en-US" w:eastAsia="zh-CN"/>
              </w:rPr>
              <w:t>大气评价范围环境保护目标分布图</w:t>
            </w:r>
          </w:p>
          <w:p w14:paraId="255659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附图11 环境风险设施布置图</w:t>
            </w:r>
          </w:p>
          <w:p w14:paraId="062D2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240" w:firstLineChars="1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附件</w:t>
            </w:r>
          </w:p>
          <w:p w14:paraId="35275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附件1  环评委托书；</w:t>
            </w:r>
          </w:p>
          <w:p w14:paraId="1E350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附件2  江苏省投资项目备案证；</w:t>
            </w:r>
          </w:p>
          <w:p w14:paraId="67BDB0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附件3  营业执照</w:t>
            </w:r>
            <w:r>
              <w:rPr>
                <w:rFonts w:hint="eastAsia" w:ascii="Times New Roman" w:hAnsi="Times New Roman"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法人身份证</w:t>
            </w:r>
            <w:r>
              <w:rPr>
                <w:rFonts w:hint="default" w:ascii="Times New Roman" w:hAnsi="Times New Roman" w:eastAsia="宋体" w:cs="Times New Roman"/>
                <w:color w:val="auto"/>
                <w:sz w:val="24"/>
                <w:highlight w:val="none"/>
              </w:rPr>
              <w:t>；</w:t>
            </w:r>
          </w:p>
          <w:p w14:paraId="12B3D3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附件4  土地手续；</w:t>
            </w:r>
          </w:p>
          <w:p w14:paraId="44CE6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 xml:space="preserve">附件5  </w:t>
            </w:r>
            <w:r>
              <w:rPr>
                <w:rFonts w:hint="default" w:hAnsi="宋体"/>
                <w:bCs/>
                <w:color w:val="000000"/>
                <w:sz w:val="24"/>
              </w:rPr>
              <w:t>污水接管文件</w:t>
            </w:r>
            <w:r>
              <w:rPr>
                <w:rFonts w:hint="eastAsia" w:ascii="Times New Roman" w:hAnsi="Times New Roman" w:cs="Times New Roman"/>
                <w:color w:val="auto"/>
                <w:sz w:val="24"/>
                <w:highlight w:val="none"/>
                <w:lang w:val="en-US" w:eastAsia="zh-CN"/>
              </w:rPr>
              <w:t>；</w:t>
            </w:r>
          </w:p>
          <w:p w14:paraId="10D61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附件</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 xml:space="preserve">  </w:t>
            </w:r>
            <w:r>
              <w:rPr>
                <w:rFonts w:hint="eastAsia" w:cs="Times New Roman"/>
                <w:color w:val="auto"/>
                <w:sz w:val="24"/>
                <w:highlight w:val="none"/>
                <w:lang w:val="en-US" w:eastAsia="zh-CN"/>
              </w:rPr>
              <w:t>法拍常州金坛鑫豪特种机械配件有限公司手续；</w:t>
            </w:r>
          </w:p>
          <w:p w14:paraId="60EF6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 xml:space="preserve">附件7  </w:t>
            </w:r>
            <w:r>
              <w:rPr>
                <w:rFonts w:hint="eastAsia" w:hAnsi="宋体"/>
                <w:color w:val="auto"/>
                <w:sz w:val="24"/>
                <w:highlight w:val="none"/>
              </w:rPr>
              <w:t>《关于常州金坛鑫豪特种机械配件有限公司建设项目主体变更为常州昌帆金属科技有限公司的申请》的复函</w:t>
            </w:r>
          </w:p>
          <w:p w14:paraId="480E6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 xml:space="preserve">附件8  </w:t>
            </w:r>
            <w:r>
              <w:rPr>
                <w:rFonts w:hint="eastAsia" w:ascii="Times New Roman" w:hAnsi="Times New Roman" w:eastAsia="宋体" w:cs="Times New Roman"/>
                <w:color w:val="auto"/>
                <w:sz w:val="24"/>
                <w:highlight w:val="none"/>
                <w:lang w:val="en-US" w:eastAsia="zh-CN"/>
              </w:rPr>
              <w:t>危废处理承诺书</w:t>
            </w:r>
            <w:r>
              <w:rPr>
                <w:rFonts w:hint="eastAsia" w:ascii="Times New Roman" w:hAnsi="Times New Roman" w:cs="Times New Roman"/>
                <w:color w:val="auto"/>
                <w:sz w:val="24"/>
                <w:highlight w:val="none"/>
                <w:lang w:eastAsia="zh-CN"/>
              </w:rPr>
              <w:t>；</w:t>
            </w:r>
          </w:p>
          <w:p w14:paraId="1B321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附件</w:t>
            </w:r>
            <w:r>
              <w:rPr>
                <w:rFonts w:hint="eastAsia" w:cs="Times New Roman"/>
                <w:color w:val="auto"/>
                <w:sz w:val="24"/>
                <w:highlight w:val="none"/>
                <w:lang w:val="en-US" w:eastAsia="zh-CN"/>
              </w:rPr>
              <w:t>9</w:t>
            </w:r>
            <w:r>
              <w:rPr>
                <w:rFonts w:hint="eastAsia" w:ascii="Times New Roman" w:hAnsi="Times New Roman"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建设项目环境影响申报审批现场勘查表</w:t>
            </w:r>
            <w:r>
              <w:rPr>
                <w:rFonts w:hint="eastAsia" w:ascii="Times New Roman" w:hAnsi="Times New Roman" w:cs="Times New Roman"/>
                <w:bCs/>
                <w:caps/>
                <w:color w:val="auto"/>
                <w:kern w:val="0"/>
                <w:sz w:val="24"/>
                <w:highlight w:val="none"/>
                <w:lang w:eastAsia="zh-CN"/>
              </w:rPr>
              <w:t>；</w:t>
            </w:r>
          </w:p>
          <w:p w14:paraId="64B95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rPr>
              <w:t>附件</w:t>
            </w:r>
            <w:r>
              <w:rPr>
                <w:rFonts w:hint="eastAsia" w:cs="Times New Roman"/>
                <w:color w:val="auto"/>
                <w:sz w:val="24"/>
                <w:highlight w:val="none"/>
                <w:lang w:val="en-US" w:eastAsia="zh-CN"/>
              </w:rPr>
              <w:t>10</w:t>
            </w:r>
            <w:r>
              <w:rPr>
                <w:rFonts w:hint="eastAsia" w:ascii="Times New Roman" w:hAnsi="Times New Roman" w:cs="Times New Roman"/>
                <w:color w:val="auto"/>
                <w:sz w:val="24"/>
                <w:highlight w:val="none"/>
              </w:rPr>
              <w:t xml:space="preserve"> 关于</w:t>
            </w:r>
            <w:r>
              <w:rPr>
                <w:rFonts w:hint="eastAsia" w:cs="Times New Roman"/>
                <w:color w:val="auto"/>
                <w:sz w:val="24"/>
                <w:highlight w:val="none"/>
                <w:lang w:eastAsia="zh-CN"/>
              </w:rPr>
              <w:t>高性能、高强度特种锻件技术改造项目</w:t>
            </w:r>
            <w:r>
              <w:rPr>
                <w:rFonts w:hint="eastAsia" w:ascii="Times New Roman" w:hAnsi="Times New Roman" w:cs="Times New Roman"/>
                <w:color w:val="auto"/>
                <w:sz w:val="24"/>
                <w:highlight w:val="none"/>
              </w:rPr>
              <w:t>可行性研究报告</w:t>
            </w:r>
            <w:r>
              <w:rPr>
                <w:rFonts w:hint="eastAsia" w:cs="Times New Roman"/>
                <w:color w:val="auto"/>
                <w:sz w:val="24"/>
                <w:highlight w:val="none"/>
                <w:lang w:val="en-US" w:eastAsia="zh-CN"/>
              </w:rPr>
              <w:t>专家意见</w:t>
            </w:r>
          </w:p>
          <w:p w14:paraId="53663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附件</w:t>
            </w:r>
            <w:r>
              <w:rPr>
                <w:rFonts w:hint="eastAsia" w:cs="Times New Roman"/>
                <w:color w:val="auto"/>
                <w:sz w:val="24"/>
                <w:highlight w:val="none"/>
                <w:lang w:val="en-US" w:eastAsia="zh-CN"/>
              </w:rPr>
              <w:t>11</w:t>
            </w:r>
            <w:r>
              <w:rPr>
                <w:rFonts w:hint="eastAsia" w:ascii="Times New Roman" w:hAnsi="Times New Roman" w:cs="Times New Roman"/>
                <w:color w:val="auto"/>
                <w:sz w:val="24"/>
                <w:highlight w:val="none"/>
                <w:lang w:val="en-US" w:eastAsia="zh-CN"/>
              </w:rPr>
              <w:t xml:space="preserve"> </w:t>
            </w:r>
            <w:r>
              <w:rPr>
                <w:rFonts w:hint="eastAsia" w:ascii="Times New Roman" w:hAnsi="Times New Roman" w:cs="Times New Roman"/>
                <w:color w:val="auto"/>
                <w:sz w:val="24"/>
                <w:highlight w:val="none"/>
              </w:rPr>
              <w:t>原有项目环评手续</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排污许可证</w:t>
            </w:r>
            <w:r>
              <w:rPr>
                <w:rFonts w:hint="eastAsia" w:ascii="Times New Roman" w:hAnsi="Times New Roman" w:cs="Times New Roman"/>
                <w:color w:val="auto"/>
                <w:sz w:val="24"/>
                <w:highlight w:val="none"/>
                <w:lang w:eastAsia="zh-CN"/>
              </w:rPr>
              <w:t>；</w:t>
            </w:r>
          </w:p>
          <w:p w14:paraId="26B6D2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rPr>
              <w:t>附件</w:t>
            </w:r>
            <w:r>
              <w:rPr>
                <w:rFonts w:hint="eastAsia" w:cs="Times New Roman"/>
                <w:color w:val="auto"/>
                <w:sz w:val="24"/>
                <w:highlight w:val="none"/>
                <w:lang w:val="en-US" w:eastAsia="zh-CN"/>
              </w:rPr>
              <w:t>12</w:t>
            </w:r>
            <w:r>
              <w:rPr>
                <w:rFonts w:hint="eastAsia" w:ascii="Times New Roman" w:hAnsi="Times New Roman" w:cs="Times New Roman"/>
                <w:color w:val="auto"/>
                <w:sz w:val="24"/>
                <w:highlight w:val="none"/>
              </w:rPr>
              <w:t xml:space="preserve"> </w:t>
            </w:r>
            <w:r>
              <w:rPr>
                <w:rFonts w:hint="eastAsia" w:cs="Times New Roman"/>
                <w:color w:val="auto"/>
                <w:sz w:val="24"/>
                <w:highlight w:val="none"/>
                <w:lang w:val="en-US" w:eastAsia="zh-CN"/>
              </w:rPr>
              <w:t>原有项目烟尘排放总量重新核定的批</w:t>
            </w:r>
            <w:r>
              <w:rPr>
                <w:rFonts w:hint="default" w:ascii="Times New Roman" w:hAnsi="Times New Roman" w:cs="Times New Roman"/>
                <w:color w:val="auto"/>
                <w:sz w:val="24"/>
                <w:highlight w:val="none"/>
                <w:lang w:val="en-US" w:eastAsia="zh-CN"/>
              </w:rPr>
              <w:t>复（金环管复</w:t>
            </w:r>
            <w:r>
              <w:rPr>
                <w:rFonts w:hint="default" w:ascii="Times New Roman" w:hAnsi="Times New Roman" w:eastAsia="宋体" w:cs="Times New Roman"/>
                <w:color w:val="auto"/>
                <w:sz w:val="24"/>
                <w:highlight w:val="none"/>
                <w:lang w:val="en-US" w:eastAsia="zh-CN"/>
              </w:rPr>
              <w:t>〔2010〕23号</w:t>
            </w:r>
            <w:r>
              <w:rPr>
                <w:rFonts w:hint="default" w:ascii="Times New Roman" w:hAnsi="Times New Roman" w:cs="Times New Roman"/>
                <w:color w:val="auto"/>
                <w:sz w:val="24"/>
                <w:highlight w:val="none"/>
                <w:lang w:val="en-US" w:eastAsia="zh-CN"/>
              </w:rPr>
              <w:t>）；</w:t>
            </w:r>
          </w:p>
          <w:p w14:paraId="659C4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 xml:space="preserve">附件13 </w:t>
            </w:r>
            <w:r>
              <w:rPr>
                <w:rFonts w:hint="eastAsia" w:ascii="Times New Roman" w:hAnsi="Times New Roman" w:cs="Times New Roman"/>
                <w:color w:val="auto"/>
                <w:sz w:val="24"/>
                <w:highlight w:val="none"/>
              </w:rPr>
              <w:t>原有项目监测报告</w:t>
            </w:r>
            <w:r>
              <w:rPr>
                <w:rFonts w:hint="eastAsia" w:ascii="Times New Roman" w:hAnsi="Times New Roman" w:cs="Times New Roman"/>
                <w:color w:val="auto"/>
                <w:sz w:val="24"/>
                <w:highlight w:val="none"/>
                <w:lang w:eastAsia="zh-CN"/>
              </w:rPr>
              <w:t>；</w:t>
            </w:r>
          </w:p>
          <w:p w14:paraId="0F4F8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rPr>
              <w:t>附件</w:t>
            </w:r>
            <w:r>
              <w:rPr>
                <w:rFonts w:hint="eastAsia"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4</w:t>
            </w:r>
            <w:r>
              <w:rPr>
                <w:rFonts w:hint="eastAsia" w:ascii="Times New Roman" w:hAnsi="Times New Roman" w:cs="Times New Roman"/>
                <w:color w:val="auto"/>
                <w:sz w:val="24"/>
                <w:szCs w:val="24"/>
                <w:highlight w:val="none"/>
              </w:rPr>
              <w:t xml:space="preserve"> 职业病危害现状评价报告书（职评2023J020）</w:t>
            </w:r>
            <w:r>
              <w:rPr>
                <w:rFonts w:hint="eastAsia" w:cs="Times New Roman"/>
                <w:color w:val="auto"/>
                <w:sz w:val="24"/>
                <w:szCs w:val="24"/>
                <w:highlight w:val="none"/>
                <w:lang w:val="en-US" w:eastAsia="zh-CN"/>
              </w:rPr>
              <w:t>摘要；</w:t>
            </w:r>
          </w:p>
          <w:p w14:paraId="6577F3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 xml:space="preserve">附件15 </w:t>
            </w:r>
            <w:r>
              <w:rPr>
                <w:rFonts w:hint="default" w:ascii="Times New Roman" w:hAnsi="宋体" w:cs="Times New Roman"/>
                <w:color w:val="auto"/>
                <w:kern w:val="0"/>
                <w:sz w:val="24"/>
              </w:rPr>
              <w:t>《市生态环境局关于常州市金坛区指前现代产业园发展规划环境影响评价报告书的审查意见》（常金环审</w:t>
            </w:r>
            <w:r>
              <w:rPr>
                <w:rFonts w:hint="eastAsia" w:hAnsi="宋体" w:cs="Times New Roman"/>
                <w:color w:val="auto"/>
                <w:kern w:val="0"/>
                <w:sz w:val="24"/>
                <w:lang w:eastAsia="zh-CN"/>
              </w:rPr>
              <w:t>〔2021〕184号</w:t>
            </w:r>
            <w:r>
              <w:rPr>
                <w:rFonts w:hint="default" w:ascii="Times New Roman" w:hAnsi="宋体" w:cs="Times New Roman"/>
                <w:color w:val="auto"/>
                <w:kern w:val="0"/>
                <w:sz w:val="24"/>
              </w:rPr>
              <w:t>）</w:t>
            </w:r>
          </w:p>
          <w:p w14:paraId="40592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附件</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 xml:space="preserve"> 环境质量现状监测报告</w:t>
            </w:r>
            <w:r>
              <w:rPr>
                <w:rFonts w:hint="eastAsia" w:cs="Times New Roman"/>
                <w:color w:val="auto"/>
                <w:sz w:val="24"/>
                <w:highlight w:val="none"/>
                <w:lang w:eastAsia="zh-CN"/>
              </w:rPr>
              <w:t>；</w:t>
            </w:r>
          </w:p>
          <w:p w14:paraId="62FAC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cs="Times New Roman"/>
                <w:color w:val="auto"/>
                <w:sz w:val="24"/>
                <w:highlight w:val="none"/>
                <w:lang w:val="en-US" w:eastAsia="zh-CN"/>
              </w:rPr>
            </w:pPr>
            <w:r>
              <w:rPr>
                <w:rFonts w:hint="default" w:ascii="Times New Roman" w:hAnsi="Times New Roman" w:cs="Times New Roman"/>
                <w:color w:val="auto"/>
                <w:sz w:val="24"/>
                <w:highlight w:val="none"/>
              </w:rPr>
              <w:t>附件</w:t>
            </w:r>
            <w:r>
              <w:rPr>
                <w:rFonts w:hint="eastAsia" w:ascii="Times New Roman" w:hAnsi="Times New Roman" w:cs="Times New Roman"/>
                <w:color w:val="auto"/>
                <w:sz w:val="24"/>
                <w:highlight w:val="none"/>
                <w:lang w:val="en-US" w:eastAsia="zh-CN"/>
              </w:rPr>
              <w:t>1</w:t>
            </w:r>
            <w:r>
              <w:rPr>
                <w:rFonts w:hint="eastAsia" w:cs="Times New Roman"/>
                <w:color w:val="auto"/>
                <w:sz w:val="24"/>
                <w:highlight w:val="none"/>
                <w:lang w:val="en-US" w:eastAsia="zh-CN"/>
              </w:rPr>
              <w:t>7</w:t>
            </w:r>
            <w:r>
              <w:rPr>
                <w:rFonts w:hint="eastAsia" w:ascii="Times New Roman" w:hAnsi="Times New Roman" w:cs="Times New Roman"/>
                <w:color w:val="auto"/>
                <w:sz w:val="24"/>
                <w:highlight w:val="none"/>
              </w:rPr>
              <w:t xml:space="preserve"> </w:t>
            </w:r>
            <w:r>
              <w:rPr>
                <w:rFonts w:hint="eastAsia" w:ascii="Times New Roman" w:hAnsi="Times New Roman" w:eastAsia="宋体" w:cs="Times New Roman"/>
                <w:color w:val="auto"/>
                <w:sz w:val="24"/>
                <w:highlight w:val="none"/>
                <w:lang w:val="en-US" w:eastAsia="zh-CN"/>
              </w:rPr>
              <w:t>建设单位承诺书</w:t>
            </w:r>
            <w:r>
              <w:rPr>
                <w:rFonts w:hint="eastAsia" w:cs="Times New Roman"/>
                <w:color w:val="auto"/>
                <w:sz w:val="24"/>
                <w:highlight w:val="none"/>
                <w:lang w:val="en-US" w:eastAsia="zh-CN"/>
              </w:rPr>
              <w:t>；</w:t>
            </w:r>
          </w:p>
          <w:p w14:paraId="461EE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附件18 专家意见及修改清单；</w:t>
            </w:r>
          </w:p>
          <w:p w14:paraId="0A786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lang w:eastAsia="zh-CN"/>
              </w:rPr>
            </w:pPr>
            <w:r>
              <w:rPr>
                <w:rFonts w:hint="eastAsia" w:cs="Times New Roman"/>
                <w:color w:val="auto"/>
                <w:sz w:val="24"/>
                <w:highlight w:val="none"/>
                <w:lang w:val="en-US" w:eastAsia="zh-CN"/>
              </w:rPr>
              <w:t>附件19 专家复核意见。</w:t>
            </w:r>
          </w:p>
        </w:tc>
      </w:tr>
    </w:tbl>
    <w:p w14:paraId="2B1F3172">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Times New Roman" w:hAnsi="Times New Roman" w:cs="Times New Roman"/>
          <w:color w:val="auto"/>
          <w:highlight w:val="none"/>
        </w:rPr>
      </w:pPr>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0162E4-7CC0-4DCF-9B67-9BCD333AF37D}"/>
  </w:font>
  <w:font w:name="Arial">
    <w:panose1 w:val="020B0604020202020204"/>
    <w:charset w:val="01"/>
    <w:family w:val="swiss"/>
    <w:pitch w:val="default"/>
    <w:sig w:usb0="E0002AFF" w:usb1="C0007843" w:usb2="00000009" w:usb3="00000000" w:csb0="400001FF" w:csb1="FFFF0000"/>
    <w:embedRegular r:id="rId2" w:fontKey="{E3FBB55F-8B97-4095-95FF-0413D8EF1D9F}"/>
  </w:font>
  <w:font w:name="黑体">
    <w:panose1 w:val="02010609060101010101"/>
    <w:charset w:val="86"/>
    <w:family w:val="auto"/>
    <w:pitch w:val="default"/>
    <w:sig w:usb0="800002BF" w:usb1="38CF7CFA" w:usb2="00000016" w:usb3="00000000" w:csb0="00040001" w:csb1="00000000"/>
    <w:embedRegular r:id="rId3" w:fontKey="{E7D9FA60-74FF-47D7-9CA3-8D3090094BFF}"/>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Alaska">
    <w:altName w:val="Tahoma"/>
    <w:panose1 w:val="00000000000000000000"/>
    <w:charset w:val="00"/>
    <w:family w:val="auto"/>
    <w:pitch w:val="default"/>
    <w:sig w:usb0="00000000" w:usb1="00000000" w:usb2="00000000" w:usb3="00000000" w:csb0="00000011" w:csb1="00000000"/>
  </w:font>
  <w:font w:name="Tahoma">
    <w:panose1 w:val="020B0604030504040204"/>
    <w:charset w:val="00"/>
    <w:family w:val="auto"/>
    <w:pitch w:val="default"/>
    <w:sig w:usb0="E1002EFF" w:usb1="C000605B" w:usb2="00000029" w:usb3="00000000" w:csb0="200101FF" w:csb1="2028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4" w:fontKey="{B1DA60EE-5D7C-4BDD-A472-F6E577E3F201}"/>
  </w:font>
  <w:font w:name="Segoe UI Symbol">
    <w:panose1 w:val="020B0502040204020203"/>
    <w:charset w:val="00"/>
    <w:family w:val="swiss"/>
    <w:pitch w:val="default"/>
    <w:sig w:usb0="8000006F" w:usb1="1200FBEF" w:usb2="0064C000" w:usb3="00000002" w:csb0="00000001" w:csb1="40000000"/>
    <w:embedRegular r:id="rId5" w:fontKey="{78CE054D-54E5-49CF-8410-AE1A8766EB4F}"/>
  </w:font>
  <w:font w:name="新宋体">
    <w:panose1 w:val="02010609030101010101"/>
    <w:charset w:val="86"/>
    <w:family w:val="modern"/>
    <w:pitch w:val="default"/>
    <w:sig w:usb0="00000003" w:usb1="288F0000" w:usb2="00000006" w:usb3="00000000" w:csb0="00040001" w:csb1="00000000"/>
    <w:embedRegular r:id="rId6" w:fontKey="{251D7898-084D-43C4-9E00-4C03C14924E4}"/>
  </w:font>
  <w:font w:name="方正小标宋_GBK">
    <w:panose1 w:val="03000509000000000000"/>
    <w:charset w:val="86"/>
    <w:family w:val="script"/>
    <w:pitch w:val="default"/>
    <w:sig w:usb0="00000001" w:usb1="080E0000" w:usb2="00000000" w:usb3="00000000" w:csb0="00040000" w:csb1="00000000"/>
    <w:embedRegular r:id="rId7" w:fontKey="{A365F6B7-0235-47B4-88F5-91281092C4D0}"/>
  </w:font>
  <w:font w:name="WPSEMBED1">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6B2B3">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D6BAB">
    <w:pPr>
      <w:pStyle w:val="17"/>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1738A">
                          <w:pPr>
                            <w:pStyle w:val="17"/>
                          </w:pPr>
                          <w:r>
                            <w:fldChar w:fldCharType="begin"/>
                          </w:r>
                          <w:r>
                            <w:instrText xml:space="preserve"> PAGE  \* MERGEFORMAT </w:instrText>
                          </w:r>
                          <w:r>
                            <w:fldChar w:fldCharType="separate"/>
                          </w:r>
                          <w:r>
                            <w:t>98</w:t>
                          </w:r>
                          <w:r>
                            <w:fldChar w:fldCharType="end"/>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VYmmLLAQAAnQMAAA4AAAAAAAAAAQAgAAAAHgEAAGRycy9lMm9E&#10;b2MueG1sUEsFBgAAAAAGAAYAWQEAAFsFAAAAAA==&#10;">
              <v:fill on="f" focussize="0,0"/>
              <v:stroke on="f"/>
              <v:imagedata o:title=""/>
              <o:lock v:ext="edit" aspectratio="f"/>
              <v:textbox inset="0mm,0mm,0mm,0mm" style="mso-fit-shape-to-text:t;">
                <w:txbxContent>
                  <w:p w14:paraId="2811738A">
                    <w:pPr>
                      <w:pStyle w:val="1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F2634">
    <w:pPr>
      <w:pStyle w:val="1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FB28F6">
                          <w:pPr>
                            <w:pStyle w:val="17"/>
                          </w:pPr>
                          <w:r>
                            <w:fldChar w:fldCharType="begin"/>
                          </w:r>
                          <w:r>
                            <w:instrText xml:space="preserve"> PAGE  \* MERGEFORMAT </w:instrText>
                          </w:r>
                          <w:r>
                            <w:fldChar w:fldCharType="separate"/>
                          </w:r>
                          <w:r>
                            <w:t>100</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1C4ucsBAACd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qSiwzOPHz92/nH7/OP7+S&#10;ZVndJIl6DzVmPnvMjcO9G3BxZj+gMzEfZDDpi5wIxlHg00VgMUTC06NVtVqVGOIYmy+IX7w89wHi&#10;e+EMSUZDA04wC8uOjxDH1DklVbPuQWmdp6jtXw7ETJ4i9T72mKw47IaJ0M61J+TT4/AbanHXKdEf&#10;LGqb9mQ2wmzsZuPgg9p3eZFSPfB3h4hN5N5ShRF2KoxTy+ymDUtr8ec9Z738VZ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NQuLnLAQAAnQMAAA4AAAAAAAAAAQAgAAAAHgEAAGRycy9lMm9E&#10;b2MueG1sUEsFBgAAAAAGAAYAWQEAAFsFAAAAAA==&#10;">
              <v:fill on="f" focussize="0,0"/>
              <v:stroke on="f"/>
              <v:imagedata o:title=""/>
              <o:lock v:ext="edit" aspectratio="f"/>
              <v:textbox inset="0mm,0mm,0mm,0mm" style="mso-fit-shape-to-text:t;">
                <w:txbxContent>
                  <w:p w14:paraId="13FB28F6">
                    <w:pPr>
                      <w:pStyle w:val="1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D5543">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F2A5C4">
                          <w:pPr>
                            <w:pStyle w:val="17"/>
                          </w:pPr>
                          <w:r>
                            <w:fldChar w:fldCharType="begin"/>
                          </w:r>
                          <w:r>
                            <w:instrText xml:space="preserve"> PAGE  \* MERGEFORMAT </w:instrText>
                          </w:r>
                          <w:r>
                            <w:fldChar w:fldCharType="separate"/>
                          </w:r>
                          <w:r>
                            <w:t>101</w:t>
                          </w:r>
                          <w:r>
                            <w:fldChar w:fldCharType="end"/>
                          </w: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5XSMPzAEAAJ0DAAAOAAAAAAAAAAEAIAAAAB4BAABkcnMvZTJv&#10;RG9jLnhtbFBLBQYAAAAABgAGAFkBAABcBQAAAAA=&#10;">
              <v:fill on="f" focussize="0,0"/>
              <v:stroke on="f"/>
              <v:imagedata o:title=""/>
              <o:lock v:ext="edit" aspectratio="f"/>
              <v:textbox inset="0mm,0mm,0mm,0mm" style="mso-fit-shape-to-text:t;">
                <w:txbxContent>
                  <w:p w14:paraId="4CF2A5C4">
                    <w:pPr>
                      <w:pStyle w:val="1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F626F7"/>
    <w:multiLevelType w:val="singleLevel"/>
    <w:tmpl w:val="C8F626F7"/>
    <w:lvl w:ilvl="0" w:tentative="0">
      <w:start w:val="1"/>
      <w:numFmt w:val="decimal"/>
      <w:suff w:val="nothing"/>
      <w:lvlText w:val="（%1）"/>
      <w:lvlJc w:val="left"/>
    </w:lvl>
  </w:abstractNum>
  <w:abstractNum w:abstractNumId="1">
    <w:nsid w:val="DFFAB187"/>
    <w:multiLevelType w:val="singleLevel"/>
    <w:tmpl w:val="DFFAB187"/>
    <w:lvl w:ilvl="0" w:tentative="0">
      <w:start w:val="1"/>
      <w:numFmt w:val="decimal"/>
      <w:suff w:val="nothing"/>
      <w:lvlText w:val="%1、"/>
      <w:lvlJc w:val="left"/>
      <w:pPr>
        <w:ind w:left="-2"/>
      </w:pPr>
    </w:lvl>
  </w:abstractNum>
  <w:abstractNum w:abstractNumId="2">
    <w:nsid w:val="EAC92FE9"/>
    <w:multiLevelType w:val="singleLevel"/>
    <w:tmpl w:val="EAC92FE9"/>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3">
    <w:nsid w:val="1895DACC"/>
    <w:multiLevelType w:val="singleLevel"/>
    <w:tmpl w:val="1895DACC"/>
    <w:lvl w:ilvl="0" w:tentative="0">
      <w:start w:val="1"/>
      <w:numFmt w:val="decimal"/>
      <w:suff w:val="nothing"/>
      <w:lvlText w:val="（%1）"/>
      <w:lvlJc w:val="left"/>
    </w:lvl>
  </w:abstractNum>
  <w:abstractNum w:abstractNumId="4">
    <w:nsid w:val="264A8E75"/>
    <w:multiLevelType w:val="singleLevel"/>
    <w:tmpl w:val="264A8E75"/>
    <w:lvl w:ilvl="0" w:tentative="0">
      <w:start w:val="1"/>
      <w:numFmt w:val="decimal"/>
      <w:suff w:val="nothing"/>
      <w:lvlText w:val="%1、"/>
      <w:lvlJc w:val="left"/>
    </w:lvl>
  </w:abstractNum>
  <w:abstractNum w:abstractNumId="5">
    <w:nsid w:val="2FD36D47"/>
    <w:multiLevelType w:val="singleLevel"/>
    <w:tmpl w:val="2FD36D47"/>
    <w:lvl w:ilvl="0" w:tentative="0">
      <w:start w:val="1"/>
      <w:numFmt w:val="decimal"/>
      <w:suff w:val="nothing"/>
      <w:lvlText w:val="%1、"/>
      <w:lvlJc w:val="left"/>
    </w:lvl>
  </w:abstractNum>
  <w:abstractNum w:abstractNumId="6">
    <w:nsid w:val="3449F0EF"/>
    <w:multiLevelType w:val="singleLevel"/>
    <w:tmpl w:val="3449F0EF"/>
    <w:lvl w:ilvl="0" w:tentative="0">
      <w:start w:val="5"/>
      <w:numFmt w:val="decimal"/>
      <w:suff w:val="nothing"/>
      <w:lvlText w:val="%1、"/>
      <w:lvlJc w:val="left"/>
    </w:lvl>
  </w:abstractNum>
  <w:abstractNum w:abstractNumId="7">
    <w:nsid w:val="46312ABF"/>
    <w:multiLevelType w:val="singleLevel"/>
    <w:tmpl w:val="46312ABF"/>
    <w:lvl w:ilvl="0" w:tentative="0">
      <w:start w:val="1"/>
      <w:numFmt w:val="decimal"/>
      <w:suff w:val="nothing"/>
      <w:lvlText w:val="%1）"/>
      <w:lvlJc w:val="left"/>
    </w:lvl>
  </w:abstractNum>
  <w:abstractNum w:abstractNumId="8">
    <w:nsid w:val="522D9494"/>
    <w:multiLevelType w:val="singleLevel"/>
    <w:tmpl w:val="522D9494"/>
    <w:lvl w:ilvl="0" w:tentative="0">
      <w:start w:val="8"/>
      <w:numFmt w:val="decimal"/>
      <w:lvlText w:val="%1."/>
      <w:lvlJc w:val="left"/>
      <w:pPr>
        <w:tabs>
          <w:tab w:val="left" w:pos="312"/>
        </w:tabs>
      </w:pPr>
    </w:lvl>
  </w:abstractNum>
  <w:abstractNum w:abstractNumId="9">
    <w:nsid w:val="6624EE3F"/>
    <w:multiLevelType w:val="singleLevel"/>
    <w:tmpl w:val="6624EE3F"/>
    <w:lvl w:ilvl="0" w:tentative="0">
      <w:start w:val="1"/>
      <w:numFmt w:val="chineseCounting"/>
      <w:suff w:val="nothing"/>
      <w:lvlText w:val="（%1）"/>
      <w:lvlJc w:val="left"/>
      <w:rPr>
        <w:rFonts w:hint="eastAsia"/>
      </w:rPr>
    </w:lvl>
  </w:abstractNum>
  <w:abstractNum w:abstractNumId="10">
    <w:nsid w:val="6EA6436F"/>
    <w:multiLevelType w:val="singleLevel"/>
    <w:tmpl w:val="6EA6436F"/>
    <w:lvl w:ilvl="0" w:tentative="0">
      <w:start w:val="1"/>
      <w:numFmt w:val="decimal"/>
      <w:suff w:val="nothing"/>
      <w:lvlText w:val="（%1）"/>
      <w:lvlJc w:val="left"/>
    </w:lvl>
  </w:abstractNum>
  <w:num w:numId="1">
    <w:abstractNumId w:val="2"/>
  </w:num>
  <w:num w:numId="2">
    <w:abstractNumId w:val="3"/>
  </w:num>
  <w:num w:numId="3">
    <w:abstractNumId w:val="0"/>
  </w:num>
  <w:num w:numId="4">
    <w:abstractNumId w:val="9"/>
  </w:num>
  <w:num w:numId="5">
    <w:abstractNumId w:val="5"/>
  </w:num>
  <w:num w:numId="6">
    <w:abstractNumId w:val="8"/>
  </w:num>
  <w:num w:numId="7">
    <w:abstractNumId w:val="1"/>
  </w:num>
  <w:num w:numId="8">
    <w:abstractNumId w:val="4"/>
  </w:num>
  <w:num w:numId="9">
    <w:abstractNumId w:val="1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jOGZlZDU1MGQ3NmYzNTI2NzVkY2JlYzljMWFhNTIifQ=="/>
  </w:docVars>
  <w:rsids>
    <w:rsidRoot w:val="00A14947"/>
    <w:rsid w:val="000060B3"/>
    <w:rsid w:val="0004364B"/>
    <w:rsid w:val="00061B1F"/>
    <w:rsid w:val="00066EBC"/>
    <w:rsid w:val="000733C4"/>
    <w:rsid w:val="00074783"/>
    <w:rsid w:val="0008070B"/>
    <w:rsid w:val="00080AB9"/>
    <w:rsid w:val="000810AC"/>
    <w:rsid w:val="00081A02"/>
    <w:rsid w:val="00082231"/>
    <w:rsid w:val="00092D38"/>
    <w:rsid w:val="0009377B"/>
    <w:rsid w:val="000A20C9"/>
    <w:rsid w:val="000A704C"/>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C7404"/>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1D7D"/>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B668A"/>
    <w:rsid w:val="005D36AB"/>
    <w:rsid w:val="00617CC3"/>
    <w:rsid w:val="006377A6"/>
    <w:rsid w:val="00637A3D"/>
    <w:rsid w:val="006411EF"/>
    <w:rsid w:val="00665635"/>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D32E3"/>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C37B9"/>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135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673BE"/>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507A"/>
    <w:rsid w:val="00B1295A"/>
    <w:rsid w:val="00B20A45"/>
    <w:rsid w:val="00B22C5C"/>
    <w:rsid w:val="00B24F30"/>
    <w:rsid w:val="00B31ABF"/>
    <w:rsid w:val="00B33BE3"/>
    <w:rsid w:val="00B45189"/>
    <w:rsid w:val="00B53B5D"/>
    <w:rsid w:val="00B6055E"/>
    <w:rsid w:val="00B6317D"/>
    <w:rsid w:val="00B7723F"/>
    <w:rsid w:val="00B80534"/>
    <w:rsid w:val="00B8433C"/>
    <w:rsid w:val="00B87491"/>
    <w:rsid w:val="00B9218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2F6B"/>
    <w:rsid w:val="00CF36BE"/>
    <w:rsid w:val="00CF6000"/>
    <w:rsid w:val="00D003F3"/>
    <w:rsid w:val="00D0364F"/>
    <w:rsid w:val="00D06834"/>
    <w:rsid w:val="00D26D9F"/>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1FB4"/>
    <w:rsid w:val="00E2656A"/>
    <w:rsid w:val="00E412D0"/>
    <w:rsid w:val="00E56322"/>
    <w:rsid w:val="00E60982"/>
    <w:rsid w:val="00E62C62"/>
    <w:rsid w:val="00E654C1"/>
    <w:rsid w:val="00E65D97"/>
    <w:rsid w:val="00E72A5A"/>
    <w:rsid w:val="00E73354"/>
    <w:rsid w:val="00E80370"/>
    <w:rsid w:val="00E9242D"/>
    <w:rsid w:val="00E929FC"/>
    <w:rsid w:val="00E961AA"/>
    <w:rsid w:val="00EB5255"/>
    <w:rsid w:val="00EB5C47"/>
    <w:rsid w:val="00ED0639"/>
    <w:rsid w:val="00ED2A35"/>
    <w:rsid w:val="00EF4755"/>
    <w:rsid w:val="00EF7135"/>
    <w:rsid w:val="00F027DB"/>
    <w:rsid w:val="00F107B9"/>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B405F"/>
    <w:rsid w:val="01123E8A"/>
    <w:rsid w:val="01161381"/>
    <w:rsid w:val="01290F7E"/>
    <w:rsid w:val="012D2227"/>
    <w:rsid w:val="012D261A"/>
    <w:rsid w:val="013435B5"/>
    <w:rsid w:val="01504A25"/>
    <w:rsid w:val="015A248B"/>
    <w:rsid w:val="015D1E09"/>
    <w:rsid w:val="01826A17"/>
    <w:rsid w:val="01B86DC2"/>
    <w:rsid w:val="01CC55A9"/>
    <w:rsid w:val="01DA20AA"/>
    <w:rsid w:val="02184B64"/>
    <w:rsid w:val="02186A33"/>
    <w:rsid w:val="023500F0"/>
    <w:rsid w:val="023932EE"/>
    <w:rsid w:val="023D46EC"/>
    <w:rsid w:val="02483DA4"/>
    <w:rsid w:val="02485020"/>
    <w:rsid w:val="02691984"/>
    <w:rsid w:val="02697903"/>
    <w:rsid w:val="02745185"/>
    <w:rsid w:val="028F3691"/>
    <w:rsid w:val="02993EFD"/>
    <w:rsid w:val="029F7154"/>
    <w:rsid w:val="02B31F5F"/>
    <w:rsid w:val="02BC7338"/>
    <w:rsid w:val="02D61F33"/>
    <w:rsid w:val="02D854F4"/>
    <w:rsid w:val="02EF2307"/>
    <w:rsid w:val="02F96569"/>
    <w:rsid w:val="02FD0CF5"/>
    <w:rsid w:val="03251D86"/>
    <w:rsid w:val="034C4F4D"/>
    <w:rsid w:val="03546191"/>
    <w:rsid w:val="03655EDC"/>
    <w:rsid w:val="03680B9F"/>
    <w:rsid w:val="036B6BBE"/>
    <w:rsid w:val="037B3E0C"/>
    <w:rsid w:val="0386421D"/>
    <w:rsid w:val="038F0F77"/>
    <w:rsid w:val="03927AFE"/>
    <w:rsid w:val="03A4769D"/>
    <w:rsid w:val="03CB0947"/>
    <w:rsid w:val="03CE738D"/>
    <w:rsid w:val="03D8229E"/>
    <w:rsid w:val="03DE0CC7"/>
    <w:rsid w:val="03EA7B21"/>
    <w:rsid w:val="03F9432E"/>
    <w:rsid w:val="04211DC9"/>
    <w:rsid w:val="04264E5E"/>
    <w:rsid w:val="042C45F1"/>
    <w:rsid w:val="04301D26"/>
    <w:rsid w:val="04347AB6"/>
    <w:rsid w:val="043E6852"/>
    <w:rsid w:val="0442248D"/>
    <w:rsid w:val="045B46CE"/>
    <w:rsid w:val="04736067"/>
    <w:rsid w:val="04770389"/>
    <w:rsid w:val="048A0B8C"/>
    <w:rsid w:val="04B50EB1"/>
    <w:rsid w:val="04D07E2C"/>
    <w:rsid w:val="04D31F5A"/>
    <w:rsid w:val="04D8096C"/>
    <w:rsid w:val="04DD0833"/>
    <w:rsid w:val="04EA4C99"/>
    <w:rsid w:val="04EE0AE8"/>
    <w:rsid w:val="04F719B1"/>
    <w:rsid w:val="050A6597"/>
    <w:rsid w:val="050B287F"/>
    <w:rsid w:val="05277873"/>
    <w:rsid w:val="0530678A"/>
    <w:rsid w:val="05674699"/>
    <w:rsid w:val="056D2553"/>
    <w:rsid w:val="057272E7"/>
    <w:rsid w:val="058F54C3"/>
    <w:rsid w:val="05A5317B"/>
    <w:rsid w:val="05A94AB8"/>
    <w:rsid w:val="05BF76B4"/>
    <w:rsid w:val="05C93AD9"/>
    <w:rsid w:val="05D17F3E"/>
    <w:rsid w:val="05F83EAE"/>
    <w:rsid w:val="05FD666C"/>
    <w:rsid w:val="061B4D44"/>
    <w:rsid w:val="063E7D85"/>
    <w:rsid w:val="06614735"/>
    <w:rsid w:val="06636BA2"/>
    <w:rsid w:val="0679783A"/>
    <w:rsid w:val="067A4160"/>
    <w:rsid w:val="068C79F0"/>
    <w:rsid w:val="06C61153"/>
    <w:rsid w:val="06D01B31"/>
    <w:rsid w:val="06DE626A"/>
    <w:rsid w:val="06EE1376"/>
    <w:rsid w:val="06F95524"/>
    <w:rsid w:val="07123278"/>
    <w:rsid w:val="071C5FA3"/>
    <w:rsid w:val="072916E2"/>
    <w:rsid w:val="07293586"/>
    <w:rsid w:val="07295285"/>
    <w:rsid w:val="07346A6A"/>
    <w:rsid w:val="07483DAF"/>
    <w:rsid w:val="07636392"/>
    <w:rsid w:val="07684710"/>
    <w:rsid w:val="0772198A"/>
    <w:rsid w:val="07770C56"/>
    <w:rsid w:val="07794418"/>
    <w:rsid w:val="077D5A1B"/>
    <w:rsid w:val="0798712D"/>
    <w:rsid w:val="07AC57C1"/>
    <w:rsid w:val="07AF30A6"/>
    <w:rsid w:val="07C72703"/>
    <w:rsid w:val="07D65F6C"/>
    <w:rsid w:val="07F36E06"/>
    <w:rsid w:val="07F74CA0"/>
    <w:rsid w:val="081450A2"/>
    <w:rsid w:val="0836501F"/>
    <w:rsid w:val="08422274"/>
    <w:rsid w:val="084A1910"/>
    <w:rsid w:val="084E585C"/>
    <w:rsid w:val="0851244D"/>
    <w:rsid w:val="08563A48"/>
    <w:rsid w:val="08591D90"/>
    <w:rsid w:val="08724F0F"/>
    <w:rsid w:val="08885083"/>
    <w:rsid w:val="08944C3D"/>
    <w:rsid w:val="08A00EA6"/>
    <w:rsid w:val="08A67865"/>
    <w:rsid w:val="08B07D5B"/>
    <w:rsid w:val="08E9737B"/>
    <w:rsid w:val="08FC2B73"/>
    <w:rsid w:val="09006911"/>
    <w:rsid w:val="0911242E"/>
    <w:rsid w:val="092217DD"/>
    <w:rsid w:val="092B3E2E"/>
    <w:rsid w:val="09372EA9"/>
    <w:rsid w:val="093A7294"/>
    <w:rsid w:val="0966246F"/>
    <w:rsid w:val="096B2D0D"/>
    <w:rsid w:val="09702708"/>
    <w:rsid w:val="098761CE"/>
    <w:rsid w:val="098C370B"/>
    <w:rsid w:val="09901168"/>
    <w:rsid w:val="09A35C35"/>
    <w:rsid w:val="09BB4917"/>
    <w:rsid w:val="09BC7ADA"/>
    <w:rsid w:val="09C474A0"/>
    <w:rsid w:val="09DB3C99"/>
    <w:rsid w:val="09E663FF"/>
    <w:rsid w:val="0A0211D5"/>
    <w:rsid w:val="0A0D7099"/>
    <w:rsid w:val="0A1B7A08"/>
    <w:rsid w:val="0A207AE8"/>
    <w:rsid w:val="0A263993"/>
    <w:rsid w:val="0A2D3AC2"/>
    <w:rsid w:val="0A2D5046"/>
    <w:rsid w:val="0A4242BC"/>
    <w:rsid w:val="0A526AA2"/>
    <w:rsid w:val="0A79472F"/>
    <w:rsid w:val="0AA55524"/>
    <w:rsid w:val="0AA755DF"/>
    <w:rsid w:val="0AB235A9"/>
    <w:rsid w:val="0AB85257"/>
    <w:rsid w:val="0AC86CBC"/>
    <w:rsid w:val="0AFD2C6A"/>
    <w:rsid w:val="0B120D44"/>
    <w:rsid w:val="0B1C7275"/>
    <w:rsid w:val="0B220922"/>
    <w:rsid w:val="0B372CF6"/>
    <w:rsid w:val="0B462863"/>
    <w:rsid w:val="0B5D337D"/>
    <w:rsid w:val="0B73117E"/>
    <w:rsid w:val="0B7D3DAB"/>
    <w:rsid w:val="0B822F11"/>
    <w:rsid w:val="0B8B296C"/>
    <w:rsid w:val="0BA255A7"/>
    <w:rsid w:val="0BC3421A"/>
    <w:rsid w:val="0BD27BF6"/>
    <w:rsid w:val="0BD50BD6"/>
    <w:rsid w:val="0BD51E39"/>
    <w:rsid w:val="0BDF4C6D"/>
    <w:rsid w:val="0BEF0FDC"/>
    <w:rsid w:val="0BF75B70"/>
    <w:rsid w:val="0C177D5B"/>
    <w:rsid w:val="0C2016B3"/>
    <w:rsid w:val="0C267665"/>
    <w:rsid w:val="0C2C4E22"/>
    <w:rsid w:val="0C32020B"/>
    <w:rsid w:val="0C3B3C7D"/>
    <w:rsid w:val="0C5F1352"/>
    <w:rsid w:val="0C881405"/>
    <w:rsid w:val="0CAB2EAE"/>
    <w:rsid w:val="0CB10912"/>
    <w:rsid w:val="0CCA1272"/>
    <w:rsid w:val="0CE204F3"/>
    <w:rsid w:val="0CE5705F"/>
    <w:rsid w:val="0CF25558"/>
    <w:rsid w:val="0CF63E15"/>
    <w:rsid w:val="0D171176"/>
    <w:rsid w:val="0D190642"/>
    <w:rsid w:val="0D1F0755"/>
    <w:rsid w:val="0D3B5CCB"/>
    <w:rsid w:val="0D3F0EA0"/>
    <w:rsid w:val="0D477310"/>
    <w:rsid w:val="0D5438AC"/>
    <w:rsid w:val="0D5C636E"/>
    <w:rsid w:val="0D621C7D"/>
    <w:rsid w:val="0D9518A9"/>
    <w:rsid w:val="0DA84934"/>
    <w:rsid w:val="0DAC733D"/>
    <w:rsid w:val="0DAD0977"/>
    <w:rsid w:val="0DB31383"/>
    <w:rsid w:val="0DB73D8B"/>
    <w:rsid w:val="0DDF724E"/>
    <w:rsid w:val="0DE3413F"/>
    <w:rsid w:val="0E126F1C"/>
    <w:rsid w:val="0E1A3B33"/>
    <w:rsid w:val="0E272740"/>
    <w:rsid w:val="0E3B2427"/>
    <w:rsid w:val="0E482567"/>
    <w:rsid w:val="0E4D3588"/>
    <w:rsid w:val="0E73034D"/>
    <w:rsid w:val="0E74112A"/>
    <w:rsid w:val="0E7F4DF0"/>
    <w:rsid w:val="0E863D7E"/>
    <w:rsid w:val="0E87566C"/>
    <w:rsid w:val="0E8D37A8"/>
    <w:rsid w:val="0E9D7D0E"/>
    <w:rsid w:val="0EBD05D7"/>
    <w:rsid w:val="0ECA1CDC"/>
    <w:rsid w:val="0EE4281A"/>
    <w:rsid w:val="0EE45491"/>
    <w:rsid w:val="0F13775A"/>
    <w:rsid w:val="0F19705F"/>
    <w:rsid w:val="0F1F51F2"/>
    <w:rsid w:val="0F323637"/>
    <w:rsid w:val="0F4C4037"/>
    <w:rsid w:val="0F540F30"/>
    <w:rsid w:val="0F5F45FE"/>
    <w:rsid w:val="0F5F50A2"/>
    <w:rsid w:val="0F7450E6"/>
    <w:rsid w:val="0F9A112B"/>
    <w:rsid w:val="0FCD18B9"/>
    <w:rsid w:val="0FCD7A2A"/>
    <w:rsid w:val="0FD10701"/>
    <w:rsid w:val="0FD20B69"/>
    <w:rsid w:val="1009694C"/>
    <w:rsid w:val="10261BFA"/>
    <w:rsid w:val="10326F5D"/>
    <w:rsid w:val="10330E74"/>
    <w:rsid w:val="103D3A1B"/>
    <w:rsid w:val="104E0A0A"/>
    <w:rsid w:val="10502A85"/>
    <w:rsid w:val="10503B87"/>
    <w:rsid w:val="106D2F64"/>
    <w:rsid w:val="108160EB"/>
    <w:rsid w:val="10B63710"/>
    <w:rsid w:val="10B71902"/>
    <w:rsid w:val="10C50195"/>
    <w:rsid w:val="10D517BE"/>
    <w:rsid w:val="10F10820"/>
    <w:rsid w:val="10F327B1"/>
    <w:rsid w:val="110265A3"/>
    <w:rsid w:val="111C2F7A"/>
    <w:rsid w:val="112371A2"/>
    <w:rsid w:val="11264092"/>
    <w:rsid w:val="112D6653"/>
    <w:rsid w:val="112D6732"/>
    <w:rsid w:val="11646FA6"/>
    <w:rsid w:val="11665CA1"/>
    <w:rsid w:val="1191429F"/>
    <w:rsid w:val="11AA3E5D"/>
    <w:rsid w:val="11B31925"/>
    <w:rsid w:val="11C82A0D"/>
    <w:rsid w:val="11C96CDB"/>
    <w:rsid w:val="11CB1D14"/>
    <w:rsid w:val="11CF1A74"/>
    <w:rsid w:val="11E46932"/>
    <w:rsid w:val="11E9219A"/>
    <w:rsid w:val="121A2353"/>
    <w:rsid w:val="121A333B"/>
    <w:rsid w:val="12390792"/>
    <w:rsid w:val="123A5806"/>
    <w:rsid w:val="123F625E"/>
    <w:rsid w:val="12A30BC5"/>
    <w:rsid w:val="12A44C97"/>
    <w:rsid w:val="12A61E39"/>
    <w:rsid w:val="12BD6F20"/>
    <w:rsid w:val="12C16C73"/>
    <w:rsid w:val="13124940"/>
    <w:rsid w:val="13271764"/>
    <w:rsid w:val="133C6A1A"/>
    <w:rsid w:val="134B2B0A"/>
    <w:rsid w:val="13623155"/>
    <w:rsid w:val="13712452"/>
    <w:rsid w:val="137F010F"/>
    <w:rsid w:val="138F28CD"/>
    <w:rsid w:val="13951726"/>
    <w:rsid w:val="13985790"/>
    <w:rsid w:val="139D431D"/>
    <w:rsid w:val="13B01DD4"/>
    <w:rsid w:val="13BC2F15"/>
    <w:rsid w:val="13E561C6"/>
    <w:rsid w:val="13EA020E"/>
    <w:rsid w:val="13F4253B"/>
    <w:rsid w:val="14145336"/>
    <w:rsid w:val="14396509"/>
    <w:rsid w:val="14596EEE"/>
    <w:rsid w:val="145A4238"/>
    <w:rsid w:val="145B0D83"/>
    <w:rsid w:val="1463133A"/>
    <w:rsid w:val="146C3D34"/>
    <w:rsid w:val="14860174"/>
    <w:rsid w:val="149C7B6D"/>
    <w:rsid w:val="14A81A09"/>
    <w:rsid w:val="14DD2C3C"/>
    <w:rsid w:val="14DE1D5E"/>
    <w:rsid w:val="14E223AA"/>
    <w:rsid w:val="14FA15F0"/>
    <w:rsid w:val="152043C2"/>
    <w:rsid w:val="153631E5"/>
    <w:rsid w:val="15375705"/>
    <w:rsid w:val="1558650B"/>
    <w:rsid w:val="156E30E2"/>
    <w:rsid w:val="157E7416"/>
    <w:rsid w:val="158517AF"/>
    <w:rsid w:val="15A65845"/>
    <w:rsid w:val="15AB3CF9"/>
    <w:rsid w:val="15B70A1A"/>
    <w:rsid w:val="15BB5BFB"/>
    <w:rsid w:val="15BD5158"/>
    <w:rsid w:val="15C11F7F"/>
    <w:rsid w:val="15D05B4B"/>
    <w:rsid w:val="15D47CFF"/>
    <w:rsid w:val="15DF5EAA"/>
    <w:rsid w:val="15EE3A97"/>
    <w:rsid w:val="15FC6940"/>
    <w:rsid w:val="15FD3F46"/>
    <w:rsid w:val="16053B22"/>
    <w:rsid w:val="16087E1D"/>
    <w:rsid w:val="161D1CE9"/>
    <w:rsid w:val="16297659"/>
    <w:rsid w:val="163F682C"/>
    <w:rsid w:val="16430362"/>
    <w:rsid w:val="164C052F"/>
    <w:rsid w:val="165F30CF"/>
    <w:rsid w:val="16637409"/>
    <w:rsid w:val="1672275E"/>
    <w:rsid w:val="167C5922"/>
    <w:rsid w:val="16972552"/>
    <w:rsid w:val="169A0A5A"/>
    <w:rsid w:val="16A36DBB"/>
    <w:rsid w:val="16D75927"/>
    <w:rsid w:val="16F511B2"/>
    <w:rsid w:val="170A1220"/>
    <w:rsid w:val="17231CAA"/>
    <w:rsid w:val="17240813"/>
    <w:rsid w:val="172F064F"/>
    <w:rsid w:val="17505D59"/>
    <w:rsid w:val="17701D14"/>
    <w:rsid w:val="17735226"/>
    <w:rsid w:val="178F01D3"/>
    <w:rsid w:val="17981ECF"/>
    <w:rsid w:val="179C44A9"/>
    <w:rsid w:val="17AF0183"/>
    <w:rsid w:val="17C417A5"/>
    <w:rsid w:val="17DE0F7E"/>
    <w:rsid w:val="181A053B"/>
    <w:rsid w:val="182A0E16"/>
    <w:rsid w:val="182F1E13"/>
    <w:rsid w:val="185145F5"/>
    <w:rsid w:val="1861087D"/>
    <w:rsid w:val="18636913"/>
    <w:rsid w:val="18643F78"/>
    <w:rsid w:val="18644860"/>
    <w:rsid w:val="186641C5"/>
    <w:rsid w:val="189342A4"/>
    <w:rsid w:val="189F624C"/>
    <w:rsid w:val="18AC3C7C"/>
    <w:rsid w:val="18AD3F21"/>
    <w:rsid w:val="18B56F14"/>
    <w:rsid w:val="18B828C6"/>
    <w:rsid w:val="18BB48EE"/>
    <w:rsid w:val="18D5376F"/>
    <w:rsid w:val="18DC6BC1"/>
    <w:rsid w:val="18E368BA"/>
    <w:rsid w:val="18E717BF"/>
    <w:rsid w:val="18EF4243"/>
    <w:rsid w:val="19300329"/>
    <w:rsid w:val="193D0F12"/>
    <w:rsid w:val="194A641F"/>
    <w:rsid w:val="197B1054"/>
    <w:rsid w:val="19A1243F"/>
    <w:rsid w:val="19CC6629"/>
    <w:rsid w:val="19E6338C"/>
    <w:rsid w:val="19EA19E4"/>
    <w:rsid w:val="19F73BFF"/>
    <w:rsid w:val="1A0F6EBC"/>
    <w:rsid w:val="1A1054DE"/>
    <w:rsid w:val="1A1B5DE5"/>
    <w:rsid w:val="1A1C66C0"/>
    <w:rsid w:val="1A253839"/>
    <w:rsid w:val="1A274BCE"/>
    <w:rsid w:val="1A2B52D8"/>
    <w:rsid w:val="1A3B4A49"/>
    <w:rsid w:val="1A3F1FD4"/>
    <w:rsid w:val="1A42393B"/>
    <w:rsid w:val="1A6A51B6"/>
    <w:rsid w:val="1A6E456A"/>
    <w:rsid w:val="1A796BF8"/>
    <w:rsid w:val="1A8A3DEE"/>
    <w:rsid w:val="1AAA4FCD"/>
    <w:rsid w:val="1AAD45DE"/>
    <w:rsid w:val="1ABB218C"/>
    <w:rsid w:val="1AE343DA"/>
    <w:rsid w:val="1AE50953"/>
    <w:rsid w:val="1AE55BAA"/>
    <w:rsid w:val="1B034A5E"/>
    <w:rsid w:val="1B046F80"/>
    <w:rsid w:val="1B0478B6"/>
    <w:rsid w:val="1B084E81"/>
    <w:rsid w:val="1B322FC4"/>
    <w:rsid w:val="1B3267B5"/>
    <w:rsid w:val="1B3A2711"/>
    <w:rsid w:val="1B40161D"/>
    <w:rsid w:val="1B441859"/>
    <w:rsid w:val="1B6606B1"/>
    <w:rsid w:val="1B7231E1"/>
    <w:rsid w:val="1B75499A"/>
    <w:rsid w:val="1B8C6519"/>
    <w:rsid w:val="1B8E27A7"/>
    <w:rsid w:val="1B966EEF"/>
    <w:rsid w:val="1B9C30AB"/>
    <w:rsid w:val="1BB828BF"/>
    <w:rsid w:val="1BC701E0"/>
    <w:rsid w:val="1BDF0F49"/>
    <w:rsid w:val="1BEB2B7A"/>
    <w:rsid w:val="1BF15539"/>
    <w:rsid w:val="1BFF7D06"/>
    <w:rsid w:val="1C3A442D"/>
    <w:rsid w:val="1C3D736A"/>
    <w:rsid w:val="1C411EE7"/>
    <w:rsid w:val="1C49132A"/>
    <w:rsid w:val="1C592D77"/>
    <w:rsid w:val="1C5E7925"/>
    <w:rsid w:val="1C662D8F"/>
    <w:rsid w:val="1C707F17"/>
    <w:rsid w:val="1C74320F"/>
    <w:rsid w:val="1CBA5F77"/>
    <w:rsid w:val="1CEF1D23"/>
    <w:rsid w:val="1CFD070F"/>
    <w:rsid w:val="1D450EF0"/>
    <w:rsid w:val="1D465E99"/>
    <w:rsid w:val="1D4C0D21"/>
    <w:rsid w:val="1D5C1A72"/>
    <w:rsid w:val="1D5F6196"/>
    <w:rsid w:val="1D6132A5"/>
    <w:rsid w:val="1D6272F8"/>
    <w:rsid w:val="1D691D0A"/>
    <w:rsid w:val="1D7C6784"/>
    <w:rsid w:val="1D8E56D5"/>
    <w:rsid w:val="1D915B95"/>
    <w:rsid w:val="1DA63635"/>
    <w:rsid w:val="1DA64144"/>
    <w:rsid w:val="1DAC49BC"/>
    <w:rsid w:val="1DB001FD"/>
    <w:rsid w:val="1DB30711"/>
    <w:rsid w:val="1DB61CC7"/>
    <w:rsid w:val="1DC675AB"/>
    <w:rsid w:val="1DD0124D"/>
    <w:rsid w:val="1DD93354"/>
    <w:rsid w:val="1DF5145A"/>
    <w:rsid w:val="1E122407"/>
    <w:rsid w:val="1E14074F"/>
    <w:rsid w:val="1E1E4A42"/>
    <w:rsid w:val="1E467EB0"/>
    <w:rsid w:val="1E494E14"/>
    <w:rsid w:val="1E650DFA"/>
    <w:rsid w:val="1E6D7CAF"/>
    <w:rsid w:val="1E7A43DA"/>
    <w:rsid w:val="1E83119C"/>
    <w:rsid w:val="1EB1097C"/>
    <w:rsid w:val="1EB16B64"/>
    <w:rsid w:val="1EB66B52"/>
    <w:rsid w:val="1EB95DF3"/>
    <w:rsid w:val="1EC84EC8"/>
    <w:rsid w:val="1EEE2B9E"/>
    <w:rsid w:val="1EF234B9"/>
    <w:rsid w:val="1EFC175F"/>
    <w:rsid w:val="1F21644C"/>
    <w:rsid w:val="1F2C479B"/>
    <w:rsid w:val="1F3F33F9"/>
    <w:rsid w:val="1F5A2621"/>
    <w:rsid w:val="1F612F1B"/>
    <w:rsid w:val="1F65439A"/>
    <w:rsid w:val="1F72315D"/>
    <w:rsid w:val="1F7359B4"/>
    <w:rsid w:val="1F7A4FE8"/>
    <w:rsid w:val="1F88110D"/>
    <w:rsid w:val="1F940AF5"/>
    <w:rsid w:val="1F967629"/>
    <w:rsid w:val="1FA72FA4"/>
    <w:rsid w:val="1FA94D17"/>
    <w:rsid w:val="1FAF5501"/>
    <w:rsid w:val="1FDD7A5C"/>
    <w:rsid w:val="1FE53FE9"/>
    <w:rsid w:val="1FE7539E"/>
    <w:rsid w:val="1FEA6512"/>
    <w:rsid w:val="1FF02946"/>
    <w:rsid w:val="1FF239D0"/>
    <w:rsid w:val="2009207B"/>
    <w:rsid w:val="200D1A0E"/>
    <w:rsid w:val="20144886"/>
    <w:rsid w:val="20332D51"/>
    <w:rsid w:val="203D6979"/>
    <w:rsid w:val="20445493"/>
    <w:rsid w:val="204561FB"/>
    <w:rsid w:val="2060790C"/>
    <w:rsid w:val="2061072D"/>
    <w:rsid w:val="20671BE0"/>
    <w:rsid w:val="20963CB8"/>
    <w:rsid w:val="20A7394C"/>
    <w:rsid w:val="20A81A1B"/>
    <w:rsid w:val="20B07FB6"/>
    <w:rsid w:val="20B221AC"/>
    <w:rsid w:val="20B646FB"/>
    <w:rsid w:val="20BC7B42"/>
    <w:rsid w:val="20CD76B5"/>
    <w:rsid w:val="20E31E62"/>
    <w:rsid w:val="20E34649"/>
    <w:rsid w:val="210D3A26"/>
    <w:rsid w:val="21101404"/>
    <w:rsid w:val="2119684C"/>
    <w:rsid w:val="21267ED9"/>
    <w:rsid w:val="21272BF8"/>
    <w:rsid w:val="213B74B1"/>
    <w:rsid w:val="21431E3F"/>
    <w:rsid w:val="214473ED"/>
    <w:rsid w:val="21465528"/>
    <w:rsid w:val="215A2310"/>
    <w:rsid w:val="21677697"/>
    <w:rsid w:val="219C7BAD"/>
    <w:rsid w:val="21A335F2"/>
    <w:rsid w:val="21C615AE"/>
    <w:rsid w:val="21C929F2"/>
    <w:rsid w:val="21DE318A"/>
    <w:rsid w:val="21EE17FD"/>
    <w:rsid w:val="21EF5B80"/>
    <w:rsid w:val="2219624A"/>
    <w:rsid w:val="2236120F"/>
    <w:rsid w:val="22377F42"/>
    <w:rsid w:val="22576990"/>
    <w:rsid w:val="225F3458"/>
    <w:rsid w:val="226B71B8"/>
    <w:rsid w:val="226F574F"/>
    <w:rsid w:val="228850B7"/>
    <w:rsid w:val="22B91715"/>
    <w:rsid w:val="22C81958"/>
    <w:rsid w:val="22F47480"/>
    <w:rsid w:val="232B0EA0"/>
    <w:rsid w:val="232B292E"/>
    <w:rsid w:val="232C0052"/>
    <w:rsid w:val="232C1EE7"/>
    <w:rsid w:val="233139A1"/>
    <w:rsid w:val="2347164C"/>
    <w:rsid w:val="23717875"/>
    <w:rsid w:val="23A02256"/>
    <w:rsid w:val="23A351B6"/>
    <w:rsid w:val="23C518F6"/>
    <w:rsid w:val="23DE1C48"/>
    <w:rsid w:val="240210CD"/>
    <w:rsid w:val="2414105A"/>
    <w:rsid w:val="241A54DB"/>
    <w:rsid w:val="241F2D9B"/>
    <w:rsid w:val="243F31FB"/>
    <w:rsid w:val="24440AB1"/>
    <w:rsid w:val="24463952"/>
    <w:rsid w:val="244D65B8"/>
    <w:rsid w:val="24522496"/>
    <w:rsid w:val="2453248F"/>
    <w:rsid w:val="246048C9"/>
    <w:rsid w:val="246612BF"/>
    <w:rsid w:val="248F3D6A"/>
    <w:rsid w:val="249D0E92"/>
    <w:rsid w:val="24A45153"/>
    <w:rsid w:val="24B16B47"/>
    <w:rsid w:val="24BF09F7"/>
    <w:rsid w:val="24D46924"/>
    <w:rsid w:val="24DA14FB"/>
    <w:rsid w:val="24E30CCB"/>
    <w:rsid w:val="250C1B44"/>
    <w:rsid w:val="251F2D5F"/>
    <w:rsid w:val="251F7F55"/>
    <w:rsid w:val="252D53FE"/>
    <w:rsid w:val="254F010E"/>
    <w:rsid w:val="256512D1"/>
    <w:rsid w:val="25743E64"/>
    <w:rsid w:val="258723D5"/>
    <w:rsid w:val="25BA096E"/>
    <w:rsid w:val="25BB1C56"/>
    <w:rsid w:val="25BD776E"/>
    <w:rsid w:val="25D64147"/>
    <w:rsid w:val="25DA20CE"/>
    <w:rsid w:val="25E940BF"/>
    <w:rsid w:val="25EC2D81"/>
    <w:rsid w:val="25EE4659"/>
    <w:rsid w:val="25F627F1"/>
    <w:rsid w:val="25FA5438"/>
    <w:rsid w:val="25FE1210"/>
    <w:rsid w:val="260C09A1"/>
    <w:rsid w:val="26164459"/>
    <w:rsid w:val="263712CE"/>
    <w:rsid w:val="26385E8A"/>
    <w:rsid w:val="26432265"/>
    <w:rsid w:val="26497962"/>
    <w:rsid w:val="26545FB0"/>
    <w:rsid w:val="26926505"/>
    <w:rsid w:val="269B5515"/>
    <w:rsid w:val="26AB4560"/>
    <w:rsid w:val="26AF1068"/>
    <w:rsid w:val="26B139FF"/>
    <w:rsid w:val="26D37A33"/>
    <w:rsid w:val="26E434F5"/>
    <w:rsid w:val="26E566CD"/>
    <w:rsid w:val="270A0B9B"/>
    <w:rsid w:val="273D0034"/>
    <w:rsid w:val="273D0B66"/>
    <w:rsid w:val="274F070D"/>
    <w:rsid w:val="276F1FAA"/>
    <w:rsid w:val="277057A2"/>
    <w:rsid w:val="279572B1"/>
    <w:rsid w:val="27B506FD"/>
    <w:rsid w:val="27BB0DA8"/>
    <w:rsid w:val="27CE17BE"/>
    <w:rsid w:val="27DA0163"/>
    <w:rsid w:val="2805016B"/>
    <w:rsid w:val="280A494E"/>
    <w:rsid w:val="280C5625"/>
    <w:rsid w:val="281F0DA3"/>
    <w:rsid w:val="283A4F89"/>
    <w:rsid w:val="28485A15"/>
    <w:rsid w:val="28665E9B"/>
    <w:rsid w:val="28891C41"/>
    <w:rsid w:val="28A013AD"/>
    <w:rsid w:val="28BD333D"/>
    <w:rsid w:val="28CE3C3A"/>
    <w:rsid w:val="28DA6A0D"/>
    <w:rsid w:val="28FE60D3"/>
    <w:rsid w:val="29043455"/>
    <w:rsid w:val="290556B4"/>
    <w:rsid w:val="29057462"/>
    <w:rsid w:val="290B259E"/>
    <w:rsid w:val="29171691"/>
    <w:rsid w:val="29206EB8"/>
    <w:rsid w:val="2951091E"/>
    <w:rsid w:val="29595666"/>
    <w:rsid w:val="296F5A87"/>
    <w:rsid w:val="297102B7"/>
    <w:rsid w:val="297D7489"/>
    <w:rsid w:val="29874881"/>
    <w:rsid w:val="29910560"/>
    <w:rsid w:val="29AD3C19"/>
    <w:rsid w:val="29BB32A5"/>
    <w:rsid w:val="29E325E0"/>
    <w:rsid w:val="29EF24F1"/>
    <w:rsid w:val="29F36631"/>
    <w:rsid w:val="2A27294F"/>
    <w:rsid w:val="2A33379A"/>
    <w:rsid w:val="2A350C62"/>
    <w:rsid w:val="2A3E70CF"/>
    <w:rsid w:val="2A452503"/>
    <w:rsid w:val="2A511C49"/>
    <w:rsid w:val="2ABE7A50"/>
    <w:rsid w:val="2AD173C6"/>
    <w:rsid w:val="2AD478D0"/>
    <w:rsid w:val="2AED2707"/>
    <w:rsid w:val="2B0A0D5F"/>
    <w:rsid w:val="2B4324C3"/>
    <w:rsid w:val="2B47289E"/>
    <w:rsid w:val="2B5E52B2"/>
    <w:rsid w:val="2B7B1CD4"/>
    <w:rsid w:val="2B7D6AB0"/>
    <w:rsid w:val="2B7F643F"/>
    <w:rsid w:val="2B851CCE"/>
    <w:rsid w:val="2B852798"/>
    <w:rsid w:val="2BA2577B"/>
    <w:rsid w:val="2BA74DE2"/>
    <w:rsid w:val="2BA936A8"/>
    <w:rsid w:val="2BA96401"/>
    <w:rsid w:val="2BBC720D"/>
    <w:rsid w:val="2BCC47FB"/>
    <w:rsid w:val="2BDC08E3"/>
    <w:rsid w:val="2BDC3E85"/>
    <w:rsid w:val="2BEF7EF3"/>
    <w:rsid w:val="2BFD0166"/>
    <w:rsid w:val="2BFE2C3D"/>
    <w:rsid w:val="2C213FB8"/>
    <w:rsid w:val="2C2263BE"/>
    <w:rsid w:val="2C265BD4"/>
    <w:rsid w:val="2C315A5A"/>
    <w:rsid w:val="2C3F62BD"/>
    <w:rsid w:val="2C4B1C25"/>
    <w:rsid w:val="2C66290D"/>
    <w:rsid w:val="2C9B023E"/>
    <w:rsid w:val="2CB109F8"/>
    <w:rsid w:val="2CB82A3D"/>
    <w:rsid w:val="2CDA6E57"/>
    <w:rsid w:val="2CE11F94"/>
    <w:rsid w:val="2CEC114C"/>
    <w:rsid w:val="2CF5681C"/>
    <w:rsid w:val="2CFC7029"/>
    <w:rsid w:val="2D000CF1"/>
    <w:rsid w:val="2D033554"/>
    <w:rsid w:val="2D164CD3"/>
    <w:rsid w:val="2D2E32D7"/>
    <w:rsid w:val="2D386C8A"/>
    <w:rsid w:val="2D3C1EE4"/>
    <w:rsid w:val="2D483DC1"/>
    <w:rsid w:val="2D5C5ABE"/>
    <w:rsid w:val="2D627B0B"/>
    <w:rsid w:val="2D731A09"/>
    <w:rsid w:val="2D8419C2"/>
    <w:rsid w:val="2D9E56F5"/>
    <w:rsid w:val="2DAA682A"/>
    <w:rsid w:val="2DB74B8D"/>
    <w:rsid w:val="2DB9081B"/>
    <w:rsid w:val="2DCA4514"/>
    <w:rsid w:val="2DD72E00"/>
    <w:rsid w:val="2DDF5C3D"/>
    <w:rsid w:val="2DFD503A"/>
    <w:rsid w:val="2E3C457B"/>
    <w:rsid w:val="2E4A1A53"/>
    <w:rsid w:val="2E57641F"/>
    <w:rsid w:val="2E596347"/>
    <w:rsid w:val="2E665B25"/>
    <w:rsid w:val="2E667F96"/>
    <w:rsid w:val="2E6C5630"/>
    <w:rsid w:val="2E723F81"/>
    <w:rsid w:val="2E8226AB"/>
    <w:rsid w:val="2E84707B"/>
    <w:rsid w:val="2E8909DB"/>
    <w:rsid w:val="2E94189D"/>
    <w:rsid w:val="2E996F2D"/>
    <w:rsid w:val="2EA65243"/>
    <w:rsid w:val="2ED243C3"/>
    <w:rsid w:val="2ED6083A"/>
    <w:rsid w:val="2EFD3E4D"/>
    <w:rsid w:val="2F013C21"/>
    <w:rsid w:val="2F187EDF"/>
    <w:rsid w:val="2F306D83"/>
    <w:rsid w:val="2F4D5528"/>
    <w:rsid w:val="2F4E2DB6"/>
    <w:rsid w:val="2F554355"/>
    <w:rsid w:val="2F5B67F4"/>
    <w:rsid w:val="2F795AC8"/>
    <w:rsid w:val="2F85468E"/>
    <w:rsid w:val="2F9910A4"/>
    <w:rsid w:val="2FA8323D"/>
    <w:rsid w:val="2FA91515"/>
    <w:rsid w:val="2FAC6889"/>
    <w:rsid w:val="2FC75471"/>
    <w:rsid w:val="2FD065E6"/>
    <w:rsid w:val="2FD96870"/>
    <w:rsid w:val="2FE6700E"/>
    <w:rsid w:val="300C557A"/>
    <w:rsid w:val="300F1EE7"/>
    <w:rsid w:val="303E14AB"/>
    <w:rsid w:val="303F61C1"/>
    <w:rsid w:val="304A7E50"/>
    <w:rsid w:val="30580BC9"/>
    <w:rsid w:val="306415F4"/>
    <w:rsid w:val="30711394"/>
    <w:rsid w:val="307750E9"/>
    <w:rsid w:val="307D2EA4"/>
    <w:rsid w:val="30A0651F"/>
    <w:rsid w:val="30C72A82"/>
    <w:rsid w:val="30C94570"/>
    <w:rsid w:val="30CC5331"/>
    <w:rsid w:val="30E20088"/>
    <w:rsid w:val="30E7145E"/>
    <w:rsid w:val="30FA04CF"/>
    <w:rsid w:val="31024A42"/>
    <w:rsid w:val="311E2ED7"/>
    <w:rsid w:val="3129239C"/>
    <w:rsid w:val="313C3B24"/>
    <w:rsid w:val="31480833"/>
    <w:rsid w:val="315619EE"/>
    <w:rsid w:val="315840B2"/>
    <w:rsid w:val="315A2BE3"/>
    <w:rsid w:val="315C449C"/>
    <w:rsid w:val="3163741B"/>
    <w:rsid w:val="3179279B"/>
    <w:rsid w:val="3199108F"/>
    <w:rsid w:val="3199306F"/>
    <w:rsid w:val="31AC3CDE"/>
    <w:rsid w:val="31B82709"/>
    <w:rsid w:val="31D05482"/>
    <w:rsid w:val="31E7004C"/>
    <w:rsid w:val="31EE4908"/>
    <w:rsid w:val="31F47995"/>
    <w:rsid w:val="3206115E"/>
    <w:rsid w:val="320D55D9"/>
    <w:rsid w:val="32110C25"/>
    <w:rsid w:val="321E6F8D"/>
    <w:rsid w:val="323B200A"/>
    <w:rsid w:val="32400B34"/>
    <w:rsid w:val="32412B00"/>
    <w:rsid w:val="325413DD"/>
    <w:rsid w:val="32545D9E"/>
    <w:rsid w:val="32852D31"/>
    <w:rsid w:val="3299316E"/>
    <w:rsid w:val="329A6E6D"/>
    <w:rsid w:val="329E6876"/>
    <w:rsid w:val="32AC3044"/>
    <w:rsid w:val="32BB3486"/>
    <w:rsid w:val="32BC3287"/>
    <w:rsid w:val="32D66C88"/>
    <w:rsid w:val="32EC29E7"/>
    <w:rsid w:val="33064502"/>
    <w:rsid w:val="331B1D66"/>
    <w:rsid w:val="33286205"/>
    <w:rsid w:val="333015F2"/>
    <w:rsid w:val="334119DE"/>
    <w:rsid w:val="33475064"/>
    <w:rsid w:val="334B6320"/>
    <w:rsid w:val="33704071"/>
    <w:rsid w:val="33743B62"/>
    <w:rsid w:val="33767150"/>
    <w:rsid w:val="337E678E"/>
    <w:rsid w:val="338D02E2"/>
    <w:rsid w:val="338F229F"/>
    <w:rsid w:val="339037C8"/>
    <w:rsid w:val="33AC33FC"/>
    <w:rsid w:val="33BB353F"/>
    <w:rsid w:val="33D453A7"/>
    <w:rsid w:val="33D934D4"/>
    <w:rsid w:val="33E365F1"/>
    <w:rsid w:val="33E443DD"/>
    <w:rsid w:val="33FE2F6A"/>
    <w:rsid w:val="33FF2666"/>
    <w:rsid w:val="340E07E5"/>
    <w:rsid w:val="34116956"/>
    <w:rsid w:val="34235BF7"/>
    <w:rsid w:val="342D7D5D"/>
    <w:rsid w:val="344E1962"/>
    <w:rsid w:val="34572B3B"/>
    <w:rsid w:val="34594644"/>
    <w:rsid w:val="345F6CD7"/>
    <w:rsid w:val="346516FC"/>
    <w:rsid w:val="348D3D41"/>
    <w:rsid w:val="34A33F80"/>
    <w:rsid w:val="34C6218A"/>
    <w:rsid w:val="34E871F9"/>
    <w:rsid w:val="34F9018A"/>
    <w:rsid w:val="35080AA4"/>
    <w:rsid w:val="350F0C7C"/>
    <w:rsid w:val="3534166E"/>
    <w:rsid w:val="35374E83"/>
    <w:rsid w:val="35532B98"/>
    <w:rsid w:val="35710491"/>
    <w:rsid w:val="357D46A5"/>
    <w:rsid w:val="358B2037"/>
    <w:rsid w:val="358C5FA8"/>
    <w:rsid w:val="358C6268"/>
    <w:rsid w:val="358F7B48"/>
    <w:rsid w:val="35AF791C"/>
    <w:rsid w:val="35B47338"/>
    <w:rsid w:val="35B729DF"/>
    <w:rsid w:val="35C15DF1"/>
    <w:rsid w:val="35C27C1F"/>
    <w:rsid w:val="35E664D3"/>
    <w:rsid w:val="35F607CB"/>
    <w:rsid w:val="36067BD7"/>
    <w:rsid w:val="36074A7F"/>
    <w:rsid w:val="363474F5"/>
    <w:rsid w:val="364D35DF"/>
    <w:rsid w:val="36593BE0"/>
    <w:rsid w:val="365A3199"/>
    <w:rsid w:val="3677516C"/>
    <w:rsid w:val="36923549"/>
    <w:rsid w:val="36B75FBF"/>
    <w:rsid w:val="36B96E85"/>
    <w:rsid w:val="36BD0C45"/>
    <w:rsid w:val="36F34D9D"/>
    <w:rsid w:val="36FA437E"/>
    <w:rsid w:val="370D6D52"/>
    <w:rsid w:val="37166824"/>
    <w:rsid w:val="372C689E"/>
    <w:rsid w:val="37357164"/>
    <w:rsid w:val="373B5541"/>
    <w:rsid w:val="37406C32"/>
    <w:rsid w:val="374825BE"/>
    <w:rsid w:val="37600BC6"/>
    <w:rsid w:val="376748F3"/>
    <w:rsid w:val="376E6505"/>
    <w:rsid w:val="377C4D93"/>
    <w:rsid w:val="378325C5"/>
    <w:rsid w:val="37990C9E"/>
    <w:rsid w:val="37A4253C"/>
    <w:rsid w:val="37C874AE"/>
    <w:rsid w:val="37DB62C5"/>
    <w:rsid w:val="37E00298"/>
    <w:rsid w:val="37EB4955"/>
    <w:rsid w:val="37F05781"/>
    <w:rsid w:val="37F70ED2"/>
    <w:rsid w:val="37F8386B"/>
    <w:rsid w:val="37FD45B5"/>
    <w:rsid w:val="380B29D7"/>
    <w:rsid w:val="380F3B87"/>
    <w:rsid w:val="380F4F96"/>
    <w:rsid w:val="381B569C"/>
    <w:rsid w:val="38303DCF"/>
    <w:rsid w:val="384D4981"/>
    <w:rsid w:val="38526424"/>
    <w:rsid w:val="385B52F0"/>
    <w:rsid w:val="385C2E16"/>
    <w:rsid w:val="385E0C43"/>
    <w:rsid w:val="38641F79"/>
    <w:rsid w:val="386436F9"/>
    <w:rsid w:val="389C7607"/>
    <w:rsid w:val="38B302F9"/>
    <w:rsid w:val="38C21626"/>
    <w:rsid w:val="38CC1A64"/>
    <w:rsid w:val="38F12CD3"/>
    <w:rsid w:val="38F94775"/>
    <w:rsid w:val="38FA74B3"/>
    <w:rsid w:val="391C2F14"/>
    <w:rsid w:val="391D4DE1"/>
    <w:rsid w:val="39240CC5"/>
    <w:rsid w:val="392971ED"/>
    <w:rsid w:val="39325651"/>
    <w:rsid w:val="393278AD"/>
    <w:rsid w:val="3948283D"/>
    <w:rsid w:val="395D6E46"/>
    <w:rsid w:val="397836EB"/>
    <w:rsid w:val="399D5494"/>
    <w:rsid w:val="39B4295D"/>
    <w:rsid w:val="39E501E3"/>
    <w:rsid w:val="39F53799"/>
    <w:rsid w:val="39F96B6F"/>
    <w:rsid w:val="3A033549"/>
    <w:rsid w:val="3A491338"/>
    <w:rsid w:val="3A4B4EF0"/>
    <w:rsid w:val="3A573895"/>
    <w:rsid w:val="3A5C4A01"/>
    <w:rsid w:val="3A666609"/>
    <w:rsid w:val="3A872856"/>
    <w:rsid w:val="3A8C53FC"/>
    <w:rsid w:val="3A9F68CE"/>
    <w:rsid w:val="3AA45B52"/>
    <w:rsid w:val="3ACD1DA9"/>
    <w:rsid w:val="3AD43138"/>
    <w:rsid w:val="3ADB0230"/>
    <w:rsid w:val="3AF92329"/>
    <w:rsid w:val="3AFE75F3"/>
    <w:rsid w:val="3B312128"/>
    <w:rsid w:val="3B3763D1"/>
    <w:rsid w:val="3B5510F1"/>
    <w:rsid w:val="3B5D18CA"/>
    <w:rsid w:val="3B622E5C"/>
    <w:rsid w:val="3B9B5078"/>
    <w:rsid w:val="3BB27A37"/>
    <w:rsid w:val="3BE610FE"/>
    <w:rsid w:val="3BE612DE"/>
    <w:rsid w:val="3BE73801"/>
    <w:rsid w:val="3BEF0078"/>
    <w:rsid w:val="3BF25EBF"/>
    <w:rsid w:val="3BF26946"/>
    <w:rsid w:val="3BF3026A"/>
    <w:rsid w:val="3C053A08"/>
    <w:rsid w:val="3C066984"/>
    <w:rsid w:val="3C2B6D87"/>
    <w:rsid w:val="3C2D751F"/>
    <w:rsid w:val="3C2F44E1"/>
    <w:rsid w:val="3C2F6E1E"/>
    <w:rsid w:val="3C467655"/>
    <w:rsid w:val="3C4F64BA"/>
    <w:rsid w:val="3C5B0BD8"/>
    <w:rsid w:val="3C6B4CC5"/>
    <w:rsid w:val="3C6C2BFD"/>
    <w:rsid w:val="3C733C5C"/>
    <w:rsid w:val="3C756A22"/>
    <w:rsid w:val="3CAD38F6"/>
    <w:rsid w:val="3CB5234D"/>
    <w:rsid w:val="3CDA245A"/>
    <w:rsid w:val="3D0433A8"/>
    <w:rsid w:val="3D0A6D79"/>
    <w:rsid w:val="3D0C0F6F"/>
    <w:rsid w:val="3D1A105D"/>
    <w:rsid w:val="3D1E06B7"/>
    <w:rsid w:val="3D2E43DE"/>
    <w:rsid w:val="3D540560"/>
    <w:rsid w:val="3D562D7B"/>
    <w:rsid w:val="3D5C4FBA"/>
    <w:rsid w:val="3D5E5250"/>
    <w:rsid w:val="3D7959BB"/>
    <w:rsid w:val="3D817DB9"/>
    <w:rsid w:val="3D8E75CE"/>
    <w:rsid w:val="3D946BBD"/>
    <w:rsid w:val="3D9A0E8C"/>
    <w:rsid w:val="3DA94E91"/>
    <w:rsid w:val="3DAE47DB"/>
    <w:rsid w:val="3DBE515F"/>
    <w:rsid w:val="3DEC5B66"/>
    <w:rsid w:val="3E0257F7"/>
    <w:rsid w:val="3E10020D"/>
    <w:rsid w:val="3E3A43DE"/>
    <w:rsid w:val="3E3D4029"/>
    <w:rsid w:val="3E52741C"/>
    <w:rsid w:val="3E595E2E"/>
    <w:rsid w:val="3E7003FD"/>
    <w:rsid w:val="3E7F0EC8"/>
    <w:rsid w:val="3E942C1B"/>
    <w:rsid w:val="3EA82911"/>
    <w:rsid w:val="3EC350B1"/>
    <w:rsid w:val="3ECD21E7"/>
    <w:rsid w:val="3EDA0523"/>
    <w:rsid w:val="3EEF22EE"/>
    <w:rsid w:val="3EFD65C9"/>
    <w:rsid w:val="3F165ACD"/>
    <w:rsid w:val="3F287BBF"/>
    <w:rsid w:val="3F3E68F4"/>
    <w:rsid w:val="3F4C679F"/>
    <w:rsid w:val="3F5201BB"/>
    <w:rsid w:val="3F5E1F50"/>
    <w:rsid w:val="3F6454EE"/>
    <w:rsid w:val="3F6D625A"/>
    <w:rsid w:val="3F864611"/>
    <w:rsid w:val="3F883AE3"/>
    <w:rsid w:val="3F8F587F"/>
    <w:rsid w:val="3FCB2D5B"/>
    <w:rsid w:val="3FF32979"/>
    <w:rsid w:val="3FF54D36"/>
    <w:rsid w:val="40012A30"/>
    <w:rsid w:val="400B75FC"/>
    <w:rsid w:val="40135938"/>
    <w:rsid w:val="401F4E55"/>
    <w:rsid w:val="40204729"/>
    <w:rsid w:val="40500482"/>
    <w:rsid w:val="40555F24"/>
    <w:rsid w:val="405F48F5"/>
    <w:rsid w:val="40610FCA"/>
    <w:rsid w:val="40783567"/>
    <w:rsid w:val="407A6407"/>
    <w:rsid w:val="40A9471F"/>
    <w:rsid w:val="40AC2859"/>
    <w:rsid w:val="40C63523"/>
    <w:rsid w:val="410B027C"/>
    <w:rsid w:val="411324EF"/>
    <w:rsid w:val="41292F94"/>
    <w:rsid w:val="412B051A"/>
    <w:rsid w:val="41355232"/>
    <w:rsid w:val="413948D4"/>
    <w:rsid w:val="413A2EA3"/>
    <w:rsid w:val="41434B73"/>
    <w:rsid w:val="414A7B75"/>
    <w:rsid w:val="41561CB7"/>
    <w:rsid w:val="415E1A56"/>
    <w:rsid w:val="4171674B"/>
    <w:rsid w:val="41840B99"/>
    <w:rsid w:val="41A01FC6"/>
    <w:rsid w:val="41B75F61"/>
    <w:rsid w:val="41C9707C"/>
    <w:rsid w:val="41F1771E"/>
    <w:rsid w:val="41F364F7"/>
    <w:rsid w:val="4200449D"/>
    <w:rsid w:val="42345F66"/>
    <w:rsid w:val="42383FAC"/>
    <w:rsid w:val="423A3BCC"/>
    <w:rsid w:val="42442951"/>
    <w:rsid w:val="424E57D2"/>
    <w:rsid w:val="42613503"/>
    <w:rsid w:val="426322FE"/>
    <w:rsid w:val="427B0728"/>
    <w:rsid w:val="427F6D45"/>
    <w:rsid w:val="428570D9"/>
    <w:rsid w:val="42B26C49"/>
    <w:rsid w:val="42B76458"/>
    <w:rsid w:val="42E3702F"/>
    <w:rsid w:val="42F9198D"/>
    <w:rsid w:val="42FD0674"/>
    <w:rsid w:val="42FF70F8"/>
    <w:rsid w:val="431B4E6A"/>
    <w:rsid w:val="433454CB"/>
    <w:rsid w:val="433A6FE6"/>
    <w:rsid w:val="434437C7"/>
    <w:rsid w:val="43480868"/>
    <w:rsid w:val="434979F3"/>
    <w:rsid w:val="4350713C"/>
    <w:rsid w:val="436653E0"/>
    <w:rsid w:val="438652B8"/>
    <w:rsid w:val="43896F34"/>
    <w:rsid w:val="438A3868"/>
    <w:rsid w:val="438B764D"/>
    <w:rsid w:val="4391606A"/>
    <w:rsid w:val="43972FE6"/>
    <w:rsid w:val="43C4431A"/>
    <w:rsid w:val="43D9356D"/>
    <w:rsid w:val="43E25E30"/>
    <w:rsid w:val="43ED7166"/>
    <w:rsid w:val="43F328EC"/>
    <w:rsid w:val="43FB3B13"/>
    <w:rsid w:val="43FD7C55"/>
    <w:rsid w:val="44242A3A"/>
    <w:rsid w:val="44316F05"/>
    <w:rsid w:val="44450C02"/>
    <w:rsid w:val="446514BE"/>
    <w:rsid w:val="447500EF"/>
    <w:rsid w:val="447B1DEC"/>
    <w:rsid w:val="447D214A"/>
    <w:rsid w:val="4486116B"/>
    <w:rsid w:val="448674F1"/>
    <w:rsid w:val="44B951CC"/>
    <w:rsid w:val="44CD14E0"/>
    <w:rsid w:val="44DF08D0"/>
    <w:rsid w:val="44F20B0B"/>
    <w:rsid w:val="45276F43"/>
    <w:rsid w:val="452E5F4C"/>
    <w:rsid w:val="45612018"/>
    <w:rsid w:val="45653174"/>
    <w:rsid w:val="458946E9"/>
    <w:rsid w:val="45961716"/>
    <w:rsid w:val="45A47C0E"/>
    <w:rsid w:val="45B253E8"/>
    <w:rsid w:val="45BC4EF4"/>
    <w:rsid w:val="45D62B69"/>
    <w:rsid w:val="45E1490F"/>
    <w:rsid w:val="45ED6D3D"/>
    <w:rsid w:val="462C7917"/>
    <w:rsid w:val="46360566"/>
    <w:rsid w:val="464F35D2"/>
    <w:rsid w:val="46577FD6"/>
    <w:rsid w:val="46716462"/>
    <w:rsid w:val="46767799"/>
    <w:rsid w:val="46933EA7"/>
    <w:rsid w:val="46AF7CF5"/>
    <w:rsid w:val="46B15B77"/>
    <w:rsid w:val="46B45054"/>
    <w:rsid w:val="46D71FE6"/>
    <w:rsid w:val="46D955A7"/>
    <w:rsid w:val="46E62229"/>
    <w:rsid w:val="46EB073D"/>
    <w:rsid w:val="46EC4B66"/>
    <w:rsid w:val="46FA5CD4"/>
    <w:rsid w:val="46FC3EE6"/>
    <w:rsid w:val="46FF6CE9"/>
    <w:rsid w:val="47133957"/>
    <w:rsid w:val="473C6BD0"/>
    <w:rsid w:val="47444691"/>
    <w:rsid w:val="47640F50"/>
    <w:rsid w:val="47671E91"/>
    <w:rsid w:val="476837B5"/>
    <w:rsid w:val="47777325"/>
    <w:rsid w:val="477D002C"/>
    <w:rsid w:val="479D04B3"/>
    <w:rsid w:val="47A07E0C"/>
    <w:rsid w:val="47A11944"/>
    <w:rsid w:val="47AA00C4"/>
    <w:rsid w:val="47B73EFD"/>
    <w:rsid w:val="47CD1295"/>
    <w:rsid w:val="47E24263"/>
    <w:rsid w:val="47FD08B5"/>
    <w:rsid w:val="48050DD4"/>
    <w:rsid w:val="4815482F"/>
    <w:rsid w:val="48174664"/>
    <w:rsid w:val="48194880"/>
    <w:rsid w:val="48287B7E"/>
    <w:rsid w:val="482D324A"/>
    <w:rsid w:val="48502F8E"/>
    <w:rsid w:val="485D651B"/>
    <w:rsid w:val="486B1C34"/>
    <w:rsid w:val="4870272E"/>
    <w:rsid w:val="48762B29"/>
    <w:rsid w:val="488028A3"/>
    <w:rsid w:val="48827D19"/>
    <w:rsid w:val="48837E5F"/>
    <w:rsid w:val="48861367"/>
    <w:rsid w:val="488A7B7B"/>
    <w:rsid w:val="489D100D"/>
    <w:rsid w:val="48A013CA"/>
    <w:rsid w:val="48C93BB0"/>
    <w:rsid w:val="48DB1B35"/>
    <w:rsid w:val="48E90095"/>
    <w:rsid w:val="48EB3EFE"/>
    <w:rsid w:val="48F21359"/>
    <w:rsid w:val="48F42312"/>
    <w:rsid w:val="48F84495"/>
    <w:rsid w:val="493D1461"/>
    <w:rsid w:val="49B9283D"/>
    <w:rsid w:val="49BC3715"/>
    <w:rsid w:val="49C5081B"/>
    <w:rsid w:val="49C72912"/>
    <w:rsid w:val="49D46CB0"/>
    <w:rsid w:val="49DC3DB7"/>
    <w:rsid w:val="49DC7715"/>
    <w:rsid w:val="49E02B07"/>
    <w:rsid w:val="49E50EBD"/>
    <w:rsid w:val="4A023139"/>
    <w:rsid w:val="4A161077"/>
    <w:rsid w:val="4A3537E3"/>
    <w:rsid w:val="4A38064C"/>
    <w:rsid w:val="4A4C6445"/>
    <w:rsid w:val="4A4F4589"/>
    <w:rsid w:val="4A5120AF"/>
    <w:rsid w:val="4A5438B8"/>
    <w:rsid w:val="4A734335"/>
    <w:rsid w:val="4A76729A"/>
    <w:rsid w:val="4A7B576F"/>
    <w:rsid w:val="4A825BDA"/>
    <w:rsid w:val="4AF264BF"/>
    <w:rsid w:val="4AF31D4E"/>
    <w:rsid w:val="4AF561A9"/>
    <w:rsid w:val="4B0054E7"/>
    <w:rsid w:val="4B023934"/>
    <w:rsid w:val="4B0435C5"/>
    <w:rsid w:val="4B125CE2"/>
    <w:rsid w:val="4B21712C"/>
    <w:rsid w:val="4B2F1571"/>
    <w:rsid w:val="4B375B4A"/>
    <w:rsid w:val="4B386DCB"/>
    <w:rsid w:val="4B3953FE"/>
    <w:rsid w:val="4B4333B4"/>
    <w:rsid w:val="4B460986"/>
    <w:rsid w:val="4B510005"/>
    <w:rsid w:val="4B5C707D"/>
    <w:rsid w:val="4B6A74B6"/>
    <w:rsid w:val="4B9157E3"/>
    <w:rsid w:val="4B9A595F"/>
    <w:rsid w:val="4BA24C36"/>
    <w:rsid w:val="4BB109D9"/>
    <w:rsid w:val="4BBA6EA4"/>
    <w:rsid w:val="4BBC5C4E"/>
    <w:rsid w:val="4C130E57"/>
    <w:rsid w:val="4C2A5F81"/>
    <w:rsid w:val="4C371778"/>
    <w:rsid w:val="4C497552"/>
    <w:rsid w:val="4C4A0649"/>
    <w:rsid w:val="4C4F0CCA"/>
    <w:rsid w:val="4C586A2F"/>
    <w:rsid w:val="4C6B28F8"/>
    <w:rsid w:val="4C724EDE"/>
    <w:rsid w:val="4C7E5ECA"/>
    <w:rsid w:val="4C876AA5"/>
    <w:rsid w:val="4CD945DE"/>
    <w:rsid w:val="4CEE62DB"/>
    <w:rsid w:val="4CF17B79"/>
    <w:rsid w:val="4CFB2DB1"/>
    <w:rsid w:val="4D041E7E"/>
    <w:rsid w:val="4D0623E1"/>
    <w:rsid w:val="4D0E00FB"/>
    <w:rsid w:val="4D122B50"/>
    <w:rsid w:val="4D176606"/>
    <w:rsid w:val="4D186EB4"/>
    <w:rsid w:val="4D19368B"/>
    <w:rsid w:val="4D227D33"/>
    <w:rsid w:val="4D2F41FE"/>
    <w:rsid w:val="4D3D2E1D"/>
    <w:rsid w:val="4D93777A"/>
    <w:rsid w:val="4DA1050C"/>
    <w:rsid w:val="4DA678B7"/>
    <w:rsid w:val="4DB44EA6"/>
    <w:rsid w:val="4DB76534"/>
    <w:rsid w:val="4DEB6377"/>
    <w:rsid w:val="4DEB65A9"/>
    <w:rsid w:val="4DEC4FB0"/>
    <w:rsid w:val="4E075D8A"/>
    <w:rsid w:val="4E18579C"/>
    <w:rsid w:val="4E50267E"/>
    <w:rsid w:val="4E5A514A"/>
    <w:rsid w:val="4EA83D30"/>
    <w:rsid w:val="4EC00FAD"/>
    <w:rsid w:val="4EEE4370"/>
    <w:rsid w:val="4F08028B"/>
    <w:rsid w:val="4F1347CA"/>
    <w:rsid w:val="4F166BAF"/>
    <w:rsid w:val="4F204746"/>
    <w:rsid w:val="4F22226C"/>
    <w:rsid w:val="4F333BA5"/>
    <w:rsid w:val="4F3F591F"/>
    <w:rsid w:val="4F55619D"/>
    <w:rsid w:val="4F5D33EC"/>
    <w:rsid w:val="4F740E0B"/>
    <w:rsid w:val="4F787DC7"/>
    <w:rsid w:val="4F8A0E2A"/>
    <w:rsid w:val="4F8D4C3D"/>
    <w:rsid w:val="4F9843DC"/>
    <w:rsid w:val="4FB72A18"/>
    <w:rsid w:val="4FBD5DE8"/>
    <w:rsid w:val="4FC11A85"/>
    <w:rsid w:val="4FC62A8C"/>
    <w:rsid w:val="4FE20F0D"/>
    <w:rsid w:val="4FE466E1"/>
    <w:rsid w:val="4FE51552"/>
    <w:rsid w:val="4FEE76C0"/>
    <w:rsid w:val="500560EF"/>
    <w:rsid w:val="50083210"/>
    <w:rsid w:val="50090468"/>
    <w:rsid w:val="500E3780"/>
    <w:rsid w:val="500E636C"/>
    <w:rsid w:val="5021187F"/>
    <w:rsid w:val="50504C4B"/>
    <w:rsid w:val="50570021"/>
    <w:rsid w:val="50575BBF"/>
    <w:rsid w:val="506B19F1"/>
    <w:rsid w:val="507767D4"/>
    <w:rsid w:val="50791215"/>
    <w:rsid w:val="509C6E7C"/>
    <w:rsid w:val="509D7BA3"/>
    <w:rsid w:val="50A111A8"/>
    <w:rsid w:val="50B576FA"/>
    <w:rsid w:val="50CA6717"/>
    <w:rsid w:val="50CF3D2E"/>
    <w:rsid w:val="51117ADD"/>
    <w:rsid w:val="5118442F"/>
    <w:rsid w:val="511C2DB0"/>
    <w:rsid w:val="514C35D0"/>
    <w:rsid w:val="5162104E"/>
    <w:rsid w:val="516A4898"/>
    <w:rsid w:val="516B469B"/>
    <w:rsid w:val="51844B18"/>
    <w:rsid w:val="51894824"/>
    <w:rsid w:val="51953C89"/>
    <w:rsid w:val="51A91273"/>
    <w:rsid w:val="51C40829"/>
    <w:rsid w:val="51CB1F8D"/>
    <w:rsid w:val="51D3397E"/>
    <w:rsid w:val="52010CD8"/>
    <w:rsid w:val="520C2520"/>
    <w:rsid w:val="521454C7"/>
    <w:rsid w:val="52233C15"/>
    <w:rsid w:val="52317B9E"/>
    <w:rsid w:val="526B638C"/>
    <w:rsid w:val="527A5F1B"/>
    <w:rsid w:val="52885648"/>
    <w:rsid w:val="528B1B3D"/>
    <w:rsid w:val="52AB4434"/>
    <w:rsid w:val="52B129B7"/>
    <w:rsid w:val="52C22077"/>
    <w:rsid w:val="52DD7B03"/>
    <w:rsid w:val="52EB1AEF"/>
    <w:rsid w:val="52ED236E"/>
    <w:rsid w:val="5347295B"/>
    <w:rsid w:val="534D63FE"/>
    <w:rsid w:val="536B34BE"/>
    <w:rsid w:val="536E3CD2"/>
    <w:rsid w:val="53747A89"/>
    <w:rsid w:val="53A039CC"/>
    <w:rsid w:val="53A1505A"/>
    <w:rsid w:val="53B222CE"/>
    <w:rsid w:val="53C65CF8"/>
    <w:rsid w:val="53CD2468"/>
    <w:rsid w:val="53D1600F"/>
    <w:rsid w:val="5406215C"/>
    <w:rsid w:val="54063E08"/>
    <w:rsid w:val="540E28F4"/>
    <w:rsid w:val="54143355"/>
    <w:rsid w:val="542F557B"/>
    <w:rsid w:val="543437E8"/>
    <w:rsid w:val="543618F8"/>
    <w:rsid w:val="544119E6"/>
    <w:rsid w:val="54426438"/>
    <w:rsid w:val="54431F2F"/>
    <w:rsid w:val="54435EC0"/>
    <w:rsid w:val="544E0F60"/>
    <w:rsid w:val="54530B87"/>
    <w:rsid w:val="545522C5"/>
    <w:rsid w:val="546155E5"/>
    <w:rsid w:val="548B028B"/>
    <w:rsid w:val="549F4D8F"/>
    <w:rsid w:val="54B23FA6"/>
    <w:rsid w:val="54F06C40"/>
    <w:rsid w:val="54F73313"/>
    <w:rsid w:val="54F80955"/>
    <w:rsid w:val="550334E7"/>
    <w:rsid w:val="551657D6"/>
    <w:rsid w:val="552072B9"/>
    <w:rsid w:val="5546740D"/>
    <w:rsid w:val="554C1DF1"/>
    <w:rsid w:val="555170A7"/>
    <w:rsid w:val="555470A4"/>
    <w:rsid w:val="55570CCB"/>
    <w:rsid w:val="557E0B97"/>
    <w:rsid w:val="5586044E"/>
    <w:rsid w:val="5587536D"/>
    <w:rsid w:val="559B174B"/>
    <w:rsid w:val="559D2106"/>
    <w:rsid w:val="55CE0CF4"/>
    <w:rsid w:val="55DA7911"/>
    <w:rsid w:val="55DC3184"/>
    <w:rsid w:val="55E32936"/>
    <w:rsid w:val="55F44219"/>
    <w:rsid w:val="56044479"/>
    <w:rsid w:val="560C332E"/>
    <w:rsid w:val="561F4108"/>
    <w:rsid w:val="5621502B"/>
    <w:rsid w:val="56262642"/>
    <w:rsid w:val="566248A5"/>
    <w:rsid w:val="568D2323"/>
    <w:rsid w:val="56A10F3E"/>
    <w:rsid w:val="56A774E2"/>
    <w:rsid w:val="56A9296F"/>
    <w:rsid w:val="56B100CE"/>
    <w:rsid w:val="56B22A9C"/>
    <w:rsid w:val="56E25630"/>
    <w:rsid w:val="56FA762A"/>
    <w:rsid w:val="570F1328"/>
    <w:rsid w:val="57265AD6"/>
    <w:rsid w:val="574F7976"/>
    <w:rsid w:val="57547004"/>
    <w:rsid w:val="57567C30"/>
    <w:rsid w:val="576719C1"/>
    <w:rsid w:val="577866E3"/>
    <w:rsid w:val="578735B4"/>
    <w:rsid w:val="579161E1"/>
    <w:rsid w:val="57AA1707"/>
    <w:rsid w:val="57B72A76"/>
    <w:rsid w:val="57C00874"/>
    <w:rsid w:val="57C3426C"/>
    <w:rsid w:val="57CE1F93"/>
    <w:rsid w:val="57D93345"/>
    <w:rsid w:val="58097727"/>
    <w:rsid w:val="58156E12"/>
    <w:rsid w:val="58275676"/>
    <w:rsid w:val="585955E1"/>
    <w:rsid w:val="586E207E"/>
    <w:rsid w:val="58707563"/>
    <w:rsid w:val="588743D1"/>
    <w:rsid w:val="5887701A"/>
    <w:rsid w:val="588852AC"/>
    <w:rsid w:val="588875E4"/>
    <w:rsid w:val="58C61E22"/>
    <w:rsid w:val="58DC0B1D"/>
    <w:rsid w:val="58F44C79"/>
    <w:rsid w:val="590844AD"/>
    <w:rsid w:val="590F350F"/>
    <w:rsid w:val="591278AE"/>
    <w:rsid w:val="592070A2"/>
    <w:rsid w:val="59457283"/>
    <w:rsid w:val="595E2E25"/>
    <w:rsid w:val="59693C27"/>
    <w:rsid w:val="596D0588"/>
    <w:rsid w:val="596F4300"/>
    <w:rsid w:val="59722042"/>
    <w:rsid w:val="598C762F"/>
    <w:rsid w:val="598E25B9"/>
    <w:rsid w:val="598F7111"/>
    <w:rsid w:val="59AE5002"/>
    <w:rsid w:val="59C0439F"/>
    <w:rsid w:val="59D920E0"/>
    <w:rsid w:val="59E02961"/>
    <w:rsid w:val="59F82547"/>
    <w:rsid w:val="5A244A18"/>
    <w:rsid w:val="5A251EDB"/>
    <w:rsid w:val="5A3410A5"/>
    <w:rsid w:val="5A427C2A"/>
    <w:rsid w:val="5A5429E9"/>
    <w:rsid w:val="5A5A2343"/>
    <w:rsid w:val="5A5E3F05"/>
    <w:rsid w:val="5A682D95"/>
    <w:rsid w:val="5A6A4726"/>
    <w:rsid w:val="5A6B6350"/>
    <w:rsid w:val="5A7122F9"/>
    <w:rsid w:val="5A723129"/>
    <w:rsid w:val="5A736072"/>
    <w:rsid w:val="5ABE2233"/>
    <w:rsid w:val="5ACB6EE2"/>
    <w:rsid w:val="5ACE4C74"/>
    <w:rsid w:val="5B1041C2"/>
    <w:rsid w:val="5B17596A"/>
    <w:rsid w:val="5B1769FD"/>
    <w:rsid w:val="5B180653"/>
    <w:rsid w:val="5B307ABF"/>
    <w:rsid w:val="5B372400"/>
    <w:rsid w:val="5B403860"/>
    <w:rsid w:val="5B6235E4"/>
    <w:rsid w:val="5B73190D"/>
    <w:rsid w:val="5B9E4891"/>
    <w:rsid w:val="5BA76305"/>
    <w:rsid w:val="5BB339D4"/>
    <w:rsid w:val="5BBA66D4"/>
    <w:rsid w:val="5BD03F8A"/>
    <w:rsid w:val="5BDF5D95"/>
    <w:rsid w:val="5BEC37AD"/>
    <w:rsid w:val="5BFE7528"/>
    <w:rsid w:val="5C0E2FD3"/>
    <w:rsid w:val="5C2A2760"/>
    <w:rsid w:val="5C33526C"/>
    <w:rsid w:val="5C593469"/>
    <w:rsid w:val="5C645379"/>
    <w:rsid w:val="5C871FDB"/>
    <w:rsid w:val="5CA77335"/>
    <w:rsid w:val="5CB32C58"/>
    <w:rsid w:val="5CE36629"/>
    <w:rsid w:val="5CE37E74"/>
    <w:rsid w:val="5CE83C82"/>
    <w:rsid w:val="5CED4769"/>
    <w:rsid w:val="5D0119E6"/>
    <w:rsid w:val="5D105EB8"/>
    <w:rsid w:val="5D123F16"/>
    <w:rsid w:val="5D3C20A1"/>
    <w:rsid w:val="5D3D56AB"/>
    <w:rsid w:val="5D415FB3"/>
    <w:rsid w:val="5D4E2DDD"/>
    <w:rsid w:val="5D593265"/>
    <w:rsid w:val="5D8D7B70"/>
    <w:rsid w:val="5D902A97"/>
    <w:rsid w:val="5D917EFB"/>
    <w:rsid w:val="5D9D6927"/>
    <w:rsid w:val="5DA6364B"/>
    <w:rsid w:val="5DA930B5"/>
    <w:rsid w:val="5DAA1DAA"/>
    <w:rsid w:val="5DAA3B58"/>
    <w:rsid w:val="5DAA7FFC"/>
    <w:rsid w:val="5DE07B6A"/>
    <w:rsid w:val="5DE74C46"/>
    <w:rsid w:val="5DFE5C52"/>
    <w:rsid w:val="5E060B2D"/>
    <w:rsid w:val="5E0C4813"/>
    <w:rsid w:val="5E2467F1"/>
    <w:rsid w:val="5E271C93"/>
    <w:rsid w:val="5E2E29DB"/>
    <w:rsid w:val="5E4A1BFA"/>
    <w:rsid w:val="5E4F4AC0"/>
    <w:rsid w:val="5E8C14B0"/>
    <w:rsid w:val="5E9910D0"/>
    <w:rsid w:val="5EA26FBB"/>
    <w:rsid w:val="5EA40ACC"/>
    <w:rsid w:val="5EA44A4C"/>
    <w:rsid w:val="5EAA77E0"/>
    <w:rsid w:val="5EBA426F"/>
    <w:rsid w:val="5EFB30A5"/>
    <w:rsid w:val="5F0225C8"/>
    <w:rsid w:val="5F083003"/>
    <w:rsid w:val="5F1A2B43"/>
    <w:rsid w:val="5F240D0C"/>
    <w:rsid w:val="5F3E036E"/>
    <w:rsid w:val="5F4402B4"/>
    <w:rsid w:val="5F4916B0"/>
    <w:rsid w:val="5F4B13B3"/>
    <w:rsid w:val="5F5A3EC1"/>
    <w:rsid w:val="5F5A4161"/>
    <w:rsid w:val="5F5F6BC4"/>
    <w:rsid w:val="5FA821BD"/>
    <w:rsid w:val="5FB837BB"/>
    <w:rsid w:val="5FB9683B"/>
    <w:rsid w:val="5FBC7B73"/>
    <w:rsid w:val="5FD70E51"/>
    <w:rsid w:val="60251DCF"/>
    <w:rsid w:val="602E5A2D"/>
    <w:rsid w:val="60386807"/>
    <w:rsid w:val="604B44D1"/>
    <w:rsid w:val="6088405A"/>
    <w:rsid w:val="608A1A1F"/>
    <w:rsid w:val="60BC290E"/>
    <w:rsid w:val="60CC405A"/>
    <w:rsid w:val="60EB404E"/>
    <w:rsid w:val="6115348E"/>
    <w:rsid w:val="613377AC"/>
    <w:rsid w:val="61372FF0"/>
    <w:rsid w:val="614E7A33"/>
    <w:rsid w:val="617C3F7F"/>
    <w:rsid w:val="61826A36"/>
    <w:rsid w:val="61914A31"/>
    <w:rsid w:val="61971C41"/>
    <w:rsid w:val="619C1A0A"/>
    <w:rsid w:val="61C40353"/>
    <w:rsid w:val="61C96577"/>
    <w:rsid w:val="61CF3CE9"/>
    <w:rsid w:val="61E215D8"/>
    <w:rsid w:val="61E82EA1"/>
    <w:rsid w:val="61ED6147"/>
    <w:rsid w:val="620E4E14"/>
    <w:rsid w:val="621B3775"/>
    <w:rsid w:val="62364782"/>
    <w:rsid w:val="625069B2"/>
    <w:rsid w:val="625B3673"/>
    <w:rsid w:val="625E7607"/>
    <w:rsid w:val="626179E8"/>
    <w:rsid w:val="62726E81"/>
    <w:rsid w:val="62745839"/>
    <w:rsid w:val="627C1158"/>
    <w:rsid w:val="629D083A"/>
    <w:rsid w:val="62A25746"/>
    <w:rsid w:val="62BB1ECD"/>
    <w:rsid w:val="62EA6B10"/>
    <w:rsid w:val="62F77F79"/>
    <w:rsid w:val="62FC0A5C"/>
    <w:rsid w:val="63021AB1"/>
    <w:rsid w:val="630A6075"/>
    <w:rsid w:val="630B6742"/>
    <w:rsid w:val="630C6A8F"/>
    <w:rsid w:val="63155201"/>
    <w:rsid w:val="631D47AB"/>
    <w:rsid w:val="633F11E7"/>
    <w:rsid w:val="635C3B47"/>
    <w:rsid w:val="63666FFB"/>
    <w:rsid w:val="636E0BBA"/>
    <w:rsid w:val="637473B8"/>
    <w:rsid w:val="637C7D45"/>
    <w:rsid w:val="63891397"/>
    <w:rsid w:val="639257BA"/>
    <w:rsid w:val="6394356A"/>
    <w:rsid w:val="63A70102"/>
    <w:rsid w:val="63C61B2C"/>
    <w:rsid w:val="63D40BE9"/>
    <w:rsid w:val="63D7760E"/>
    <w:rsid w:val="63EB49E7"/>
    <w:rsid w:val="63F45AFA"/>
    <w:rsid w:val="64102431"/>
    <w:rsid w:val="64152C7B"/>
    <w:rsid w:val="642641DD"/>
    <w:rsid w:val="64457A91"/>
    <w:rsid w:val="644D348F"/>
    <w:rsid w:val="64500020"/>
    <w:rsid w:val="645E2BB9"/>
    <w:rsid w:val="64657690"/>
    <w:rsid w:val="64A5243A"/>
    <w:rsid w:val="64B259E8"/>
    <w:rsid w:val="64BF2D6E"/>
    <w:rsid w:val="64D345F4"/>
    <w:rsid w:val="64D6170C"/>
    <w:rsid w:val="64DF5616"/>
    <w:rsid w:val="64E262CE"/>
    <w:rsid w:val="64F531DE"/>
    <w:rsid w:val="65031608"/>
    <w:rsid w:val="651F307E"/>
    <w:rsid w:val="65373578"/>
    <w:rsid w:val="653A1489"/>
    <w:rsid w:val="655F681C"/>
    <w:rsid w:val="65717652"/>
    <w:rsid w:val="65DB6128"/>
    <w:rsid w:val="66024DE1"/>
    <w:rsid w:val="66055CD7"/>
    <w:rsid w:val="66065FEC"/>
    <w:rsid w:val="660C5529"/>
    <w:rsid w:val="665E7BD6"/>
    <w:rsid w:val="66606B78"/>
    <w:rsid w:val="666B00D5"/>
    <w:rsid w:val="66833FFC"/>
    <w:rsid w:val="668E3DBE"/>
    <w:rsid w:val="66A15D14"/>
    <w:rsid w:val="66A67ACD"/>
    <w:rsid w:val="66BE1EF6"/>
    <w:rsid w:val="66E33806"/>
    <w:rsid w:val="66EA3218"/>
    <w:rsid w:val="66F81DD8"/>
    <w:rsid w:val="66FB5425"/>
    <w:rsid w:val="6700682E"/>
    <w:rsid w:val="671F124A"/>
    <w:rsid w:val="67231596"/>
    <w:rsid w:val="67476A7F"/>
    <w:rsid w:val="6764782D"/>
    <w:rsid w:val="67746F85"/>
    <w:rsid w:val="677A33C6"/>
    <w:rsid w:val="679B3E52"/>
    <w:rsid w:val="67D9107B"/>
    <w:rsid w:val="67F85E08"/>
    <w:rsid w:val="67FE01D8"/>
    <w:rsid w:val="681F6961"/>
    <w:rsid w:val="68295FC1"/>
    <w:rsid w:val="682E7260"/>
    <w:rsid w:val="6831466D"/>
    <w:rsid w:val="683A6EBC"/>
    <w:rsid w:val="68444162"/>
    <w:rsid w:val="68610A2F"/>
    <w:rsid w:val="68752FB5"/>
    <w:rsid w:val="68805514"/>
    <w:rsid w:val="689000F5"/>
    <w:rsid w:val="6899633E"/>
    <w:rsid w:val="689A7188"/>
    <w:rsid w:val="68AA2B28"/>
    <w:rsid w:val="68B57855"/>
    <w:rsid w:val="68BF3F78"/>
    <w:rsid w:val="68C06C39"/>
    <w:rsid w:val="68D57FE5"/>
    <w:rsid w:val="68E62A34"/>
    <w:rsid w:val="68FE677A"/>
    <w:rsid w:val="69010375"/>
    <w:rsid w:val="690C1B6B"/>
    <w:rsid w:val="69316E2F"/>
    <w:rsid w:val="694E2071"/>
    <w:rsid w:val="69505154"/>
    <w:rsid w:val="695933DF"/>
    <w:rsid w:val="69620A15"/>
    <w:rsid w:val="69676DA1"/>
    <w:rsid w:val="69744E10"/>
    <w:rsid w:val="69760931"/>
    <w:rsid w:val="69766163"/>
    <w:rsid w:val="697A3B33"/>
    <w:rsid w:val="697E59BE"/>
    <w:rsid w:val="69944193"/>
    <w:rsid w:val="699E15C6"/>
    <w:rsid w:val="699E3BDB"/>
    <w:rsid w:val="69A0307E"/>
    <w:rsid w:val="69A23369"/>
    <w:rsid w:val="69A6230B"/>
    <w:rsid w:val="69C9231B"/>
    <w:rsid w:val="69D44760"/>
    <w:rsid w:val="69DD1606"/>
    <w:rsid w:val="69E047F9"/>
    <w:rsid w:val="69E44896"/>
    <w:rsid w:val="69FE5F41"/>
    <w:rsid w:val="6A0633DB"/>
    <w:rsid w:val="6A137B0A"/>
    <w:rsid w:val="6A1466C0"/>
    <w:rsid w:val="6A3053E5"/>
    <w:rsid w:val="6A3942B4"/>
    <w:rsid w:val="6A520EC7"/>
    <w:rsid w:val="6A53191B"/>
    <w:rsid w:val="6A58493C"/>
    <w:rsid w:val="6A693721"/>
    <w:rsid w:val="6A851407"/>
    <w:rsid w:val="6A9242F2"/>
    <w:rsid w:val="6AA86F12"/>
    <w:rsid w:val="6AAB7886"/>
    <w:rsid w:val="6AC8443C"/>
    <w:rsid w:val="6ACB20FD"/>
    <w:rsid w:val="6AD13450"/>
    <w:rsid w:val="6AF60E76"/>
    <w:rsid w:val="6AF87E20"/>
    <w:rsid w:val="6AFB4DE7"/>
    <w:rsid w:val="6AFF28BE"/>
    <w:rsid w:val="6B054A88"/>
    <w:rsid w:val="6B144D07"/>
    <w:rsid w:val="6B21082D"/>
    <w:rsid w:val="6B260A4A"/>
    <w:rsid w:val="6B322639"/>
    <w:rsid w:val="6B51264C"/>
    <w:rsid w:val="6B5152FE"/>
    <w:rsid w:val="6BAF3DC3"/>
    <w:rsid w:val="6BC41759"/>
    <w:rsid w:val="6C016BE7"/>
    <w:rsid w:val="6C065035"/>
    <w:rsid w:val="6C104D73"/>
    <w:rsid w:val="6C4711AD"/>
    <w:rsid w:val="6C5E7372"/>
    <w:rsid w:val="6C636C38"/>
    <w:rsid w:val="6C8477D1"/>
    <w:rsid w:val="6CBA3BBD"/>
    <w:rsid w:val="6CC40AA2"/>
    <w:rsid w:val="6CC87B57"/>
    <w:rsid w:val="6CD26C28"/>
    <w:rsid w:val="6CED439C"/>
    <w:rsid w:val="6D04040E"/>
    <w:rsid w:val="6D08194D"/>
    <w:rsid w:val="6D2515A4"/>
    <w:rsid w:val="6D6535F8"/>
    <w:rsid w:val="6DAF2729"/>
    <w:rsid w:val="6DB13A3A"/>
    <w:rsid w:val="6DB34098"/>
    <w:rsid w:val="6DB545B6"/>
    <w:rsid w:val="6DBC71E0"/>
    <w:rsid w:val="6DC61CBE"/>
    <w:rsid w:val="6DE02FB4"/>
    <w:rsid w:val="6DFB21AE"/>
    <w:rsid w:val="6E084717"/>
    <w:rsid w:val="6E166FE8"/>
    <w:rsid w:val="6E26203C"/>
    <w:rsid w:val="6E2C0882"/>
    <w:rsid w:val="6E4E094B"/>
    <w:rsid w:val="6E514CED"/>
    <w:rsid w:val="6E564CA1"/>
    <w:rsid w:val="6EB563D5"/>
    <w:rsid w:val="6ED50C51"/>
    <w:rsid w:val="6ED92677"/>
    <w:rsid w:val="6EDC1FE0"/>
    <w:rsid w:val="6EDF387E"/>
    <w:rsid w:val="6EE86D82"/>
    <w:rsid w:val="6F0E2C27"/>
    <w:rsid w:val="6F20789B"/>
    <w:rsid w:val="6F225983"/>
    <w:rsid w:val="6F370FC4"/>
    <w:rsid w:val="6F564A4B"/>
    <w:rsid w:val="6F6A3147"/>
    <w:rsid w:val="6F7F6679"/>
    <w:rsid w:val="6F8E7815"/>
    <w:rsid w:val="6FC86DED"/>
    <w:rsid w:val="6FCB2001"/>
    <w:rsid w:val="6FD75A5A"/>
    <w:rsid w:val="6FE240F3"/>
    <w:rsid w:val="6FEC2A0B"/>
    <w:rsid w:val="6FFC5590"/>
    <w:rsid w:val="700417EE"/>
    <w:rsid w:val="700C3C0A"/>
    <w:rsid w:val="7017719F"/>
    <w:rsid w:val="70266A26"/>
    <w:rsid w:val="703C5B33"/>
    <w:rsid w:val="70433998"/>
    <w:rsid w:val="705362D1"/>
    <w:rsid w:val="70542A5F"/>
    <w:rsid w:val="7056153B"/>
    <w:rsid w:val="70575432"/>
    <w:rsid w:val="706B6E84"/>
    <w:rsid w:val="706D1DD0"/>
    <w:rsid w:val="7084695D"/>
    <w:rsid w:val="70856B87"/>
    <w:rsid w:val="70912956"/>
    <w:rsid w:val="709D7504"/>
    <w:rsid w:val="70AF0FCE"/>
    <w:rsid w:val="70B859D2"/>
    <w:rsid w:val="70BB4413"/>
    <w:rsid w:val="70C40F7D"/>
    <w:rsid w:val="70C84B2C"/>
    <w:rsid w:val="70D527EE"/>
    <w:rsid w:val="70E00014"/>
    <w:rsid w:val="70F550EA"/>
    <w:rsid w:val="70FD30A5"/>
    <w:rsid w:val="70FD3B72"/>
    <w:rsid w:val="70FE3A1C"/>
    <w:rsid w:val="710F044A"/>
    <w:rsid w:val="71120B37"/>
    <w:rsid w:val="71177A25"/>
    <w:rsid w:val="711B1084"/>
    <w:rsid w:val="713954C7"/>
    <w:rsid w:val="714B7705"/>
    <w:rsid w:val="715B5300"/>
    <w:rsid w:val="716C2E05"/>
    <w:rsid w:val="71791D68"/>
    <w:rsid w:val="7188737D"/>
    <w:rsid w:val="71961BFC"/>
    <w:rsid w:val="71987A81"/>
    <w:rsid w:val="71AD37BF"/>
    <w:rsid w:val="71AF3EDA"/>
    <w:rsid w:val="71BE777B"/>
    <w:rsid w:val="71CD20B4"/>
    <w:rsid w:val="71D27F8A"/>
    <w:rsid w:val="71F56A31"/>
    <w:rsid w:val="71F76922"/>
    <w:rsid w:val="720974D8"/>
    <w:rsid w:val="721D6B97"/>
    <w:rsid w:val="72467880"/>
    <w:rsid w:val="72553024"/>
    <w:rsid w:val="72570B5A"/>
    <w:rsid w:val="725E757A"/>
    <w:rsid w:val="726B5B54"/>
    <w:rsid w:val="728B5B1B"/>
    <w:rsid w:val="729F135A"/>
    <w:rsid w:val="72A41658"/>
    <w:rsid w:val="72AB471D"/>
    <w:rsid w:val="72B8241C"/>
    <w:rsid w:val="72DE2288"/>
    <w:rsid w:val="72E90827"/>
    <w:rsid w:val="730731B7"/>
    <w:rsid w:val="730753CF"/>
    <w:rsid w:val="73122968"/>
    <w:rsid w:val="73185F50"/>
    <w:rsid w:val="731F5D5E"/>
    <w:rsid w:val="732C690A"/>
    <w:rsid w:val="732D2E0A"/>
    <w:rsid w:val="733C1590"/>
    <w:rsid w:val="73592A5F"/>
    <w:rsid w:val="735B56D0"/>
    <w:rsid w:val="73876225"/>
    <w:rsid w:val="73A17EFA"/>
    <w:rsid w:val="73A743D6"/>
    <w:rsid w:val="73AD7AA7"/>
    <w:rsid w:val="73C51AD5"/>
    <w:rsid w:val="73CA3F2E"/>
    <w:rsid w:val="73CC7BB2"/>
    <w:rsid w:val="73E8583D"/>
    <w:rsid w:val="7402080F"/>
    <w:rsid w:val="740B39A1"/>
    <w:rsid w:val="7411726A"/>
    <w:rsid w:val="741E793C"/>
    <w:rsid w:val="742D0BE7"/>
    <w:rsid w:val="743D52CE"/>
    <w:rsid w:val="745E3944"/>
    <w:rsid w:val="748A48D5"/>
    <w:rsid w:val="748B6B09"/>
    <w:rsid w:val="748C1DB2"/>
    <w:rsid w:val="74A44111"/>
    <w:rsid w:val="74B310ED"/>
    <w:rsid w:val="74B64ED1"/>
    <w:rsid w:val="74BE7A92"/>
    <w:rsid w:val="74D86DA5"/>
    <w:rsid w:val="74DF520E"/>
    <w:rsid w:val="74E120FE"/>
    <w:rsid w:val="74FA76FB"/>
    <w:rsid w:val="75243D99"/>
    <w:rsid w:val="75310B5D"/>
    <w:rsid w:val="75383D50"/>
    <w:rsid w:val="7548423C"/>
    <w:rsid w:val="754C0B6D"/>
    <w:rsid w:val="75882579"/>
    <w:rsid w:val="758907EF"/>
    <w:rsid w:val="75973D58"/>
    <w:rsid w:val="759B4699"/>
    <w:rsid w:val="759C6025"/>
    <w:rsid w:val="75AF50B0"/>
    <w:rsid w:val="75B74481"/>
    <w:rsid w:val="75C529C6"/>
    <w:rsid w:val="75C8506C"/>
    <w:rsid w:val="75D11264"/>
    <w:rsid w:val="75F401A9"/>
    <w:rsid w:val="76031F44"/>
    <w:rsid w:val="76096E73"/>
    <w:rsid w:val="760A11E0"/>
    <w:rsid w:val="76115AB3"/>
    <w:rsid w:val="761E6A3A"/>
    <w:rsid w:val="762B188B"/>
    <w:rsid w:val="763354FC"/>
    <w:rsid w:val="7635099D"/>
    <w:rsid w:val="76394989"/>
    <w:rsid w:val="766A10B5"/>
    <w:rsid w:val="76774D15"/>
    <w:rsid w:val="76880357"/>
    <w:rsid w:val="768A26FA"/>
    <w:rsid w:val="768C6FB5"/>
    <w:rsid w:val="76940635"/>
    <w:rsid w:val="76984C18"/>
    <w:rsid w:val="76A4659F"/>
    <w:rsid w:val="76C9157D"/>
    <w:rsid w:val="76CC46E8"/>
    <w:rsid w:val="76D3319E"/>
    <w:rsid w:val="770B539B"/>
    <w:rsid w:val="771A3276"/>
    <w:rsid w:val="771D4F43"/>
    <w:rsid w:val="775C6A98"/>
    <w:rsid w:val="77762421"/>
    <w:rsid w:val="77B56B1F"/>
    <w:rsid w:val="77C53E94"/>
    <w:rsid w:val="77F06439"/>
    <w:rsid w:val="77F57C6E"/>
    <w:rsid w:val="780C357D"/>
    <w:rsid w:val="780F09F4"/>
    <w:rsid w:val="78106CEA"/>
    <w:rsid w:val="78146346"/>
    <w:rsid w:val="782B2F7D"/>
    <w:rsid w:val="78534398"/>
    <w:rsid w:val="78544DCB"/>
    <w:rsid w:val="78564BB1"/>
    <w:rsid w:val="785E3A65"/>
    <w:rsid w:val="78642BEB"/>
    <w:rsid w:val="786C44A2"/>
    <w:rsid w:val="786D7EA7"/>
    <w:rsid w:val="787967F6"/>
    <w:rsid w:val="787C10E6"/>
    <w:rsid w:val="788538A6"/>
    <w:rsid w:val="7888622D"/>
    <w:rsid w:val="78A31478"/>
    <w:rsid w:val="78A90480"/>
    <w:rsid w:val="78B22AF7"/>
    <w:rsid w:val="78B67DF9"/>
    <w:rsid w:val="78CA10FB"/>
    <w:rsid w:val="78F25672"/>
    <w:rsid w:val="78FF656E"/>
    <w:rsid w:val="791F6B26"/>
    <w:rsid w:val="793E7A30"/>
    <w:rsid w:val="79484FF8"/>
    <w:rsid w:val="79492020"/>
    <w:rsid w:val="795D0018"/>
    <w:rsid w:val="797B119D"/>
    <w:rsid w:val="797D27F8"/>
    <w:rsid w:val="79906F6E"/>
    <w:rsid w:val="799F7E92"/>
    <w:rsid w:val="79DE0284"/>
    <w:rsid w:val="7A002F2D"/>
    <w:rsid w:val="7A2219F9"/>
    <w:rsid w:val="7A262C38"/>
    <w:rsid w:val="7A364017"/>
    <w:rsid w:val="7A55297D"/>
    <w:rsid w:val="7A5B6211"/>
    <w:rsid w:val="7A684727"/>
    <w:rsid w:val="7A6D00ED"/>
    <w:rsid w:val="7A721A4A"/>
    <w:rsid w:val="7A7861FE"/>
    <w:rsid w:val="7A8265E1"/>
    <w:rsid w:val="7A911051"/>
    <w:rsid w:val="7AAB1D23"/>
    <w:rsid w:val="7B045CD7"/>
    <w:rsid w:val="7B0C59FB"/>
    <w:rsid w:val="7B1B79EC"/>
    <w:rsid w:val="7B202794"/>
    <w:rsid w:val="7B5A5973"/>
    <w:rsid w:val="7B617FF9"/>
    <w:rsid w:val="7B686D42"/>
    <w:rsid w:val="7B7F441F"/>
    <w:rsid w:val="7B841746"/>
    <w:rsid w:val="7BA7234E"/>
    <w:rsid w:val="7BB4161D"/>
    <w:rsid w:val="7BB91ED7"/>
    <w:rsid w:val="7BBD2674"/>
    <w:rsid w:val="7BC6579F"/>
    <w:rsid w:val="7BCD5DCB"/>
    <w:rsid w:val="7BE03D69"/>
    <w:rsid w:val="7BE7545F"/>
    <w:rsid w:val="7BEC38BF"/>
    <w:rsid w:val="7C147550"/>
    <w:rsid w:val="7C285772"/>
    <w:rsid w:val="7C390FE5"/>
    <w:rsid w:val="7C4F0F8B"/>
    <w:rsid w:val="7C6B0C5E"/>
    <w:rsid w:val="7C6C5AC7"/>
    <w:rsid w:val="7C6E36F2"/>
    <w:rsid w:val="7C70422A"/>
    <w:rsid w:val="7C7D043E"/>
    <w:rsid w:val="7C8025FB"/>
    <w:rsid w:val="7CA06292"/>
    <w:rsid w:val="7CAB47D4"/>
    <w:rsid w:val="7CB0272A"/>
    <w:rsid w:val="7CB53846"/>
    <w:rsid w:val="7CC6544B"/>
    <w:rsid w:val="7CC9562E"/>
    <w:rsid w:val="7CDF62B2"/>
    <w:rsid w:val="7D0239FF"/>
    <w:rsid w:val="7D0F3586"/>
    <w:rsid w:val="7D256900"/>
    <w:rsid w:val="7D3A6803"/>
    <w:rsid w:val="7D502A1A"/>
    <w:rsid w:val="7D507824"/>
    <w:rsid w:val="7D541CBA"/>
    <w:rsid w:val="7D5947DF"/>
    <w:rsid w:val="7D5E40CD"/>
    <w:rsid w:val="7D645275"/>
    <w:rsid w:val="7D7A59EB"/>
    <w:rsid w:val="7D80622C"/>
    <w:rsid w:val="7D8B31EB"/>
    <w:rsid w:val="7DA37BA4"/>
    <w:rsid w:val="7DCD56F2"/>
    <w:rsid w:val="7DDA2B39"/>
    <w:rsid w:val="7DF12D4D"/>
    <w:rsid w:val="7E066731"/>
    <w:rsid w:val="7E074ABA"/>
    <w:rsid w:val="7E0C7D6F"/>
    <w:rsid w:val="7E271DD0"/>
    <w:rsid w:val="7E5A4CCF"/>
    <w:rsid w:val="7E6B28C4"/>
    <w:rsid w:val="7EA75A24"/>
    <w:rsid w:val="7EC259CB"/>
    <w:rsid w:val="7EFC4B7B"/>
    <w:rsid w:val="7EFE38AC"/>
    <w:rsid w:val="7F001CE7"/>
    <w:rsid w:val="7F0F1615"/>
    <w:rsid w:val="7F280929"/>
    <w:rsid w:val="7F2E725C"/>
    <w:rsid w:val="7F3040A4"/>
    <w:rsid w:val="7F3C4F87"/>
    <w:rsid w:val="7F474765"/>
    <w:rsid w:val="7F7D2A23"/>
    <w:rsid w:val="7F7F7495"/>
    <w:rsid w:val="7F881F3F"/>
    <w:rsid w:val="7F9E2999"/>
    <w:rsid w:val="7FC71EF0"/>
    <w:rsid w:val="7FC73985"/>
    <w:rsid w:val="7FCE0033"/>
    <w:rsid w:val="7FCF54F1"/>
    <w:rsid w:val="7FD05249"/>
    <w:rsid w:val="7FE47E50"/>
    <w:rsid w:val="7FE577D9"/>
    <w:rsid w:val="7FF15E18"/>
    <w:rsid w:val="7FF87B5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99"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autoRedefine/>
    <w:qFormat/>
    <w:locked/>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3"/>
    <w:basedOn w:val="1"/>
    <w:next w:val="1"/>
    <w:autoRedefine/>
    <w:qFormat/>
    <w:locked/>
    <w:uiPriority w:val="0"/>
    <w:pPr>
      <w:keepNext/>
      <w:keepLines/>
      <w:ind w:firstLine="0" w:firstLineChars="0"/>
      <w:outlineLvl w:val="2"/>
    </w:pPr>
    <w:rPr>
      <w:rFonts w:cs="Times New Roman"/>
      <w:b/>
      <w:bCs/>
      <w:szCs w:val="32"/>
    </w:rPr>
  </w:style>
  <w:style w:type="paragraph" w:styleId="7">
    <w:name w:val="heading 4"/>
    <w:basedOn w:val="1"/>
    <w:next w:val="1"/>
    <w:autoRedefine/>
    <w:qFormat/>
    <w:locked/>
    <w:uiPriority w:val="0"/>
    <w:pPr>
      <w:keepNext/>
      <w:jc w:val="center"/>
      <w:outlineLvl w:val="3"/>
    </w:pPr>
    <w:rPr>
      <w:rFonts w:ascii="仿宋_GB2312" w:hAnsi="宋体" w:eastAsia="仿宋_GB2312"/>
      <w:b/>
      <w:w w:val="90"/>
      <w:sz w:val="24"/>
    </w:rPr>
  </w:style>
  <w:style w:type="character" w:default="1" w:styleId="29">
    <w:name w:val="Default Paragraph Font"/>
    <w:autoRedefine/>
    <w:semiHidden/>
    <w:qFormat/>
    <w:uiPriority w:val="0"/>
  </w:style>
  <w:style w:type="table" w:default="1" w:styleId="27">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36"/>
    <w:autoRedefine/>
    <w:qFormat/>
    <w:uiPriority w:val="0"/>
    <w:pPr>
      <w:widowControl/>
      <w:snapToGrid w:val="0"/>
      <w:spacing w:before="60" w:after="160" w:line="259" w:lineRule="auto"/>
      <w:ind w:right="113"/>
    </w:pPr>
    <w:rPr>
      <w:kern w:val="0"/>
      <w:sz w:val="18"/>
      <w:szCs w:val="20"/>
    </w:rPr>
  </w:style>
  <w:style w:type="paragraph" w:styleId="3">
    <w:name w:val="List Bullet 5"/>
    <w:basedOn w:val="1"/>
    <w:autoRedefine/>
    <w:qFormat/>
    <w:locked/>
    <w:uiPriority w:val="0"/>
    <w:pPr>
      <w:numPr>
        <w:ilvl w:val="0"/>
        <w:numId w:val="1"/>
      </w:numPr>
    </w:pPr>
  </w:style>
  <w:style w:type="paragraph" w:styleId="8">
    <w:name w:val="Normal Indent"/>
    <w:basedOn w:val="1"/>
    <w:autoRedefine/>
    <w:qFormat/>
    <w:locked/>
    <w:uiPriority w:val="0"/>
    <w:pPr>
      <w:widowControl w:val="0"/>
      <w:adjustRightInd w:val="0"/>
      <w:snapToGrid w:val="0"/>
      <w:spacing w:line="500" w:lineRule="exact"/>
      <w:ind w:firstLine="200" w:firstLineChars="200"/>
      <w:jc w:val="both"/>
    </w:pPr>
    <w:rPr>
      <w:color w:val="000000"/>
      <w:kern w:val="2"/>
    </w:rPr>
  </w:style>
  <w:style w:type="paragraph" w:styleId="9">
    <w:name w:val="annotation text"/>
    <w:basedOn w:val="1"/>
    <w:link w:val="37"/>
    <w:autoRedefine/>
    <w:semiHidden/>
    <w:qFormat/>
    <w:uiPriority w:val="0"/>
    <w:pPr>
      <w:jc w:val="left"/>
    </w:pPr>
    <w:rPr>
      <w:kern w:val="0"/>
      <w:sz w:val="24"/>
      <w:szCs w:val="20"/>
    </w:rPr>
  </w:style>
  <w:style w:type="paragraph" w:styleId="10">
    <w:name w:val="Body Text 3"/>
    <w:basedOn w:val="1"/>
    <w:autoRedefine/>
    <w:qFormat/>
    <w:locked/>
    <w:uiPriority w:val="0"/>
    <w:pPr>
      <w:spacing w:after="120" w:afterLines="0"/>
    </w:pPr>
    <w:rPr>
      <w:sz w:val="16"/>
      <w:szCs w:val="16"/>
    </w:rPr>
  </w:style>
  <w:style w:type="paragraph" w:styleId="11">
    <w:name w:val="Body Text Indent"/>
    <w:basedOn w:val="1"/>
    <w:next w:val="1"/>
    <w:link w:val="38"/>
    <w:autoRedefine/>
    <w:qFormat/>
    <w:uiPriority w:val="0"/>
    <w:pPr>
      <w:spacing w:after="120"/>
      <w:ind w:left="420" w:leftChars="200"/>
    </w:pPr>
    <w:rPr>
      <w:kern w:val="0"/>
      <w:sz w:val="24"/>
      <w:szCs w:val="20"/>
    </w:rPr>
  </w:style>
  <w:style w:type="paragraph" w:styleId="12">
    <w:name w:val="Block Text"/>
    <w:basedOn w:val="1"/>
    <w:autoRedefine/>
    <w:qFormat/>
    <w:locked/>
    <w:uiPriority w:val="0"/>
    <w:pPr>
      <w:spacing w:after="120"/>
      <w:ind w:left="1440" w:leftChars="700" w:right="1440" w:rightChars="700"/>
    </w:pPr>
    <w:rPr>
      <w:rFonts w:ascii="Calibri" w:hAnsi="Calibri"/>
      <w:szCs w:val="20"/>
    </w:rPr>
  </w:style>
  <w:style w:type="paragraph" w:styleId="13">
    <w:name w:val="Plain Text"/>
    <w:basedOn w:val="1"/>
    <w:autoRedefine/>
    <w:qFormat/>
    <w:locked/>
    <w:uiPriority w:val="0"/>
    <w:pPr>
      <w:widowControl w:val="0"/>
      <w:jc w:val="both"/>
    </w:pPr>
    <w:rPr>
      <w:rFonts w:ascii="宋体" w:hAnsi="Courier New"/>
      <w:kern w:val="2"/>
      <w:sz w:val="28"/>
    </w:rPr>
  </w:style>
  <w:style w:type="paragraph" w:styleId="14">
    <w:name w:val="Date"/>
    <w:basedOn w:val="1"/>
    <w:next w:val="1"/>
    <w:link w:val="39"/>
    <w:autoRedefine/>
    <w:qFormat/>
    <w:uiPriority w:val="0"/>
    <w:pPr>
      <w:ind w:left="100" w:leftChars="2500"/>
    </w:pPr>
    <w:rPr>
      <w:kern w:val="0"/>
      <w:sz w:val="24"/>
      <w:szCs w:val="20"/>
    </w:rPr>
  </w:style>
  <w:style w:type="paragraph" w:styleId="15">
    <w:name w:val="Body Text Indent 2"/>
    <w:basedOn w:val="1"/>
    <w:autoRedefine/>
    <w:qFormat/>
    <w:locked/>
    <w:uiPriority w:val="0"/>
    <w:pPr>
      <w:spacing w:after="120" w:afterLines="0" w:line="480" w:lineRule="auto"/>
      <w:ind w:left="420" w:leftChars="200"/>
    </w:pPr>
  </w:style>
  <w:style w:type="paragraph" w:styleId="16">
    <w:name w:val="Balloon Text"/>
    <w:basedOn w:val="1"/>
    <w:link w:val="40"/>
    <w:autoRedefine/>
    <w:semiHidden/>
    <w:qFormat/>
    <w:uiPriority w:val="0"/>
    <w:rPr>
      <w:kern w:val="0"/>
      <w:sz w:val="18"/>
      <w:szCs w:val="20"/>
    </w:rPr>
  </w:style>
  <w:style w:type="paragraph" w:styleId="17">
    <w:name w:val="footer"/>
    <w:basedOn w:val="1"/>
    <w:link w:val="41"/>
    <w:autoRedefine/>
    <w:qFormat/>
    <w:uiPriority w:val="99"/>
    <w:pPr>
      <w:tabs>
        <w:tab w:val="center" w:pos="4153"/>
        <w:tab w:val="right" w:pos="8306"/>
      </w:tabs>
      <w:snapToGrid w:val="0"/>
      <w:jc w:val="left"/>
    </w:pPr>
    <w:rPr>
      <w:kern w:val="0"/>
      <w:sz w:val="18"/>
      <w:szCs w:val="20"/>
    </w:rPr>
  </w:style>
  <w:style w:type="paragraph" w:styleId="18">
    <w:name w:val="header"/>
    <w:basedOn w:val="1"/>
    <w:link w:val="42"/>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index heading"/>
    <w:basedOn w:val="1"/>
    <w:next w:val="20"/>
    <w:autoRedefine/>
    <w:unhideWhenUsed/>
    <w:qFormat/>
    <w:locked/>
    <w:uiPriority w:val="99"/>
    <w:rPr>
      <w:szCs w:val="20"/>
    </w:rPr>
  </w:style>
  <w:style w:type="paragraph" w:styleId="20">
    <w:name w:val="index 1"/>
    <w:basedOn w:val="1"/>
    <w:next w:val="1"/>
    <w:autoRedefine/>
    <w:unhideWhenUsed/>
    <w:qFormat/>
    <w:locked/>
    <w:uiPriority w:val="99"/>
    <w:pPr>
      <w:jc w:val="center"/>
    </w:pPr>
    <w:rPr>
      <w:szCs w:val="20"/>
    </w:rPr>
  </w:style>
  <w:style w:type="paragraph" w:styleId="21">
    <w:name w:val="List"/>
    <w:basedOn w:val="1"/>
    <w:autoRedefine/>
    <w:qFormat/>
    <w:locked/>
    <w:uiPriority w:val="0"/>
    <w:pPr>
      <w:adjustRightInd w:val="0"/>
      <w:snapToGrid w:val="0"/>
      <w:jc w:val="center"/>
      <w:textAlignment w:val="baseline"/>
    </w:pPr>
    <w:rPr>
      <w:rFonts w:ascii="仿宋_GB2312" w:hAnsi="Alaska" w:eastAsia="仿宋_GB2312"/>
      <w:kern w:val="0"/>
      <w:szCs w:val="20"/>
    </w:rPr>
  </w:style>
  <w:style w:type="paragraph" w:styleId="22">
    <w:name w:val="Body Text Indent 3"/>
    <w:basedOn w:val="1"/>
    <w:autoRedefine/>
    <w:qFormat/>
    <w:locked/>
    <w:uiPriority w:val="0"/>
    <w:pPr>
      <w:widowControl/>
      <w:tabs>
        <w:tab w:val="left" w:pos="604"/>
      </w:tabs>
      <w:spacing w:line="360" w:lineRule="auto"/>
      <w:ind w:firstLine="600"/>
      <w:jc w:val="left"/>
    </w:pPr>
    <w:rPr>
      <w:rFonts w:ascii="Times New Roman" w:hAnsi="Times New Roman"/>
      <w:sz w:val="24"/>
    </w:rPr>
  </w:style>
  <w:style w:type="paragraph" w:styleId="23">
    <w:name w:val="Normal (Web)"/>
    <w:basedOn w:val="1"/>
    <w:link w:val="43"/>
    <w:autoRedefine/>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9"/>
    <w:next w:val="9"/>
    <w:link w:val="44"/>
    <w:autoRedefine/>
    <w:semiHidden/>
    <w:qFormat/>
    <w:uiPriority w:val="0"/>
    <w:rPr>
      <w:b/>
      <w:sz w:val="24"/>
      <w:szCs w:val="20"/>
    </w:rPr>
  </w:style>
  <w:style w:type="paragraph" w:styleId="25">
    <w:name w:val="Body Text First Indent"/>
    <w:basedOn w:val="2"/>
    <w:next w:val="1"/>
    <w:autoRedefine/>
    <w:qFormat/>
    <w:locked/>
    <w:uiPriority w:val="0"/>
    <w:pPr>
      <w:spacing w:line="240" w:lineRule="auto"/>
      <w:ind w:firstLine="420" w:firstLineChars="100"/>
    </w:pPr>
    <w:rPr>
      <w:sz w:val="21"/>
      <w:szCs w:val="20"/>
    </w:rPr>
  </w:style>
  <w:style w:type="paragraph" w:styleId="26">
    <w:name w:val="Body Text First Indent 2"/>
    <w:basedOn w:val="11"/>
    <w:autoRedefine/>
    <w:qFormat/>
    <w:locked/>
    <w:uiPriority w:val="0"/>
    <w:pPr>
      <w:spacing w:line="520" w:lineRule="exact"/>
      <w:ind w:firstLine="560"/>
    </w:pPr>
    <w:rPr>
      <w:rFonts w:ascii="宋体"/>
      <w:sz w:val="28"/>
      <w:szCs w:val="24"/>
    </w:rPr>
  </w:style>
  <w:style w:type="table" w:styleId="28">
    <w:name w:val="Table Grid"/>
    <w:basedOn w:val="27"/>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locked/>
    <w:uiPriority w:val="0"/>
    <w:rPr>
      <w:b/>
    </w:rPr>
  </w:style>
  <w:style w:type="character" w:styleId="31">
    <w:name w:val="page number"/>
    <w:autoRedefine/>
    <w:qFormat/>
    <w:locked/>
    <w:uiPriority w:val="0"/>
  </w:style>
  <w:style w:type="character" w:styleId="32">
    <w:name w:val="Emphasis"/>
    <w:basedOn w:val="29"/>
    <w:autoRedefine/>
    <w:qFormat/>
    <w:locked/>
    <w:uiPriority w:val="0"/>
    <w:rPr>
      <w:i/>
    </w:rPr>
  </w:style>
  <w:style w:type="character" w:styleId="33">
    <w:name w:val="Hyperlink"/>
    <w:autoRedefine/>
    <w:qFormat/>
    <w:locked/>
    <w:uiPriority w:val="0"/>
    <w:rPr>
      <w:color w:val="0000FF"/>
      <w:u w:val="single"/>
    </w:rPr>
  </w:style>
  <w:style w:type="character" w:styleId="34">
    <w:name w:val="annotation reference"/>
    <w:autoRedefine/>
    <w:semiHidden/>
    <w:qFormat/>
    <w:uiPriority w:val="0"/>
    <w:rPr>
      <w:sz w:val="21"/>
    </w:rPr>
  </w:style>
  <w:style w:type="paragraph" w:customStyle="1" w:styleId="35">
    <w:name w:val="正文缩进2"/>
    <w:basedOn w:val="1"/>
    <w:qFormat/>
    <w:uiPriority w:val="0"/>
    <w:pPr>
      <w:spacing w:line="500" w:lineRule="exact"/>
      <w:ind w:firstLine="200" w:firstLineChars="200"/>
    </w:pPr>
  </w:style>
  <w:style w:type="character" w:customStyle="1" w:styleId="36">
    <w:name w:val="正文文本 Char"/>
    <w:link w:val="2"/>
    <w:autoRedefine/>
    <w:qFormat/>
    <w:locked/>
    <w:uiPriority w:val="0"/>
    <w:rPr>
      <w:sz w:val="18"/>
    </w:rPr>
  </w:style>
  <w:style w:type="character" w:customStyle="1" w:styleId="37">
    <w:name w:val="批注文字 Char"/>
    <w:link w:val="9"/>
    <w:autoRedefine/>
    <w:qFormat/>
    <w:locked/>
    <w:uiPriority w:val="0"/>
    <w:rPr>
      <w:rFonts w:ascii="Times New Roman" w:hAnsi="Times New Roman" w:eastAsia="宋体"/>
      <w:sz w:val="24"/>
    </w:rPr>
  </w:style>
  <w:style w:type="character" w:customStyle="1" w:styleId="38">
    <w:name w:val="正文文本缩进 Char"/>
    <w:link w:val="11"/>
    <w:autoRedefine/>
    <w:semiHidden/>
    <w:qFormat/>
    <w:locked/>
    <w:uiPriority w:val="0"/>
    <w:rPr>
      <w:rFonts w:ascii="Times New Roman" w:hAnsi="Times New Roman" w:eastAsia="宋体"/>
      <w:sz w:val="24"/>
    </w:rPr>
  </w:style>
  <w:style w:type="character" w:customStyle="1" w:styleId="39">
    <w:name w:val="日期 Char"/>
    <w:link w:val="14"/>
    <w:autoRedefine/>
    <w:qFormat/>
    <w:locked/>
    <w:uiPriority w:val="0"/>
    <w:rPr>
      <w:rFonts w:ascii="Times New Roman" w:hAnsi="Times New Roman" w:eastAsia="宋体"/>
      <w:sz w:val="24"/>
    </w:rPr>
  </w:style>
  <w:style w:type="character" w:customStyle="1" w:styleId="40">
    <w:name w:val="批注框文本 Char"/>
    <w:link w:val="16"/>
    <w:autoRedefine/>
    <w:semiHidden/>
    <w:qFormat/>
    <w:locked/>
    <w:uiPriority w:val="0"/>
    <w:rPr>
      <w:rFonts w:ascii="Times New Roman" w:hAnsi="Times New Roman" w:eastAsia="宋体"/>
      <w:sz w:val="18"/>
    </w:rPr>
  </w:style>
  <w:style w:type="character" w:customStyle="1" w:styleId="41">
    <w:name w:val="页脚 Char"/>
    <w:link w:val="17"/>
    <w:autoRedefine/>
    <w:qFormat/>
    <w:locked/>
    <w:uiPriority w:val="99"/>
    <w:rPr>
      <w:sz w:val="18"/>
    </w:rPr>
  </w:style>
  <w:style w:type="character" w:customStyle="1" w:styleId="42">
    <w:name w:val="页眉 Char"/>
    <w:link w:val="18"/>
    <w:autoRedefine/>
    <w:qFormat/>
    <w:locked/>
    <w:uiPriority w:val="0"/>
    <w:rPr>
      <w:sz w:val="18"/>
    </w:rPr>
  </w:style>
  <w:style w:type="character" w:customStyle="1" w:styleId="43">
    <w:name w:val="普通(网站) Char"/>
    <w:link w:val="23"/>
    <w:autoRedefine/>
    <w:qFormat/>
    <w:locked/>
    <w:uiPriority w:val="0"/>
    <w:rPr>
      <w:rFonts w:ascii="宋体" w:hAnsi="宋体" w:eastAsia="宋体"/>
      <w:sz w:val="24"/>
    </w:rPr>
  </w:style>
  <w:style w:type="character" w:customStyle="1" w:styleId="44">
    <w:name w:val="批注主题 Char"/>
    <w:link w:val="24"/>
    <w:autoRedefine/>
    <w:semiHidden/>
    <w:qFormat/>
    <w:locked/>
    <w:uiPriority w:val="0"/>
    <w:rPr>
      <w:rFonts w:ascii="Times New Roman" w:hAnsi="Times New Roman" w:eastAsia="宋体"/>
      <w:b/>
      <w:kern w:val="2"/>
      <w:sz w:val="24"/>
    </w:rPr>
  </w:style>
  <w:style w:type="paragraph" w:customStyle="1" w:styleId="45">
    <w:name w:val="Default"/>
    <w:basedOn w:val="46"/>
    <w:autoRedefine/>
    <w:qFormat/>
    <w:uiPriority w:val="0"/>
    <w:pPr>
      <w:widowControl w:val="0"/>
      <w:autoSpaceDE w:val="0"/>
      <w:autoSpaceDN w:val="0"/>
      <w:adjustRightInd w:val="0"/>
    </w:pPr>
    <w:rPr>
      <w:rFonts w:ascii="宋体" w:hAnsi="Calibri" w:cs="宋体"/>
      <w:color w:val="000000"/>
      <w:sz w:val="24"/>
      <w:szCs w:val="24"/>
      <w:lang w:val="en-US" w:eastAsia="zh-CN" w:bidi="ar-SA"/>
    </w:rPr>
  </w:style>
  <w:style w:type="paragraph" w:customStyle="1" w:styleId="46">
    <w:name w:val="标题 段落4级"/>
    <w:basedOn w:val="47"/>
    <w:autoRedefine/>
    <w:qFormat/>
    <w:uiPriority w:val="0"/>
    <w:pPr>
      <w:outlineLvl w:val="3"/>
    </w:pPr>
    <w:rPr>
      <w:rFonts w:ascii="Calibri" w:hAnsi="Calibri" w:cs="Calibri"/>
      <w:b/>
      <w:kern w:val="2"/>
    </w:rPr>
  </w:style>
  <w:style w:type="paragraph" w:customStyle="1" w:styleId="47">
    <w:name w:val="正文 文本"/>
    <w:autoRedefine/>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48">
    <w:name w:val="表格 Char"/>
    <w:link w:val="49"/>
    <w:autoRedefine/>
    <w:qFormat/>
    <w:locked/>
    <w:uiPriority w:val="0"/>
    <w:rPr>
      <w:rFonts w:ascii="宋体"/>
      <w:sz w:val="21"/>
    </w:rPr>
  </w:style>
  <w:style w:type="paragraph" w:customStyle="1" w:styleId="49">
    <w:name w:val="表格"/>
    <w:basedOn w:val="50"/>
    <w:next w:val="1"/>
    <w:link w:val="48"/>
    <w:autoRedefine/>
    <w:qFormat/>
    <w:uiPriority w:val="0"/>
    <w:pPr>
      <w:adjustRightInd w:val="0"/>
      <w:snapToGrid w:val="0"/>
      <w:spacing w:beforeLines="10" w:afterLines="10" w:line="259" w:lineRule="auto"/>
      <w:jc w:val="center"/>
    </w:pPr>
    <w:rPr>
      <w:rFonts w:ascii="宋体"/>
      <w:kern w:val="0"/>
      <w:szCs w:val="20"/>
    </w:rPr>
  </w:style>
  <w:style w:type="paragraph" w:customStyle="1" w:styleId="50">
    <w:name w:val="表头"/>
    <w:basedOn w:val="8"/>
    <w:next w:val="1"/>
    <w:autoRedefine/>
    <w:qFormat/>
    <w:uiPriority w:val="0"/>
    <w:pPr>
      <w:adjustRightInd w:val="0"/>
      <w:snapToGrid w:val="0"/>
      <w:spacing w:line="300" w:lineRule="atLeast"/>
      <w:textAlignment w:val="baseline"/>
    </w:pPr>
    <w:rPr>
      <w:rFonts w:hAnsi="宋体" w:eastAsia="黑体" w:cs="Times New Roman"/>
      <w:kern w:val="2"/>
      <w:sz w:val="21"/>
      <w:szCs w:val="22"/>
    </w:rPr>
  </w:style>
  <w:style w:type="paragraph" w:customStyle="1" w:styleId="51">
    <w:name w:val="注"/>
    <w:basedOn w:val="1"/>
    <w:autoRedefine/>
    <w:qFormat/>
    <w:uiPriority w:val="99"/>
    <w:pPr>
      <w:spacing w:line="240" w:lineRule="auto"/>
      <w:ind w:firstLine="0" w:firstLineChars="0"/>
    </w:pPr>
    <w:rPr>
      <w:sz w:val="18"/>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18"/>
    <w:autoRedefine/>
    <w:qFormat/>
    <w:uiPriority w:val="0"/>
    <w:rPr>
      <w:rFonts w:hint="eastAsia" w:ascii="宋体" w:hAnsi="宋体" w:eastAsia="宋体"/>
      <w:color w:val="000000"/>
      <w:sz w:val="22"/>
      <w:szCs w:val="22"/>
    </w:rPr>
  </w:style>
  <w:style w:type="character" w:customStyle="1" w:styleId="54">
    <w:name w:val="日期 字符"/>
    <w:autoRedefine/>
    <w:semiHidden/>
    <w:qFormat/>
    <w:uiPriority w:val="0"/>
    <w:rPr>
      <w:rFonts w:ascii="Times New Roman" w:hAnsi="Times New Roman" w:eastAsia="宋体"/>
      <w:sz w:val="24"/>
    </w:rPr>
  </w:style>
  <w:style w:type="character" w:customStyle="1" w:styleId="55">
    <w:name w:val="页脚 字符"/>
    <w:autoRedefine/>
    <w:qFormat/>
    <w:uiPriority w:val="99"/>
  </w:style>
  <w:style w:type="character" w:customStyle="1" w:styleId="56">
    <w:name w:val="正文文本 字符1"/>
    <w:autoRedefine/>
    <w:semiHidden/>
    <w:qFormat/>
    <w:uiPriority w:val="0"/>
    <w:rPr>
      <w:rFonts w:ascii="Times New Roman" w:hAnsi="Times New Roman" w:eastAsia="宋体"/>
      <w:sz w:val="24"/>
    </w:rPr>
  </w:style>
  <w:style w:type="paragraph" w:customStyle="1" w:styleId="57">
    <w:name w:val="表格-lcc"/>
    <w:basedOn w:val="1"/>
    <w:next w:val="1"/>
    <w:autoRedefine/>
    <w:qFormat/>
    <w:uiPriority w:val="0"/>
    <w:pPr>
      <w:snapToGrid w:val="0"/>
      <w:spacing w:line="276" w:lineRule="auto"/>
      <w:jc w:val="center"/>
    </w:pPr>
    <w:rPr>
      <w:rFonts w:cs="宋体"/>
      <w:kern w:val="2"/>
      <w:sz w:val="21"/>
      <w:szCs w:val="21"/>
    </w:rPr>
  </w:style>
  <w:style w:type="paragraph" w:customStyle="1" w:styleId="58">
    <w:name w:val="表格标题"/>
    <w:basedOn w:val="1"/>
    <w:autoRedefine/>
    <w:qFormat/>
    <w:uiPriority w:val="0"/>
    <w:pPr>
      <w:ind w:firstLine="0" w:firstLineChars="0"/>
      <w:jc w:val="center"/>
    </w:pPr>
    <w:rPr>
      <w:b/>
      <w:szCs w:val="24"/>
    </w:rPr>
  </w:style>
  <w:style w:type="paragraph" w:styleId="59">
    <w:name w:val="List Paragraph"/>
    <w:basedOn w:val="1"/>
    <w:autoRedefine/>
    <w:qFormat/>
    <w:uiPriority w:val="1"/>
    <w:pPr>
      <w:ind w:left="2384" w:hanging="602"/>
    </w:pPr>
    <w:rPr>
      <w:rFonts w:ascii="宋体" w:hAnsi="宋体" w:eastAsia="宋体" w:cs="宋体"/>
      <w:lang w:val="zh-CN" w:eastAsia="zh-CN" w:bidi="zh-CN"/>
    </w:rPr>
  </w:style>
  <w:style w:type="paragraph" w:customStyle="1" w:styleId="60">
    <w:name w:val="小标题"/>
    <w:autoRedefine/>
    <w:qFormat/>
    <w:uiPriority w:val="99"/>
    <w:pPr>
      <w:spacing w:before="60" w:line="360" w:lineRule="auto"/>
    </w:pPr>
    <w:rPr>
      <w:rFonts w:ascii="Times New Roman" w:hAnsi="Times New Roman" w:eastAsia="宋体" w:cs="Times New Roman"/>
      <w:b/>
      <w:kern w:val="2"/>
      <w:sz w:val="24"/>
      <w:szCs w:val="24"/>
      <w:lang w:val="en-US" w:eastAsia="zh-CN" w:bidi="ar-SA"/>
    </w:rPr>
  </w:style>
  <w:style w:type="paragraph" w:customStyle="1" w:styleId="61">
    <w:name w:val="表格内容"/>
    <w:basedOn w:val="1"/>
    <w:next w:val="1"/>
    <w:autoRedefine/>
    <w:qFormat/>
    <w:uiPriority w:val="0"/>
    <w:pPr>
      <w:spacing w:line="240" w:lineRule="auto"/>
      <w:ind w:firstLine="0" w:firstLineChars="0"/>
      <w:jc w:val="center"/>
    </w:pPr>
    <w:rPr>
      <w:sz w:val="21"/>
      <w:szCs w:val="21"/>
    </w:rPr>
  </w:style>
  <w:style w:type="paragraph" w:customStyle="1" w:styleId="62">
    <w:name w:val="表文-lcc"/>
    <w:basedOn w:val="13"/>
    <w:autoRedefine/>
    <w:qFormat/>
    <w:uiPriority w:val="0"/>
    <w:pPr>
      <w:jc w:val="center"/>
    </w:pPr>
    <w:rPr>
      <w:rFonts w:ascii="Times New Roman"/>
      <w:color w:val="000000"/>
    </w:rPr>
  </w:style>
  <w:style w:type="paragraph" w:customStyle="1" w:styleId="63">
    <w:name w:val="正文lcc2"/>
    <w:basedOn w:val="2"/>
    <w:autoRedefine/>
    <w:qFormat/>
    <w:uiPriority w:val="0"/>
    <w:pPr>
      <w:spacing w:line="360" w:lineRule="auto"/>
      <w:ind w:firstLine="200" w:firstLineChars="200"/>
    </w:pPr>
  </w:style>
  <w:style w:type="paragraph" w:customStyle="1" w:styleId="64">
    <w:name w:val="xl27"/>
    <w:basedOn w:val="1"/>
    <w:autoRedefine/>
    <w:qFormat/>
    <w:uiPriority w:val="0"/>
    <w:pPr>
      <w:pBdr>
        <w:bottom w:val="single" w:color="auto" w:sz="12" w:space="0"/>
      </w:pBdr>
      <w:spacing w:before="100" w:after="100"/>
      <w:jc w:val="center"/>
    </w:pPr>
    <w:rPr>
      <w:rFonts w:ascii="宋体" w:hAnsi="宋体" w:eastAsia="宋体"/>
      <w:sz w:val="21"/>
    </w:rPr>
  </w:style>
  <w:style w:type="paragraph" w:customStyle="1" w:styleId="65">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6">
    <w:name w:val="样式 样式 样式 自动设置 + 五号 段前: 0.5 行 行距: 单倍行距 + 段前: 0.5 行"/>
    <w:basedOn w:val="1"/>
    <w:autoRedefine/>
    <w:qFormat/>
    <w:uiPriority w:val="0"/>
    <w:pPr>
      <w:autoSpaceDE w:val="0"/>
      <w:autoSpaceDN w:val="0"/>
      <w:adjustRightInd w:val="0"/>
      <w:snapToGrid w:val="0"/>
    </w:pPr>
    <w:rPr>
      <w:rFonts w:cs="宋体"/>
      <w:szCs w:val="20"/>
    </w:rPr>
  </w:style>
  <w:style w:type="paragraph" w:customStyle="1" w:styleId="67">
    <w:name w:val="正文zy"/>
    <w:basedOn w:val="1"/>
    <w:autoRedefine/>
    <w:qFormat/>
    <w:uiPriority w:val="0"/>
    <w:pPr>
      <w:snapToGrid w:val="0"/>
      <w:spacing w:line="360" w:lineRule="auto"/>
      <w:ind w:firstLine="480" w:firstLineChars="200"/>
    </w:pPr>
    <w:rPr>
      <w:color w:val="000000"/>
      <w:kern w:val="2"/>
    </w:rPr>
  </w:style>
  <w:style w:type="paragraph" w:customStyle="1" w:styleId="68">
    <w:name w:val="表内lcc"/>
    <w:basedOn w:val="69"/>
    <w:autoRedefine/>
    <w:qFormat/>
    <w:uiPriority w:val="0"/>
    <w:rPr>
      <w:color w:val="000000"/>
    </w:rPr>
  </w:style>
  <w:style w:type="paragraph" w:customStyle="1" w:styleId="69">
    <w:name w:val="表内字"/>
    <w:basedOn w:val="1"/>
    <w:autoRedefine/>
    <w:qFormat/>
    <w:uiPriority w:val="0"/>
    <w:pPr>
      <w:adjustRightInd w:val="0"/>
      <w:jc w:val="center"/>
    </w:pPr>
    <w:rPr>
      <w:iCs/>
      <w:szCs w:val="21"/>
    </w:rPr>
  </w:style>
  <w:style w:type="paragraph" w:customStyle="1" w:styleId="70">
    <w:name w:val="表头2-lcc"/>
    <w:basedOn w:val="1"/>
    <w:autoRedefine/>
    <w:qFormat/>
    <w:uiPriority w:val="0"/>
    <w:pPr>
      <w:adjustRightInd w:val="0"/>
      <w:jc w:val="center"/>
      <w:textAlignment w:val="baseline"/>
    </w:pPr>
    <w:rPr>
      <w:rFonts w:ascii="Times New Roman" w:hAnsi="Times New Roman"/>
      <w:b/>
      <w:kern w:val="0"/>
      <w:szCs w:val="21"/>
    </w:rPr>
  </w:style>
  <w:style w:type="paragraph" w:customStyle="1" w:styleId="71">
    <w:name w:val="Table Paragraph"/>
    <w:basedOn w:val="1"/>
    <w:autoRedefine/>
    <w:qFormat/>
    <w:uiPriority w:val="1"/>
    <w:rPr>
      <w:rFonts w:ascii="宋体" w:hAnsi="宋体" w:eastAsia="宋体" w:cs="宋体"/>
      <w:lang w:val="zh-CN" w:eastAsia="zh-CN" w:bidi="zh-CN"/>
    </w:rPr>
  </w:style>
  <w:style w:type="paragraph" w:customStyle="1" w:styleId="72">
    <w:name w:val="表格字"/>
    <w:basedOn w:val="1"/>
    <w:next w:val="1"/>
    <w:autoRedefine/>
    <w:qFormat/>
    <w:uiPriority w:val="0"/>
    <w:pPr>
      <w:snapToGrid w:val="0"/>
      <w:jc w:val="center"/>
    </w:pPr>
    <w:rPr>
      <w:rFonts w:eastAsia="仿宋_GB2312"/>
      <w:color w:val="000000"/>
      <w:sz w:val="28"/>
      <w:szCs w:val="28"/>
    </w:rPr>
  </w:style>
  <w:style w:type="paragraph" w:customStyle="1" w:styleId="7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正文lcc"/>
    <w:basedOn w:val="1"/>
    <w:autoRedefine/>
    <w:qFormat/>
    <w:uiPriority w:val="0"/>
    <w:pPr>
      <w:overflowPunct w:val="0"/>
      <w:adjustRightInd w:val="0"/>
      <w:snapToGrid w:val="0"/>
      <w:ind w:firstLine="480"/>
    </w:pPr>
    <w:rPr>
      <w:kern w:val="0"/>
      <w:szCs w:val="20"/>
    </w:rPr>
  </w:style>
  <w:style w:type="table" w:customStyle="1" w:styleId="75">
    <w:name w:val="网格型3"/>
    <w:basedOn w:val="27"/>
    <w:autoRedefine/>
    <w:qFormat/>
    <w:uiPriority w:val="39"/>
    <w:pPr>
      <w:ind w:left="210"/>
    </w:pPr>
    <w:rPr>
      <w:rFonts w:ascii="Times New Roman" w:hAnsi="Times New Roman" w:eastAsia="方正仿宋_GBK"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6">
    <w:name w:val="图标格式"/>
    <w:basedOn w:val="1"/>
    <w:autoRedefine/>
    <w:qFormat/>
    <w:uiPriority w:val="0"/>
    <w:pPr>
      <w:ind w:firstLine="0" w:firstLineChars="0"/>
      <w:jc w:val="center"/>
    </w:pPr>
    <w:rPr>
      <w:rFonts w:eastAsia="黑体" w:cs="Times New Roman"/>
      <w:szCs w:val="24"/>
    </w:rPr>
  </w:style>
  <w:style w:type="paragraph" w:customStyle="1" w:styleId="77">
    <w:name w:val="彩色列表 - 着色 11"/>
    <w:basedOn w:val="1"/>
    <w:autoRedefine/>
    <w:qFormat/>
    <w:uiPriority w:val="34"/>
    <w:pPr>
      <w:ind w:firstLine="420"/>
    </w:pPr>
  </w:style>
  <w:style w:type="paragraph" w:customStyle="1" w:styleId="78">
    <w:name w:val="正文文本1"/>
    <w:autoRedefine/>
    <w:qFormat/>
    <w:uiPriority w:val="0"/>
    <w:pPr>
      <w:widowControl w:val="0"/>
      <w:shd w:val="clear" w:color="auto" w:fill="FFFFFF"/>
      <w:spacing w:after="300" w:line="0" w:lineRule="atLeast"/>
      <w:jc w:val="distribute"/>
    </w:pPr>
    <w:rPr>
      <w:rFonts w:ascii="宋体" w:hAnsi="宋体" w:eastAsia="宋体" w:cs="宋体"/>
      <w:sz w:val="27"/>
      <w:szCs w:val="27"/>
      <w:lang w:val="en-US" w:eastAsia="zh-CN" w:bidi="ar-SA"/>
    </w:rPr>
  </w:style>
  <w:style w:type="character" w:customStyle="1" w:styleId="79">
    <w:name w:val="正文文本 + 10 pt2"/>
    <w:autoRedefine/>
    <w:qFormat/>
    <w:uiPriority w:val="0"/>
    <w:rPr>
      <w:rFonts w:ascii="宋体" w:hAnsi="宋体" w:eastAsia="宋体" w:cs="宋体"/>
      <w:color w:val="000000"/>
      <w:spacing w:val="0"/>
      <w:w w:val="100"/>
      <w:position w:val="0"/>
      <w:sz w:val="20"/>
      <w:szCs w:val="20"/>
      <w:u w:val="none"/>
      <w:lang w:val="zh-CN"/>
    </w:rPr>
  </w:style>
  <w:style w:type="character" w:customStyle="1" w:styleId="80">
    <w:name w:val="正文文本 + 10 pt"/>
    <w:autoRedefine/>
    <w:qFormat/>
    <w:uiPriority w:val="0"/>
    <w:rPr>
      <w:rFonts w:ascii="宋体" w:hAnsi="宋体" w:eastAsia="宋体" w:cs="宋体"/>
      <w:color w:val="000000"/>
      <w:spacing w:val="-20"/>
      <w:w w:val="100"/>
      <w:position w:val="0"/>
      <w:sz w:val="20"/>
      <w:szCs w:val="20"/>
      <w:u w:val="none"/>
      <w:lang w:val="zh-CN"/>
    </w:rPr>
  </w:style>
  <w:style w:type="paragraph" w:customStyle="1" w:styleId="81">
    <w:name w:val="p0"/>
    <w:basedOn w:val="1"/>
    <w:autoRedefine/>
    <w:qFormat/>
    <w:uiPriority w:val="0"/>
    <w:pPr>
      <w:widowControl/>
      <w:snapToGrid w:val="0"/>
      <w:spacing w:line="300" w:lineRule="auto"/>
    </w:pPr>
    <w:rPr>
      <w:rFonts w:ascii="仿宋_GB2312" w:hAnsi="宋体" w:eastAsia="仿宋_GB2312" w:cs="宋体"/>
      <w:kern w:val="0"/>
      <w:sz w:val="28"/>
      <w:szCs w:val="28"/>
    </w:rPr>
  </w:style>
  <w:style w:type="paragraph" w:customStyle="1" w:styleId="82">
    <w:name w:val="正文首行缩进2个字 Char"/>
    <w:basedOn w:val="1"/>
    <w:autoRedefine/>
    <w:qFormat/>
    <w:uiPriority w:val="0"/>
    <w:pPr>
      <w:ind w:firstLine="480" w:firstLineChars="200"/>
    </w:pPr>
    <w:rPr>
      <w:rFonts w:eastAsia="楷体"/>
      <w:sz w:val="24"/>
    </w:rPr>
  </w:style>
  <w:style w:type="paragraph" w:customStyle="1" w:styleId="83">
    <w:name w:val="一级标题"/>
    <w:basedOn w:val="1"/>
    <w:autoRedefine/>
    <w:qFormat/>
    <w:uiPriority w:val="0"/>
    <w:pPr>
      <w:overflowPunct w:val="0"/>
      <w:spacing w:before="60" w:line="460" w:lineRule="exact"/>
      <w:outlineLvl w:val="0"/>
    </w:pPr>
    <w:rPr>
      <w:rFonts w:ascii="Times New Roman" w:hAnsi="Times New Roman" w:cs="Times New Roman"/>
      <w:b/>
      <w:kern w:val="0"/>
      <w:sz w:val="32"/>
      <w:szCs w:val="32"/>
    </w:rPr>
  </w:style>
  <w:style w:type="paragraph" w:customStyle="1" w:styleId="84">
    <w:name w:val="Other|1"/>
    <w:basedOn w:val="1"/>
    <w:autoRedefine/>
    <w:qFormat/>
    <w:uiPriority w:val="0"/>
    <w:pPr>
      <w:widowControl w:val="0"/>
      <w:shd w:val="clear" w:color="auto" w:fill="auto"/>
      <w:jc w:val="center"/>
    </w:pPr>
    <w:rPr>
      <w:rFonts w:ascii="宋体" w:hAnsi="宋体" w:eastAsia="宋体" w:cs="宋体"/>
      <w:sz w:val="19"/>
      <w:szCs w:val="19"/>
      <w:u w:val="none"/>
      <w:shd w:val="clear" w:color="auto" w:fill="auto"/>
    </w:rPr>
  </w:style>
  <w:style w:type="paragraph" w:customStyle="1" w:styleId="85">
    <w:name w:val="表格文字"/>
    <w:basedOn w:val="1"/>
    <w:autoRedefine/>
    <w:qFormat/>
    <w:uiPriority w:val="99"/>
    <w:pPr>
      <w:adjustRightInd w:val="0"/>
      <w:snapToGrid w:val="0"/>
      <w:spacing w:line="240" w:lineRule="auto"/>
      <w:ind w:firstLine="0" w:firstLineChars="0"/>
      <w:jc w:val="center"/>
    </w:pPr>
    <w:rPr>
      <w:kern w:val="44"/>
      <w:szCs w:val="20"/>
    </w:rPr>
  </w:style>
  <w:style w:type="paragraph" w:customStyle="1" w:styleId="86">
    <w:name w:val="0正文"/>
    <w:basedOn w:val="1"/>
    <w:autoRedefine/>
    <w:qFormat/>
    <w:uiPriority w:val="0"/>
    <w:pPr>
      <w:spacing w:line="360" w:lineRule="auto"/>
      <w:ind w:firstLine="200" w:firstLineChars="200"/>
    </w:pPr>
    <w:rPr>
      <w:kern w:val="0"/>
      <w:sz w:val="24"/>
      <w:szCs w:val="22"/>
      <w:lang w:eastAsia="en-US"/>
    </w:rPr>
  </w:style>
  <w:style w:type="paragraph" w:customStyle="1" w:styleId="87">
    <w:name w:val="01正文"/>
    <w:basedOn w:val="88"/>
    <w:autoRedefine/>
    <w:qFormat/>
    <w:uiPriority w:val="0"/>
    <w:pPr>
      <w:autoSpaceDE w:val="0"/>
      <w:autoSpaceDN w:val="0"/>
    </w:pPr>
    <w:rPr>
      <w:lang w:val="zh-CN"/>
    </w:rPr>
  </w:style>
  <w:style w:type="paragraph" w:customStyle="1" w:styleId="88">
    <w:name w:val="LD正文"/>
    <w:basedOn w:val="1"/>
    <w:autoRedefine/>
    <w:qFormat/>
    <w:uiPriority w:val="0"/>
    <w:pPr>
      <w:adjustRightInd w:val="0"/>
      <w:snapToGrid w:val="0"/>
      <w:spacing w:line="360" w:lineRule="auto"/>
      <w:ind w:firstLine="200" w:firstLineChars="200"/>
    </w:pPr>
    <w:rPr>
      <w:kern w:val="0"/>
      <w:sz w:val="24"/>
    </w:rPr>
  </w:style>
  <w:style w:type="paragraph" w:customStyle="1" w:styleId="89">
    <w:name w:val="Z嵌套表格内容"/>
    <w:basedOn w:val="1"/>
    <w:autoRedefine/>
    <w:qFormat/>
    <w:uiPriority w:val="0"/>
    <w:pPr>
      <w:jc w:val="center"/>
    </w:pPr>
    <w:rPr>
      <w:rFonts w:ascii="Times New Roman" w:hAnsi="Times New Roman" w:eastAsia="宋体"/>
      <w:sz w:val="18"/>
    </w:rPr>
  </w:style>
  <w:style w:type="paragraph" w:customStyle="1" w:styleId="90">
    <w:name w:val="Z正文"/>
    <w:basedOn w:val="1"/>
    <w:link w:val="91"/>
    <w:autoRedefine/>
    <w:qFormat/>
    <w:uiPriority w:val="0"/>
    <w:pPr>
      <w:spacing w:line="400" w:lineRule="exact"/>
      <w:ind w:firstLine="600" w:firstLineChars="200"/>
    </w:pPr>
    <w:rPr>
      <w:rFonts w:ascii="Times New Roman" w:hAnsi="Times New Roman" w:eastAsia="宋体" w:cs="Times New Roman"/>
      <w:szCs w:val="20"/>
    </w:rPr>
  </w:style>
  <w:style w:type="character" w:customStyle="1" w:styleId="91">
    <w:name w:val="Z正文 Char"/>
    <w:link w:val="90"/>
    <w:autoRedefine/>
    <w:unhideWhenUsed/>
    <w:qFormat/>
    <w:uiPriority w:val="0"/>
    <w:rPr>
      <w:rFonts w:ascii="Times New Roman" w:hAnsi="Times New Roman" w:eastAsia="宋体" w:cs="Times New Roman"/>
      <w:szCs w:val="20"/>
    </w:rPr>
  </w:style>
  <w:style w:type="paragraph" w:customStyle="1" w:styleId="92">
    <w:name w:val="Z表格标题"/>
    <w:basedOn w:val="1"/>
    <w:next w:val="1"/>
    <w:autoRedefine/>
    <w:qFormat/>
    <w:uiPriority w:val="0"/>
    <w:pPr>
      <w:spacing w:line="400" w:lineRule="exact"/>
      <w:jc w:val="center"/>
    </w:pPr>
    <w:rPr>
      <w:rFonts w:ascii="Times New Roman" w:hAnsi="Times New Roman" w:eastAsia="宋体"/>
      <w:b/>
    </w:rPr>
  </w:style>
  <w:style w:type="character" w:customStyle="1" w:styleId="93">
    <w:name w:val="fontstyle01"/>
    <w:autoRedefine/>
    <w:qFormat/>
    <w:uiPriority w:val="0"/>
    <w:rPr>
      <w:rFonts w:ascii="宋体" w:hAnsi="宋体" w:eastAsia="宋体" w:cs="宋体"/>
      <w:color w:val="000000"/>
      <w:sz w:val="24"/>
      <w:szCs w:val="24"/>
    </w:rPr>
  </w:style>
  <w:style w:type="character" w:customStyle="1" w:styleId="94">
    <w:name w:val="fontstyle21"/>
    <w:autoRedefine/>
    <w:qFormat/>
    <w:uiPriority w:val="0"/>
    <w:rPr>
      <w:rFonts w:ascii="TimesNewRomanPSMT" w:hAnsi="TimesNewRomanPSMT" w:eastAsia="TimesNewRomanPSMT" w:cs="TimesNewRomanPSMT"/>
      <w:color w:val="000000"/>
      <w:sz w:val="24"/>
      <w:szCs w:val="24"/>
    </w:rPr>
  </w:style>
  <w:style w:type="paragraph" w:customStyle="1" w:styleId="95">
    <w:name w:val="陈表格标题"/>
    <w:basedOn w:val="1"/>
    <w:next w:val="22"/>
    <w:autoRedefine/>
    <w:qFormat/>
    <w:uiPriority w:val="0"/>
    <w:pPr>
      <w:adjustRightInd w:val="0"/>
      <w:snapToGrid w:val="0"/>
      <w:spacing w:line="240" w:lineRule="auto"/>
      <w:ind w:firstLine="720"/>
      <w:jc w:val="center"/>
    </w:pPr>
    <w:rPr>
      <w:rFonts w:hint="default" w:ascii="Times New Roman" w:hAnsi="Times New Roman"/>
      <w:b/>
      <w:kern w:val="0"/>
      <w:sz w:val="21"/>
      <w:szCs w:val="20"/>
    </w:rPr>
  </w:style>
  <w:style w:type="paragraph" w:customStyle="1" w:styleId="96">
    <w:name w:val="陈表格"/>
    <w:basedOn w:val="1"/>
    <w:autoRedefine/>
    <w:qFormat/>
    <w:uiPriority w:val="0"/>
    <w:pPr>
      <w:adjustRightInd w:val="0"/>
      <w:snapToGrid w:val="0"/>
      <w:spacing w:line="240" w:lineRule="auto"/>
      <w:ind w:firstLine="0" w:firstLineChars="0"/>
      <w:jc w:val="center"/>
    </w:pPr>
    <w:rPr>
      <w:kern w:val="0"/>
      <w:sz w:val="21"/>
      <w:szCs w:val="20"/>
    </w:rPr>
  </w:style>
  <w:style w:type="paragraph" w:customStyle="1" w:styleId="97">
    <w:name w:val="1正文"/>
    <w:basedOn w:val="1"/>
    <w:autoRedefine/>
    <w:qFormat/>
    <w:uiPriority w:val="0"/>
    <w:pPr>
      <w:adjustRightInd w:val="0"/>
      <w:snapToGrid w:val="0"/>
      <w:spacing w:line="360" w:lineRule="auto"/>
      <w:ind w:firstLine="200" w:firstLineChars="200"/>
      <w:jc w:val="left"/>
    </w:pPr>
    <w:rPr>
      <w:rFonts w:ascii="仿宋体" w:hAnsi="仿宋体" w:cs="仿宋体"/>
      <w:kern w:val="0"/>
      <w:sz w:val="24"/>
      <w:szCs w:val="20"/>
    </w:rPr>
  </w:style>
  <w:style w:type="paragraph" w:customStyle="1" w:styleId="98">
    <w:name w:val="文华表格"/>
    <w:basedOn w:val="1"/>
    <w:autoRedefine/>
    <w:qFormat/>
    <w:uiPriority w:val="0"/>
    <w:pPr>
      <w:ind w:left="-35" w:leftChars="-35" w:right="-35" w:rightChars="-35"/>
      <w:jc w:val="center"/>
      <w:textAlignment w:val="center"/>
    </w:pPr>
    <w:rPr>
      <w:color w:val="000000"/>
    </w:rPr>
  </w:style>
  <w:style w:type="paragraph" w:customStyle="1" w:styleId="99">
    <w:name w:val="创业表格标准"/>
    <w:basedOn w:val="7"/>
    <w:autoRedefine/>
    <w:qFormat/>
    <w:uiPriority w:val="0"/>
    <w:pPr>
      <w:keepNext w:val="0"/>
      <w:keepLines w:val="0"/>
      <w:tabs>
        <w:tab w:val="left" w:pos="1290"/>
        <w:tab w:val="left" w:pos="4179"/>
      </w:tabs>
      <w:overflowPunct w:val="0"/>
      <w:adjustRightInd/>
      <w:spacing w:line="312" w:lineRule="auto"/>
      <w:ind w:left="10" w:leftChars="10" w:right="10" w:rightChars="10"/>
      <w:jc w:val="center"/>
      <w:textAlignment w:val="center"/>
      <w:outlineLvl w:val="9"/>
    </w:pPr>
    <w:rPr>
      <w:rFonts w:ascii="Calibri" w:hAnsi="Calibri" w:eastAsia="宋体" w:cs="Times New Roman"/>
      <w:kern w:val="2"/>
      <w:sz w:val="21"/>
      <w:szCs w:val="24"/>
    </w:rPr>
  </w:style>
  <w:style w:type="paragraph" w:customStyle="1" w:styleId="100">
    <w:name w:val="文本框样式"/>
    <w:basedOn w:val="1"/>
    <w:autoRedefine/>
    <w:qFormat/>
    <w:uiPriority w:val="0"/>
    <w:pPr>
      <w:jc w:val="center"/>
    </w:pPr>
    <w:rPr>
      <w:szCs w:val="21"/>
    </w:rPr>
  </w:style>
  <w:style w:type="paragraph" w:customStyle="1" w:styleId="101">
    <w:name w:val="样式 ysl04 + 首行缩进:  2 字符"/>
    <w:basedOn w:val="1"/>
    <w:autoRedefine/>
    <w:qFormat/>
    <w:uiPriority w:val="0"/>
    <w:pPr>
      <w:widowControl/>
      <w:spacing w:line="360" w:lineRule="auto"/>
      <w:ind w:left="210" w:leftChars="100" w:firstLine="562" w:firstLineChars="200"/>
      <w:jc w:val="left"/>
    </w:pPr>
    <w:rPr>
      <w:rFonts w:ascii="宋体" w:hAnsi="宋体" w:cs="宋体"/>
      <w:bCs/>
      <w:sz w:val="28"/>
      <w:szCs w:val="20"/>
    </w:rPr>
  </w:style>
  <w:style w:type="paragraph" w:customStyle="1" w:styleId="102">
    <w:name w:val="创业正文"/>
    <w:basedOn w:val="1"/>
    <w:autoRedefine/>
    <w:qFormat/>
    <w:uiPriority w:val="99"/>
    <w:pPr>
      <w:widowControl/>
      <w:autoSpaceDE w:val="0"/>
      <w:autoSpaceDN w:val="0"/>
      <w:adjustRightInd w:val="0"/>
      <w:snapToGrid w:val="0"/>
      <w:spacing w:line="480" w:lineRule="exact"/>
      <w:ind w:firstLine="480" w:firstLineChars="200"/>
      <w:jc w:val="left"/>
    </w:pPr>
    <w:rPr>
      <w:rFonts w:ascii="Times New Roman" w:hAnsi="Times New Roman"/>
      <w:bCs/>
      <w:sz w:val="24"/>
      <w:szCs w:val="28"/>
      <w:lang w:val="zh-CN"/>
    </w:rPr>
  </w:style>
  <w:style w:type="paragraph" w:customStyle="1" w:styleId="103">
    <w:name w:val="题注样式"/>
    <w:basedOn w:val="50"/>
    <w:autoRedefine/>
    <w:qFormat/>
    <w:uiPriority w:val="0"/>
  </w:style>
  <w:style w:type="paragraph" w:customStyle="1" w:styleId="104">
    <w:name w:val="图表"/>
    <w:basedOn w:val="1"/>
    <w:autoRedefine/>
    <w:qFormat/>
    <w:uiPriority w:val="0"/>
    <w:pPr>
      <w:adjustRightInd w:val="0"/>
      <w:snapToGrid w:val="0"/>
      <w:jc w:val="center"/>
    </w:pPr>
    <w:rPr>
      <w:color w:val="000000"/>
      <w:szCs w:val="22"/>
      <w:lang w:val="zh-CN"/>
    </w:rPr>
  </w:style>
  <w:style w:type="paragraph" w:customStyle="1" w:styleId="105">
    <w:name w:val="正文新"/>
    <w:basedOn w:val="13"/>
    <w:autoRedefine/>
    <w:qFormat/>
    <w:uiPriority w:val="0"/>
    <w:pPr>
      <w:widowControl w:val="0"/>
      <w:spacing w:line="300" w:lineRule="auto"/>
      <w:ind w:firstLine="510"/>
      <w:jc w:val="both"/>
    </w:pPr>
    <w:rPr>
      <w:rFonts w:hAnsi="Arial"/>
      <w:kern w:val="0"/>
      <w:sz w:val="24"/>
      <w:szCs w:val="20"/>
    </w:rPr>
  </w:style>
  <w:style w:type="paragraph" w:styleId="106">
    <w:name w:val="No Spacing"/>
    <w:next w:val="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07">
    <w:name w:val="样式 自动设置"/>
    <w:basedOn w:val="1"/>
    <w:autoRedefine/>
    <w:qFormat/>
    <w:uiPriority w:val="0"/>
    <w:pPr>
      <w:autoSpaceDE w:val="0"/>
      <w:autoSpaceDN w:val="0"/>
      <w:adjustRightInd w:val="0"/>
      <w:snapToGrid w:val="0"/>
      <w:spacing w:beforeLines="50" w:line="288" w:lineRule="auto"/>
      <w:ind w:firstLine="200" w:firstLineChars="200"/>
    </w:pPr>
    <w:rPr>
      <w:sz w:val="24"/>
      <w:szCs w:val="20"/>
    </w:rPr>
  </w:style>
  <w:style w:type="paragraph" w:customStyle="1" w:styleId="108">
    <w:name w:val="图表文字"/>
    <w:basedOn w:val="1"/>
    <w:autoRedefine/>
    <w:qFormat/>
    <w:uiPriority w:val="0"/>
    <w:pPr>
      <w:jc w:val="center"/>
    </w:pPr>
    <w:rPr>
      <w:rFonts w:ascii="仿宋_GB2312" w:eastAsia="仿宋_GB2312"/>
    </w:rPr>
  </w:style>
  <w:style w:type="paragraph" w:customStyle="1" w:styleId="109">
    <w:name w:val="表格正文"/>
    <w:basedOn w:val="1"/>
    <w:autoRedefine/>
    <w:qFormat/>
    <w:uiPriority w:val="0"/>
    <w:pPr>
      <w:adjustRightInd w:val="0"/>
      <w:snapToGrid w:val="0"/>
      <w:jc w:val="center"/>
      <w:textAlignment w:val="baseline"/>
    </w:pPr>
    <w:rPr>
      <w:kern w:val="0"/>
      <w:szCs w:val="20"/>
    </w:rPr>
  </w:style>
  <w:style w:type="paragraph" w:customStyle="1" w:styleId="110">
    <w:name w:val="备注"/>
    <w:basedOn w:val="111"/>
    <w:autoRedefine/>
    <w:qFormat/>
    <w:uiPriority w:val="0"/>
    <w:pPr>
      <w:autoSpaceDE w:val="0"/>
      <w:autoSpaceDN w:val="0"/>
      <w:adjustRightInd w:val="0"/>
      <w:spacing w:line="240" w:lineRule="auto"/>
      <w:ind w:firstLine="200" w:firstLineChars="200"/>
      <w:jc w:val="both"/>
    </w:pPr>
    <w:rPr>
      <w:b w:val="0"/>
      <w:color w:val="000000"/>
      <w:spacing w:val="-2"/>
      <w:kern w:val="0"/>
      <w:sz w:val="21"/>
      <w:szCs w:val="28"/>
      <w:lang w:val="zh-CN"/>
    </w:rPr>
  </w:style>
  <w:style w:type="paragraph" w:customStyle="1" w:styleId="111">
    <w:name w:val="创业表头"/>
    <w:basedOn w:val="1"/>
    <w:autoRedefine/>
    <w:qFormat/>
    <w:uiPriority w:val="99"/>
    <w:pPr>
      <w:snapToGrid w:val="0"/>
      <w:spacing w:line="360" w:lineRule="auto"/>
      <w:jc w:val="center"/>
    </w:pPr>
    <w:rPr>
      <w:b/>
      <w:sz w:val="24"/>
      <w:szCs w:val="20"/>
    </w:rPr>
  </w:style>
  <w:style w:type="paragraph" w:customStyle="1" w:styleId="112">
    <w:name w:val="1  正文"/>
    <w:basedOn w:val="1"/>
    <w:autoRedefine/>
    <w:qFormat/>
    <w:uiPriority w:val="0"/>
    <w:pPr>
      <w:spacing w:line="500" w:lineRule="exact"/>
      <w:ind w:firstLine="200" w:firstLineChars="200"/>
    </w:pPr>
    <w:rPr>
      <w:sz w:val="24"/>
    </w:rPr>
  </w:style>
  <w:style w:type="table" w:customStyle="1" w:styleId="113">
    <w:name w:val="表格-三线表"/>
    <w:autoRedefine/>
    <w:qFormat/>
    <w:uiPriority w:val="0"/>
    <w:pPr>
      <w:jc w:val="center"/>
    </w:pPr>
    <w:rPr>
      <w:kern w:val="2"/>
      <w:sz w:val="21"/>
      <w:szCs w:val="22"/>
    </w:rPr>
    <w:tblPr>
      <w:jc w:val="center"/>
      <w:tblBorders>
        <w:top w:val="single" w:color="auto" w:sz="12" w:space="0"/>
        <w:bottom w:val="single" w:color="auto" w:sz="12" w:space="0"/>
        <w:insideH w:val="single" w:color="auto" w:sz="4" w:space="0"/>
        <w:insideV w:val="single" w:color="auto" w:sz="4" w:space="0"/>
      </w:tblBorders>
      <w:tblCellMar>
        <w:top w:w="0" w:type="dxa"/>
        <w:left w:w="0" w:type="dxa"/>
        <w:bottom w:w="0" w:type="dxa"/>
        <w:right w:w="0" w:type="dxa"/>
      </w:tblCellMar>
    </w:tblPr>
    <w:trPr>
      <w:jc w:val="center"/>
    </w:trPr>
    <w:tcPr>
      <w:vAlign w:val="center"/>
    </w:tcPr>
  </w:style>
  <w:style w:type="character" w:customStyle="1" w:styleId="114">
    <w:name w:val="font11"/>
    <w:basedOn w:val="29"/>
    <w:autoRedefine/>
    <w:qFormat/>
    <w:uiPriority w:val="0"/>
    <w:rPr>
      <w:rFonts w:hint="eastAsia" w:ascii="宋体" w:hAnsi="宋体" w:eastAsia="宋体" w:cs="宋体"/>
      <w:color w:val="000000"/>
      <w:sz w:val="21"/>
      <w:szCs w:val="21"/>
      <w:u w:val="none"/>
    </w:rPr>
  </w:style>
  <w:style w:type="paragraph" w:customStyle="1" w:styleId="115">
    <w:name w:val="xl25"/>
    <w:basedOn w:val="1"/>
    <w:autoRedefine/>
    <w:qFormat/>
    <w:uiPriority w:val="0"/>
    <w:pPr>
      <w:widowControl/>
      <w:pBdr>
        <w:left w:val="single" w:color="auto" w:sz="4" w:space="0"/>
        <w:right w:val="single" w:color="auto" w:sz="4" w:space="0"/>
      </w:pBdr>
      <w:spacing w:before="100" w:after="100"/>
      <w:jc w:val="center"/>
    </w:pPr>
    <w:rPr>
      <w:rFonts w:ascii="等线" w:hAnsi="等线" w:eastAsia="等线"/>
      <w:kern w:val="0"/>
      <w:sz w:val="24"/>
      <w:szCs w:val="20"/>
    </w:rPr>
  </w:style>
  <w:style w:type="character" w:customStyle="1" w:styleId="116">
    <w:name w:val="font31"/>
    <w:basedOn w:val="29"/>
    <w:autoRedefine/>
    <w:qFormat/>
    <w:uiPriority w:val="0"/>
    <w:rPr>
      <w:rFonts w:hint="eastAsia" w:ascii="宋体" w:hAnsi="宋体" w:eastAsia="宋体" w:cs="宋体"/>
      <w:color w:val="000000"/>
      <w:sz w:val="21"/>
      <w:szCs w:val="21"/>
      <w:u w:val="none"/>
    </w:rPr>
  </w:style>
  <w:style w:type="character" w:customStyle="1" w:styleId="117">
    <w:name w:val="font21"/>
    <w:basedOn w:val="29"/>
    <w:autoRedefine/>
    <w:qFormat/>
    <w:uiPriority w:val="0"/>
    <w:rPr>
      <w:rFonts w:hint="default" w:ascii="Times New Roman" w:hAnsi="Times New Roman" w:cs="Times New Roman"/>
      <w:color w:val="0000FF"/>
      <w:sz w:val="21"/>
      <w:szCs w:val="21"/>
      <w:u w:val="none"/>
    </w:rPr>
  </w:style>
  <w:style w:type="character" w:customStyle="1" w:styleId="118">
    <w:name w:val="font41"/>
    <w:basedOn w:val="29"/>
    <w:autoRedefine/>
    <w:qFormat/>
    <w:uiPriority w:val="0"/>
    <w:rPr>
      <w:rFonts w:hint="eastAsia" w:ascii="宋体" w:hAnsi="宋体" w:eastAsia="宋体" w:cs="宋体"/>
      <w:color w:val="0000FF"/>
      <w:sz w:val="21"/>
      <w:szCs w:val="21"/>
      <w:u w:val="none"/>
    </w:rPr>
  </w:style>
  <w:style w:type="character" w:customStyle="1" w:styleId="119">
    <w:name w:val="font51"/>
    <w:basedOn w:val="29"/>
    <w:autoRedefine/>
    <w:qFormat/>
    <w:uiPriority w:val="0"/>
    <w:rPr>
      <w:rFonts w:hint="eastAsia" w:ascii="宋体" w:hAnsi="宋体" w:eastAsia="宋体" w:cs="宋体"/>
      <w:color w:val="000000"/>
      <w:sz w:val="21"/>
      <w:szCs w:val="21"/>
      <w:u w:val="none"/>
    </w:rPr>
  </w:style>
  <w:style w:type="paragraph" w:customStyle="1" w:styleId="120">
    <w:name w:val="表蕊居中"/>
    <w:autoRedefine/>
    <w:qFormat/>
    <w:uiPriority w:val="0"/>
    <w:pPr>
      <w:spacing w:line="320" w:lineRule="exact"/>
      <w:jc w:val="center"/>
    </w:pPr>
    <w:rPr>
      <w:rFonts w:ascii="Calibri" w:hAnsi="Calibri" w:eastAsia="宋体" w:cs="Times New Roman"/>
      <w:spacing w:val="8"/>
      <w:kern w:val="2"/>
      <w:sz w:val="21"/>
      <w:szCs w:val="28"/>
      <w:lang w:val="en-US" w:eastAsia="zh-CN" w:bidi="ar-SA"/>
    </w:rPr>
  </w:style>
  <w:style w:type="paragraph" w:customStyle="1" w:styleId="121">
    <w:name w:val="样式 表蕊居中 + (中文) 楷体 红色 行距: 多倍行距 0.8 字行"/>
    <w:basedOn w:val="120"/>
    <w:autoRedefine/>
    <w:qFormat/>
    <w:uiPriority w:val="0"/>
    <w:pPr>
      <w:spacing w:line="192" w:lineRule="auto"/>
    </w:pPr>
    <w:rPr>
      <w:rFonts w:cs="宋体"/>
      <w:spacing w:val="0"/>
      <w:szCs w:val="20"/>
    </w:rPr>
  </w:style>
  <w:style w:type="paragraph" w:customStyle="1" w:styleId="122">
    <w:name w:val="正文j"/>
    <w:autoRedefine/>
    <w:qFormat/>
    <w:uiPriority w:val="0"/>
    <w:pPr>
      <w:adjustRightInd w:val="0"/>
      <w:snapToGrid w:val="0"/>
      <w:spacing w:line="500" w:lineRule="exact"/>
      <w:ind w:firstLine="200" w:firstLineChars="200"/>
      <w:jc w:val="both"/>
    </w:pPr>
    <w:rPr>
      <w:rFonts w:ascii="Calibri" w:hAnsi="Calibri" w:eastAsia="仿宋_GB2312" w:cs="Times New Roman"/>
      <w:kern w:val="2"/>
      <w:sz w:val="28"/>
      <w:szCs w:val="28"/>
      <w:lang w:val="en-US" w:eastAsia="zh-CN" w:bidi="ar-SA"/>
    </w:rPr>
  </w:style>
  <w:style w:type="paragraph" w:customStyle="1" w:styleId="123">
    <w:name w:val="Table Text"/>
    <w:basedOn w:val="1"/>
    <w:semiHidden/>
    <w:qFormat/>
    <w:uiPriority w:val="0"/>
    <w:rPr>
      <w:rFonts w:ascii="宋体" w:hAnsi="宋体" w:eastAsia="宋体" w:cs="宋体"/>
      <w:sz w:val="21"/>
      <w:szCs w:val="21"/>
      <w:lang w:val="en-US" w:eastAsia="en-US" w:bidi="ar-SA"/>
    </w:rPr>
  </w:style>
  <w:style w:type="paragraph" w:customStyle="1" w:styleId="124">
    <w:name w:val="列出段落"/>
    <w:basedOn w:val="1"/>
    <w:qFormat/>
    <w:uiPriority w:val="1"/>
    <w:pPr>
      <w:ind w:left="2384" w:hanging="602"/>
    </w:pPr>
    <w:rPr>
      <w:rFonts w:ascii="宋体" w:hAnsi="宋体" w:eastAsia="宋体" w:cs="宋体"/>
      <w:lang w:val="zh-CN" w:eastAsia="zh-CN" w:bidi="zh-CN"/>
    </w:rPr>
  </w:style>
  <w:style w:type="paragraph" w:customStyle="1" w:styleId="125">
    <w:name w:val="小表中格式"/>
    <w:basedOn w:val="126"/>
    <w:qFormat/>
    <w:uiPriority w:val="0"/>
    <w:pPr>
      <w:kinsoku w:val="0"/>
      <w:overflowPunct w:val="0"/>
      <w:autoSpaceDE w:val="0"/>
      <w:autoSpaceDN w:val="0"/>
      <w:spacing w:line="360" w:lineRule="exact"/>
      <w:ind w:firstLine="0" w:firstLineChars="0"/>
      <w:jc w:val="left"/>
    </w:pPr>
    <w:rPr>
      <w:w w:val="100"/>
      <w:sz w:val="21"/>
      <w:szCs w:val="20"/>
    </w:rPr>
  </w:style>
  <w:style w:type="paragraph" w:customStyle="1" w:styleId="126">
    <w:name w:val="样式 四号 左侧:  1.53 厘米"/>
    <w:basedOn w:val="1"/>
    <w:qFormat/>
    <w:uiPriority w:val="0"/>
    <w:pPr>
      <w:adjustRightInd w:val="0"/>
    </w:pPr>
    <w:rPr>
      <w:w w:val="90"/>
      <w:sz w:val="28"/>
      <w:szCs w:val="28"/>
    </w:rPr>
  </w:style>
  <w:style w:type="paragraph" w:customStyle="1" w:styleId="127">
    <w:name w:val="表1"/>
    <w:basedOn w:val="1"/>
    <w:qFormat/>
    <w:uiPriority w:val="0"/>
    <w:pPr>
      <w:spacing w:line="240" w:lineRule="atLeast"/>
      <w:jc w:val="center"/>
    </w:pPr>
    <w:rPr>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image" Target="media/image4.emf"/><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120</Pages>
  <Words>5004</Words>
  <Characters>5406</Characters>
  <Lines>1</Lines>
  <Paragraphs>1</Paragraphs>
  <TotalTime>4</TotalTime>
  <ScaleCrop>false</ScaleCrop>
  <LinksUpToDate>false</LinksUpToDate>
  <CharactersWithSpaces>5408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球球</cp:lastModifiedBy>
  <cp:lastPrinted>2023-07-29T01:01:00Z</cp:lastPrinted>
  <dcterms:modified xsi:type="dcterms:W3CDTF">2025-09-08T06:15:42Z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5C2121AD2EBF48C999A1FBA6FF6599EC_13</vt:lpwstr>
  </property>
  <property fmtid="{D5CDD505-2E9C-101B-9397-08002B2CF9AE}" pid="4" name="KSOTemplateDocerSaveRecord">
    <vt:lpwstr>eyJoZGlkIjoiYWZhMzA0MTE2MGQ3ODcwOTgyMWY3NzY0ZDhkYzQxODciLCJ1c2VySWQiOiIzODk2NzQyOTcifQ==</vt:lpwstr>
  </property>
</Properties>
</file>